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Default Extension="png" ContentType="image/png"/>
  <Override PartName="/word/footer6.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5.xml" ContentType="application/vnd.openxmlformats-officedocument.wordprocessingml.header+xml"/>
  <Override PartName="/word/footer9.xml" ContentType="application/vnd.openxmlformats-officedocument.wordprocessingml.footer+xml"/>
  <Override PartName="/word/header6.xml" ContentType="application/vnd.openxmlformats-officedocument.wordprocessingml.header+xml"/>
  <Override PartName="/word/footer1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p>
      <w:pPr>
        <w:spacing w:line="508" w:lineRule="auto" w:before="64"/>
        <w:ind w:left="1828" w:right="920" w:firstLine="0"/>
        <w:jc w:val="center"/>
        <w:rPr>
          <w:b/>
          <w:sz w:val="28"/>
        </w:rPr>
      </w:pPr>
      <w:r>
        <w:rPr/>
        <w:pict>
          <v:line style="position:absolute;mso-position-horizontal-relative:page;mso-position-vertical-relative:paragraph;z-index:0" from="89.460001pt,-6.009692pt" to="82.860001pt,472.790308pt" stroked="true" strokeweight="3pt" strokecolor="#000000">
            <w10:wrap type="none"/>
          </v:line>
        </w:pict>
      </w:r>
      <w:r>
        <w:rPr/>
        <w:pict>
          <v:line style="position:absolute;mso-position-horizontal-relative:page;mso-position-vertical-relative:paragraph;z-index:1048" from="101.460001pt,21.590307pt" to="94.860001pt,452.390307pt" stroked="true" strokeweight="3pt" strokecolor="#000000">
            <w10:wrap type="none"/>
          </v:line>
        </w:pict>
      </w:r>
      <w:r>
        <w:rPr/>
        <w:pict>
          <v:line style="position:absolute;mso-position-horizontal-relative:page;mso-position-vertical-relative:paragraph;z-index:1072" from="113.459998pt,44.390308pt" to="108.059998pt,434.390308pt" stroked="true" strokeweight="3pt" strokecolor="#000000">
            <w10:wrap type="none"/>
          </v:line>
        </w:pict>
      </w:r>
      <w:r>
        <w:rPr>
          <w:b/>
          <w:sz w:val="28"/>
        </w:rPr>
        <w:t>EVALUACIÓN DEL EFECTO DE LA APLICACIÓN DE SUBSIDIOS A LA PORCICULTURA MEXICANA</w:t>
      </w:r>
    </w:p>
    <w:p>
      <w:pPr>
        <w:pStyle w:val="BodyText"/>
        <w:rPr>
          <w:b/>
          <w:sz w:val="28"/>
        </w:rPr>
      </w:pPr>
    </w:p>
    <w:p>
      <w:pPr>
        <w:pStyle w:val="BodyText"/>
        <w:spacing w:before="5"/>
        <w:rPr>
          <w:b/>
          <w:sz w:val="32"/>
        </w:rPr>
      </w:pPr>
    </w:p>
    <w:p>
      <w:pPr>
        <w:pStyle w:val="Heading1"/>
        <w:ind w:right="920"/>
        <w:jc w:val="center"/>
      </w:pPr>
      <w:r>
        <w:rPr/>
        <w:t>TESIS</w:t>
      </w:r>
    </w:p>
    <w:p>
      <w:pPr>
        <w:pStyle w:val="BodyText"/>
        <w:spacing w:before="11"/>
        <w:rPr>
          <w:b/>
          <w:sz w:val="83"/>
        </w:rPr>
      </w:pPr>
    </w:p>
    <w:p>
      <w:pPr>
        <w:pStyle w:val="BodyText"/>
        <w:spacing w:line="360" w:lineRule="auto"/>
        <w:ind w:left="2882" w:right="2059" w:firstLine="6"/>
        <w:jc w:val="center"/>
      </w:pPr>
      <w:r>
        <w:rPr/>
        <w:t>QUE PARA OBTENER EL GRADO DE DOCTOR EN CIENCIAS AGROPECUARIAS</w:t>
      </w:r>
      <w:r>
        <w:rPr>
          <w:spacing w:val="-14"/>
        </w:rPr>
        <w:t> </w:t>
      </w:r>
      <w:r>
        <w:rPr/>
        <w:t>Y RECURSOS</w:t>
      </w:r>
      <w:r>
        <w:rPr>
          <w:spacing w:val="-4"/>
        </w:rPr>
        <w:t> </w:t>
      </w:r>
      <w:r>
        <w:rPr/>
        <w:t>NATURALES</w:t>
      </w:r>
    </w:p>
    <w:p>
      <w:pPr>
        <w:pStyle w:val="BodyText"/>
      </w:pPr>
    </w:p>
    <w:p>
      <w:pPr>
        <w:pStyle w:val="BodyText"/>
      </w:pPr>
    </w:p>
    <w:p>
      <w:pPr>
        <w:pStyle w:val="BodyText"/>
      </w:pPr>
    </w:p>
    <w:p>
      <w:pPr>
        <w:pStyle w:val="BodyText"/>
        <w:spacing w:before="8"/>
      </w:pPr>
    </w:p>
    <w:p>
      <w:pPr>
        <w:pStyle w:val="Heading4"/>
        <w:spacing w:before="1"/>
        <w:ind w:left="1746" w:right="920"/>
      </w:pPr>
      <w:r>
        <w:rPr/>
        <w:t>P R E S E N T A:</w:t>
      </w:r>
    </w:p>
    <w:p>
      <w:pPr>
        <w:spacing w:before="139"/>
        <w:ind w:left="1747" w:right="920" w:firstLine="0"/>
        <w:jc w:val="center"/>
        <w:rPr>
          <w:b/>
          <w:sz w:val="24"/>
        </w:rPr>
      </w:pPr>
      <w:r>
        <w:rPr>
          <w:b/>
          <w:sz w:val="24"/>
        </w:rPr>
        <w:t>HÉCTOR HUGO VELAZQUEZ VILLALVA</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6"/>
        <w:rPr>
          <w:b/>
          <w:sz w:val="35"/>
        </w:rPr>
      </w:pPr>
    </w:p>
    <w:p>
      <w:pPr>
        <w:pStyle w:val="BodyText"/>
        <w:ind w:left="1743" w:right="920"/>
        <w:jc w:val="center"/>
      </w:pPr>
      <w:r>
        <w:rPr/>
        <w:t>Temascaltepec, Estado de México, México, Noviembre 2016.</w:t>
      </w:r>
    </w:p>
    <w:p>
      <w:pPr>
        <w:spacing w:after="0"/>
        <w:jc w:val="center"/>
        <w:sectPr>
          <w:headerReference w:type="default" r:id="rId5"/>
          <w:type w:val="continuous"/>
          <w:pgSz w:w="12240" w:h="15840"/>
          <w:pgMar w:header="1418" w:top="3260" w:bottom="280" w:left="1100" w:right="13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p>
      <w:pPr>
        <w:spacing w:line="508" w:lineRule="auto" w:before="64"/>
        <w:ind w:left="1828" w:right="960" w:firstLine="0"/>
        <w:jc w:val="center"/>
        <w:rPr>
          <w:b/>
          <w:sz w:val="28"/>
        </w:rPr>
      </w:pPr>
      <w:r>
        <w:rPr/>
        <w:pict>
          <v:line style="position:absolute;mso-position-horizontal-relative:page;mso-position-vertical-relative:paragraph;z-index:1096" from="89.460001pt,-6.009692pt" to="82.860001pt,472.790308pt" stroked="true" strokeweight="3pt" strokecolor="#000000">
            <w10:wrap type="none"/>
          </v:line>
        </w:pict>
      </w:r>
      <w:r>
        <w:rPr/>
        <w:pict>
          <v:line style="position:absolute;mso-position-horizontal-relative:page;mso-position-vertical-relative:paragraph;z-index:1120" from="101.460001pt,21.590307pt" to="94.860001pt,452.390307pt" stroked="true" strokeweight="3pt" strokecolor="#000000">
            <w10:wrap type="none"/>
          </v:line>
        </w:pict>
      </w:r>
      <w:r>
        <w:rPr/>
        <w:pict>
          <v:line style="position:absolute;mso-position-horizontal-relative:page;mso-position-vertical-relative:paragraph;z-index:1144" from="113.459998pt,44.390308pt" to="108.059998pt,434.390308pt" stroked="true" strokeweight="3pt" strokecolor="#000000">
            <w10:wrap type="none"/>
          </v:line>
        </w:pict>
      </w:r>
      <w:r>
        <w:rPr>
          <w:b/>
          <w:sz w:val="28"/>
        </w:rPr>
        <w:t>EVALUACIÓN DEL EFECTO DE LA APLICACIÓN DE SUBSIDIOS A LA PORCICULTURA MEXICANA</w:t>
      </w:r>
    </w:p>
    <w:p>
      <w:pPr>
        <w:pStyle w:val="Heading1"/>
        <w:spacing w:before="13"/>
        <w:ind w:right="960"/>
        <w:jc w:val="center"/>
      </w:pPr>
      <w:r>
        <w:rPr/>
        <w:t>TESIS</w:t>
      </w:r>
    </w:p>
    <w:p>
      <w:pPr>
        <w:pStyle w:val="BodyText"/>
        <w:spacing w:line="360" w:lineRule="auto" w:before="550"/>
        <w:ind w:left="2882" w:right="2099" w:firstLine="6"/>
        <w:jc w:val="center"/>
      </w:pPr>
      <w:r>
        <w:rPr/>
        <w:t>QUE PARA OBTENER EL GRADO DE DOCTOR EN CIENCIAS AGROPECUARIAS</w:t>
      </w:r>
      <w:r>
        <w:rPr>
          <w:spacing w:val="-14"/>
        </w:rPr>
        <w:t> </w:t>
      </w:r>
      <w:r>
        <w:rPr/>
        <w:t>Y RECURSOS</w:t>
      </w:r>
      <w:r>
        <w:rPr>
          <w:spacing w:val="-4"/>
        </w:rPr>
        <w:t> </w:t>
      </w:r>
      <w:r>
        <w:rPr/>
        <w:t>NATURALES</w:t>
      </w:r>
    </w:p>
    <w:p>
      <w:pPr>
        <w:pStyle w:val="BodyText"/>
      </w:pPr>
    </w:p>
    <w:p>
      <w:pPr>
        <w:pStyle w:val="BodyText"/>
        <w:spacing w:before="8"/>
      </w:pPr>
    </w:p>
    <w:p>
      <w:pPr>
        <w:pStyle w:val="Heading4"/>
        <w:spacing w:before="0"/>
        <w:ind w:left="1746" w:right="960"/>
      </w:pPr>
      <w:r>
        <w:rPr/>
        <w:t>P R E S E N T A:</w:t>
      </w:r>
    </w:p>
    <w:p>
      <w:pPr>
        <w:spacing w:line="820" w:lineRule="atLeast" w:before="8"/>
        <w:ind w:left="2873" w:right="2083" w:firstLine="0"/>
        <w:jc w:val="center"/>
        <w:rPr>
          <w:b/>
          <w:sz w:val="24"/>
        </w:rPr>
      </w:pPr>
      <w:r>
        <w:rPr>
          <w:b/>
          <w:sz w:val="24"/>
        </w:rPr>
        <w:t>HÉCTOR HUGO VELAZQUEZ VILLALVA COMITÉ DE TUTORES</w:t>
      </w:r>
    </w:p>
    <w:p>
      <w:pPr>
        <w:spacing w:line="360" w:lineRule="auto" w:before="139"/>
        <w:ind w:left="2873" w:right="2088" w:firstLine="0"/>
        <w:jc w:val="center"/>
        <w:rPr>
          <w:b/>
          <w:sz w:val="24"/>
        </w:rPr>
      </w:pPr>
      <w:r>
        <w:rPr>
          <w:b/>
          <w:sz w:val="24"/>
        </w:rPr>
        <w:t>Dr. Germán Gómez Tenorio, Tutor Académico Dr. Samuel Rebollar Rebollar, Tutor Adjunto</w:t>
      </w:r>
    </w:p>
    <w:p>
      <w:pPr>
        <w:spacing w:before="6"/>
        <w:ind w:left="1743" w:right="960" w:firstLine="0"/>
        <w:jc w:val="center"/>
        <w:rPr>
          <w:b/>
          <w:sz w:val="24"/>
        </w:rPr>
      </w:pPr>
      <w:r>
        <w:rPr>
          <w:b/>
          <w:sz w:val="24"/>
        </w:rPr>
        <w:t>Dr. Francisco Ernesto Martínez Castañeda, Tutor Adjunto</w:t>
      </w:r>
    </w:p>
    <w:p>
      <w:pPr>
        <w:pStyle w:val="BodyText"/>
        <w:rPr>
          <w:b/>
        </w:rPr>
      </w:pPr>
    </w:p>
    <w:p>
      <w:pPr>
        <w:pStyle w:val="BodyText"/>
        <w:spacing w:before="6"/>
        <w:rPr>
          <w:b/>
          <w:sz w:val="23"/>
        </w:rPr>
      </w:pPr>
    </w:p>
    <w:p>
      <w:pPr>
        <w:pStyle w:val="BodyText"/>
        <w:ind w:left="3792"/>
      </w:pPr>
      <w:r>
        <w:rPr/>
        <w:t>Temascaltepec, Estado de México, México, Noviembre 2016.</w:t>
      </w:r>
    </w:p>
    <w:p>
      <w:pPr>
        <w:spacing w:after="0"/>
        <w:sectPr>
          <w:pgSz w:w="12240" w:h="15840"/>
          <w:pgMar w:header="1418" w:footer="0" w:top="3260" w:bottom="280" w:left="1100" w:right="1320"/>
        </w:sectPr>
      </w:pPr>
    </w:p>
    <w:p>
      <w:pPr>
        <w:pStyle w:val="Heading4"/>
        <w:spacing w:before="128"/>
        <w:ind w:left="0" w:right="151"/>
        <w:rPr>
          <w:rFonts w:ascii="Arial"/>
        </w:rPr>
      </w:pPr>
      <w:bookmarkStart w:name="_TOC_250000" w:id="1"/>
      <w:bookmarkEnd w:id="1"/>
      <w:r>
        <w:rPr>
          <w:rFonts w:ascii="Arial"/>
        </w:rPr>
        <w:t>PUBLICACIONES</w:t>
      </w:r>
    </w:p>
    <w:p>
      <w:pPr>
        <w:pStyle w:val="BodyText"/>
        <w:spacing w:before="133"/>
        <w:ind w:left="118" w:right="410"/>
      </w:pPr>
      <w:r>
        <w:rPr/>
        <w:t>El presente trabajo de disertación está basado en las siguientes publicaciones:</w:t>
      </w:r>
    </w:p>
    <w:p>
      <w:pPr>
        <w:pStyle w:val="BodyText"/>
        <w:spacing w:before="2"/>
        <w:rPr>
          <w:sz w:val="29"/>
        </w:rPr>
      </w:pPr>
    </w:p>
    <w:p>
      <w:pPr>
        <w:pStyle w:val="ListParagraph"/>
        <w:numPr>
          <w:ilvl w:val="0"/>
          <w:numId w:val="1"/>
        </w:numPr>
        <w:tabs>
          <w:tab w:pos="839" w:val="left" w:leader="none"/>
        </w:tabs>
        <w:spacing w:line="240" w:lineRule="auto" w:before="0" w:after="0"/>
        <w:ind w:left="838" w:right="269" w:hanging="360"/>
        <w:jc w:val="both"/>
        <w:rPr>
          <w:sz w:val="24"/>
        </w:rPr>
      </w:pPr>
      <w:r>
        <w:rPr>
          <w:sz w:val="24"/>
        </w:rPr>
        <w:t>Determinación</w:t>
      </w:r>
      <w:r>
        <w:rPr>
          <w:spacing w:val="-6"/>
          <w:sz w:val="24"/>
        </w:rPr>
        <w:t> </w:t>
      </w:r>
      <w:r>
        <w:rPr>
          <w:sz w:val="24"/>
        </w:rPr>
        <w:t>del</w:t>
      </w:r>
      <w:r>
        <w:rPr>
          <w:spacing w:val="-6"/>
          <w:sz w:val="24"/>
        </w:rPr>
        <w:t> </w:t>
      </w:r>
      <w:r>
        <w:rPr>
          <w:sz w:val="24"/>
        </w:rPr>
        <w:t>tamaño</w:t>
      </w:r>
      <w:r>
        <w:rPr>
          <w:spacing w:val="-6"/>
          <w:sz w:val="24"/>
        </w:rPr>
        <w:t> </w:t>
      </w:r>
      <w:r>
        <w:rPr>
          <w:sz w:val="24"/>
        </w:rPr>
        <w:t>de</w:t>
      </w:r>
      <w:r>
        <w:rPr>
          <w:spacing w:val="-7"/>
          <w:sz w:val="24"/>
        </w:rPr>
        <w:t> </w:t>
      </w:r>
      <w:r>
        <w:rPr>
          <w:sz w:val="24"/>
        </w:rPr>
        <w:t>planta</w:t>
      </w:r>
      <w:r>
        <w:rPr>
          <w:spacing w:val="-7"/>
          <w:sz w:val="24"/>
        </w:rPr>
        <w:t> </w:t>
      </w:r>
      <w:r>
        <w:rPr>
          <w:sz w:val="24"/>
        </w:rPr>
        <w:t>de</w:t>
      </w:r>
      <w:r>
        <w:rPr>
          <w:spacing w:val="-5"/>
          <w:sz w:val="24"/>
        </w:rPr>
        <w:t> </w:t>
      </w:r>
      <w:r>
        <w:rPr>
          <w:sz w:val="24"/>
        </w:rPr>
        <w:t>rastros</w:t>
      </w:r>
      <w:r>
        <w:rPr>
          <w:spacing w:val="-1"/>
          <w:sz w:val="24"/>
        </w:rPr>
        <w:t> </w:t>
      </w:r>
      <w:r>
        <w:rPr>
          <w:sz w:val="24"/>
        </w:rPr>
        <w:t>y</w:t>
      </w:r>
      <w:r>
        <w:rPr>
          <w:spacing w:val="-11"/>
          <w:sz w:val="24"/>
        </w:rPr>
        <w:t> </w:t>
      </w:r>
      <w:r>
        <w:rPr>
          <w:sz w:val="24"/>
        </w:rPr>
        <w:t>distribución</w:t>
      </w:r>
      <w:r>
        <w:rPr>
          <w:spacing w:val="-6"/>
          <w:sz w:val="24"/>
        </w:rPr>
        <w:t> </w:t>
      </w:r>
      <w:r>
        <w:rPr>
          <w:sz w:val="24"/>
        </w:rPr>
        <w:t>óptima</w:t>
      </w:r>
      <w:r>
        <w:rPr>
          <w:spacing w:val="-7"/>
          <w:sz w:val="24"/>
        </w:rPr>
        <w:t> </w:t>
      </w:r>
      <w:r>
        <w:rPr>
          <w:sz w:val="24"/>
        </w:rPr>
        <w:t>de</w:t>
      </w:r>
      <w:r>
        <w:rPr>
          <w:spacing w:val="-7"/>
          <w:sz w:val="24"/>
        </w:rPr>
        <w:t> </w:t>
      </w:r>
      <w:r>
        <w:rPr>
          <w:sz w:val="24"/>
        </w:rPr>
        <w:t>la</w:t>
      </w:r>
      <w:r>
        <w:rPr>
          <w:spacing w:val="-7"/>
          <w:sz w:val="24"/>
        </w:rPr>
        <w:t> </w:t>
      </w:r>
      <w:r>
        <w:rPr>
          <w:sz w:val="24"/>
        </w:rPr>
        <w:t>carne</w:t>
      </w:r>
      <w:r>
        <w:rPr>
          <w:spacing w:val="-8"/>
          <w:sz w:val="24"/>
        </w:rPr>
        <w:t> </w:t>
      </w:r>
      <w:r>
        <w:rPr>
          <w:sz w:val="24"/>
        </w:rPr>
        <w:t>de</w:t>
      </w:r>
      <w:r>
        <w:rPr>
          <w:spacing w:val="-7"/>
          <w:sz w:val="24"/>
        </w:rPr>
        <w:t> </w:t>
      </w:r>
      <w:r>
        <w:rPr>
          <w:sz w:val="24"/>
        </w:rPr>
        <w:t>cerdo en la región sur del estado de México. Análisis Corporativo, Desarrollo y Finanzas, Editorial Martínez,  Primera edición Año 2016, ISBN: 978-607-503-183-5 pág.</w:t>
      </w:r>
      <w:r>
        <w:rPr>
          <w:spacing w:val="-13"/>
          <w:sz w:val="24"/>
        </w:rPr>
        <w:t> </w:t>
      </w:r>
      <w:r>
        <w:rPr>
          <w:sz w:val="24"/>
        </w:rPr>
        <w:t>203-224</w:t>
      </w:r>
    </w:p>
    <w:p>
      <w:pPr>
        <w:pStyle w:val="BodyText"/>
      </w:pPr>
    </w:p>
    <w:p>
      <w:pPr>
        <w:pStyle w:val="ListParagraph"/>
        <w:numPr>
          <w:ilvl w:val="0"/>
          <w:numId w:val="1"/>
        </w:numPr>
        <w:tabs>
          <w:tab w:pos="839" w:val="left" w:leader="none"/>
        </w:tabs>
        <w:spacing w:line="240" w:lineRule="auto" w:before="0" w:after="0"/>
        <w:ind w:left="838" w:right="265" w:hanging="360"/>
        <w:jc w:val="both"/>
        <w:rPr>
          <w:sz w:val="24"/>
        </w:rPr>
      </w:pPr>
      <w:r>
        <w:rPr>
          <w:sz w:val="24"/>
        </w:rPr>
        <w:t>Determinación de la ubicación, tamaño de rastros y distribución óptima de la carne de cerdo en el estado de México. Producción, Comercialización y Medio Ambiente, Editorial ECORFAN, Primera edición Año 2016, ISBN: 978-607-8324-65-1 pág. 109- 118</w:t>
      </w:r>
    </w:p>
    <w:p>
      <w:pPr>
        <w:pStyle w:val="BodyText"/>
      </w:pPr>
    </w:p>
    <w:p>
      <w:pPr>
        <w:pStyle w:val="ListParagraph"/>
        <w:numPr>
          <w:ilvl w:val="0"/>
          <w:numId w:val="1"/>
        </w:numPr>
        <w:tabs>
          <w:tab w:pos="839" w:val="left" w:leader="none"/>
        </w:tabs>
        <w:spacing w:line="240" w:lineRule="auto" w:before="0" w:after="0"/>
        <w:ind w:left="838" w:right="272" w:hanging="360"/>
        <w:jc w:val="both"/>
        <w:rPr>
          <w:sz w:val="24"/>
        </w:rPr>
      </w:pPr>
      <w:r>
        <w:rPr>
          <w:sz w:val="24"/>
        </w:rPr>
        <w:t>Mercado de la carne de cerdo en México, un modelo de optimización. Congreso Internacional Agroalimentario 2016, “Alimentación sostenible: desafíos y restos para la agricultura mexicana”</w:t>
      </w:r>
      <w:r>
        <w:rPr>
          <w:spacing w:val="-8"/>
          <w:sz w:val="24"/>
        </w:rPr>
        <w:t> </w:t>
      </w:r>
      <w:r>
        <w:rPr>
          <w:sz w:val="24"/>
        </w:rPr>
        <w:t>(Aceptado)</w:t>
      </w:r>
    </w:p>
    <w:p>
      <w:pPr>
        <w:pStyle w:val="BodyText"/>
      </w:pPr>
    </w:p>
    <w:p>
      <w:pPr>
        <w:pStyle w:val="ListParagraph"/>
        <w:numPr>
          <w:ilvl w:val="0"/>
          <w:numId w:val="1"/>
        </w:numPr>
        <w:tabs>
          <w:tab w:pos="839" w:val="left" w:leader="none"/>
        </w:tabs>
        <w:spacing w:line="240" w:lineRule="auto" w:before="0" w:after="0"/>
        <w:ind w:left="838" w:right="268" w:hanging="360"/>
        <w:jc w:val="both"/>
        <w:rPr>
          <w:sz w:val="24"/>
        </w:rPr>
      </w:pPr>
      <w:r>
        <w:rPr>
          <w:sz w:val="24"/>
        </w:rPr>
        <w:t>Efectos</w:t>
      </w:r>
      <w:r>
        <w:rPr>
          <w:spacing w:val="-15"/>
          <w:sz w:val="24"/>
        </w:rPr>
        <w:t> </w:t>
      </w:r>
      <w:r>
        <w:rPr>
          <w:sz w:val="24"/>
        </w:rPr>
        <w:t>regionales</w:t>
      </w:r>
      <w:r>
        <w:rPr>
          <w:spacing w:val="-11"/>
          <w:sz w:val="24"/>
        </w:rPr>
        <w:t> </w:t>
      </w:r>
      <w:r>
        <w:rPr>
          <w:sz w:val="24"/>
        </w:rPr>
        <w:t>y</w:t>
      </w:r>
      <w:r>
        <w:rPr>
          <w:spacing w:val="-21"/>
          <w:sz w:val="24"/>
        </w:rPr>
        <w:t> </w:t>
      </w:r>
      <w:r>
        <w:rPr>
          <w:sz w:val="24"/>
        </w:rPr>
        <w:t>nacionales</w:t>
      </w:r>
      <w:r>
        <w:rPr>
          <w:spacing w:val="-16"/>
          <w:sz w:val="24"/>
        </w:rPr>
        <w:t> </w:t>
      </w:r>
      <w:r>
        <w:rPr>
          <w:sz w:val="24"/>
        </w:rPr>
        <w:t>sobre</w:t>
      </w:r>
      <w:r>
        <w:rPr>
          <w:spacing w:val="-17"/>
          <w:sz w:val="24"/>
        </w:rPr>
        <w:t> </w:t>
      </w:r>
      <w:r>
        <w:rPr>
          <w:sz w:val="24"/>
        </w:rPr>
        <w:t>la</w:t>
      </w:r>
      <w:r>
        <w:rPr>
          <w:spacing w:val="-17"/>
          <w:sz w:val="24"/>
        </w:rPr>
        <w:t> </w:t>
      </w:r>
      <w:r>
        <w:rPr>
          <w:sz w:val="24"/>
        </w:rPr>
        <w:t>producción</w:t>
      </w:r>
      <w:r>
        <w:rPr>
          <w:spacing w:val="-13"/>
          <w:sz w:val="24"/>
        </w:rPr>
        <w:t> </w:t>
      </w:r>
      <w:r>
        <w:rPr>
          <w:sz w:val="24"/>
        </w:rPr>
        <w:t>y</w:t>
      </w:r>
      <w:r>
        <w:rPr>
          <w:spacing w:val="-18"/>
          <w:sz w:val="24"/>
        </w:rPr>
        <w:t> </w:t>
      </w:r>
      <w:r>
        <w:rPr>
          <w:sz w:val="24"/>
        </w:rPr>
        <w:t>consumo</w:t>
      </w:r>
      <w:r>
        <w:rPr>
          <w:spacing w:val="-16"/>
          <w:sz w:val="24"/>
        </w:rPr>
        <w:t> </w:t>
      </w:r>
      <w:r>
        <w:rPr>
          <w:sz w:val="24"/>
        </w:rPr>
        <w:t>de</w:t>
      </w:r>
      <w:r>
        <w:rPr>
          <w:spacing w:val="-17"/>
          <w:sz w:val="24"/>
        </w:rPr>
        <w:t> </w:t>
      </w:r>
      <w:r>
        <w:rPr>
          <w:sz w:val="24"/>
        </w:rPr>
        <w:t>carne</w:t>
      </w:r>
      <w:r>
        <w:rPr>
          <w:spacing w:val="-15"/>
          <w:sz w:val="24"/>
        </w:rPr>
        <w:t> </w:t>
      </w:r>
      <w:r>
        <w:rPr>
          <w:sz w:val="24"/>
        </w:rPr>
        <w:t>de</w:t>
      </w:r>
      <w:r>
        <w:rPr>
          <w:spacing w:val="-14"/>
          <w:sz w:val="24"/>
        </w:rPr>
        <w:t> </w:t>
      </w:r>
      <w:r>
        <w:rPr>
          <w:sz w:val="24"/>
        </w:rPr>
        <w:t>carne</w:t>
      </w:r>
      <w:r>
        <w:rPr>
          <w:spacing w:val="-15"/>
          <w:sz w:val="24"/>
        </w:rPr>
        <w:t> </w:t>
      </w:r>
      <w:r>
        <w:rPr>
          <w:sz w:val="24"/>
        </w:rPr>
        <w:t>de</w:t>
      </w:r>
      <w:r>
        <w:rPr>
          <w:spacing w:val="-17"/>
          <w:sz w:val="24"/>
        </w:rPr>
        <w:t> </w:t>
      </w:r>
      <w:r>
        <w:rPr>
          <w:sz w:val="24"/>
        </w:rPr>
        <w:t>cerdo con la aplicación de aranceles a la carne importada. Ganadería, Sociedad y Recursos Naturales. Editorial Departamento de Zootecnia, Universidad Autónoma Chapingo, Primera edición Año 2016, ISBN: en trámite pág. 215 -</w:t>
      </w:r>
      <w:r>
        <w:rPr>
          <w:spacing w:val="-8"/>
          <w:sz w:val="24"/>
        </w:rPr>
        <w:t> </w:t>
      </w:r>
      <w:r>
        <w:rPr>
          <w:sz w:val="24"/>
        </w:rPr>
        <w:t>228</w:t>
      </w:r>
    </w:p>
    <w:p>
      <w:pPr>
        <w:pStyle w:val="BodyText"/>
      </w:pPr>
    </w:p>
    <w:p>
      <w:pPr>
        <w:pStyle w:val="ListParagraph"/>
        <w:numPr>
          <w:ilvl w:val="0"/>
          <w:numId w:val="1"/>
        </w:numPr>
        <w:tabs>
          <w:tab w:pos="839" w:val="left" w:leader="none"/>
        </w:tabs>
        <w:spacing w:line="240" w:lineRule="auto" w:before="0" w:after="0"/>
        <w:ind w:left="838" w:right="275" w:hanging="360"/>
        <w:jc w:val="both"/>
        <w:rPr>
          <w:sz w:val="24"/>
        </w:rPr>
      </w:pPr>
      <w:r>
        <w:rPr>
          <w:sz w:val="24"/>
        </w:rPr>
        <w:t>Evaluación del efecto regional y nacional de la aplicación de políticas económicas a la porcicultura mexicana.</w:t>
      </w:r>
      <w:r>
        <w:rPr>
          <w:spacing w:val="-4"/>
          <w:sz w:val="24"/>
        </w:rPr>
        <w:t> </w:t>
      </w:r>
      <w:r>
        <w:rPr>
          <w:sz w:val="24"/>
        </w:rPr>
        <w:t>(Enviado)</w:t>
      </w:r>
    </w:p>
    <w:p>
      <w:pPr>
        <w:spacing w:after="0" w:line="240" w:lineRule="auto"/>
        <w:jc w:val="both"/>
        <w:rPr>
          <w:sz w:val="24"/>
        </w:rPr>
        <w:sectPr>
          <w:headerReference w:type="default" r:id="rId6"/>
          <w:footerReference w:type="default" r:id="rId7"/>
          <w:pgSz w:w="12240" w:h="15840"/>
          <w:pgMar w:header="984" w:footer="986" w:top="1280" w:bottom="1180" w:left="1300" w:right="1340"/>
          <w:pgNumType w:start="4"/>
        </w:sectPr>
      </w:pPr>
    </w:p>
    <w:p>
      <w:pPr>
        <w:pStyle w:val="Heading4"/>
        <w:spacing w:before="126"/>
        <w:ind w:left="0" w:right="149"/>
        <w:rPr>
          <w:rFonts w:ascii="Arial" w:hAnsi="Arial"/>
        </w:rPr>
      </w:pPr>
      <w:bookmarkStart w:name="_bookmark0" w:id="2"/>
      <w:bookmarkEnd w:id="2"/>
      <w:r>
        <w:rPr>
          <w:b w:val="0"/>
        </w:rPr>
      </w:r>
      <w:r>
        <w:rPr>
          <w:rFonts w:ascii="Arial" w:hAnsi="Arial"/>
        </w:rPr>
        <w:t>RESÚMENES</w:t>
      </w:r>
    </w:p>
    <w:p>
      <w:pPr>
        <w:pStyle w:val="BodyText"/>
        <w:spacing w:line="360" w:lineRule="auto" w:before="135"/>
        <w:ind w:left="118" w:right="268"/>
        <w:jc w:val="both"/>
      </w:pPr>
      <w:r>
        <w:rPr/>
        <w:t>Con el objetivo de mejorar la competitividad de la porcicultura mexicana se realizaron diversas investigaciones enfocadas a determinar la ubicación y tamaño óptimo de rastros en el estado de México (Contribución 1y 2) y de evaluar a nivel nacional la aplicación de políticas económicas subsidio y arancel a la producción nacional o carne de cerdo importada (Contribución 3, 4 y 5).</w:t>
      </w:r>
    </w:p>
    <w:p>
      <w:pPr>
        <w:pStyle w:val="BodyText"/>
        <w:spacing w:line="360" w:lineRule="auto" w:before="205"/>
        <w:ind w:left="118" w:right="266" w:firstLine="707"/>
        <w:jc w:val="both"/>
      </w:pPr>
      <w:r>
        <w:rPr/>
        <w:t>El objetivo de la primera investigación fue determinar para el año 2030 la ubicación, el tamaño de planta y rutas óptimas de transporte de cerdos de granjas a rastros y de canales de rastros</w:t>
      </w:r>
      <w:r>
        <w:rPr>
          <w:spacing w:val="-16"/>
        </w:rPr>
        <w:t> </w:t>
      </w:r>
      <w:r>
        <w:rPr/>
        <w:t>a</w:t>
      </w:r>
      <w:r>
        <w:rPr>
          <w:spacing w:val="-14"/>
        </w:rPr>
        <w:t> </w:t>
      </w:r>
      <w:r>
        <w:rPr/>
        <w:t>centros</w:t>
      </w:r>
      <w:r>
        <w:rPr>
          <w:spacing w:val="-16"/>
        </w:rPr>
        <w:t> </w:t>
      </w:r>
      <w:r>
        <w:rPr/>
        <w:t>de</w:t>
      </w:r>
      <w:r>
        <w:rPr>
          <w:spacing w:val="-17"/>
        </w:rPr>
        <w:t> </w:t>
      </w:r>
      <w:r>
        <w:rPr/>
        <w:t>consumo</w:t>
      </w:r>
      <w:r>
        <w:rPr>
          <w:spacing w:val="-14"/>
        </w:rPr>
        <w:t> </w:t>
      </w:r>
      <w:r>
        <w:rPr/>
        <w:t>en</w:t>
      </w:r>
      <w:r>
        <w:rPr>
          <w:spacing w:val="-16"/>
        </w:rPr>
        <w:t> </w:t>
      </w:r>
      <w:r>
        <w:rPr/>
        <w:t>cuatro</w:t>
      </w:r>
      <w:r>
        <w:rPr>
          <w:spacing w:val="-14"/>
        </w:rPr>
        <w:t> </w:t>
      </w:r>
      <w:r>
        <w:rPr/>
        <w:t>Municipios</w:t>
      </w:r>
      <w:r>
        <w:rPr>
          <w:spacing w:val="30"/>
        </w:rPr>
        <w:t> </w:t>
      </w:r>
      <w:r>
        <w:rPr/>
        <w:t>del</w:t>
      </w:r>
      <w:r>
        <w:rPr>
          <w:spacing w:val="-15"/>
        </w:rPr>
        <w:t> </w:t>
      </w:r>
      <w:r>
        <w:rPr/>
        <w:t>sur</w:t>
      </w:r>
      <w:r>
        <w:rPr>
          <w:spacing w:val="-16"/>
        </w:rPr>
        <w:t> </w:t>
      </w:r>
      <w:r>
        <w:rPr/>
        <w:t>del</w:t>
      </w:r>
      <w:r>
        <w:rPr>
          <w:spacing w:val="-15"/>
        </w:rPr>
        <w:t> </w:t>
      </w:r>
      <w:r>
        <w:rPr/>
        <w:t>Estado</w:t>
      </w:r>
      <w:r>
        <w:rPr>
          <w:spacing w:val="-16"/>
        </w:rPr>
        <w:t> </w:t>
      </w:r>
      <w:r>
        <w:rPr/>
        <w:t>de</w:t>
      </w:r>
      <w:r>
        <w:rPr>
          <w:spacing w:val="-17"/>
        </w:rPr>
        <w:t> </w:t>
      </w:r>
      <w:r>
        <w:rPr/>
        <w:t>México.</w:t>
      </w:r>
      <w:r>
        <w:rPr>
          <w:spacing w:val="-14"/>
        </w:rPr>
        <w:t> </w:t>
      </w:r>
      <w:r>
        <w:rPr/>
        <w:t>La</w:t>
      </w:r>
      <w:r>
        <w:rPr>
          <w:spacing w:val="28"/>
        </w:rPr>
        <w:t> </w:t>
      </w:r>
      <w:r>
        <w:rPr/>
        <w:t>información se analizó con un modelo de programación lineal de mínimo costo utilizando el software Solver Premium  Platform.  Los  resultados  indican  que  con  una  distribución  óptima,  se</w:t>
      </w:r>
      <w:r>
        <w:rPr>
          <w:spacing w:val="18"/>
        </w:rPr>
        <w:t> </w:t>
      </w:r>
      <w:r>
        <w:rPr/>
        <w:t>ahorrarían</w:t>
      </w:r>
    </w:p>
    <w:p>
      <w:pPr>
        <w:pStyle w:val="BodyText"/>
        <w:spacing w:before="4"/>
        <w:ind w:left="118"/>
        <w:jc w:val="both"/>
      </w:pPr>
      <w:r>
        <w:rPr/>
        <w:t>$351,104 anualmente en la comercialización, y se deben construir rastros en los municipios   de</w:t>
      </w:r>
    </w:p>
    <w:p>
      <w:pPr>
        <w:pStyle w:val="BodyText"/>
        <w:spacing w:before="139"/>
        <w:ind w:left="118"/>
        <w:jc w:val="both"/>
      </w:pPr>
      <w:r>
        <w:rPr/>
        <w:t>Temascaltepec y San Simón de Guerrero para sacrificio de 67 y 35 cabezas respectivamente.</w:t>
      </w:r>
    </w:p>
    <w:p>
      <w:pPr>
        <w:pStyle w:val="BodyText"/>
        <w:spacing w:before="2"/>
        <w:rPr>
          <w:sz w:val="29"/>
        </w:rPr>
      </w:pPr>
    </w:p>
    <w:p>
      <w:pPr>
        <w:pStyle w:val="BodyText"/>
        <w:ind w:left="118"/>
        <w:jc w:val="both"/>
      </w:pPr>
      <w:r>
        <w:rPr>
          <w:b/>
        </w:rPr>
        <w:t>Palabras clave</w:t>
      </w:r>
      <w:r>
        <w:rPr/>
        <w:t>: cerdos, rastros, programación lineal, sur del Estado de México.</w:t>
      </w:r>
    </w:p>
    <w:p>
      <w:pPr>
        <w:spacing w:after="0"/>
        <w:jc w:val="both"/>
        <w:sectPr>
          <w:pgSz w:w="12240" w:h="15840"/>
          <w:pgMar w:header="984" w:footer="986" w:top="1280" w:bottom="1180" w:left="1300" w:right="1340"/>
        </w:sectPr>
      </w:pPr>
    </w:p>
    <w:p>
      <w:pPr>
        <w:pStyle w:val="BodyText"/>
        <w:spacing w:line="360" w:lineRule="auto" w:before="125"/>
        <w:ind w:left="118" w:right="263"/>
        <w:jc w:val="both"/>
      </w:pPr>
      <w:r>
        <w:rPr/>
        <w:t>El objetivo de la segunda investigación fue determinar las rutas óptimas de transporte de granja a rastro y de rastro a centros de consumo de carne de cerdo en el Estado de México y Distrito Federal</w:t>
      </w:r>
      <w:r>
        <w:rPr>
          <w:spacing w:val="-8"/>
        </w:rPr>
        <w:t> </w:t>
      </w:r>
      <w:r>
        <w:rPr/>
        <w:t>actual</w:t>
      </w:r>
      <w:r>
        <w:rPr>
          <w:spacing w:val="-4"/>
        </w:rPr>
        <w:t> </w:t>
      </w:r>
      <w:r>
        <w:rPr/>
        <w:t>y</w:t>
      </w:r>
      <w:r>
        <w:rPr>
          <w:spacing w:val="-16"/>
        </w:rPr>
        <w:t> </w:t>
      </w:r>
      <w:r>
        <w:rPr/>
        <w:t>la</w:t>
      </w:r>
      <w:r>
        <w:rPr>
          <w:spacing w:val="-9"/>
        </w:rPr>
        <w:t> </w:t>
      </w:r>
      <w:r>
        <w:rPr/>
        <w:t>ubicación</w:t>
      </w:r>
      <w:r>
        <w:rPr>
          <w:spacing w:val="-8"/>
        </w:rPr>
        <w:t> </w:t>
      </w:r>
      <w:r>
        <w:rPr/>
        <w:t>y</w:t>
      </w:r>
      <w:r>
        <w:rPr>
          <w:spacing w:val="-13"/>
        </w:rPr>
        <w:t> </w:t>
      </w:r>
      <w:r>
        <w:rPr/>
        <w:t>el</w:t>
      </w:r>
      <w:r>
        <w:rPr>
          <w:spacing w:val="-11"/>
        </w:rPr>
        <w:t> </w:t>
      </w:r>
      <w:r>
        <w:rPr/>
        <w:t>tamaño</w:t>
      </w:r>
      <w:r>
        <w:rPr>
          <w:spacing w:val="-11"/>
        </w:rPr>
        <w:t> </w:t>
      </w:r>
      <w:r>
        <w:rPr/>
        <w:t>óptimos</w:t>
      </w:r>
      <w:r>
        <w:rPr>
          <w:spacing w:val="-8"/>
        </w:rPr>
        <w:t> </w:t>
      </w:r>
      <w:r>
        <w:rPr/>
        <w:t>de</w:t>
      </w:r>
      <w:r>
        <w:rPr>
          <w:spacing w:val="-12"/>
        </w:rPr>
        <w:t> </w:t>
      </w:r>
      <w:r>
        <w:rPr/>
        <w:t>los</w:t>
      </w:r>
      <w:r>
        <w:rPr>
          <w:spacing w:val="-10"/>
        </w:rPr>
        <w:t> </w:t>
      </w:r>
      <w:r>
        <w:rPr/>
        <w:t>rastros</w:t>
      </w:r>
      <w:r>
        <w:rPr>
          <w:spacing w:val="-8"/>
        </w:rPr>
        <w:t> </w:t>
      </w:r>
      <w:r>
        <w:rPr/>
        <w:t>para</w:t>
      </w:r>
      <w:r>
        <w:rPr>
          <w:spacing w:val="-11"/>
        </w:rPr>
        <w:t> </w:t>
      </w:r>
      <w:r>
        <w:rPr/>
        <w:t>el</w:t>
      </w:r>
      <w:r>
        <w:rPr>
          <w:spacing w:val="-8"/>
        </w:rPr>
        <w:t> </w:t>
      </w:r>
      <w:r>
        <w:rPr/>
        <w:t>año</w:t>
      </w:r>
      <w:r>
        <w:rPr>
          <w:spacing w:val="-9"/>
        </w:rPr>
        <w:t> </w:t>
      </w:r>
      <w:r>
        <w:rPr/>
        <w:t>2030.</w:t>
      </w:r>
      <w:r>
        <w:rPr>
          <w:spacing w:val="-9"/>
        </w:rPr>
        <w:t> </w:t>
      </w:r>
      <w:r>
        <w:rPr/>
        <w:t>La</w:t>
      </w:r>
      <w:r>
        <w:rPr>
          <w:spacing w:val="-12"/>
        </w:rPr>
        <w:t> </w:t>
      </w:r>
      <w:r>
        <w:rPr/>
        <w:t>información de producción, consumo, costo de sacrifico de cerdos y costo de transporte se obtuvo de fuentes primarias y secundarias. Se analizó con modelo de programación lineal de mínimo costo utilizando el software Solver Premium Platform 2014-R2. Los resultados indican que la diferencia</w:t>
      </w:r>
      <w:r>
        <w:rPr>
          <w:spacing w:val="-10"/>
        </w:rPr>
        <w:t> </w:t>
      </w:r>
      <w:r>
        <w:rPr/>
        <w:t>entre</w:t>
      </w:r>
      <w:r>
        <w:rPr>
          <w:spacing w:val="-11"/>
        </w:rPr>
        <w:t> </w:t>
      </w:r>
      <w:r>
        <w:rPr/>
        <w:t>la</w:t>
      </w:r>
      <w:r>
        <w:rPr>
          <w:spacing w:val="-7"/>
        </w:rPr>
        <w:t> </w:t>
      </w:r>
      <w:r>
        <w:rPr/>
        <w:t>distribución</w:t>
      </w:r>
      <w:r>
        <w:rPr>
          <w:spacing w:val="-9"/>
        </w:rPr>
        <w:t> </w:t>
      </w:r>
      <w:r>
        <w:rPr/>
        <w:t>óptima</w:t>
      </w:r>
      <w:r>
        <w:rPr>
          <w:spacing w:val="-8"/>
        </w:rPr>
        <w:t> </w:t>
      </w:r>
      <w:r>
        <w:rPr/>
        <w:t>y</w:t>
      </w:r>
      <w:r>
        <w:rPr>
          <w:spacing w:val="-14"/>
        </w:rPr>
        <w:t> </w:t>
      </w:r>
      <w:r>
        <w:rPr/>
        <w:t>la</w:t>
      </w:r>
      <w:r>
        <w:rPr>
          <w:spacing w:val="-4"/>
        </w:rPr>
        <w:t> </w:t>
      </w:r>
      <w:r>
        <w:rPr/>
        <w:t>más</w:t>
      </w:r>
      <w:r>
        <w:rPr>
          <w:spacing w:val="-10"/>
        </w:rPr>
        <w:t> </w:t>
      </w:r>
      <w:r>
        <w:rPr/>
        <w:t>costosa</w:t>
      </w:r>
      <w:r>
        <w:rPr>
          <w:spacing w:val="-11"/>
        </w:rPr>
        <w:t> </w:t>
      </w:r>
      <w:r>
        <w:rPr/>
        <w:t>implica</w:t>
      </w:r>
      <w:r>
        <w:rPr>
          <w:spacing w:val="-11"/>
        </w:rPr>
        <w:t> </w:t>
      </w:r>
      <w:r>
        <w:rPr/>
        <w:t>un</w:t>
      </w:r>
      <w:r>
        <w:rPr>
          <w:spacing w:val="-10"/>
        </w:rPr>
        <w:t> </w:t>
      </w:r>
      <w:r>
        <w:rPr/>
        <w:t>ahorro</w:t>
      </w:r>
      <w:r>
        <w:rPr>
          <w:spacing w:val="-10"/>
        </w:rPr>
        <w:t> </w:t>
      </w:r>
      <w:r>
        <w:rPr/>
        <w:t>de</w:t>
      </w:r>
      <w:r>
        <w:rPr>
          <w:spacing w:val="-9"/>
        </w:rPr>
        <w:t> </w:t>
      </w:r>
      <w:r>
        <w:rPr/>
        <w:t>$119,107,716</w:t>
      </w:r>
      <w:r>
        <w:rPr>
          <w:spacing w:val="-10"/>
        </w:rPr>
        <w:t> </w:t>
      </w:r>
      <w:r>
        <w:rPr/>
        <w:t>pesos anuales.</w:t>
      </w:r>
      <w:r>
        <w:rPr>
          <w:spacing w:val="-7"/>
        </w:rPr>
        <w:t> </w:t>
      </w:r>
      <w:r>
        <w:rPr/>
        <w:t>La</w:t>
      </w:r>
      <w:r>
        <w:rPr>
          <w:spacing w:val="-8"/>
        </w:rPr>
        <w:t> </w:t>
      </w:r>
      <w:r>
        <w:rPr/>
        <w:t>proyección</w:t>
      </w:r>
      <w:r>
        <w:rPr>
          <w:spacing w:val="-7"/>
        </w:rPr>
        <w:t> </w:t>
      </w:r>
      <w:r>
        <w:rPr/>
        <w:t>para</w:t>
      </w:r>
      <w:r>
        <w:rPr>
          <w:spacing w:val="-11"/>
        </w:rPr>
        <w:t> </w:t>
      </w:r>
      <w:r>
        <w:rPr/>
        <w:t>2030</w:t>
      </w:r>
      <w:r>
        <w:rPr>
          <w:spacing w:val="-8"/>
        </w:rPr>
        <w:t> </w:t>
      </w:r>
      <w:r>
        <w:rPr/>
        <w:t>señala</w:t>
      </w:r>
      <w:r>
        <w:rPr>
          <w:spacing w:val="-11"/>
        </w:rPr>
        <w:t> </w:t>
      </w:r>
      <w:r>
        <w:rPr/>
        <w:t>que</w:t>
      </w:r>
      <w:r>
        <w:rPr>
          <w:spacing w:val="-8"/>
        </w:rPr>
        <w:t> </w:t>
      </w:r>
      <w:r>
        <w:rPr/>
        <w:t>utilizando</w:t>
      </w:r>
      <w:r>
        <w:rPr>
          <w:spacing w:val="-10"/>
        </w:rPr>
        <w:t> </w:t>
      </w:r>
      <w:r>
        <w:rPr/>
        <w:t>los</w:t>
      </w:r>
      <w:r>
        <w:rPr>
          <w:spacing w:val="-9"/>
        </w:rPr>
        <w:t> </w:t>
      </w:r>
      <w:r>
        <w:rPr/>
        <w:t>rastros</w:t>
      </w:r>
      <w:r>
        <w:rPr>
          <w:spacing w:val="-7"/>
        </w:rPr>
        <w:t> </w:t>
      </w:r>
      <w:r>
        <w:rPr/>
        <w:t>actuales,</w:t>
      </w:r>
      <w:r>
        <w:rPr>
          <w:spacing w:val="-4"/>
        </w:rPr>
        <w:t> </w:t>
      </w:r>
      <w:r>
        <w:rPr/>
        <w:t>deberán</w:t>
      </w:r>
      <w:r>
        <w:rPr>
          <w:spacing w:val="-8"/>
        </w:rPr>
        <w:t> </w:t>
      </w:r>
      <w:r>
        <w:rPr/>
        <w:t>aumentar</w:t>
      </w:r>
      <w:r>
        <w:rPr>
          <w:spacing w:val="-10"/>
        </w:rPr>
        <w:t> </w:t>
      </w:r>
      <w:r>
        <w:rPr/>
        <w:t>su tamaño en los distritos de Atlacomulco, Tejupilco y Toluca para el sacrificio de 9138, 345 y 13598 cerdos más por semana respectivamente. Si se construyeran todos los rastros nuevos, no se</w:t>
      </w:r>
      <w:r>
        <w:rPr>
          <w:spacing w:val="-8"/>
        </w:rPr>
        <w:t> </w:t>
      </w:r>
      <w:r>
        <w:rPr/>
        <w:t>ubicarían</w:t>
      </w:r>
      <w:r>
        <w:rPr>
          <w:spacing w:val="-7"/>
        </w:rPr>
        <w:t> </w:t>
      </w:r>
      <w:r>
        <w:rPr/>
        <w:t>en</w:t>
      </w:r>
      <w:r>
        <w:rPr>
          <w:spacing w:val="-7"/>
        </w:rPr>
        <w:t> </w:t>
      </w:r>
      <w:r>
        <w:rPr/>
        <w:t>los</w:t>
      </w:r>
      <w:r>
        <w:rPr>
          <w:spacing w:val="-7"/>
        </w:rPr>
        <w:t> </w:t>
      </w:r>
      <w:r>
        <w:rPr/>
        <w:t>distritos</w:t>
      </w:r>
      <w:r>
        <w:rPr>
          <w:spacing w:val="-7"/>
        </w:rPr>
        <w:t> </w:t>
      </w:r>
      <w:r>
        <w:rPr/>
        <w:t>de</w:t>
      </w:r>
      <w:r>
        <w:rPr>
          <w:spacing w:val="-8"/>
        </w:rPr>
        <w:t> </w:t>
      </w:r>
      <w:r>
        <w:rPr/>
        <w:t>Ecatepec,</w:t>
      </w:r>
      <w:r>
        <w:rPr>
          <w:spacing w:val="-7"/>
        </w:rPr>
        <w:t> </w:t>
      </w:r>
      <w:r>
        <w:rPr/>
        <w:t>Naucalpan,</w:t>
      </w:r>
      <w:r>
        <w:rPr>
          <w:spacing w:val="-7"/>
        </w:rPr>
        <w:t> </w:t>
      </w:r>
      <w:r>
        <w:rPr/>
        <w:t>Tlalnepantla</w:t>
      </w:r>
      <w:r>
        <w:rPr>
          <w:spacing w:val="-6"/>
        </w:rPr>
        <w:t> </w:t>
      </w:r>
      <w:r>
        <w:rPr/>
        <w:t>y</w:t>
      </w:r>
      <w:r>
        <w:rPr>
          <w:spacing w:val="-14"/>
        </w:rPr>
        <w:t> </w:t>
      </w:r>
      <w:r>
        <w:rPr/>
        <w:t>Tultitlán,</w:t>
      </w:r>
      <w:r>
        <w:rPr>
          <w:spacing w:val="-7"/>
        </w:rPr>
        <w:t> </w:t>
      </w:r>
      <w:r>
        <w:rPr/>
        <w:t>donde</w:t>
      </w:r>
      <w:r>
        <w:rPr>
          <w:spacing w:val="-5"/>
        </w:rPr>
        <w:t> </w:t>
      </w:r>
      <w:r>
        <w:rPr/>
        <w:t>actualmente existen, y el 93.3% de los sacrificios se realizarían en los distritos de Atlacomulco, Chimalhuacán y</w:t>
      </w:r>
      <w:r>
        <w:rPr>
          <w:spacing w:val="-7"/>
        </w:rPr>
        <w:t> </w:t>
      </w:r>
      <w:r>
        <w:rPr/>
        <w:t>Toluca.</w:t>
      </w:r>
    </w:p>
    <w:p>
      <w:pPr>
        <w:pStyle w:val="BodyText"/>
        <w:spacing w:before="203"/>
        <w:ind w:left="118"/>
        <w:jc w:val="both"/>
      </w:pPr>
      <w:r>
        <w:rPr>
          <w:b/>
        </w:rPr>
        <w:t>Palabras clave</w:t>
      </w:r>
      <w:r>
        <w:rPr/>
        <w:t>: porcino, canales, rastros, distribución y mínimo costo.</w:t>
      </w:r>
    </w:p>
    <w:p>
      <w:pPr>
        <w:spacing w:after="0"/>
        <w:jc w:val="both"/>
        <w:sectPr>
          <w:pgSz w:w="12240" w:h="15840"/>
          <w:pgMar w:header="984" w:footer="986" w:top="1280" w:bottom="1180" w:left="1300" w:right="1340"/>
        </w:sectPr>
      </w:pPr>
    </w:p>
    <w:p>
      <w:pPr>
        <w:pStyle w:val="BodyText"/>
        <w:spacing w:line="360" w:lineRule="auto" w:before="125"/>
        <w:ind w:left="118" w:right="264"/>
        <w:jc w:val="both"/>
      </w:pPr>
      <w:r>
        <w:rPr/>
        <w:t>En</w:t>
      </w:r>
      <w:r>
        <w:rPr>
          <w:spacing w:val="-7"/>
        </w:rPr>
        <w:t> </w:t>
      </w:r>
      <w:r>
        <w:rPr/>
        <w:t>la</w:t>
      </w:r>
      <w:r>
        <w:rPr>
          <w:spacing w:val="-7"/>
        </w:rPr>
        <w:t> </w:t>
      </w:r>
      <w:r>
        <w:rPr/>
        <w:t>tercera</w:t>
      </w:r>
      <w:r>
        <w:rPr>
          <w:spacing w:val="-6"/>
        </w:rPr>
        <w:t> </w:t>
      </w:r>
      <w:r>
        <w:rPr/>
        <w:t>contribución</w:t>
      </w:r>
      <w:r>
        <w:rPr>
          <w:spacing w:val="-5"/>
        </w:rPr>
        <w:t> </w:t>
      </w:r>
      <w:r>
        <w:rPr/>
        <w:t>el</w:t>
      </w:r>
      <w:r>
        <w:rPr>
          <w:spacing w:val="-6"/>
        </w:rPr>
        <w:t> </w:t>
      </w:r>
      <w:r>
        <w:rPr/>
        <w:t>objetivo</w:t>
      </w:r>
      <w:r>
        <w:rPr>
          <w:spacing w:val="-6"/>
        </w:rPr>
        <w:t> </w:t>
      </w:r>
      <w:r>
        <w:rPr/>
        <w:t>fue</w:t>
      </w:r>
      <w:r>
        <w:rPr>
          <w:spacing w:val="-5"/>
        </w:rPr>
        <w:t> </w:t>
      </w:r>
      <w:r>
        <w:rPr/>
        <w:t>generar</w:t>
      </w:r>
      <w:r>
        <w:rPr>
          <w:spacing w:val="-5"/>
        </w:rPr>
        <w:t> </w:t>
      </w:r>
      <w:r>
        <w:rPr/>
        <w:t>un</w:t>
      </w:r>
      <w:r>
        <w:rPr>
          <w:spacing w:val="-6"/>
        </w:rPr>
        <w:t> </w:t>
      </w:r>
      <w:r>
        <w:rPr/>
        <w:t>modelo</w:t>
      </w:r>
      <w:r>
        <w:rPr>
          <w:spacing w:val="-6"/>
        </w:rPr>
        <w:t> </w:t>
      </w:r>
      <w:r>
        <w:rPr/>
        <w:t>que</w:t>
      </w:r>
      <w:r>
        <w:rPr>
          <w:spacing w:val="-5"/>
        </w:rPr>
        <w:t> </w:t>
      </w:r>
      <w:r>
        <w:rPr/>
        <w:t>optimizara</w:t>
      </w:r>
      <w:r>
        <w:rPr>
          <w:spacing w:val="-6"/>
        </w:rPr>
        <w:t> </w:t>
      </w:r>
      <w:r>
        <w:rPr/>
        <w:t>el</w:t>
      </w:r>
      <w:r>
        <w:rPr>
          <w:spacing w:val="-5"/>
        </w:rPr>
        <w:t> </w:t>
      </w:r>
      <w:r>
        <w:rPr/>
        <w:t>mercado</w:t>
      </w:r>
      <w:r>
        <w:rPr>
          <w:spacing w:val="-6"/>
        </w:rPr>
        <w:t> </w:t>
      </w:r>
      <w:r>
        <w:rPr/>
        <w:t>de</w:t>
      </w:r>
      <w:r>
        <w:rPr>
          <w:spacing w:val="-5"/>
        </w:rPr>
        <w:t> </w:t>
      </w:r>
      <w:r>
        <w:rPr/>
        <w:t>carne de cerdo en México en el año 2015. Se utilizó la regionalización socioeconómica del país, y se obtuvo la información de: oferta, demanda, precio de cerdo en canal, costo de transporte y funciones de producción precio-oferta, precio-demanda para cada región. Se calculó la óptima distribución y el valor social neto (VSN) de ese año con un modelo de programación no lineal utilizando el software Solver Premium Platform 2014-R y se comparó con el observado. Los resultados</w:t>
      </w:r>
      <w:r>
        <w:rPr>
          <w:spacing w:val="-12"/>
        </w:rPr>
        <w:t> </w:t>
      </w:r>
      <w:r>
        <w:rPr/>
        <w:t>indicaron</w:t>
      </w:r>
      <w:r>
        <w:rPr>
          <w:spacing w:val="-12"/>
        </w:rPr>
        <w:t> </w:t>
      </w:r>
      <w:r>
        <w:rPr/>
        <w:t>que</w:t>
      </w:r>
      <w:r>
        <w:rPr>
          <w:spacing w:val="-11"/>
        </w:rPr>
        <w:t> </w:t>
      </w:r>
      <w:r>
        <w:rPr/>
        <w:t>el</w:t>
      </w:r>
      <w:r>
        <w:rPr>
          <w:spacing w:val="-12"/>
        </w:rPr>
        <w:t> </w:t>
      </w:r>
      <w:r>
        <w:rPr/>
        <w:t>valor</w:t>
      </w:r>
      <w:r>
        <w:rPr>
          <w:spacing w:val="-12"/>
        </w:rPr>
        <w:t> </w:t>
      </w:r>
      <w:r>
        <w:rPr/>
        <w:t>social</w:t>
      </w:r>
      <w:r>
        <w:rPr>
          <w:spacing w:val="-12"/>
        </w:rPr>
        <w:t> </w:t>
      </w:r>
      <w:r>
        <w:rPr/>
        <w:t>neto</w:t>
      </w:r>
      <w:r>
        <w:rPr>
          <w:spacing w:val="-11"/>
        </w:rPr>
        <w:t> </w:t>
      </w:r>
      <w:r>
        <w:rPr/>
        <w:t>óptimo</w:t>
      </w:r>
      <w:r>
        <w:rPr>
          <w:spacing w:val="-12"/>
        </w:rPr>
        <w:t> </w:t>
      </w:r>
      <w:r>
        <w:rPr/>
        <w:t>fue</w:t>
      </w:r>
      <w:r>
        <w:rPr>
          <w:spacing w:val="-14"/>
        </w:rPr>
        <w:t> </w:t>
      </w:r>
      <w:r>
        <w:rPr/>
        <w:t>mayor</w:t>
      </w:r>
      <w:r>
        <w:rPr>
          <w:spacing w:val="-13"/>
        </w:rPr>
        <w:t> </w:t>
      </w:r>
      <w:r>
        <w:rPr/>
        <w:t>al</w:t>
      </w:r>
      <w:r>
        <w:rPr>
          <w:spacing w:val="-12"/>
        </w:rPr>
        <w:t> </w:t>
      </w:r>
      <w:r>
        <w:rPr/>
        <w:t>observado</w:t>
      </w:r>
      <w:r>
        <w:rPr>
          <w:spacing w:val="-10"/>
        </w:rPr>
        <w:t> </w:t>
      </w:r>
      <w:r>
        <w:rPr/>
        <w:t>en</w:t>
      </w:r>
      <w:r>
        <w:rPr>
          <w:spacing w:val="-12"/>
        </w:rPr>
        <w:t> </w:t>
      </w:r>
      <w:r>
        <w:rPr/>
        <w:t>0.11%.</w:t>
      </w:r>
      <w:r>
        <w:rPr>
          <w:spacing w:val="-12"/>
        </w:rPr>
        <w:t> </w:t>
      </w:r>
      <w:r>
        <w:rPr/>
        <w:t>El</w:t>
      </w:r>
      <w:r>
        <w:rPr>
          <w:spacing w:val="-12"/>
        </w:rPr>
        <w:t> </w:t>
      </w:r>
      <w:r>
        <w:rPr/>
        <w:t>modelo sobrestimó la producción nacional en 0.28%, además subestimó las importaciones y consumo nacionales en -1.65% y -0.52% respectivamente, por lo que constituye un instrumento para elaborar recomendaciones de política económica en favor del mercado de la carne porcina en México.</w:t>
      </w:r>
    </w:p>
    <w:p>
      <w:pPr>
        <w:spacing w:before="205"/>
        <w:ind w:left="118" w:right="0" w:firstLine="0"/>
        <w:jc w:val="both"/>
        <w:rPr>
          <w:sz w:val="24"/>
        </w:rPr>
      </w:pPr>
      <w:r>
        <w:rPr>
          <w:b/>
          <w:sz w:val="24"/>
        </w:rPr>
        <w:t>Palabras clave</w:t>
      </w:r>
      <w:r>
        <w:rPr>
          <w:sz w:val="24"/>
        </w:rPr>
        <w:t>: cerdo, mercado, optimización, programación no lineal</w:t>
      </w:r>
    </w:p>
    <w:p>
      <w:pPr>
        <w:spacing w:after="0"/>
        <w:jc w:val="both"/>
        <w:rPr>
          <w:sz w:val="24"/>
        </w:rPr>
        <w:sectPr>
          <w:pgSz w:w="12240" w:h="15840"/>
          <w:pgMar w:header="984" w:footer="986" w:top="1280" w:bottom="1180" w:left="1300" w:right="1340"/>
        </w:sectPr>
      </w:pPr>
    </w:p>
    <w:p>
      <w:pPr>
        <w:pStyle w:val="BodyText"/>
        <w:spacing w:line="360" w:lineRule="auto" w:before="125"/>
        <w:ind w:left="118" w:right="264"/>
        <w:jc w:val="both"/>
      </w:pPr>
      <w:r>
        <w:rPr/>
        <w:t>El objetivo de la cuarta investigación fue conocer la situación del mercado de la carne de cerdo en México si se aplicaran aranceles a la carne de cerdo importada de Estados Unidos. Se utilizó la regionalización socioeconómica del país, y se obtuvo la información de oferta, demanda, precio de cerdo en canal, costo de transporte y funciones de producción precio-oferta, precio- demanda para cada región. Se calculó el valor social neto (VSN) en 2015 con un modelo de programación</w:t>
      </w:r>
      <w:r>
        <w:rPr>
          <w:spacing w:val="-12"/>
        </w:rPr>
        <w:t> </w:t>
      </w:r>
      <w:r>
        <w:rPr/>
        <w:t>no</w:t>
      </w:r>
      <w:r>
        <w:rPr>
          <w:spacing w:val="-12"/>
        </w:rPr>
        <w:t> </w:t>
      </w:r>
      <w:r>
        <w:rPr/>
        <w:t>lineal</w:t>
      </w:r>
      <w:r>
        <w:rPr>
          <w:spacing w:val="-12"/>
        </w:rPr>
        <w:t> </w:t>
      </w:r>
      <w:r>
        <w:rPr/>
        <w:t>utilizando</w:t>
      </w:r>
      <w:r>
        <w:rPr>
          <w:spacing w:val="-12"/>
        </w:rPr>
        <w:t> </w:t>
      </w:r>
      <w:r>
        <w:rPr/>
        <w:t>el</w:t>
      </w:r>
      <w:r>
        <w:rPr>
          <w:spacing w:val="-12"/>
        </w:rPr>
        <w:t> </w:t>
      </w:r>
      <w:r>
        <w:rPr/>
        <w:t>software</w:t>
      </w:r>
      <w:r>
        <w:rPr>
          <w:spacing w:val="-14"/>
        </w:rPr>
        <w:t> </w:t>
      </w:r>
      <w:r>
        <w:rPr/>
        <w:t>Solver</w:t>
      </w:r>
      <w:r>
        <w:rPr>
          <w:spacing w:val="-13"/>
        </w:rPr>
        <w:t> </w:t>
      </w:r>
      <w:r>
        <w:rPr/>
        <w:t>Premium</w:t>
      </w:r>
      <w:r>
        <w:rPr>
          <w:spacing w:val="-12"/>
        </w:rPr>
        <w:t> </w:t>
      </w:r>
      <w:r>
        <w:rPr/>
        <w:t>Platform</w:t>
      </w:r>
      <w:r>
        <w:rPr>
          <w:spacing w:val="-8"/>
        </w:rPr>
        <w:t> </w:t>
      </w:r>
      <w:r>
        <w:rPr/>
        <w:t>1014-R,</w:t>
      </w:r>
      <w:r>
        <w:rPr>
          <w:spacing w:val="-12"/>
        </w:rPr>
        <w:t> </w:t>
      </w:r>
      <w:r>
        <w:rPr/>
        <w:t>se</w:t>
      </w:r>
      <w:r>
        <w:rPr>
          <w:spacing w:val="-13"/>
        </w:rPr>
        <w:t> </w:t>
      </w:r>
      <w:r>
        <w:rPr/>
        <w:t>desarrollaron tres escenarios incrementando el precio de la carne de importación en un 10, 20 y 30%. Los resultados indicaron que en los tres escenarios propuestos la producción nacional aumentaría en 0.17, 0.35 y 0.52% respectivamente, las importaciones disminuirían 0.86, 1.93 y 2.88%, pero</w:t>
      </w:r>
      <w:r>
        <w:rPr>
          <w:spacing w:val="17"/>
        </w:rPr>
        <w:t> </w:t>
      </w:r>
      <w:r>
        <w:rPr/>
        <w:t>el</w:t>
      </w:r>
    </w:p>
    <w:p>
      <w:pPr>
        <w:pStyle w:val="BodyText"/>
        <w:spacing w:line="360" w:lineRule="auto" w:before="4"/>
        <w:ind w:left="118" w:right="262"/>
        <w:jc w:val="both"/>
      </w:pPr>
      <w:r>
        <w:rPr/>
        <w:t>consumo disminuiría 0.26, 0.59 y 0.88% y el VSN bajaría 0.06, 0.12, y 0.18%. A nivel regional se observó el mismo comportamiento para las 3 variables, las regiones que tendrían un aumento mayor en su producción serían la Oriente, la Centro-Este y la Península de Yucatán, mientras que</w:t>
      </w:r>
      <w:r>
        <w:rPr>
          <w:spacing w:val="-6"/>
        </w:rPr>
        <w:t> </w:t>
      </w:r>
      <w:r>
        <w:rPr/>
        <w:t>las</w:t>
      </w:r>
      <w:r>
        <w:rPr>
          <w:spacing w:val="-6"/>
        </w:rPr>
        <w:t> </w:t>
      </w:r>
      <w:r>
        <w:rPr/>
        <w:t>regiones</w:t>
      </w:r>
      <w:r>
        <w:rPr>
          <w:spacing w:val="-6"/>
        </w:rPr>
        <w:t> </w:t>
      </w:r>
      <w:r>
        <w:rPr/>
        <w:t>donde</w:t>
      </w:r>
      <w:r>
        <w:rPr>
          <w:spacing w:val="-6"/>
        </w:rPr>
        <w:t> </w:t>
      </w:r>
      <w:r>
        <w:rPr/>
        <w:t>disminuiría</w:t>
      </w:r>
      <w:r>
        <w:rPr>
          <w:spacing w:val="-6"/>
        </w:rPr>
        <w:t> </w:t>
      </w:r>
      <w:r>
        <w:rPr/>
        <w:t>más</w:t>
      </w:r>
      <w:r>
        <w:rPr>
          <w:spacing w:val="-6"/>
        </w:rPr>
        <w:t> </w:t>
      </w:r>
      <w:r>
        <w:rPr/>
        <w:t>el</w:t>
      </w:r>
      <w:r>
        <w:rPr>
          <w:spacing w:val="-5"/>
        </w:rPr>
        <w:t> </w:t>
      </w:r>
      <w:r>
        <w:rPr/>
        <w:t>consumo</w:t>
      </w:r>
      <w:r>
        <w:rPr>
          <w:spacing w:val="-5"/>
        </w:rPr>
        <w:t> </w:t>
      </w:r>
      <w:r>
        <w:rPr/>
        <w:t>serían</w:t>
      </w:r>
      <w:r>
        <w:rPr>
          <w:spacing w:val="-5"/>
        </w:rPr>
        <w:t> </w:t>
      </w:r>
      <w:r>
        <w:rPr/>
        <w:t>la</w:t>
      </w:r>
      <w:r>
        <w:rPr>
          <w:spacing w:val="-6"/>
        </w:rPr>
        <w:t> </w:t>
      </w:r>
      <w:r>
        <w:rPr/>
        <w:t>Centro-Este,</w:t>
      </w:r>
      <w:r>
        <w:rPr>
          <w:spacing w:val="-6"/>
        </w:rPr>
        <w:t> </w:t>
      </w:r>
      <w:r>
        <w:rPr/>
        <w:t>la</w:t>
      </w:r>
      <w:r>
        <w:rPr>
          <w:spacing w:val="-6"/>
        </w:rPr>
        <w:t> </w:t>
      </w:r>
      <w:r>
        <w:rPr/>
        <w:t>Centro-Occidente</w:t>
      </w:r>
      <w:r>
        <w:rPr>
          <w:spacing w:val="-1"/>
        </w:rPr>
        <w:t> </w:t>
      </w:r>
      <w:r>
        <w:rPr/>
        <w:t>y la</w:t>
      </w:r>
      <w:r>
        <w:rPr>
          <w:spacing w:val="-4"/>
        </w:rPr>
        <w:t> </w:t>
      </w:r>
      <w:r>
        <w:rPr/>
        <w:t>Oriente.</w:t>
      </w:r>
    </w:p>
    <w:p>
      <w:pPr>
        <w:pStyle w:val="BodyText"/>
        <w:spacing w:before="205"/>
        <w:ind w:left="118"/>
        <w:jc w:val="both"/>
      </w:pPr>
      <w:r>
        <w:rPr>
          <w:b/>
        </w:rPr>
        <w:t>Palabras clave</w:t>
      </w:r>
      <w:r>
        <w:rPr/>
        <w:t>: arancel, producción, cerdo, regionalización, programación no lineal.</w:t>
      </w:r>
    </w:p>
    <w:p>
      <w:pPr>
        <w:spacing w:after="0"/>
        <w:jc w:val="both"/>
        <w:sectPr>
          <w:pgSz w:w="12240" w:h="15840"/>
          <w:pgMar w:header="984" w:footer="986" w:top="1280" w:bottom="1180" w:left="1300" w:right="1340"/>
        </w:sectPr>
      </w:pPr>
    </w:p>
    <w:p>
      <w:pPr>
        <w:pStyle w:val="BodyText"/>
        <w:spacing w:line="360" w:lineRule="auto" w:before="125"/>
        <w:ind w:left="118" w:right="268"/>
        <w:jc w:val="both"/>
      </w:pPr>
      <w:r>
        <w:rPr/>
        <w:t>El objetivo de la quinta investigación fue evaluar si habría cambios y de qué magnitud en la producción nacional y regional de carne de cerdo en México si se aplicaran aranceles a la carne de cerdo importada, y subsidios a la producción nacional. Se utilizó la regionalización socioeconómica</w:t>
      </w:r>
      <w:r>
        <w:rPr>
          <w:spacing w:val="-10"/>
        </w:rPr>
        <w:t> </w:t>
      </w:r>
      <w:r>
        <w:rPr/>
        <w:t>del</w:t>
      </w:r>
      <w:r>
        <w:rPr>
          <w:spacing w:val="-8"/>
        </w:rPr>
        <w:t> </w:t>
      </w:r>
      <w:r>
        <w:rPr/>
        <w:t>país,</w:t>
      </w:r>
      <w:r>
        <w:rPr>
          <w:spacing w:val="44"/>
        </w:rPr>
        <w:t> </w:t>
      </w:r>
      <w:r>
        <w:rPr/>
        <w:t>se</w:t>
      </w:r>
      <w:r>
        <w:rPr>
          <w:spacing w:val="-9"/>
        </w:rPr>
        <w:t> </w:t>
      </w:r>
      <w:r>
        <w:rPr/>
        <w:t>obtuvo</w:t>
      </w:r>
      <w:r>
        <w:rPr>
          <w:spacing w:val="-8"/>
        </w:rPr>
        <w:t> </w:t>
      </w:r>
      <w:r>
        <w:rPr/>
        <w:t>la</w:t>
      </w:r>
      <w:r>
        <w:rPr>
          <w:spacing w:val="-9"/>
        </w:rPr>
        <w:t> </w:t>
      </w:r>
      <w:r>
        <w:rPr/>
        <w:t>información</w:t>
      </w:r>
      <w:r>
        <w:rPr>
          <w:spacing w:val="-7"/>
        </w:rPr>
        <w:t> </w:t>
      </w:r>
      <w:r>
        <w:rPr/>
        <w:t>de</w:t>
      </w:r>
      <w:r>
        <w:rPr>
          <w:spacing w:val="-10"/>
        </w:rPr>
        <w:t> </w:t>
      </w:r>
      <w:r>
        <w:rPr/>
        <w:t>oferta,</w:t>
      </w:r>
      <w:r>
        <w:rPr>
          <w:spacing w:val="-9"/>
        </w:rPr>
        <w:t> </w:t>
      </w:r>
      <w:r>
        <w:rPr/>
        <w:t>demanda,</w:t>
      </w:r>
      <w:r>
        <w:rPr>
          <w:spacing w:val="-9"/>
        </w:rPr>
        <w:t> </w:t>
      </w:r>
      <w:r>
        <w:rPr/>
        <w:t>precio</w:t>
      </w:r>
      <w:r>
        <w:rPr>
          <w:spacing w:val="-8"/>
        </w:rPr>
        <w:t> </w:t>
      </w:r>
      <w:r>
        <w:rPr/>
        <w:t>de</w:t>
      </w:r>
      <w:r>
        <w:rPr>
          <w:spacing w:val="-10"/>
        </w:rPr>
        <w:t> </w:t>
      </w:r>
      <w:r>
        <w:rPr/>
        <w:t>cerdo</w:t>
      </w:r>
      <w:r>
        <w:rPr>
          <w:spacing w:val="-9"/>
        </w:rPr>
        <w:t> </w:t>
      </w:r>
      <w:r>
        <w:rPr/>
        <w:t>en</w:t>
      </w:r>
      <w:r>
        <w:rPr>
          <w:spacing w:val="-7"/>
        </w:rPr>
        <w:t> </w:t>
      </w:r>
      <w:r>
        <w:rPr/>
        <w:t>canal, costo de transporte y funciones de producción oferta, demanda para cada región. Se calculó el valor</w:t>
      </w:r>
      <w:r>
        <w:rPr>
          <w:spacing w:val="-9"/>
        </w:rPr>
        <w:t> </w:t>
      </w:r>
      <w:r>
        <w:rPr/>
        <w:t>social</w:t>
      </w:r>
      <w:r>
        <w:rPr>
          <w:spacing w:val="-9"/>
        </w:rPr>
        <w:t> </w:t>
      </w:r>
      <w:r>
        <w:rPr/>
        <w:t>neto</w:t>
      </w:r>
      <w:r>
        <w:rPr>
          <w:spacing w:val="-8"/>
        </w:rPr>
        <w:t> </w:t>
      </w:r>
      <w:r>
        <w:rPr/>
        <w:t>(VSN)</w:t>
      </w:r>
      <w:r>
        <w:rPr>
          <w:spacing w:val="-8"/>
        </w:rPr>
        <w:t> </w:t>
      </w:r>
      <w:r>
        <w:rPr/>
        <w:t>en</w:t>
      </w:r>
      <w:r>
        <w:rPr>
          <w:spacing w:val="-9"/>
        </w:rPr>
        <w:t> </w:t>
      </w:r>
      <w:r>
        <w:rPr/>
        <w:t>2015</w:t>
      </w:r>
      <w:r>
        <w:rPr>
          <w:spacing w:val="-9"/>
        </w:rPr>
        <w:t> </w:t>
      </w:r>
      <w:r>
        <w:rPr/>
        <w:t>con</w:t>
      </w:r>
      <w:r>
        <w:rPr>
          <w:spacing w:val="-9"/>
        </w:rPr>
        <w:t> </w:t>
      </w:r>
      <w:r>
        <w:rPr/>
        <w:t>un</w:t>
      </w:r>
      <w:r>
        <w:rPr>
          <w:spacing w:val="-9"/>
        </w:rPr>
        <w:t> </w:t>
      </w:r>
      <w:r>
        <w:rPr/>
        <w:t>modelo</w:t>
      </w:r>
      <w:r>
        <w:rPr>
          <w:spacing w:val="-8"/>
        </w:rPr>
        <w:t> </w:t>
      </w:r>
      <w:r>
        <w:rPr/>
        <w:t>de</w:t>
      </w:r>
      <w:r>
        <w:rPr>
          <w:spacing w:val="-7"/>
        </w:rPr>
        <w:t> </w:t>
      </w:r>
      <w:r>
        <w:rPr/>
        <w:t>programación</w:t>
      </w:r>
      <w:r>
        <w:rPr>
          <w:spacing w:val="-8"/>
        </w:rPr>
        <w:t> </w:t>
      </w:r>
      <w:r>
        <w:rPr/>
        <w:t>no</w:t>
      </w:r>
      <w:r>
        <w:rPr>
          <w:spacing w:val="-9"/>
        </w:rPr>
        <w:t> </w:t>
      </w:r>
      <w:r>
        <w:rPr/>
        <w:t>lineal</w:t>
      </w:r>
      <w:r>
        <w:rPr>
          <w:spacing w:val="-8"/>
        </w:rPr>
        <w:t> </w:t>
      </w:r>
      <w:r>
        <w:rPr/>
        <w:t>utilizando</w:t>
      </w:r>
      <w:r>
        <w:rPr>
          <w:spacing w:val="-9"/>
        </w:rPr>
        <w:t> </w:t>
      </w:r>
      <w:r>
        <w:rPr/>
        <w:t>el</w:t>
      </w:r>
      <w:r>
        <w:rPr>
          <w:spacing w:val="-8"/>
        </w:rPr>
        <w:t> </w:t>
      </w:r>
      <w:r>
        <w:rPr/>
        <w:t>software Solver Premium Platform 1014-R y el GAMS, se desarrollaron cinco escenarios: arancel 15%, subsidio $100 a cerdo enviado a rastro, subsidio $200 a hembra en inventario, arancel 15% y subsidio $100, arancel 15% y subsidio $200. Los resultados indicaron que en el escenario uno, cuatro y cinco se aumentaría la producción nacional y disminuirían las importaciones, consumo y VSN en 3,496, 1,954, y 3,293 millones de pesos anuales respectivamente, los escenarios dos  y tres mostraron un aumento en todas las variables estos incrementarían el VSN en 1,530 y 234 millones</w:t>
      </w:r>
      <w:r>
        <w:rPr>
          <w:spacing w:val="-6"/>
        </w:rPr>
        <w:t> </w:t>
      </w:r>
      <w:r>
        <w:rPr/>
        <w:t>de</w:t>
      </w:r>
      <w:r>
        <w:rPr>
          <w:spacing w:val="-7"/>
        </w:rPr>
        <w:t> </w:t>
      </w:r>
      <w:r>
        <w:rPr/>
        <w:t>pesos,</w:t>
      </w:r>
      <w:r>
        <w:rPr>
          <w:spacing w:val="-6"/>
        </w:rPr>
        <w:t> </w:t>
      </w:r>
      <w:r>
        <w:rPr/>
        <w:t>las</w:t>
      </w:r>
      <w:r>
        <w:rPr>
          <w:spacing w:val="-7"/>
        </w:rPr>
        <w:t> </w:t>
      </w:r>
      <w:r>
        <w:rPr/>
        <w:t>regiones</w:t>
      </w:r>
      <w:r>
        <w:rPr>
          <w:spacing w:val="-6"/>
        </w:rPr>
        <w:t> </w:t>
      </w:r>
      <w:r>
        <w:rPr/>
        <w:t>con</w:t>
      </w:r>
      <w:r>
        <w:rPr>
          <w:spacing w:val="-6"/>
        </w:rPr>
        <w:t> </w:t>
      </w:r>
      <w:r>
        <w:rPr/>
        <w:t>mayor</w:t>
      </w:r>
      <w:r>
        <w:rPr>
          <w:spacing w:val="-7"/>
        </w:rPr>
        <w:t> </w:t>
      </w:r>
      <w:r>
        <w:rPr/>
        <w:t>incremento</w:t>
      </w:r>
      <w:r>
        <w:rPr>
          <w:spacing w:val="-6"/>
        </w:rPr>
        <w:t> </w:t>
      </w:r>
      <w:r>
        <w:rPr/>
        <w:t>en</w:t>
      </w:r>
      <w:r>
        <w:rPr>
          <w:spacing w:val="-6"/>
        </w:rPr>
        <w:t> </w:t>
      </w:r>
      <w:r>
        <w:rPr/>
        <w:t>la</w:t>
      </w:r>
      <w:r>
        <w:rPr>
          <w:spacing w:val="-7"/>
        </w:rPr>
        <w:t> </w:t>
      </w:r>
      <w:r>
        <w:rPr/>
        <w:t>producción</w:t>
      </w:r>
      <w:r>
        <w:rPr>
          <w:spacing w:val="-6"/>
        </w:rPr>
        <w:t> </w:t>
      </w:r>
      <w:r>
        <w:rPr/>
        <w:t>serian</w:t>
      </w:r>
      <w:r>
        <w:rPr>
          <w:spacing w:val="-6"/>
        </w:rPr>
        <w:t> </w:t>
      </w:r>
      <w:r>
        <w:rPr/>
        <w:t>PE,</w:t>
      </w:r>
      <w:r>
        <w:rPr>
          <w:spacing w:val="-7"/>
        </w:rPr>
        <w:t> </w:t>
      </w:r>
      <w:r>
        <w:rPr/>
        <w:t>CE</w:t>
      </w:r>
      <w:r>
        <w:rPr>
          <w:spacing w:val="-4"/>
        </w:rPr>
        <w:t> </w:t>
      </w:r>
      <w:r>
        <w:rPr/>
        <w:t>y</w:t>
      </w:r>
      <w:r>
        <w:rPr>
          <w:spacing w:val="-9"/>
        </w:rPr>
        <w:t> </w:t>
      </w:r>
      <w:r>
        <w:rPr/>
        <w:t>OR,</w:t>
      </w:r>
      <w:r>
        <w:rPr>
          <w:spacing w:val="-6"/>
        </w:rPr>
        <w:t> </w:t>
      </w:r>
      <w:r>
        <w:rPr/>
        <w:t>con mayor dinámica en el consumo serian OR, CO y CE. Las políticas económicas funcionan como medida de protección a la producción nacional, los aranceles incrementan los ingresos del Gobierno,</w:t>
      </w:r>
      <w:r>
        <w:rPr>
          <w:spacing w:val="-10"/>
        </w:rPr>
        <w:t> </w:t>
      </w:r>
      <w:r>
        <w:rPr/>
        <w:t>perjudican</w:t>
      </w:r>
      <w:r>
        <w:rPr>
          <w:spacing w:val="-10"/>
        </w:rPr>
        <w:t> </w:t>
      </w:r>
      <w:r>
        <w:rPr/>
        <w:t>al</w:t>
      </w:r>
      <w:r>
        <w:rPr>
          <w:spacing w:val="-9"/>
        </w:rPr>
        <w:t> </w:t>
      </w:r>
      <w:r>
        <w:rPr/>
        <w:t>consumidor</w:t>
      </w:r>
      <w:r>
        <w:rPr>
          <w:spacing w:val="-10"/>
        </w:rPr>
        <w:t> </w:t>
      </w:r>
      <w:r>
        <w:rPr/>
        <w:t>disminuyendo</w:t>
      </w:r>
      <w:r>
        <w:rPr>
          <w:spacing w:val="-8"/>
        </w:rPr>
        <w:t> </w:t>
      </w:r>
      <w:r>
        <w:rPr/>
        <w:t>el</w:t>
      </w:r>
      <w:r>
        <w:rPr>
          <w:spacing w:val="-9"/>
        </w:rPr>
        <w:t> </w:t>
      </w:r>
      <w:r>
        <w:rPr/>
        <w:t>VSN,</w:t>
      </w:r>
      <w:r>
        <w:rPr>
          <w:spacing w:val="-10"/>
        </w:rPr>
        <w:t> </w:t>
      </w:r>
      <w:r>
        <w:rPr/>
        <w:t>los</w:t>
      </w:r>
      <w:r>
        <w:rPr>
          <w:spacing w:val="-9"/>
        </w:rPr>
        <w:t> </w:t>
      </w:r>
      <w:r>
        <w:rPr/>
        <w:t>subsidios</w:t>
      </w:r>
      <w:r>
        <w:rPr>
          <w:spacing w:val="-9"/>
        </w:rPr>
        <w:t> </w:t>
      </w:r>
      <w:r>
        <w:rPr/>
        <w:t>benefician</w:t>
      </w:r>
      <w:r>
        <w:rPr>
          <w:spacing w:val="-10"/>
        </w:rPr>
        <w:t> </w:t>
      </w:r>
      <w:r>
        <w:rPr/>
        <w:t>al</w:t>
      </w:r>
      <w:r>
        <w:rPr>
          <w:spacing w:val="-9"/>
        </w:rPr>
        <w:t> </w:t>
      </w:r>
      <w:r>
        <w:rPr/>
        <w:t>productor y consumidor incrementando el VSN pero aumentan el gasto</w:t>
      </w:r>
      <w:r>
        <w:rPr>
          <w:spacing w:val="-15"/>
        </w:rPr>
        <w:t> </w:t>
      </w:r>
      <w:r>
        <w:rPr/>
        <w:t>público.</w:t>
      </w:r>
    </w:p>
    <w:p>
      <w:pPr>
        <w:pStyle w:val="BodyText"/>
        <w:spacing w:line="360" w:lineRule="auto" w:before="203"/>
        <w:ind w:left="118" w:right="269"/>
        <w:jc w:val="both"/>
      </w:pPr>
      <w:r>
        <w:rPr>
          <w:b/>
        </w:rPr>
        <w:t>Palabras clave</w:t>
      </w:r>
      <w:r>
        <w:rPr/>
        <w:t>: políticas económicas, producción, cerdo, regionalización, programación no lineal.</w:t>
      </w:r>
    </w:p>
    <w:p>
      <w:pPr>
        <w:spacing w:after="0" w:line="360" w:lineRule="auto"/>
        <w:jc w:val="both"/>
        <w:sectPr>
          <w:footerReference w:type="default" r:id="rId8"/>
          <w:pgSz w:w="12240" w:h="15840"/>
          <w:pgMar w:footer="986" w:header="984" w:top="1280" w:bottom="1180" w:left="1300" w:right="1340"/>
          <w:pgNumType w:start="9"/>
        </w:sectPr>
      </w:pPr>
    </w:p>
    <w:p>
      <w:pPr>
        <w:pStyle w:val="BodyText"/>
        <w:spacing w:before="125"/>
        <w:ind w:right="151"/>
        <w:jc w:val="center"/>
      </w:pPr>
      <w:r>
        <w:rPr>
          <w:color w:val="212121"/>
        </w:rPr>
        <w:t>ABSTRAC</w:t>
      </w:r>
    </w:p>
    <w:p>
      <w:pPr>
        <w:pStyle w:val="BodyText"/>
        <w:spacing w:before="4"/>
        <w:rPr>
          <w:sz w:val="29"/>
        </w:rPr>
      </w:pPr>
    </w:p>
    <w:p>
      <w:pPr>
        <w:pStyle w:val="BodyText"/>
        <w:spacing w:line="360" w:lineRule="auto" w:before="1"/>
        <w:ind w:left="118" w:right="264"/>
        <w:jc w:val="both"/>
      </w:pPr>
      <w:r>
        <w:rPr/>
        <w:t>The objective of the first research was to determine for the year 2030 the location, size of plant and optimal routes of transport of pigs from farms to </w:t>
      </w:r>
      <w:r>
        <w:rPr>
          <w:color w:val="212121"/>
        </w:rPr>
        <w:t>slaugtherhouse and carcasses </w:t>
      </w:r>
      <w:r>
        <w:rPr/>
        <w:t>of </w:t>
      </w:r>
      <w:r>
        <w:rPr>
          <w:color w:val="212121"/>
        </w:rPr>
        <w:t>slaugtherhouse </w:t>
      </w:r>
      <w:r>
        <w:rPr/>
        <w:t>to centers of consumption in four municipalities of the South of the State of Mexico. The information was analyzed with a model of linear programming of minimum cost using the software Solver Premium Platform. The results indicate that with an optimum distribution, would save $351,104 annually in marketing, </w:t>
      </w:r>
      <w:r>
        <w:rPr>
          <w:color w:val="212121"/>
        </w:rPr>
        <w:t>should be constructed a </w:t>
      </w:r>
      <w:r>
        <w:rPr/>
        <w:t>slaugtherhouses</w:t>
      </w:r>
      <w:r>
        <w:rPr>
          <w:spacing w:val="-3"/>
        </w:rPr>
        <w:t> </w:t>
      </w:r>
      <w:r>
        <w:rPr/>
        <w:t>in</w:t>
      </w:r>
      <w:r>
        <w:rPr>
          <w:spacing w:val="-3"/>
        </w:rPr>
        <w:t> </w:t>
      </w:r>
      <w:r>
        <w:rPr/>
        <w:t>the</w:t>
      </w:r>
      <w:r>
        <w:rPr>
          <w:spacing w:val="-4"/>
        </w:rPr>
        <w:t> </w:t>
      </w:r>
      <w:r>
        <w:rPr/>
        <w:t>municipalities</w:t>
      </w:r>
      <w:r>
        <w:rPr>
          <w:spacing w:val="-4"/>
        </w:rPr>
        <w:t> </w:t>
      </w:r>
      <w:r>
        <w:rPr/>
        <w:t>of</w:t>
      </w:r>
      <w:r>
        <w:rPr>
          <w:spacing w:val="-5"/>
        </w:rPr>
        <w:t> </w:t>
      </w:r>
      <w:r>
        <w:rPr/>
        <w:t>Temascaltepec</w:t>
      </w:r>
      <w:r>
        <w:rPr>
          <w:spacing w:val="-5"/>
        </w:rPr>
        <w:t> </w:t>
      </w:r>
      <w:r>
        <w:rPr/>
        <w:t>and</w:t>
      </w:r>
      <w:r>
        <w:rPr>
          <w:spacing w:val="-2"/>
        </w:rPr>
        <w:t> </w:t>
      </w:r>
      <w:r>
        <w:rPr/>
        <w:t>San</w:t>
      </w:r>
      <w:r>
        <w:rPr>
          <w:spacing w:val="-1"/>
        </w:rPr>
        <w:t> </w:t>
      </w:r>
      <w:r>
        <w:rPr/>
        <w:t>Simón</w:t>
      </w:r>
      <w:r>
        <w:rPr>
          <w:spacing w:val="-4"/>
        </w:rPr>
        <w:t> </w:t>
      </w:r>
      <w:r>
        <w:rPr/>
        <w:t>de</w:t>
      </w:r>
      <w:r>
        <w:rPr>
          <w:spacing w:val="-2"/>
        </w:rPr>
        <w:t> </w:t>
      </w:r>
      <w:r>
        <w:rPr/>
        <w:t>Guerrero</w:t>
      </w:r>
      <w:r>
        <w:rPr>
          <w:spacing w:val="-5"/>
        </w:rPr>
        <w:t> </w:t>
      </w:r>
      <w:r>
        <w:rPr/>
        <w:t>for</w:t>
      </w:r>
      <w:r>
        <w:rPr>
          <w:spacing w:val="-5"/>
        </w:rPr>
        <w:t> </w:t>
      </w:r>
      <w:r>
        <w:rPr/>
        <w:t>sacrifice of 67 and 35 heads</w:t>
      </w:r>
      <w:r>
        <w:rPr>
          <w:spacing w:val="-9"/>
        </w:rPr>
        <w:t> </w:t>
      </w:r>
      <w:r>
        <w:rPr/>
        <w:t>respectively.</w:t>
      </w:r>
    </w:p>
    <w:p>
      <w:pPr>
        <w:pStyle w:val="BodyText"/>
        <w:spacing w:before="205"/>
        <w:ind w:left="118"/>
        <w:jc w:val="both"/>
      </w:pPr>
      <w:r>
        <w:rPr>
          <w:b/>
        </w:rPr>
        <w:t>Key words</w:t>
      </w:r>
      <w:r>
        <w:rPr/>
        <w:t>: pigs, slaugtherhouse, linear programming, south of the State of Mexico.</w:t>
      </w:r>
    </w:p>
    <w:p>
      <w:pPr>
        <w:spacing w:after="0"/>
        <w:jc w:val="both"/>
        <w:sectPr>
          <w:pgSz w:w="12240" w:h="15840"/>
          <w:pgMar w:header="984" w:footer="986" w:top="1280" w:bottom="1180" w:left="1300" w:right="1340"/>
        </w:sectPr>
      </w:pPr>
    </w:p>
    <w:p>
      <w:pPr>
        <w:pStyle w:val="BodyText"/>
        <w:spacing w:before="125"/>
        <w:ind w:right="148"/>
        <w:jc w:val="center"/>
      </w:pPr>
      <w:r>
        <w:rPr/>
        <w:t>ABSTRACT</w:t>
      </w:r>
    </w:p>
    <w:p>
      <w:pPr>
        <w:pStyle w:val="BodyText"/>
        <w:spacing w:before="4"/>
        <w:rPr>
          <w:sz w:val="29"/>
        </w:rPr>
      </w:pPr>
    </w:p>
    <w:p>
      <w:pPr>
        <w:pStyle w:val="BodyText"/>
        <w:spacing w:line="360" w:lineRule="auto" w:before="1"/>
        <w:ind w:left="118" w:right="263"/>
        <w:jc w:val="both"/>
      </w:pPr>
      <w:r>
        <w:rPr/>
        <w:t>The objective of the second research was to determine the location the optimal size of the slaughterhouse and optimal routes of transport of pigs from farms to slaughterhouse and carcasses of slaughterhouse to centers of consumption in State of México for 2030. The information was analyzed with a model of linear programming of minimum cost using the software</w:t>
      </w:r>
      <w:r>
        <w:rPr>
          <w:spacing w:val="-8"/>
        </w:rPr>
        <w:t> </w:t>
      </w:r>
      <w:r>
        <w:rPr/>
        <w:t>solver</w:t>
      </w:r>
      <w:r>
        <w:rPr>
          <w:spacing w:val="-10"/>
        </w:rPr>
        <w:t> </w:t>
      </w:r>
      <w:r>
        <w:rPr/>
        <w:t>premium</w:t>
      </w:r>
      <w:r>
        <w:rPr>
          <w:spacing w:val="-8"/>
        </w:rPr>
        <w:t> </w:t>
      </w:r>
      <w:r>
        <w:rPr/>
        <w:t>platform.</w:t>
      </w:r>
      <w:r>
        <w:rPr>
          <w:spacing w:val="-9"/>
        </w:rPr>
        <w:t> </w:t>
      </w:r>
      <w:r>
        <w:rPr/>
        <w:t>The</w:t>
      </w:r>
      <w:r>
        <w:rPr>
          <w:spacing w:val="-7"/>
        </w:rPr>
        <w:t> </w:t>
      </w:r>
      <w:r>
        <w:rPr/>
        <w:t>results</w:t>
      </w:r>
      <w:r>
        <w:rPr>
          <w:spacing w:val="-8"/>
        </w:rPr>
        <w:t> </w:t>
      </w:r>
      <w:r>
        <w:rPr/>
        <w:t>indicate</w:t>
      </w:r>
      <w:r>
        <w:rPr>
          <w:spacing w:val="-9"/>
        </w:rPr>
        <w:t> </w:t>
      </w:r>
      <w:r>
        <w:rPr/>
        <w:t>that</w:t>
      </w:r>
      <w:r>
        <w:rPr>
          <w:spacing w:val="-6"/>
        </w:rPr>
        <w:t> </w:t>
      </w:r>
      <w:r>
        <w:rPr/>
        <w:t>with</w:t>
      </w:r>
      <w:r>
        <w:rPr>
          <w:spacing w:val="-8"/>
        </w:rPr>
        <w:t> </w:t>
      </w:r>
      <w:r>
        <w:rPr/>
        <w:t>an</w:t>
      </w:r>
      <w:r>
        <w:rPr>
          <w:spacing w:val="-9"/>
        </w:rPr>
        <w:t> </w:t>
      </w:r>
      <w:r>
        <w:rPr/>
        <w:t>optimum</w:t>
      </w:r>
      <w:r>
        <w:rPr>
          <w:spacing w:val="-8"/>
        </w:rPr>
        <w:t> </w:t>
      </w:r>
      <w:r>
        <w:rPr/>
        <w:t>distribution,</w:t>
      </w:r>
      <w:r>
        <w:rPr>
          <w:spacing w:val="-9"/>
        </w:rPr>
        <w:t> </w:t>
      </w:r>
      <w:r>
        <w:rPr/>
        <w:t>would save $119,107,716 annually, for 2030 using current slaughterhouse the districts Atlacomulco, Tejupilco</w:t>
      </w:r>
      <w:r>
        <w:rPr>
          <w:spacing w:val="-5"/>
        </w:rPr>
        <w:t> </w:t>
      </w:r>
      <w:r>
        <w:rPr/>
        <w:t>y</w:t>
      </w:r>
      <w:r>
        <w:rPr>
          <w:spacing w:val="-12"/>
        </w:rPr>
        <w:t> </w:t>
      </w:r>
      <w:r>
        <w:rPr/>
        <w:t>Toluca</w:t>
      </w:r>
      <w:r>
        <w:rPr>
          <w:spacing w:val="-8"/>
        </w:rPr>
        <w:t> </w:t>
      </w:r>
      <w:r>
        <w:rPr/>
        <w:t>should</w:t>
      </w:r>
      <w:r>
        <w:rPr>
          <w:spacing w:val="-7"/>
        </w:rPr>
        <w:t> </w:t>
      </w:r>
      <w:r>
        <w:rPr/>
        <w:t>increase</w:t>
      </w:r>
      <w:r>
        <w:rPr>
          <w:spacing w:val="-8"/>
        </w:rPr>
        <w:t> </w:t>
      </w:r>
      <w:r>
        <w:rPr/>
        <w:t>its</w:t>
      </w:r>
      <w:r>
        <w:rPr>
          <w:spacing w:val="-7"/>
        </w:rPr>
        <w:t> </w:t>
      </w:r>
      <w:r>
        <w:rPr/>
        <w:t>size</w:t>
      </w:r>
      <w:r>
        <w:rPr>
          <w:spacing w:val="-8"/>
        </w:rPr>
        <w:t> </w:t>
      </w:r>
      <w:r>
        <w:rPr/>
        <w:t>of</w:t>
      </w:r>
      <w:r>
        <w:rPr>
          <w:spacing w:val="-8"/>
        </w:rPr>
        <w:t> </w:t>
      </w:r>
      <w:r>
        <w:rPr/>
        <w:t>plant,</w:t>
      </w:r>
      <w:r>
        <w:rPr>
          <w:spacing w:val="-7"/>
        </w:rPr>
        <w:t> </w:t>
      </w:r>
      <w:r>
        <w:rPr/>
        <w:t>if</w:t>
      </w:r>
      <w:r>
        <w:rPr>
          <w:spacing w:val="-8"/>
        </w:rPr>
        <w:t> </w:t>
      </w:r>
      <w:r>
        <w:rPr/>
        <w:t>all</w:t>
      </w:r>
      <w:r>
        <w:rPr>
          <w:spacing w:val="-6"/>
        </w:rPr>
        <w:t> </w:t>
      </w:r>
      <w:r>
        <w:rPr/>
        <w:t>slaughterhouses</w:t>
      </w:r>
      <w:r>
        <w:rPr>
          <w:spacing w:val="-7"/>
        </w:rPr>
        <w:t> </w:t>
      </w:r>
      <w:r>
        <w:rPr/>
        <w:t>were</w:t>
      </w:r>
      <w:r>
        <w:rPr>
          <w:spacing w:val="-9"/>
        </w:rPr>
        <w:t> </w:t>
      </w:r>
      <w:r>
        <w:rPr/>
        <w:t>built</w:t>
      </w:r>
      <w:r>
        <w:rPr>
          <w:spacing w:val="-7"/>
        </w:rPr>
        <w:t> </w:t>
      </w:r>
      <w:r>
        <w:rPr/>
        <w:t>new,</w:t>
      </w:r>
      <w:r>
        <w:rPr>
          <w:spacing w:val="-8"/>
        </w:rPr>
        <w:t> </w:t>
      </w:r>
      <w:r>
        <w:rPr/>
        <w:t>cannot be located in the districts of Ecatepec, Naucalpan, Tlanepantla and Tultitlan, the 93.3 % of sacrifices would be held in the districts of Atlacumulco, Chimalhuacan and</w:t>
      </w:r>
      <w:r>
        <w:rPr>
          <w:spacing w:val="-8"/>
        </w:rPr>
        <w:t> </w:t>
      </w:r>
      <w:r>
        <w:rPr/>
        <w:t>Toluca.</w:t>
      </w:r>
    </w:p>
    <w:p>
      <w:pPr>
        <w:pStyle w:val="BodyText"/>
        <w:spacing w:before="203"/>
        <w:ind w:left="118"/>
        <w:jc w:val="both"/>
      </w:pPr>
      <w:r>
        <w:rPr>
          <w:b/>
        </w:rPr>
        <w:t>Key words</w:t>
      </w:r>
      <w:r>
        <w:rPr/>
        <w:t>: pigs, carcasses, slaughterhouse, distribution, minimum cost.</w:t>
      </w:r>
    </w:p>
    <w:p>
      <w:pPr>
        <w:spacing w:after="0"/>
        <w:jc w:val="both"/>
        <w:sectPr>
          <w:pgSz w:w="12240" w:h="15840"/>
          <w:pgMar w:header="984" w:footer="986" w:top="1280" w:bottom="1180" w:left="1300" w:right="1340"/>
        </w:sectPr>
      </w:pPr>
    </w:p>
    <w:p>
      <w:pPr>
        <w:pStyle w:val="BodyText"/>
        <w:spacing w:before="125"/>
        <w:ind w:right="148"/>
        <w:jc w:val="center"/>
      </w:pPr>
      <w:r>
        <w:rPr/>
        <w:t>ABSTRACT</w:t>
      </w:r>
    </w:p>
    <w:p>
      <w:pPr>
        <w:pStyle w:val="BodyText"/>
        <w:spacing w:line="360" w:lineRule="auto" w:before="137"/>
        <w:ind w:left="118" w:right="268"/>
        <w:jc w:val="both"/>
      </w:pPr>
      <w:r>
        <w:rPr/>
        <w:t>The objective of the third research was to generate a model that optimizes the pork market in Mexico by 2015. The socioeconomic regionalization of the country was used, and information was obtained: supply, demand, price of pig in channel, cost Transport and production functions price-offer, price-demand for each region. The observed and optimal net social value (VSN) of that year was calculated using a nonlinear programming model using the Solver Premium Platform</w:t>
      </w:r>
      <w:r>
        <w:rPr>
          <w:spacing w:val="-4"/>
        </w:rPr>
        <w:t> </w:t>
      </w:r>
      <w:r>
        <w:rPr/>
        <w:t>1014-R</w:t>
      </w:r>
      <w:r>
        <w:rPr>
          <w:spacing w:val="-4"/>
        </w:rPr>
        <w:t> </w:t>
      </w:r>
      <w:r>
        <w:rPr/>
        <w:t>software.</w:t>
      </w:r>
      <w:r>
        <w:rPr>
          <w:spacing w:val="-5"/>
        </w:rPr>
        <w:t> </w:t>
      </w:r>
      <w:r>
        <w:rPr/>
        <w:t>The</w:t>
      </w:r>
      <w:r>
        <w:rPr>
          <w:spacing w:val="-6"/>
        </w:rPr>
        <w:t> </w:t>
      </w:r>
      <w:r>
        <w:rPr/>
        <w:t>results</w:t>
      </w:r>
      <w:r>
        <w:rPr>
          <w:spacing w:val="-5"/>
        </w:rPr>
        <w:t> </w:t>
      </w:r>
      <w:r>
        <w:rPr/>
        <w:t>indicate</w:t>
      </w:r>
      <w:r>
        <w:rPr>
          <w:spacing w:val="-5"/>
        </w:rPr>
        <w:t> </w:t>
      </w:r>
      <w:r>
        <w:rPr/>
        <w:t>that</w:t>
      </w:r>
      <w:r>
        <w:rPr>
          <w:spacing w:val="-5"/>
        </w:rPr>
        <w:t> </w:t>
      </w:r>
      <w:r>
        <w:rPr/>
        <w:t>the</w:t>
      </w:r>
      <w:r>
        <w:rPr>
          <w:spacing w:val="-5"/>
        </w:rPr>
        <w:t> </w:t>
      </w:r>
      <w:r>
        <w:rPr/>
        <w:t>optimal</w:t>
      </w:r>
      <w:r>
        <w:rPr>
          <w:spacing w:val="-7"/>
        </w:rPr>
        <w:t> </w:t>
      </w:r>
      <w:r>
        <w:rPr/>
        <w:t>net</w:t>
      </w:r>
      <w:r>
        <w:rPr>
          <w:spacing w:val="-4"/>
        </w:rPr>
        <w:t> </w:t>
      </w:r>
      <w:r>
        <w:rPr/>
        <w:t>social</w:t>
      </w:r>
      <w:r>
        <w:rPr>
          <w:spacing w:val="-5"/>
        </w:rPr>
        <w:t> </w:t>
      </w:r>
      <w:r>
        <w:rPr/>
        <w:t>value</w:t>
      </w:r>
      <w:r>
        <w:rPr>
          <w:spacing w:val="-5"/>
        </w:rPr>
        <w:t> </w:t>
      </w:r>
      <w:r>
        <w:rPr/>
        <w:t>was</w:t>
      </w:r>
      <w:r>
        <w:rPr>
          <w:spacing w:val="-5"/>
        </w:rPr>
        <w:t> </w:t>
      </w:r>
      <w:r>
        <w:rPr/>
        <w:t>greater</w:t>
      </w:r>
      <w:r>
        <w:rPr>
          <w:spacing w:val="-6"/>
        </w:rPr>
        <w:t> </w:t>
      </w:r>
      <w:r>
        <w:rPr/>
        <w:t>than that observed in 0.11%. The model overestimated domestic production by 0.28% and underestimated domestic imports and consumption by -1.65% and -0.52%, respectively, and is an instrument to develop economic policy recommendations for the pork market in</w:t>
      </w:r>
      <w:r>
        <w:rPr>
          <w:spacing w:val="-12"/>
        </w:rPr>
        <w:t> </w:t>
      </w:r>
      <w:r>
        <w:rPr/>
        <w:t>Mexico.</w:t>
      </w:r>
    </w:p>
    <w:p>
      <w:pPr>
        <w:pStyle w:val="BodyText"/>
      </w:pPr>
    </w:p>
    <w:p>
      <w:pPr>
        <w:pStyle w:val="BodyText"/>
        <w:spacing w:before="143"/>
        <w:ind w:left="118"/>
        <w:jc w:val="both"/>
      </w:pPr>
      <w:r>
        <w:rPr>
          <w:b/>
        </w:rPr>
        <w:t>Keywords: </w:t>
      </w:r>
      <w:r>
        <w:rPr/>
        <w:t>pork, market, optimization, nonlinear programming</w:t>
      </w:r>
    </w:p>
    <w:p>
      <w:pPr>
        <w:spacing w:after="0"/>
        <w:jc w:val="both"/>
        <w:sectPr>
          <w:pgSz w:w="12240" w:h="15840"/>
          <w:pgMar w:header="984" w:footer="986" w:top="1280" w:bottom="1180" w:left="1300" w:right="1340"/>
        </w:sectPr>
      </w:pPr>
    </w:p>
    <w:p>
      <w:pPr>
        <w:pStyle w:val="BodyText"/>
        <w:spacing w:before="125"/>
        <w:ind w:right="148"/>
        <w:jc w:val="center"/>
      </w:pPr>
      <w:r>
        <w:rPr/>
        <w:t>ABSTRACT</w:t>
      </w:r>
    </w:p>
    <w:p>
      <w:pPr>
        <w:pStyle w:val="BodyText"/>
        <w:spacing w:line="360" w:lineRule="auto" w:before="137"/>
        <w:ind w:left="118" w:right="264"/>
        <w:jc w:val="both"/>
      </w:pPr>
      <w:r>
        <w:rPr/>
        <w:t>The objective of the fourth research was to know the situation of the pork market in Mexico if tariffs were applied to pork meat imported from the United States. Was used socioeconomic regionalization of the country, and was obtained information supply, demand, price of pig carcass, transportation cost and production functions offer-price, price-demand for each region. Net social value (VSN) was calculated in 2015 with a nonlinear programming model using the Solver</w:t>
      </w:r>
      <w:r>
        <w:rPr>
          <w:spacing w:val="-15"/>
        </w:rPr>
        <w:t> </w:t>
      </w:r>
      <w:r>
        <w:rPr/>
        <w:t>Premium</w:t>
      </w:r>
      <w:r>
        <w:rPr>
          <w:spacing w:val="-13"/>
        </w:rPr>
        <w:t> </w:t>
      </w:r>
      <w:r>
        <w:rPr/>
        <w:t>Platform</w:t>
      </w:r>
      <w:r>
        <w:rPr>
          <w:spacing w:val="-13"/>
        </w:rPr>
        <w:t> </w:t>
      </w:r>
      <w:r>
        <w:rPr/>
        <w:t>1014-R</w:t>
      </w:r>
      <w:r>
        <w:rPr>
          <w:spacing w:val="-13"/>
        </w:rPr>
        <w:t> </w:t>
      </w:r>
      <w:r>
        <w:rPr/>
        <w:t>software,</w:t>
      </w:r>
      <w:r>
        <w:rPr>
          <w:spacing w:val="-13"/>
        </w:rPr>
        <w:t> </w:t>
      </w:r>
      <w:r>
        <w:rPr/>
        <w:t>Three</w:t>
      </w:r>
      <w:r>
        <w:rPr>
          <w:spacing w:val="-12"/>
        </w:rPr>
        <w:t> </w:t>
      </w:r>
      <w:r>
        <w:rPr/>
        <w:t>scenarios</w:t>
      </w:r>
      <w:r>
        <w:rPr>
          <w:spacing w:val="-11"/>
        </w:rPr>
        <w:t> </w:t>
      </w:r>
      <w:r>
        <w:rPr/>
        <w:t>were</w:t>
      </w:r>
      <w:r>
        <w:rPr>
          <w:spacing w:val="-14"/>
        </w:rPr>
        <w:t> </w:t>
      </w:r>
      <w:r>
        <w:rPr/>
        <w:t>developed,</w:t>
      </w:r>
      <w:r>
        <w:rPr>
          <w:spacing w:val="-12"/>
        </w:rPr>
        <w:t> </w:t>
      </w:r>
      <w:r>
        <w:rPr/>
        <w:t>increasing</w:t>
      </w:r>
      <w:r>
        <w:rPr>
          <w:spacing w:val="-13"/>
        </w:rPr>
        <w:t> </w:t>
      </w:r>
      <w:r>
        <w:rPr/>
        <w:t>the</w:t>
      </w:r>
      <w:r>
        <w:rPr>
          <w:spacing w:val="-14"/>
        </w:rPr>
        <w:t> </w:t>
      </w:r>
      <w:r>
        <w:rPr/>
        <w:t>price of imported meat by 10, 20 and 30%. The results indicate that in the three proposed scenarios national production would increase by 0.17, 0.35 and 0.52% respectively, imports would decrease</w:t>
      </w:r>
      <w:r>
        <w:rPr>
          <w:spacing w:val="-8"/>
        </w:rPr>
        <w:t> </w:t>
      </w:r>
      <w:r>
        <w:rPr/>
        <w:t>by</w:t>
      </w:r>
      <w:r>
        <w:rPr>
          <w:spacing w:val="-12"/>
        </w:rPr>
        <w:t> </w:t>
      </w:r>
      <w:r>
        <w:rPr/>
        <w:t>0.86,</w:t>
      </w:r>
      <w:r>
        <w:rPr>
          <w:spacing w:val="-8"/>
        </w:rPr>
        <w:t> </w:t>
      </w:r>
      <w:r>
        <w:rPr/>
        <w:t>1.93</w:t>
      </w:r>
      <w:r>
        <w:rPr>
          <w:spacing w:val="-5"/>
        </w:rPr>
        <w:t> </w:t>
      </w:r>
      <w:r>
        <w:rPr/>
        <w:t>and</w:t>
      </w:r>
      <w:r>
        <w:rPr>
          <w:spacing w:val="-8"/>
        </w:rPr>
        <w:t> </w:t>
      </w:r>
      <w:r>
        <w:rPr/>
        <w:t>2.88%,</w:t>
      </w:r>
      <w:r>
        <w:rPr>
          <w:spacing w:val="-8"/>
        </w:rPr>
        <w:t> </w:t>
      </w:r>
      <w:r>
        <w:rPr/>
        <w:t>but</w:t>
      </w:r>
      <w:r>
        <w:rPr>
          <w:spacing w:val="-7"/>
        </w:rPr>
        <w:t> </w:t>
      </w:r>
      <w:r>
        <w:rPr/>
        <w:t>consumption</w:t>
      </w:r>
      <w:r>
        <w:rPr>
          <w:spacing w:val="-8"/>
        </w:rPr>
        <w:t> </w:t>
      </w:r>
      <w:r>
        <w:rPr/>
        <w:t>would</w:t>
      </w:r>
      <w:r>
        <w:rPr>
          <w:spacing w:val="-8"/>
        </w:rPr>
        <w:t> </w:t>
      </w:r>
      <w:r>
        <w:rPr/>
        <w:t>decrease</w:t>
      </w:r>
      <w:r>
        <w:rPr>
          <w:spacing w:val="-8"/>
        </w:rPr>
        <w:t> </w:t>
      </w:r>
      <w:r>
        <w:rPr/>
        <w:t>by</w:t>
      </w:r>
      <w:r>
        <w:rPr>
          <w:spacing w:val="-12"/>
        </w:rPr>
        <w:t> </w:t>
      </w:r>
      <w:r>
        <w:rPr/>
        <w:t>0.26,</w:t>
      </w:r>
      <w:r>
        <w:rPr>
          <w:spacing w:val="-8"/>
        </w:rPr>
        <w:t> </w:t>
      </w:r>
      <w:r>
        <w:rPr/>
        <w:t>0.59</w:t>
      </w:r>
      <w:r>
        <w:rPr>
          <w:spacing w:val="-8"/>
        </w:rPr>
        <w:t> </w:t>
      </w:r>
      <w:r>
        <w:rPr/>
        <w:t>and</w:t>
      </w:r>
      <w:r>
        <w:rPr>
          <w:spacing w:val="-8"/>
        </w:rPr>
        <w:t> </w:t>
      </w:r>
      <w:r>
        <w:rPr/>
        <w:t>0.88%</w:t>
      </w:r>
      <w:r>
        <w:rPr>
          <w:spacing w:val="-8"/>
        </w:rPr>
        <w:t> </w:t>
      </w:r>
      <w:r>
        <w:rPr/>
        <w:t>and the</w:t>
      </w:r>
      <w:r>
        <w:rPr>
          <w:spacing w:val="-7"/>
        </w:rPr>
        <w:t> </w:t>
      </w:r>
      <w:r>
        <w:rPr/>
        <w:t>VSN</w:t>
      </w:r>
      <w:r>
        <w:rPr>
          <w:spacing w:val="-7"/>
        </w:rPr>
        <w:t> </w:t>
      </w:r>
      <w:r>
        <w:rPr/>
        <w:t>would</w:t>
      </w:r>
      <w:r>
        <w:rPr>
          <w:spacing w:val="-6"/>
        </w:rPr>
        <w:t> </w:t>
      </w:r>
      <w:r>
        <w:rPr/>
        <w:t>decrease</w:t>
      </w:r>
      <w:r>
        <w:rPr>
          <w:spacing w:val="-5"/>
        </w:rPr>
        <w:t> </w:t>
      </w:r>
      <w:r>
        <w:rPr/>
        <w:t>by</w:t>
      </w:r>
      <w:r>
        <w:rPr>
          <w:spacing w:val="-11"/>
        </w:rPr>
        <w:t> </w:t>
      </w:r>
      <w:r>
        <w:rPr/>
        <w:t>0.06,</w:t>
      </w:r>
      <w:r>
        <w:rPr>
          <w:spacing w:val="-6"/>
        </w:rPr>
        <w:t> </w:t>
      </w:r>
      <w:r>
        <w:rPr/>
        <w:t>0.12,</w:t>
      </w:r>
      <w:r>
        <w:rPr>
          <w:spacing w:val="-6"/>
        </w:rPr>
        <w:t> </w:t>
      </w:r>
      <w:r>
        <w:rPr/>
        <w:t>And</w:t>
      </w:r>
      <w:r>
        <w:rPr>
          <w:spacing w:val="-7"/>
        </w:rPr>
        <w:t> </w:t>
      </w:r>
      <w:r>
        <w:rPr/>
        <w:t>0.18%.</w:t>
      </w:r>
      <w:r>
        <w:rPr>
          <w:spacing w:val="-6"/>
        </w:rPr>
        <w:t> </w:t>
      </w:r>
      <w:r>
        <w:rPr/>
        <w:t>At</w:t>
      </w:r>
      <w:r>
        <w:rPr>
          <w:spacing w:val="-6"/>
        </w:rPr>
        <w:t> </w:t>
      </w:r>
      <w:r>
        <w:rPr/>
        <w:t>the</w:t>
      </w:r>
      <w:r>
        <w:rPr>
          <w:spacing w:val="-7"/>
        </w:rPr>
        <w:t> </w:t>
      </w:r>
      <w:r>
        <w:rPr/>
        <w:t>regional</w:t>
      </w:r>
      <w:r>
        <w:rPr>
          <w:spacing w:val="-6"/>
        </w:rPr>
        <w:t> </w:t>
      </w:r>
      <w:r>
        <w:rPr/>
        <w:t>level,</w:t>
      </w:r>
      <w:r>
        <w:rPr>
          <w:spacing w:val="-6"/>
        </w:rPr>
        <w:t> </w:t>
      </w:r>
      <w:r>
        <w:rPr/>
        <w:t>the</w:t>
      </w:r>
      <w:r>
        <w:rPr>
          <w:spacing w:val="-7"/>
        </w:rPr>
        <w:t> </w:t>
      </w:r>
      <w:r>
        <w:rPr/>
        <w:t>same</w:t>
      </w:r>
      <w:r>
        <w:rPr>
          <w:spacing w:val="-4"/>
        </w:rPr>
        <w:t> </w:t>
      </w:r>
      <w:r>
        <w:rPr/>
        <w:t>behavior</w:t>
      </w:r>
      <w:r>
        <w:rPr>
          <w:spacing w:val="-6"/>
        </w:rPr>
        <w:t> </w:t>
      </w:r>
      <w:r>
        <w:rPr/>
        <w:t>was observed</w:t>
      </w:r>
      <w:r>
        <w:rPr>
          <w:spacing w:val="-9"/>
        </w:rPr>
        <w:t> </w:t>
      </w:r>
      <w:r>
        <w:rPr/>
        <w:t>for</w:t>
      </w:r>
      <w:r>
        <w:rPr>
          <w:spacing w:val="-10"/>
        </w:rPr>
        <w:t> </w:t>
      </w:r>
      <w:r>
        <w:rPr/>
        <w:t>the</w:t>
      </w:r>
      <w:r>
        <w:rPr>
          <w:spacing w:val="-9"/>
        </w:rPr>
        <w:t> </w:t>
      </w:r>
      <w:r>
        <w:rPr/>
        <w:t>three</w:t>
      </w:r>
      <w:r>
        <w:rPr>
          <w:spacing w:val="-9"/>
        </w:rPr>
        <w:t> </w:t>
      </w:r>
      <w:r>
        <w:rPr/>
        <w:t>variables,</w:t>
      </w:r>
      <w:r>
        <w:rPr>
          <w:spacing w:val="-8"/>
        </w:rPr>
        <w:t> </w:t>
      </w:r>
      <w:r>
        <w:rPr/>
        <w:t>the</w:t>
      </w:r>
      <w:r>
        <w:rPr>
          <w:spacing w:val="-9"/>
        </w:rPr>
        <w:t> </w:t>
      </w:r>
      <w:r>
        <w:rPr/>
        <w:t>regions</w:t>
      </w:r>
      <w:r>
        <w:rPr>
          <w:spacing w:val="-8"/>
        </w:rPr>
        <w:t> </w:t>
      </w:r>
      <w:r>
        <w:rPr/>
        <w:t>that</w:t>
      </w:r>
      <w:r>
        <w:rPr>
          <w:spacing w:val="-9"/>
        </w:rPr>
        <w:t> </w:t>
      </w:r>
      <w:r>
        <w:rPr/>
        <w:t>would</w:t>
      </w:r>
      <w:r>
        <w:rPr>
          <w:spacing w:val="-9"/>
        </w:rPr>
        <w:t> </w:t>
      </w:r>
      <w:r>
        <w:rPr/>
        <w:t>have</w:t>
      </w:r>
      <w:r>
        <w:rPr>
          <w:spacing w:val="-10"/>
        </w:rPr>
        <w:t> </w:t>
      </w:r>
      <w:r>
        <w:rPr/>
        <w:t>a</w:t>
      </w:r>
      <w:r>
        <w:rPr>
          <w:spacing w:val="-10"/>
        </w:rPr>
        <w:t> </w:t>
      </w:r>
      <w:r>
        <w:rPr/>
        <w:t>bigger</w:t>
      </w:r>
      <w:r>
        <w:rPr>
          <w:spacing w:val="-9"/>
        </w:rPr>
        <w:t> </w:t>
      </w:r>
      <w:r>
        <w:rPr/>
        <w:t>increase</w:t>
      </w:r>
      <w:r>
        <w:rPr>
          <w:spacing w:val="-9"/>
        </w:rPr>
        <w:t> </w:t>
      </w:r>
      <w:r>
        <w:rPr/>
        <w:t>in</w:t>
      </w:r>
      <w:r>
        <w:rPr>
          <w:spacing w:val="-8"/>
        </w:rPr>
        <w:t> </w:t>
      </w:r>
      <w:r>
        <w:rPr/>
        <w:t>their</w:t>
      </w:r>
      <w:r>
        <w:rPr>
          <w:spacing w:val="-9"/>
        </w:rPr>
        <w:t> </w:t>
      </w:r>
      <w:r>
        <w:rPr/>
        <w:t>production would be the East, the Center-East and the Yucatan Peninsula, whereas the regions where consumption would decrease more would be the Center- East, the Center-West and the</w:t>
      </w:r>
      <w:r>
        <w:rPr>
          <w:spacing w:val="-12"/>
        </w:rPr>
        <w:t> </w:t>
      </w:r>
      <w:r>
        <w:rPr/>
        <w:t>East</w:t>
      </w:r>
    </w:p>
    <w:p>
      <w:pPr>
        <w:pStyle w:val="BodyText"/>
        <w:spacing w:before="11"/>
        <w:rPr>
          <w:sz w:val="29"/>
        </w:rPr>
      </w:pPr>
    </w:p>
    <w:p>
      <w:pPr>
        <w:pStyle w:val="BodyText"/>
        <w:ind w:left="118"/>
        <w:jc w:val="both"/>
      </w:pPr>
      <w:r>
        <w:rPr>
          <w:b/>
        </w:rPr>
        <w:t>Key words: </w:t>
      </w:r>
      <w:r>
        <w:rPr/>
        <w:t>tariff, production, pigs, regionalization, nonlinear programming.</w:t>
      </w:r>
    </w:p>
    <w:p>
      <w:pPr>
        <w:spacing w:after="0"/>
        <w:jc w:val="both"/>
        <w:sectPr>
          <w:pgSz w:w="12240" w:h="15840"/>
          <w:pgMar w:header="984" w:footer="986" w:top="1280" w:bottom="1180" w:left="1300" w:right="1340"/>
        </w:sectPr>
      </w:pPr>
    </w:p>
    <w:p>
      <w:pPr>
        <w:pStyle w:val="BodyText"/>
        <w:spacing w:before="125"/>
        <w:ind w:right="148"/>
        <w:jc w:val="center"/>
      </w:pPr>
      <w:r>
        <w:rPr/>
        <w:t>ABSTRACT</w:t>
      </w:r>
    </w:p>
    <w:p>
      <w:pPr>
        <w:pStyle w:val="BodyText"/>
        <w:spacing w:before="4"/>
        <w:rPr>
          <w:sz w:val="29"/>
        </w:rPr>
      </w:pPr>
    </w:p>
    <w:p>
      <w:pPr>
        <w:pStyle w:val="BodyText"/>
        <w:spacing w:line="360" w:lineRule="auto" w:before="1"/>
        <w:ind w:left="118" w:right="264"/>
        <w:jc w:val="both"/>
      </w:pPr>
      <w:r>
        <w:rPr/>
        <w:t>The objective of the fifth investigation was to evaluate if there would be changes and of what magnitude in the national and regional production of pork in Mexico if tariffs were applied to imported</w:t>
      </w:r>
      <w:r>
        <w:rPr>
          <w:spacing w:val="-4"/>
        </w:rPr>
        <w:t> </w:t>
      </w:r>
      <w:r>
        <w:rPr/>
        <w:t>pork</w:t>
      </w:r>
      <w:r>
        <w:rPr>
          <w:spacing w:val="-5"/>
        </w:rPr>
        <w:t> </w:t>
      </w:r>
      <w:r>
        <w:rPr/>
        <w:t>and</w:t>
      </w:r>
      <w:r>
        <w:rPr>
          <w:spacing w:val="-4"/>
        </w:rPr>
        <w:t> </w:t>
      </w:r>
      <w:r>
        <w:rPr/>
        <w:t>subsidies</w:t>
      </w:r>
      <w:r>
        <w:rPr>
          <w:spacing w:val="-4"/>
        </w:rPr>
        <w:t> </w:t>
      </w:r>
      <w:r>
        <w:rPr/>
        <w:t>to</w:t>
      </w:r>
      <w:r>
        <w:rPr>
          <w:spacing w:val="-3"/>
        </w:rPr>
        <w:t> </w:t>
      </w:r>
      <w:r>
        <w:rPr/>
        <w:t>the</w:t>
      </w:r>
      <w:r>
        <w:rPr>
          <w:spacing w:val="-4"/>
        </w:rPr>
        <w:t> </w:t>
      </w:r>
      <w:r>
        <w:rPr/>
        <w:t>national</w:t>
      </w:r>
      <w:r>
        <w:rPr>
          <w:spacing w:val="-3"/>
        </w:rPr>
        <w:t> </w:t>
      </w:r>
      <w:r>
        <w:rPr/>
        <w:t>production,</w:t>
      </w:r>
      <w:r>
        <w:rPr>
          <w:spacing w:val="-4"/>
        </w:rPr>
        <w:t> </w:t>
      </w:r>
      <w:r>
        <w:rPr/>
        <w:t>was</w:t>
      </w:r>
      <w:r>
        <w:rPr>
          <w:spacing w:val="-4"/>
        </w:rPr>
        <w:t> </w:t>
      </w:r>
      <w:r>
        <w:rPr/>
        <w:t>used</w:t>
      </w:r>
      <w:r>
        <w:rPr>
          <w:spacing w:val="-4"/>
        </w:rPr>
        <w:t> </w:t>
      </w:r>
      <w:r>
        <w:rPr/>
        <w:t>socioeconomic</w:t>
      </w:r>
      <w:r>
        <w:rPr>
          <w:spacing w:val="-5"/>
        </w:rPr>
        <w:t> </w:t>
      </w:r>
      <w:r>
        <w:rPr/>
        <w:t>regionalization of the country, was obtained information supply, demand, price of pig carcass, transportation cost and production functions offer, demand for each region. Net social value (VSN) was calculated in 2015 with a nonlinear programming model using the Solver Premium Platform 1014-R</w:t>
      </w:r>
      <w:r>
        <w:rPr>
          <w:spacing w:val="-3"/>
        </w:rPr>
        <w:t> </w:t>
      </w:r>
      <w:r>
        <w:rPr/>
        <w:t>software</w:t>
      </w:r>
      <w:r>
        <w:rPr>
          <w:spacing w:val="-6"/>
        </w:rPr>
        <w:t> </w:t>
      </w:r>
      <w:r>
        <w:rPr/>
        <w:t>and</w:t>
      </w:r>
      <w:r>
        <w:rPr>
          <w:spacing w:val="-4"/>
        </w:rPr>
        <w:t> </w:t>
      </w:r>
      <w:r>
        <w:rPr/>
        <w:t>the</w:t>
      </w:r>
      <w:r>
        <w:rPr>
          <w:spacing w:val="-1"/>
        </w:rPr>
        <w:t> </w:t>
      </w:r>
      <w:r>
        <w:rPr/>
        <w:t>GAMS,</w:t>
      </w:r>
      <w:r>
        <w:rPr>
          <w:spacing w:val="-3"/>
        </w:rPr>
        <w:t> </w:t>
      </w:r>
      <w:r>
        <w:rPr/>
        <w:t>five</w:t>
      </w:r>
      <w:r>
        <w:rPr>
          <w:spacing w:val="-5"/>
        </w:rPr>
        <w:t> </w:t>
      </w:r>
      <w:r>
        <w:rPr/>
        <w:t>scenarios</w:t>
      </w:r>
      <w:r>
        <w:rPr>
          <w:spacing w:val="-4"/>
        </w:rPr>
        <w:t> </w:t>
      </w:r>
      <w:r>
        <w:rPr/>
        <w:t>were</w:t>
      </w:r>
      <w:r>
        <w:rPr>
          <w:spacing w:val="-6"/>
        </w:rPr>
        <w:t> </w:t>
      </w:r>
      <w:r>
        <w:rPr/>
        <w:t>developed:</w:t>
      </w:r>
      <w:r>
        <w:rPr>
          <w:spacing w:val="-4"/>
        </w:rPr>
        <w:t> </w:t>
      </w:r>
      <w:r>
        <w:rPr/>
        <w:t>tariff</w:t>
      </w:r>
      <w:r>
        <w:rPr>
          <w:spacing w:val="-5"/>
        </w:rPr>
        <w:t> </w:t>
      </w:r>
      <w:r>
        <w:rPr/>
        <w:t>15%,</w:t>
      </w:r>
      <w:r>
        <w:rPr>
          <w:spacing w:val="-4"/>
        </w:rPr>
        <w:t> </w:t>
      </w:r>
      <w:r>
        <w:rPr/>
        <w:t>subsidy</w:t>
      </w:r>
      <w:r>
        <w:rPr>
          <w:spacing w:val="-11"/>
        </w:rPr>
        <w:t> </w:t>
      </w:r>
      <w:r>
        <w:rPr/>
        <w:t>$100</w:t>
      </w:r>
      <w:r>
        <w:rPr>
          <w:spacing w:val="-4"/>
        </w:rPr>
        <w:t> </w:t>
      </w:r>
      <w:r>
        <w:rPr/>
        <w:t>to</w:t>
      </w:r>
      <w:r>
        <w:rPr>
          <w:spacing w:val="-3"/>
        </w:rPr>
        <w:t> </w:t>
      </w:r>
      <w:r>
        <w:rPr/>
        <w:t>pig sent to slaughterhouse, subsidy $200 to female in inventory, tariff 15% and subsidy $100, tariff 15%</w:t>
      </w:r>
      <w:r>
        <w:rPr>
          <w:spacing w:val="-9"/>
        </w:rPr>
        <w:t> </w:t>
      </w:r>
      <w:r>
        <w:rPr/>
        <w:t>and</w:t>
      </w:r>
      <w:r>
        <w:rPr>
          <w:spacing w:val="-9"/>
        </w:rPr>
        <w:t> </w:t>
      </w:r>
      <w:r>
        <w:rPr/>
        <w:t>subsidy</w:t>
      </w:r>
      <w:r>
        <w:rPr>
          <w:spacing w:val="-13"/>
        </w:rPr>
        <w:t> </w:t>
      </w:r>
      <w:r>
        <w:rPr/>
        <w:t>$200.</w:t>
      </w:r>
      <w:r>
        <w:rPr>
          <w:spacing w:val="-9"/>
        </w:rPr>
        <w:t> </w:t>
      </w:r>
      <w:r>
        <w:rPr/>
        <w:t>The</w:t>
      </w:r>
      <w:r>
        <w:rPr>
          <w:spacing w:val="-10"/>
        </w:rPr>
        <w:t> </w:t>
      </w:r>
      <w:r>
        <w:rPr/>
        <w:t>results</w:t>
      </w:r>
      <w:r>
        <w:rPr>
          <w:spacing w:val="-8"/>
        </w:rPr>
        <w:t> </w:t>
      </w:r>
      <w:r>
        <w:rPr/>
        <w:t>indicate</w:t>
      </w:r>
      <w:r>
        <w:rPr>
          <w:spacing w:val="-9"/>
        </w:rPr>
        <w:t> </w:t>
      </w:r>
      <w:r>
        <w:rPr/>
        <w:t>that</w:t>
      </w:r>
      <w:r>
        <w:rPr>
          <w:spacing w:val="-9"/>
        </w:rPr>
        <w:t> </w:t>
      </w:r>
      <w:r>
        <w:rPr/>
        <w:t>in</w:t>
      </w:r>
      <w:r>
        <w:rPr>
          <w:spacing w:val="-8"/>
        </w:rPr>
        <w:t> </w:t>
      </w:r>
      <w:r>
        <w:rPr/>
        <w:t>scenario</w:t>
      </w:r>
      <w:r>
        <w:rPr>
          <w:spacing w:val="-9"/>
        </w:rPr>
        <w:t> </w:t>
      </w:r>
      <w:r>
        <w:rPr/>
        <w:t>one,</w:t>
      </w:r>
      <w:r>
        <w:rPr>
          <w:spacing w:val="-6"/>
        </w:rPr>
        <w:t> </w:t>
      </w:r>
      <w:r>
        <w:rPr/>
        <w:t>four</w:t>
      </w:r>
      <w:r>
        <w:rPr>
          <w:spacing w:val="-10"/>
        </w:rPr>
        <w:t> </w:t>
      </w:r>
      <w:r>
        <w:rPr/>
        <w:t>and</w:t>
      </w:r>
      <w:r>
        <w:rPr>
          <w:spacing w:val="-6"/>
        </w:rPr>
        <w:t> </w:t>
      </w:r>
      <w:r>
        <w:rPr/>
        <w:t>five</w:t>
      </w:r>
      <w:r>
        <w:rPr>
          <w:spacing w:val="-10"/>
        </w:rPr>
        <w:t> </w:t>
      </w:r>
      <w:r>
        <w:rPr/>
        <w:t>would</w:t>
      </w:r>
      <w:r>
        <w:rPr>
          <w:spacing w:val="-9"/>
        </w:rPr>
        <w:t> </w:t>
      </w:r>
      <w:r>
        <w:rPr/>
        <w:t>increase</w:t>
      </w:r>
      <w:r>
        <w:rPr>
          <w:spacing w:val="-10"/>
        </w:rPr>
        <w:t> </w:t>
      </w:r>
      <w:r>
        <w:rPr/>
        <w:t>the national production, but would decrease imports, consumption and VSN in 3,496, 1,954, and 3,293 million pesos annually respectively, the scenarios two and three showed an increase in all variables, which would increase the VSN by 1.530 and 234 million pesos, the regions with the greatest</w:t>
      </w:r>
      <w:r>
        <w:rPr>
          <w:spacing w:val="-5"/>
        </w:rPr>
        <w:t> </w:t>
      </w:r>
      <w:r>
        <w:rPr/>
        <w:t>increase</w:t>
      </w:r>
      <w:r>
        <w:rPr>
          <w:spacing w:val="-6"/>
        </w:rPr>
        <w:t> </w:t>
      </w:r>
      <w:r>
        <w:rPr/>
        <w:t>in</w:t>
      </w:r>
      <w:r>
        <w:rPr>
          <w:spacing w:val="-4"/>
        </w:rPr>
        <w:t> </w:t>
      </w:r>
      <w:r>
        <w:rPr/>
        <w:t>production</w:t>
      </w:r>
      <w:r>
        <w:rPr>
          <w:spacing w:val="-5"/>
        </w:rPr>
        <w:t> </w:t>
      </w:r>
      <w:r>
        <w:rPr/>
        <w:t>would</w:t>
      </w:r>
      <w:r>
        <w:rPr>
          <w:spacing w:val="-5"/>
        </w:rPr>
        <w:t> </w:t>
      </w:r>
      <w:r>
        <w:rPr/>
        <w:t>be</w:t>
      </w:r>
      <w:r>
        <w:rPr>
          <w:spacing w:val="-6"/>
        </w:rPr>
        <w:t> </w:t>
      </w:r>
      <w:r>
        <w:rPr/>
        <w:t>PE,</w:t>
      </w:r>
      <w:r>
        <w:rPr>
          <w:spacing w:val="-5"/>
        </w:rPr>
        <w:t> </w:t>
      </w:r>
      <w:r>
        <w:rPr/>
        <w:t>CE</w:t>
      </w:r>
      <w:r>
        <w:rPr>
          <w:spacing w:val="-5"/>
        </w:rPr>
        <w:t> </w:t>
      </w:r>
      <w:r>
        <w:rPr/>
        <w:t>and</w:t>
      </w:r>
      <w:r>
        <w:rPr>
          <w:spacing w:val="-5"/>
        </w:rPr>
        <w:t> </w:t>
      </w:r>
      <w:r>
        <w:rPr/>
        <w:t>OR,</w:t>
      </w:r>
      <w:r>
        <w:rPr>
          <w:spacing w:val="-5"/>
        </w:rPr>
        <w:t> </w:t>
      </w:r>
      <w:r>
        <w:rPr/>
        <w:t>with</w:t>
      </w:r>
      <w:r>
        <w:rPr>
          <w:spacing w:val="-4"/>
        </w:rPr>
        <w:t> </w:t>
      </w:r>
      <w:r>
        <w:rPr/>
        <w:t>greater</w:t>
      </w:r>
      <w:r>
        <w:rPr>
          <w:spacing w:val="-6"/>
        </w:rPr>
        <w:t> </w:t>
      </w:r>
      <w:r>
        <w:rPr/>
        <w:t>dynamics</w:t>
      </w:r>
      <w:r>
        <w:rPr>
          <w:spacing w:val="-5"/>
        </w:rPr>
        <w:t> </w:t>
      </w:r>
      <w:r>
        <w:rPr/>
        <w:t>in</w:t>
      </w:r>
      <w:r>
        <w:rPr>
          <w:spacing w:val="-4"/>
        </w:rPr>
        <w:t> </w:t>
      </w:r>
      <w:r>
        <w:rPr/>
        <w:t>consumption would be OR, CO and CE. Economic policies function as a measure of protection to national production, tariffs also harm the consumer by decreasing the VSN, the subsidy benefit the producer and consumer by increasing the</w:t>
      </w:r>
      <w:r>
        <w:rPr>
          <w:spacing w:val="-10"/>
        </w:rPr>
        <w:t> </w:t>
      </w:r>
      <w:r>
        <w:rPr/>
        <w:t>VSN.</w:t>
      </w:r>
    </w:p>
    <w:p>
      <w:pPr>
        <w:pStyle w:val="BodyText"/>
        <w:spacing w:before="4"/>
        <w:ind w:left="118"/>
        <w:jc w:val="both"/>
      </w:pPr>
      <w:r>
        <w:rPr>
          <w:b/>
        </w:rPr>
        <w:t>Key words: </w:t>
      </w:r>
      <w:r>
        <w:rPr/>
        <w:t>economic policies, production, pig, regionalization, nonlinear programming.</w:t>
      </w:r>
    </w:p>
    <w:p>
      <w:pPr>
        <w:spacing w:after="0"/>
        <w:jc w:val="both"/>
        <w:sectPr>
          <w:footerReference w:type="default" r:id="rId9"/>
          <w:pgSz w:w="12240" w:h="15840"/>
          <w:pgMar w:footer="986" w:header="984" w:top="1280" w:bottom="1180" w:left="1300" w:right="1340"/>
          <w:pgNumType w:start="14"/>
        </w:sectPr>
      </w:pPr>
    </w:p>
    <w:p>
      <w:pPr>
        <w:pStyle w:val="Heading4"/>
        <w:spacing w:before="128"/>
        <w:ind w:left="0" w:right="152"/>
        <w:rPr>
          <w:rFonts w:ascii="Arial"/>
        </w:rPr>
      </w:pPr>
      <w:bookmarkStart w:name="_bookmark1" w:id="3"/>
      <w:bookmarkEnd w:id="3"/>
      <w:r>
        <w:rPr>
          <w:b w:val="0"/>
        </w:rPr>
      </w:r>
      <w:r>
        <w:rPr>
          <w:rFonts w:ascii="Arial"/>
        </w:rPr>
        <w:t>AGRADECIMIENTOS</w:t>
      </w:r>
    </w:p>
    <w:p>
      <w:pPr>
        <w:pStyle w:val="BodyText"/>
        <w:rPr>
          <w:rFonts w:ascii="Arial"/>
          <w:b/>
        </w:rPr>
      </w:pPr>
    </w:p>
    <w:p>
      <w:pPr>
        <w:pStyle w:val="BodyText"/>
        <w:rPr>
          <w:rFonts w:ascii="Arial"/>
          <w:b/>
        </w:rPr>
      </w:pPr>
    </w:p>
    <w:p>
      <w:pPr>
        <w:pStyle w:val="BodyText"/>
        <w:spacing w:line="360" w:lineRule="auto" w:before="195"/>
        <w:ind w:left="128" w:right="263"/>
        <w:jc w:val="both"/>
      </w:pPr>
      <w:r>
        <w:rPr/>
        <w:t>Al Consejo Nacional de Ciencia y Tecnología, por la beca otorgada durante el tiempo de realización</w:t>
      </w:r>
      <w:r>
        <w:rPr>
          <w:spacing w:val="-4"/>
        </w:rPr>
        <w:t> </w:t>
      </w:r>
      <w:r>
        <w:rPr/>
        <w:t>de</w:t>
      </w:r>
      <w:r>
        <w:rPr>
          <w:spacing w:val="-6"/>
        </w:rPr>
        <w:t> </w:t>
      </w:r>
      <w:r>
        <w:rPr/>
        <w:t>los</w:t>
      </w:r>
      <w:r>
        <w:rPr>
          <w:spacing w:val="-4"/>
        </w:rPr>
        <w:t> </w:t>
      </w:r>
      <w:r>
        <w:rPr/>
        <w:t>estudios</w:t>
      </w:r>
      <w:r>
        <w:rPr>
          <w:spacing w:val="-5"/>
        </w:rPr>
        <w:t> </w:t>
      </w:r>
      <w:r>
        <w:rPr/>
        <w:t>de</w:t>
      </w:r>
      <w:r>
        <w:rPr>
          <w:spacing w:val="-6"/>
        </w:rPr>
        <w:t> </w:t>
      </w:r>
      <w:r>
        <w:rPr/>
        <w:t>posgrado</w:t>
      </w:r>
      <w:r>
        <w:rPr>
          <w:spacing w:val="-4"/>
        </w:rPr>
        <w:t> </w:t>
      </w:r>
      <w:r>
        <w:rPr/>
        <w:t>en</w:t>
      </w:r>
      <w:r>
        <w:rPr>
          <w:spacing w:val="-5"/>
        </w:rPr>
        <w:t> </w:t>
      </w:r>
      <w:r>
        <w:rPr/>
        <w:t>el</w:t>
      </w:r>
      <w:r>
        <w:rPr>
          <w:spacing w:val="-4"/>
        </w:rPr>
        <w:t> </w:t>
      </w:r>
      <w:r>
        <w:rPr/>
        <w:t>programa</w:t>
      </w:r>
      <w:r>
        <w:rPr>
          <w:spacing w:val="-5"/>
        </w:rPr>
        <w:t> </w:t>
      </w:r>
      <w:r>
        <w:rPr/>
        <w:t>de</w:t>
      </w:r>
      <w:r>
        <w:rPr>
          <w:spacing w:val="-6"/>
        </w:rPr>
        <w:t> </w:t>
      </w:r>
      <w:r>
        <w:rPr/>
        <w:t>Doctorado</w:t>
      </w:r>
      <w:r>
        <w:rPr>
          <w:spacing w:val="-5"/>
        </w:rPr>
        <w:t> </w:t>
      </w:r>
      <w:r>
        <w:rPr/>
        <w:t>en</w:t>
      </w:r>
      <w:r>
        <w:rPr>
          <w:spacing w:val="-5"/>
        </w:rPr>
        <w:t> </w:t>
      </w:r>
      <w:r>
        <w:rPr/>
        <w:t>Ciencias</w:t>
      </w:r>
      <w:r>
        <w:rPr>
          <w:spacing w:val="-5"/>
        </w:rPr>
        <w:t> </w:t>
      </w:r>
      <w:r>
        <w:rPr/>
        <w:t>Agropecuarias y Recursos</w:t>
      </w:r>
      <w:r>
        <w:rPr>
          <w:spacing w:val="-6"/>
        </w:rPr>
        <w:t> </w:t>
      </w:r>
      <w:r>
        <w:rPr/>
        <w:t>Naturales.</w:t>
      </w:r>
    </w:p>
    <w:p>
      <w:pPr>
        <w:pStyle w:val="BodyText"/>
      </w:pPr>
    </w:p>
    <w:p>
      <w:pPr>
        <w:pStyle w:val="BodyText"/>
      </w:pPr>
    </w:p>
    <w:p>
      <w:pPr>
        <w:pStyle w:val="BodyText"/>
        <w:spacing w:line="360" w:lineRule="auto" w:before="174"/>
        <w:ind w:left="128" w:right="269"/>
        <w:jc w:val="both"/>
      </w:pPr>
      <w:r>
        <w:rPr/>
        <w:t>A la Universidad Autónoma del Estado de México, Centro Universitario UAEM</w:t>
      </w:r>
      <w:r>
        <w:rPr>
          <w:spacing w:val="-18"/>
        </w:rPr>
        <w:t> </w:t>
      </w:r>
      <w:r>
        <w:rPr/>
        <w:t>Temascaltepec y especialmente al Programa de Maestría y Doctorado en Ciencias Agropecuarias y Recursos Naturales, por haberme permitió realizar los estudios de</w:t>
      </w:r>
      <w:r>
        <w:rPr>
          <w:spacing w:val="-11"/>
        </w:rPr>
        <w:t> </w:t>
      </w:r>
      <w:r>
        <w:rPr/>
        <w:t>posgrado.</w:t>
      </w:r>
    </w:p>
    <w:p>
      <w:pPr>
        <w:pStyle w:val="BodyText"/>
      </w:pPr>
    </w:p>
    <w:p>
      <w:pPr>
        <w:pStyle w:val="BodyText"/>
      </w:pPr>
    </w:p>
    <w:p>
      <w:pPr>
        <w:pStyle w:val="BodyText"/>
        <w:spacing w:line="360" w:lineRule="auto" w:before="174"/>
        <w:ind w:left="118" w:right="264"/>
        <w:jc w:val="both"/>
      </w:pPr>
      <w:r>
        <w:rPr/>
        <w:t>A mis tutores de tesis, Dr. Germán Gómez Tenorio, Dr. Samuel Rebollar Rebollar y Dr. Francisco Ernesto Martínez Castañeda, por su gran paciencia, conocimiento, amistad, sugerencias y apoyo en la realización de este proyecto.</w:t>
      </w:r>
    </w:p>
    <w:p>
      <w:pPr>
        <w:spacing w:after="0" w:line="360" w:lineRule="auto"/>
        <w:jc w:val="both"/>
        <w:sectPr>
          <w:footerReference w:type="default" r:id="rId10"/>
          <w:pgSz w:w="12240" w:h="15840"/>
          <w:pgMar w:footer="986" w:header="984" w:top="1280" w:bottom="1180" w:left="1300" w:right="1340"/>
          <w:pgNumType w:start="15"/>
        </w:sectPr>
      </w:pPr>
    </w:p>
    <w:p>
      <w:pPr>
        <w:spacing w:before="128"/>
        <w:ind w:left="0" w:right="147" w:firstLine="0"/>
        <w:jc w:val="center"/>
        <w:rPr>
          <w:rFonts w:ascii="Calibri Light"/>
          <w:b w:val="0"/>
          <w:sz w:val="32"/>
        </w:rPr>
      </w:pPr>
      <w:r>
        <w:rPr>
          <w:rFonts w:ascii="Calibri Light"/>
          <w:b w:val="0"/>
          <w:sz w:val="32"/>
        </w:rPr>
        <w:t>Contenido</w:t>
      </w:r>
    </w:p>
    <w:p>
      <w:pPr>
        <w:spacing w:after="0"/>
        <w:jc w:val="center"/>
        <w:rPr>
          <w:rFonts w:ascii="Calibri Light"/>
          <w:sz w:val="32"/>
        </w:rPr>
        <w:sectPr>
          <w:pgSz w:w="12240" w:h="15840"/>
          <w:pgMar w:header="984" w:footer="986" w:top="1280" w:bottom="1553" w:left="1300" w:right="1340"/>
        </w:sectPr>
      </w:pPr>
    </w:p>
    <w:sdt>
      <w:sdtPr>
        <w:docPartObj>
          <w:docPartGallery w:val="Table of Contents"/>
          <w:docPartUnique/>
        </w:docPartObj>
      </w:sdtPr>
      <w:sdtEndPr/>
      <w:sdtContent>
        <w:p>
          <w:pPr>
            <w:pStyle w:val="TOC1"/>
            <w:tabs>
              <w:tab w:pos="8765" w:val="left" w:leader="dot"/>
            </w:tabs>
            <w:spacing w:before="23"/>
            <w:ind w:right="410"/>
          </w:pPr>
          <w:r>
            <w:rPr/>
            <w:t>DEDICATORIAS</w:t>
            <w:tab/>
            <w:t>iii</w:t>
          </w:r>
        </w:p>
        <w:p>
          <w:pPr>
            <w:pStyle w:val="TOC1"/>
            <w:tabs>
              <w:tab w:pos="8777" w:val="left" w:leader="dot"/>
            </w:tabs>
            <w:ind w:right="410"/>
          </w:pPr>
          <w:hyperlink w:history="true" w:anchor="_TOC_250000">
            <w:r>
              <w:rPr/>
              <w:t>PUBLICACIONES</w:t>
              <w:tab/>
              <w:t>iv</w:t>
            </w:r>
          </w:hyperlink>
        </w:p>
        <w:p>
          <w:pPr>
            <w:pStyle w:val="TOC1"/>
            <w:tabs>
              <w:tab w:pos="8837" w:val="left" w:leader="dot"/>
            </w:tabs>
            <w:ind w:right="410"/>
          </w:pPr>
          <w:hyperlink w:history="true" w:anchor="_bookmark0">
            <w:r>
              <w:rPr/>
              <w:t>RESÚMENES</w:t>
              <w:tab/>
              <w:t>v</w:t>
            </w:r>
          </w:hyperlink>
        </w:p>
        <w:p>
          <w:pPr>
            <w:pStyle w:val="TOC1"/>
            <w:tabs>
              <w:tab w:pos="8726" w:val="left" w:leader="dot"/>
            </w:tabs>
            <w:ind w:right="410"/>
          </w:pPr>
          <w:hyperlink w:history="true" w:anchor="_bookmark1">
            <w:r>
              <w:rPr/>
              <w:t>AGRADECIMIENTOS</w:t>
              <w:tab/>
              <w:t>xv</w:t>
            </w:r>
          </w:hyperlink>
        </w:p>
        <w:p>
          <w:pPr>
            <w:pStyle w:val="TOC1"/>
            <w:numPr>
              <w:ilvl w:val="0"/>
              <w:numId w:val="2"/>
            </w:numPr>
            <w:tabs>
              <w:tab w:pos="302" w:val="left" w:leader="none"/>
              <w:tab w:pos="8837" w:val="left" w:leader="dot"/>
            </w:tabs>
            <w:spacing w:line="240" w:lineRule="auto" w:before="227" w:after="0"/>
            <w:ind w:left="301" w:right="0" w:hanging="183"/>
            <w:jc w:val="left"/>
          </w:pPr>
          <w:hyperlink w:history="true" w:anchor="_bookmark2">
            <w:r>
              <w:rPr/>
              <w:t>INTRODUCCIÓN</w:t>
            </w:r>
            <w:r>
              <w:rPr>
                <w:spacing w:val="-5"/>
              </w:rPr>
              <w:t> </w:t>
            </w:r>
            <w:r>
              <w:rPr/>
              <w:t>GENERAL</w:t>
              <w:tab/>
              <w:t>1</w:t>
            </w:r>
          </w:hyperlink>
        </w:p>
        <w:p>
          <w:pPr>
            <w:pStyle w:val="TOC1"/>
            <w:numPr>
              <w:ilvl w:val="0"/>
              <w:numId w:val="2"/>
            </w:numPr>
            <w:tabs>
              <w:tab w:pos="374" w:val="left" w:leader="none"/>
              <w:tab w:pos="8837" w:val="left" w:leader="dot"/>
            </w:tabs>
            <w:spacing w:line="240" w:lineRule="auto" w:before="224" w:after="0"/>
            <w:ind w:left="373" w:right="0" w:hanging="255"/>
            <w:jc w:val="left"/>
          </w:pPr>
          <w:hyperlink w:history="true" w:anchor="_bookmark3">
            <w:r>
              <w:rPr/>
              <w:t>REVISIÓN</w:t>
            </w:r>
            <w:r>
              <w:rPr>
                <w:spacing w:val="-3"/>
              </w:rPr>
              <w:t> </w:t>
            </w:r>
            <w:r>
              <w:rPr/>
              <w:t>DE</w:t>
            </w:r>
            <w:r>
              <w:rPr>
                <w:spacing w:val="-2"/>
              </w:rPr>
              <w:t> </w:t>
            </w:r>
            <w:r>
              <w:rPr/>
              <w:t>LITERATURA</w:t>
              <w:tab/>
              <w:t>4</w:t>
            </w:r>
          </w:hyperlink>
        </w:p>
        <w:p>
          <w:pPr>
            <w:pStyle w:val="TOC3"/>
            <w:numPr>
              <w:ilvl w:val="1"/>
              <w:numId w:val="3"/>
            </w:numPr>
            <w:tabs>
              <w:tab w:pos="671" w:val="left" w:leader="none"/>
              <w:tab w:pos="8837" w:val="left" w:leader="dot"/>
            </w:tabs>
            <w:spacing w:line="240" w:lineRule="auto" w:before="227" w:after="0"/>
            <w:ind w:left="670" w:right="0" w:hanging="331"/>
            <w:jc w:val="left"/>
          </w:pPr>
          <w:hyperlink w:history="true" w:anchor="_bookmark4">
            <w:r>
              <w:rPr/>
              <w:t>Contexto</w:t>
            </w:r>
            <w:r>
              <w:rPr>
                <w:spacing w:val="-1"/>
              </w:rPr>
              <w:t> </w:t>
            </w:r>
            <w:r>
              <w:rPr/>
              <w:t>mundial</w:t>
              <w:tab/>
              <w:t>5</w:t>
            </w:r>
          </w:hyperlink>
        </w:p>
        <w:p>
          <w:pPr>
            <w:pStyle w:val="TOC3"/>
            <w:numPr>
              <w:ilvl w:val="2"/>
              <w:numId w:val="3"/>
            </w:numPr>
            <w:tabs>
              <w:tab w:pos="837" w:val="left" w:leader="none"/>
              <w:tab w:pos="8837" w:val="left" w:leader="dot"/>
            </w:tabs>
            <w:spacing w:line="240" w:lineRule="auto" w:before="227" w:after="0"/>
            <w:ind w:left="836" w:right="0" w:hanging="497"/>
            <w:jc w:val="left"/>
          </w:pPr>
          <w:hyperlink w:history="true" w:anchor="_bookmark5">
            <w:r>
              <w:rPr/>
              <w:t>Producción</w:t>
              <w:tab/>
              <w:t>5</w:t>
            </w:r>
          </w:hyperlink>
        </w:p>
        <w:p>
          <w:pPr>
            <w:pStyle w:val="TOC3"/>
            <w:numPr>
              <w:ilvl w:val="2"/>
              <w:numId w:val="3"/>
            </w:numPr>
            <w:tabs>
              <w:tab w:pos="837" w:val="left" w:leader="none"/>
              <w:tab w:pos="8837" w:val="left" w:leader="dot"/>
            </w:tabs>
            <w:spacing w:line="240" w:lineRule="auto" w:before="227" w:after="0"/>
            <w:ind w:left="836" w:right="0" w:hanging="497"/>
            <w:jc w:val="left"/>
          </w:pPr>
          <w:hyperlink w:history="true" w:anchor="_bookmark6">
            <w:r>
              <w:rPr/>
              <w:t>Consumo</w:t>
              <w:tab/>
              <w:t>6</w:t>
            </w:r>
          </w:hyperlink>
        </w:p>
        <w:p>
          <w:pPr>
            <w:pStyle w:val="TOC3"/>
            <w:numPr>
              <w:ilvl w:val="2"/>
              <w:numId w:val="4"/>
            </w:numPr>
            <w:tabs>
              <w:tab w:pos="837" w:val="left" w:leader="none"/>
              <w:tab w:pos="8837" w:val="left" w:leader="dot"/>
            </w:tabs>
            <w:spacing w:line="240" w:lineRule="auto" w:before="224" w:after="0"/>
            <w:ind w:left="836" w:right="0" w:hanging="497"/>
            <w:jc w:val="left"/>
          </w:pPr>
          <w:hyperlink w:history="true" w:anchor="_bookmark7">
            <w:r>
              <w:rPr/>
              <w:t>Producción</w:t>
              <w:tab/>
              <w:t>7</w:t>
            </w:r>
          </w:hyperlink>
        </w:p>
        <w:p>
          <w:pPr>
            <w:pStyle w:val="TOC3"/>
            <w:numPr>
              <w:ilvl w:val="2"/>
              <w:numId w:val="4"/>
            </w:numPr>
            <w:tabs>
              <w:tab w:pos="837" w:val="left" w:leader="none"/>
              <w:tab w:pos="8837" w:val="left" w:leader="dot"/>
            </w:tabs>
            <w:spacing w:line="240" w:lineRule="auto" w:before="227" w:after="0"/>
            <w:ind w:left="836" w:right="0" w:hanging="497"/>
            <w:jc w:val="left"/>
          </w:pPr>
          <w:hyperlink w:history="true" w:anchor="_bookmark8">
            <w:r>
              <w:rPr/>
              <w:t>Consumo</w:t>
              <w:tab/>
              <w:t>9</w:t>
            </w:r>
          </w:hyperlink>
        </w:p>
        <w:p>
          <w:pPr>
            <w:pStyle w:val="TOC3"/>
            <w:numPr>
              <w:ilvl w:val="1"/>
              <w:numId w:val="4"/>
            </w:numPr>
            <w:tabs>
              <w:tab w:pos="671" w:val="left" w:leader="none"/>
              <w:tab w:pos="8837" w:val="left" w:leader="dot"/>
            </w:tabs>
            <w:spacing w:line="240" w:lineRule="auto" w:before="227" w:after="0"/>
            <w:ind w:left="670" w:right="0" w:hanging="331"/>
            <w:jc w:val="left"/>
          </w:pPr>
          <w:hyperlink w:history="true" w:anchor="_bookmark9">
            <w:r>
              <w:rPr/>
              <w:t>Desarrollo del sector porcino</w:t>
            </w:r>
            <w:r>
              <w:rPr>
                <w:spacing w:val="-6"/>
              </w:rPr>
              <w:t> </w:t>
            </w:r>
            <w:r>
              <w:rPr/>
              <w:t>en</w:t>
            </w:r>
            <w:r>
              <w:rPr>
                <w:spacing w:val="-4"/>
              </w:rPr>
              <w:t> </w:t>
            </w:r>
            <w:r>
              <w:rPr/>
              <w:t>México</w:t>
              <w:tab/>
              <w:t>9</w:t>
            </w:r>
          </w:hyperlink>
        </w:p>
        <w:p>
          <w:pPr>
            <w:pStyle w:val="TOC3"/>
            <w:numPr>
              <w:ilvl w:val="1"/>
              <w:numId w:val="4"/>
            </w:numPr>
            <w:tabs>
              <w:tab w:pos="671" w:val="left" w:leader="none"/>
              <w:tab w:pos="8726" w:val="left" w:leader="dot"/>
            </w:tabs>
            <w:spacing w:line="240" w:lineRule="auto" w:before="227" w:after="0"/>
            <w:ind w:left="670" w:right="0" w:hanging="331"/>
            <w:jc w:val="left"/>
          </w:pPr>
          <w:hyperlink w:history="true" w:anchor="_bookmark10">
            <w:r>
              <w:rPr/>
              <w:t>Concepto</w:t>
            </w:r>
            <w:r>
              <w:rPr>
                <w:spacing w:val="-2"/>
              </w:rPr>
              <w:t> </w:t>
            </w:r>
            <w:r>
              <w:rPr/>
              <w:t>de</w:t>
            </w:r>
            <w:r>
              <w:rPr>
                <w:spacing w:val="-2"/>
              </w:rPr>
              <w:t> </w:t>
            </w:r>
            <w:r>
              <w:rPr/>
              <w:t>competitividad</w:t>
              <w:tab/>
              <w:t>11</w:t>
            </w:r>
          </w:hyperlink>
        </w:p>
        <w:p>
          <w:pPr>
            <w:pStyle w:val="TOC3"/>
            <w:numPr>
              <w:ilvl w:val="1"/>
              <w:numId w:val="4"/>
            </w:numPr>
            <w:tabs>
              <w:tab w:pos="671" w:val="left" w:leader="none"/>
              <w:tab w:pos="8726" w:val="left" w:leader="dot"/>
            </w:tabs>
            <w:spacing w:line="240" w:lineRule="auto" w:before="227" w:after="0"/>
            <w:ind w:left="670" w:right="0" w:hanging="331"/>
            <w:jc w:val="left"/>
          </w:pPr>
          <w:hyperlink w:history="true" w:anchor="_bookmark11">
            <w:r>
              <w:rPr/>
              <w:t>Ventajas competitivas Estados Unidos</w:t>
            </w:r>
            <w:r>
              <w:rPr>
                <w:spacing w:val="-5"/>
              </w:rPr>
              <w:t> </w:t>
            </w:r>
            <w:r>
              <w:rPr/>
              <w:t>y</w:t>
            </w:r>
            <w:r>
              <w:rPr>
                <w:spacing w:val="-4"/>
              </w:rPr>
              <w:t> </w:t>
            </w:r>
            <w:r>
              <w:rPr/>
              <w:t>México</w:t>
              <w:tab/>
              <w:t>13</w:t>
            </w:r>
          </w:hyperlink>
        </w:p>
        <w:p>
          <w:pPr>
            <w:pStyle w:val="TOC1"/>
            <w:numPr>
              <w:ilvl w:val="0"/>
              <w:numId w:val="2"/>
            </w:numPr>
            <w:tabs>
              <w:tab w:pos="448" w:val="left" w:leader="none"/>
              <w:tab w:pos="8726" w:val="left" w:leader="dot"/>
            </w:tabs>
            <w:spacing w:line="240" w:lineRule="auto" w:before="225" w:after="0"/>
            <w:ind w:left="447" w:right="0" w:hanging="329"/>
            <w:jc w:val="left"/>
          </w:pPr>
          <w:hyperlink w:history="true" w:anchor="_bookmark12">
            <w:r>
              <w:rPr/>
              <w:t>JUSTIFICACIÓN</w:t>
              <w:tab/>
              <w:t>15</w:t>
            </w:r>
          </w:hyperlink>
        </w:p>
        <w:p>
          <w:pPr>
            <w:pStyle w:val="TOC1"/>
            <w:numPr>
              <w:ilvl w:val="0"/>
              <w:numId w:val="2"/>
            </w:numPr>
            <w:tabs>
              <w:tab w:pos="460" w:val="left" w:leader="none"/>
              <w:tab w:pos="8726" w:val="left" w:leader="dot"/>
            </w:tabs>
            <w:spacing w:line="240" w:lineRule="auto" w:before="227" w:after="0"/>
            <w:ind w:left="459" w:right="0" w:hanging="341"/>
            <w:jc w:val="left"/>
          </w:pPr>
          <w:hyperlink w:history="true" w:anchor="_bookmark13">
            <w:r>
              <w:rPr/>
              <w:t>HIPÓTESIS</w:t>
              <w:tab/>
              <w:t>17</w:t>
            </w:r>
          </w:hyperlink>
        </w:p>
        <w:p>
          <w:pPr>
            <w:pStyle w:val="TOC1"/>
            <w:numPr>
              <w:ilvl w:val="0"/>
              <w:numId w:val="2"/>
            </w:numPr>
            <w:tabs>
              <w:tab w:pos="390" w:val="left" w:leader="none"/>
              <w:tab w:pos="8726" w:val="left" w:leader="dot"/>
            </w:tabs>
            <w:spacing w:line="240" w:lineRule="auto" w:before="227" w:after="0"/>
            <w:ind w:left="389" w:right="0" w:hanging="271"/>
            <w:jc w:val="left"/>
          </w:pPr>
          <w:hyperlink w:history="true" w:anchor="_bookmark14">
            <w:r>
              <w:rPr/>
              <w:t>OBJETIVOS</w:t>
              <w:tab/>
              <w:t>19</w:t>
            </w:r>
          </w:hyperlink>
        </w:p>
        <w:p>
          <w:pPr>
            <w:pStyle w:val="TOC1"/>
            <w:numPr>
              <w:ilvl w:val="0"/>
              <w:numId w:val="2"/>
            </w:numPr>
            <w:tabs>
              <w:tab w:pos="460" w:val="left" w:leader="none"/>
              <w:tab w:pos="8726" w:val="left" w:leader="dot"/>
            </w:tabs>
            <w:spacing w:line="240" w:lineRule="auto" w:before="227" w:after="0"/>
            <w:ind w:left="459" w:right="0" w:hanging="341"/>
            <w:jc w:val="left"/>
          </w:pPr>
          <w:hyperlink w:history="true" w:anchor="_bookmark15">
            <w:r>
              <w:rPr/>
              <w:t>MATERIAL</w:t>
            </w:r>
            <w:r>
              <w:rPr>
                <w:spacing w:val="-1"/>
              </w:rPr>
              <w:t> </w:t>
            </w:r>
            <w:r>
              <w:rPr/>
              <w:t>Y</w:t>
            </w:r>
            <w:r>
              <w:rPr>
                <w:spacing w:val="-3"/>
              </w:rPr>
              <w:t> </w:t>
            </w:r>
            <w:r>
              <w:rPr/>
              <w:t>MÉTODO</w:t>
              <w:tab/>
              <w:t>21</w:t>
            </w:r>
          </w:hyperlink>
        </w:p>
        <w:p>
          <w:pPr>
            <w:pStyle w:val="TOC2"/>
            <w:numPr>
              <w:ilvl w:val="1"/>
              <w:numId w:val="5"/>
            </w:numPr>
            <w:tabs>
              <w:tab w:pos="999" w:val="left" w:leader="none"/>
              <w:tab w:pos="1000" w:val="left" w:leader="none"/>
              <w:tab w:pos="8726" w:val="left" w:leader="dot"/>
            </w:tabs>
            <w:spacing w:line="355" w:lineRule="auto" w:before="232" w:after="0"/>
            <w:ind w:left="339" w:right="269" w:firstLine="0"/>
            <w:jc w:val="left"/>
            <w:rPr>
              <w:b w:val="0"/>
            </w:rPr>
          </w:pPr>
          <w:hyperlink w:history="true" w:anchor="_bookmark16">
            <w:r>
              <w:rPr/>
              <w:t>Determinación</w:t>
            </w:r>
            <w:r>
              <w:rPr>
                <w:spacing w:val="-9"/>
              </w:rPr>
              <w:t> </w:t>
            </w:r>
            <w:r>
              <w:rPr/>
              <w:t>del</w:t>
            </w:r>
            <w:r>
              <w:rPr>
                <w:spacing w:val="-8"/>
              </w:rPr>
              <w:t> </w:t>
            </w:r>
            <w:r>
              <w:rPr/>
              <w:t>tamaño</w:t>
            </w:r>
            <w:r>
              <w:rPr>
                <w:spacing w:val="-9"/>
              </w:rPr>
              <w:t> </w:t>
            </w:r>
            <w:r>
              <w:rPr/>
              <w:t>de</w:t>
            </w:r>
            <w:r>
              <w:rPr>
                <w:spacing w:val="-9"/>
              </w:rPr>
              <w:t> </w:t>
            </w:r>
            <w:r>
              <w:rPr/>
              <w:t>planta</w:t>
            </w:r>
            <w:r>
              <w:rPr>
                <w:spacing w:val="-9"/>
              </w:rPr>
              <w:t> </w:t>
            </w:r>
            <w:r>
              <w:rPr/>
              <w:t>de</w:t>
            </w:r>
            <w:r>
              <w:rPr>
                <w:spacing w:val="-9"/>
              </w:rPr>
              <w:t> </w:t>
            </w:r>
            <w:r>
              <w:rPr/>
              <w:t>rastros</w:t>
            </w:r>
            <w:r>
              <w:rPr>
                <w:spacing w:val="-8"/>
              </w:rPr>
              <w:t> </w:t>
            </w:r>
            <w:r>
              <w:rPr/>
              <w:t>y</w:t>
            </w:r>
            <w:r>
              <w:rPr>
                <w:spacing w:val="-9"/>
              </w:rPr>
              <w:t> </w:t>
            </w:r>
            <w:r>
              <w:rPr/>
              <w:t>distribución</w:t>
            </w:r>
            <w:r>
              <w:rPr>
                <w:spacing w:val="-9"/>
              </w:rPr>
              <w:t> </w:t>
            </w:r>
            <w:r>
              <w:rPr/>
              <w:t>óptima</w:t>
            </w:r>
            <w:r>
              <w:rPr>
                <w:spacing w:val="-9"/>
              </w:rPr>
              <w:t> </w:t>
            </w:r>
            <w:r>
              <w:rPr/>
              <w:t>de</w:t>
            </w:r>
            <w:r>
              <w:rPr>
                <w:spacing w:val="-11"/>
              </w:rPr>
              <w:t> </w:t>
            </w:r>
            <w:r>
              <w:rPr/>
              <w:t>la</w:t>
            </w:r>
            <w:r>
              <w:rPr>
                <w:spacing w:val="-9"/>
              </w:rPr>
              <w:t> </w:t>
            </w:r>
            <w:r>
              <w:rPr/>
              <w:t>carne</w:t>
            </w:r>
            <w:r>
              <w:rPr>
                <w:spacing w:val="-8"/>
              </w:rPr>
              <w:t> </w:t>
            </w:r>
            <w:r>
              <w:rPr/>
              <w:t>de</w:t>
            </w:r>
            <w:r>
              <w:rPr>
                <w:spacing w:val="-9"/>
              </w:rPr>
              <w:t> </w:t>
            </w:r>
            <w:r>
              <w:rPr/>
              <w:t>cerdo</w:t>
            </w:r>
          </w:hyperlink>
          <w:r>
            <w:rPr/>
            <w:t> </w:t>
          </w:r>
          <w:hyperlink w:history="true" w:anchor="_bookmark16">
            <w:r>
              <w:rPr/>
              <w:t>en la región sur del estado</w:t>
            </w:r>
            <w:r>
              <w:rPr>
                <w:spacing w:val="-6"/>
              </w:rPr>
              <w:t> </w:t>
            </w:r>
            <w:r>
              <w:rPr/>
              <w:t>de México</w:t>
            </w:r>
            <w:r>
              <w:rPr>
                <w:b w:val="0"/>
              </w:rPr>
              <w:tab/>
              <w:t>22</w:t>
            </w:r>
          </w:hyperlink>
        </w:p>
        <w:p>
          <w:pPr>
            <w:pStyle w:val="TOC2"/>
            <w:numPr>
              <w:ilvl w:val="1"/>
              <w:numId w:val="5"/>
            </w:numPr>
            <w:tabs>
              <w:tab w:pos="999" w:val="left" w:leader="none"/>
              <w:tab w:pos="1000" w:val="left" w:leader="none"/>
              <w:tab w:pos="8726" w:val="left" w:leader="dot"/>
            </w:tabs>
            <w:spacing w:line="352" w:lineRule="auto" w:before="115" w:after="0"/>
            <w:ind w:left="339" w:right="272" w:firstLine="0"/>
            <w:jc w:val="left"/>
            <w:rPr>
              <w:b w:val="0"/>
            </w:rPr>
          </w:pPr>
          <w:hyperlink w:history="true" w:anchor="_bookmark17">
            <w:r>
              <w:rPr/>
              <w:t>Determinación de la ubicación, tamaño de rastros y distribución óptima de la carne de</w:t>
            </w:r>
          </w:hyperlink>
          <w:r>
            <w:rPr/>
            <w:t> </w:t>
          </w:r>
          <w:hyperlink w:history="true" w:anchor="_bookmark17">
            <w:r>
              <w:rPr/>
              <w:t>cerdo en el estado</w:t>
            </w:r>
            <w:r>
              <w:rPr>
                <w:spacing w:val="-3"/>
              </w:rPr>
              <w:t> </w:t>
            </w:r>
            <w:r>
              <w:rPr/>
              <w:t>de</w:t>
            </w:r>
            <w:r>
              <w:rPr>
                <w:spacing w:val="-2"/>
              </w:rPr>
              <w:t> </w:t>
            </w:r>
            <w:r>
              <w:rPr/>
              <w:t>México.</w:t>
            </w:r>
            <w:r>
              <w:rPr>
                <w:b w:val="0"/>
              </w:rPr>
              <w:tab/>
              <w:t>26</w:t>
            </w:r>
          </w:hyperlink>
        </w:p>
        <w:p>
          <w:pPr>
            <w:pStyle w:val="TOC2"/>
            <w:numPr>
              <w:ilvl w:val="1"/>
              <w:numId w:val="5"/>
            </w:numPr>
            <w:tabs>
              <w:tab w:pos="999" w:val="left" w:leader="none"/>
              <w:tab w:pos="1000" w:val="left" w:leader="none"/>
              <w:tab w:pos="8726" w:val="left" w:leader="dot"/>
            </w:tabs>
            <w:spacing w:line="240" w:lineRule="auto" w:before="112" w:after="0"/>
            <w:ind w:left="999" w:right="0" w:hanging="660"/>
            <w:jc w:val="left"/>
            <w:rPr>
              <w:b w:val="0"/>
            </w:rPr>
          </w:pPr>
          <w:hyperlink w:history="true" w:anchor="_bookmark18">
            <w:r>
              <w:rPr/>
              <w:t>Mercado de la carne de cerdo en México, un modelo</w:t>
            </w:r>
            <w:r>
              <w:rPr>
                <w:spacing w:val="-9"/>
              </w:rPr>
              <w:t> </w:t>
            </w:r>
            <w:r>
              <w:rPr/>
              <w:t>de</w:t>
            </w:r>
            <w:r>
              <w:rPr>
                <w:spacing w:val="-1"/>
              </w:rPr>
              <w:t> </w:t>
            </w:r>
            <w:r>
              <w:rPr/>
              <w:t>optimización.</w:t>
            </w:r>
            <w:r>
              <w:rPr>
                <w:b w:val="0"/>
              </w:rPr>
              <w:tab/>
              <w:t>31</w:t>
            </w:r>
          </w:hyperlink>
        </w:p>
        <w:p>
          <w:pPr>
            <w:pStyle w:val="TOC2"/>
            <w:numPr>
              <w:ilvl w:val="1"/>
              <w:numId w:val="5"/>
            </w:numPr>
            <w:tabs>
              <w:tab w:pos="999" w:val="left" w:leader="none"/>
              <w:tab w:pos="1000" w:val="left" w:leader="none"/>
              <w:tab w:pos="8726" w:val="left" w:leader="dot"/>
            </w:tabs>
            <w:spacing w:line="352" w:lineRule="auto" w:before="234" w:after="0"/>
            <w:ind w:left="339" w:right="265" w:firstLine="0"/>
            <w:jc w:val="left"/>
            <w:rPr>
              <w:b w:val="0"/>
            </w:rPr>
          </w:pPr>
          <w:hyperlink w:history="true" w:anchor="_bookmark19">
            <w:r>
              <w:rPr/>
              <w:t>Efectos</w:t>
            </w:r>
            <w:r>
              <w:rPr>
                <w:spacing w:val="-8"/>
              </w:rPr>
              <w:t> </w:t>
            </w:r>
            <w:r>
              <w:rPr/>
              <w:t>regionales</w:t>
            </w:r>
            <w:r>
              <w:rPr>
                <w:spacing w:val="-8"/>
              </w:rPr>
              <w:t> </w:t>
            </w:r>
            <w:r>
              <w:rPr/>
              <w:t>y</w:t>
            </w:r>
            <w:r>
              <w:rPr>
                <w:spacing w:val="-9"/>
              </w:rPr>
              <w:t> </w:t>
            </w:r>
            <w:r>
              <w:rPr/>
              <w:t>nacionales</w:t>
            </w:r>
            <w:r>
              <w:rPr>
                <w:spacing w:val="-8"/>
              </w:rPr>
              <w:t> </w:t>
            </w:r>
            <w:r>
              <w:rPr/>
              <w:t>sobre</w:t>
            </w:r>
            <w:r>
              <w:rPr>
                <w:spacing w:val="-8"/>
              </w:rPr>
              <w:t> </w:t>
            </w:r>
            <w:r>
              <w:rPr/>
              <w:t>la</w:t>
            </w:r>
            <w:r>
              <w:rPr>
                <w:spacing w:val="-9"/>
              </w:rPr>
              <w:t> </w:t>
            </w:r>
            <w:r>
              <w:rPr/>
              <w:t>producción</w:t>
            </w:r>
            <w:r>
              <w:rPr>
                <w:spacing w:val="-11"/>
              </w:rPr>
              <w:t> </w:t>
            </w:r>
            <w:r>
              <w:rPr/>
              <w:t>y</w:t>
            </w:r>
            <w:r>
              <w:rPr>
                <w:spacing w:val="-9"/>
              </w:rPr>
              <w:t> </w:t>
            </w:r>
            <w:r>
              <w:rPr/>
              <w:t>consumo</w:t>
            </w:r>
            <w:r>
              <w:rPr>
                <w:spacing w:val="-8"/>
              </w:rPr>
              <w:t> </w:t>
            </w:r>
            <w:r>
              <w:rPr/>
              <w:t>de</w:t>
            </w:r>
            <w:r>
              <w:rPr>
                <w:spacing w:val="-8"/>
              </w:rPr>
              <w:t> </w:t>
            </w:r>
            <w:r>
              <w:rPr/>
              <w:t>carne</w:t>
            </w:r>
            <w:r>
              <w:rPr>
                <w:spacing w:val="-9"/>
              </w:rPr>
              <w:t> </w:t>
            </w:r>
            <w:r>
              <w:rPr/>
              <w:t>de</w:t>
            </w:r>
            <w:r>
              <w:rPr>
                <w:spacing w:val="-9"/>
              </w:rPr>
              <w:t> </w:t>
            </w:r>
            <w:r>
              <w:rPr/>
              <w:t>carne</w:t>
            </w:r>
            <w:r>
              <w:rPr>
                <w:spacing w:val="-9"/>
              </w:rPr>
              <w:t> </w:t>
            </w:r>
            <w:r>
              <w:rPr/>
              <w:t>de</w:t>
            </w:r>
            <w:r>
              <w:rPr>
                <w:spacing w:val="-9"/>
              </w:rPr>
              <w:t> </w:t>
            </w:r>
            <w:r>
              <w:rPr/>
              <w:t>cerdo</w:t>
            </w:r>
          </w:hyperlink>
          <w:r>
            <w:rPr/>
            <w:t> </w:t>
          </w:r>
          <w:hyperlink w:history="true" w:anchor="_bookmark19">
            <w:r>
              <w:rPr/>
              <w:t>con la aplicación de aranceles a la</w:t>
            </w:r>
            <w:r>
              <w:rPr>
                <w:spacing w:val="-11"/>
              </w:rPr>
              <w:t> </w:t>
            </w:r>
            <w:r>
              <w:rPr/>
              <w:t>carne</w:t>
            </w:r>
            <w:r>
              <w:rPr>
                <w:spacing w:val="-1"/>
              </w:rPr>
              <w:t> </w:t>
            </w:r>
            <w:r>
              <w:rPr/>
              <w:t>importada.</w:t>
            </w:r>
            <w:r>
              <w:rPr>
                <w:b w:val="0"/>
              </w:rPr>
              <w:tab/>
              <w:t>36</w:t>
            </w:r>
          </w:hyperlink>
        </w:p>
        <w:p>
          <w:pPr>
            <w:pStyle w:val="TOC2"/>
            <w:numPr>
              <w:ilvl w:val="1"/>
              <w:numId w:val="5"/>
            </w:numPr>
            <w:tabs>
              <w:tab w:pos="999" w:val="left" w:leader="none"/>
              <w:tab w:pos="1000" w:val="left" w:leader="none"/>
              <w:tab w:pos="8726" w:val="left" w:leader="dot"/>
            </w:tabs>
            <w:spacing w:line="352" w:lineRule="auto" w:before="119" w:after="0"/>
            <w:ind w:left="339" w:right="267" w:firstLine="0"/>
            <w:jc w:val="left"/>
            <w:rPr>
              <w:b w:val="0"/>
            </w:rPr>
          </w:pPr>
          <w:hyperlink w:history="true" w:anchor="_bookmark20">
            <w:r>
              <w:rPr/>
              <w:t>Evaluación del efecto regional y nacional de la aplicación de políticas económicas a la</w:t>
            </w:r>
          </w:hyperlink>
          <w:r>
            <w:rPr/>
            <w:t> </w:t>
          </w:r>
          <w:hyperlink w:history="true" w:anchor="_bookmark20">
            <w:r>
              <w:rPr/>
              <w:t>porcicultura</w:t>
            </w:r>
            <w:r>
              <w:rPr>
                <w:spacing w:val="-4"/>
              </w:rPr>
              <w:t> </w:t>
            </w:r>
            <w:r>
              <w:rPr/>
              <w:t>mexicana.</w:t>
            </w:r>
            <w:r>
              <w:rPr>
                <w:b w:val="0"/>
              </w:rPr>
              <w:tab/>
              <w:t>40</w:t>
            </w:r>
          </w:hyperlink>
        </w:p>
        <w:p>
          <w:pPr>
            <w:pStyle w:val="TOC1"/>
            <w:numPr>
              <w:ilvl w:val="0"/>
              <w:numId w:val="2"/>
            </w:numPr>
            <w:tabs>
              <w:tab w:pos="532" w:val="left" w:leader="none"/>
              <w:tab w:pos="8947" w:val="right" w:leader="dot"/>
            </w:tabs>
            <w:spacing w:line="240" w:lineRule="auto" w:before="122" w:after="0"/>
            <w:ind w:left="531" w:right="0" w:hanging="413"/>
            <w:jc w:val="left"/>
          </w:pPr>
          <w:hyperlink w:history="true" w:anchor="_bookmark21">
            <w:r>
              <w:rPr/>
              <w:t>RESULTADOS</w:t>
              <w:tab/>
              <w:t>45</w:t>
            </w:r>
          </w:hyperlink>
        </w:p>
        <w:p>
          <w:pPr>
            <w:pStyle w:val="TOC3"/>
            <w:numPr>
              <w:ilvl w:val="1"/>
              <w:numId w:val="6"/>
            </w:numPr>
            <w:tabs>
              <w:tab w:pos="667" w:val="left" w:leader="none"/>
              <w:tab w:pos="8947" w:val="right" w:leader="dot"/>
            </w:tabs>
            <w:spacing w:line="240" w:lineRule="auto" w:before="227" w:after="0"/>
            <w:ind w:left="666" w:right="0" w:hanging="327"/>
            <w:jc w:val="left"/>
          </w:pPr>
          <w:hyperlink w:history="true" w:anchor="_bookmark22">
            <w:r>
              <w:rPr/>
              <w:t>Capitulo uno</w:t>
              <w:tab/>
              <w:t>46</w:t>
            </w:r>
          </w:hyperlink>
        </w:p>
        <w:p>
          <w:pPr>
            <w:pStyle w:val="TOC3"/>
            <w:numPr>
              <w:ilvl w:val="1"/>
              <w:numId w:val="6"/>
            </w:numPr>
            <w:tabs>
              <w:tab w:pos="671" w:val="left" w:leader="none"/>
              <w:tab w:pos="8947" w:val="right" w:leader="dot"/>
            </w:tabs>
            <w:spacing w:line="240" w:lineRule="auto" w:before="224" w:after="0"/>
            <w:ind w:left="670" w:right="0" w:hanging="331"/>
            <w:jc w:val="left"/>
          </w:pPr>
          <w:hyperlink w:history="true" w:anchor="_bookmark23">
            <w:r>
              <w:rPr/>
              <w:t>Capitulo dos</w:t>
              <w:tab/>
              <w:t>80</w:t>
            </w:r>
          </w:hyperlink>
        </w:p>
        <w:p>
          <w:pPr>
            <w:pStyle w:val="TOC3"/>
            <w:numPr>
              <w:ilvl w:val="1"/>
              <w:numId w:val="6"/>
            </w:numPr>
            <w:tabs>
              <w:tab w:pos="667" w:val="left" w:leader="none"/>
              <w:tab w:pos="8947" w:val="right" w:leader="dot"/>
            </w:tabs>
            <w:spacing w:line="240" w:lineRule="auto" w:before="227" w:after="0"/>
            <w:ind w:left="666" w:right="0" w:hanging="327"/>
            <w:jc w:val="left"/>
          </w:pPr>
          <w:hyperlink w:history="true" w:anchor="_bookmark24">
            <w:r>
              <w:rPr/>
              <w:t>Capitulo</w:t>
            </w:r>
            <w:r>
              <w:rPr>
                <w:spacing w:val="-3"/>
              </w:rPr>
              <w:t> </w:t>
            </w:r>
            <w:r>
              <w:rPr/>
              <w:t>tres.</w:t>
              <w:tab/>
              <w:t>106</w:t>
            </w:r>
          </w:hyperlink>
        </w:p>
        <w:p>
          <w:pPr>
            <w:pStyle w:val="TOC3"/>
            <w:numPr>
              <w:ilvl w:val="1"/>
              <w:numId w:val="6"/>
            </w:numPr>
            <w:tabs>
              <w:tab w:pos="671" w:val="left" w:leader="none"/>
              <w:tab w:pos="8947" w:val="right" w:leader="dot"/>
            </w:tabs>
            <w:spacing w:line="240" w:lineRule="auto" w:before="227" w:after="0"/>
            <w:ind w:left="670" w:right="0" w:hanging="331"/>
            <w:jc w:val="left"/>
          </w:pPr>
          <w:hyperlink w:history="true" w:anchor="_bookmark25">
            <w:r>
              <w:rPr/>
              <w:t>Capitulo</w:t>
            </w:r>
            <w:r>
              <w:rPr>
                <w:spacing w:val="-1"/>
              </w:rPr>
              <w:t> </w:t>
            </w:r>
            <w:r>
              <w:rPr/>
              <w:t>cuatro.</w:t>
              <w:tab/>
              <w:t>120</w:t>
            </w:r>
          </w:hyperlink>
        </w:p>
        <w:p>
          <w:pPr>
            <w:pStyle w:val="TOC3"/>
            <w:numPr>
              <w:ilvl w:val="1"/>
              <w:numId w:val="6"/>
            </w:numPr>
            <w:tabs>
              <w:tab w:pos="667" w:val="left" w:leader="none"/>
              <w:tab w:pos="8947" w:val="right" w:leader="dot"/>
            </w:tabs>
            <w:spacing w:line="240" w:lineRule="auto" w:before="227" w:after="0"/>
            <w:ind w:left="666" w:right="0" w:hanging="327"/>
            <w:jc w:val="left"/>
          </w:pPr>
          <w:hyperlink w:history="true" w:anchor="_bookmark26">
            <w:r>
              <w:rPr/>
              <w:t>Articulo</w:t>
            </w:r>
            <w:r>
              <w:rPr>
                <w:spacing w:val="-3"/>
              </w:rPr>
              <w:t> </w:t>
            </w:r>
            <w:r>
              <w:rPr/>
              <w:t>cinco.</w:t>
              <w:tab/>
              <w:t>144</w:t>
            </w:r>
          </w:hyperlink>
        </w:p>
        <w:p>
          <w:pPr>
            <w:pStyle w:val="TOC1"/>
            <w:numPr>
              <w:ilvl w:val="0"/>
              <w:numId w:val="2"/>
            </w:numPr>
            <w:tabs>
              <w:tab w:pos="606" w:val="left" w:leader="none"/>
              <w:tab w:pos="8947" w:val="right" w:leader="dot"/>
            </w:tabs>
            <w:spacing w:line="240" w:lineRule="auto" w:before="227" w:after="0"/>
            <w:ind w:left="605" w:right="0" w:hanging="487"/>
            <w:jc w:val="left"/>
          </w:pPr>
          <w:hyperlink w:history="true" w:anchor="_bookmark27">
            <w:r>
              <w:rPr/>
              <w:t>DISCUSIÓN</w:t>
            </w:r>
            <w:r>
              <w:rPr>
                <w:spacing w:val="-2"/>
              </w:rPr>
              <w:t> </w:t>
            </w:r>
            <w:r>
              <w:rPr/>
              <w:t>GENERAL</w:t>
              <w:tab/>
              <w:t>163</w:t>
            </w:r>
          </w:hyperlink>
        </w:p>
        <w:p>
          <w:pPr>
            <w:pStyle w:val="TOC1"/>
            <w:numPr>
              <w:ilvl w:val="0"/>
              <w:numId w:val="2"/>
            </w:numPr>
            <w:tabs>
              <w:tab w:pos="460" w:val="left" w:leader="none"/>
              <w:tab w:pos="8947" w:val="right" w:leader="dot"/>
            </w:tabs>
            <w:spacing w:line="240" w:lineRule="auto" w:before="225" w:after="0"/>
            <w:ind w:left="459" w:right="0" w:hanging="341"/>
            <w:jc w:val="left"/>
          </w:pPr>
          <w:hyperlink w:history="true" w:anchor="_bookmark28">
            <w:r>
              <w:rPr/>
              <w:t>CONCLUSIÓN GENERAL</w:t>
              <w:tab/>
              <w:t>166</w:t>
            </w:r>
          </w:hyperlink>
        </w:p>
        <w:p>
          <w:pPr>
            <w:pStyle w:val="TOC1"/>
            <w:numPr>
              <w:ilvl w:val="0"/>
              <w:numId w:val="2"/>
            </w:numPr>
            <w:tabs>
              <w:tab w:pos="390" w:val="left" w:leader="none"/>
              <w:tab w:pos="8947" w:val="right" w:leader="dot"/>
            </w:tabs>
            <w:spacing w:line="240" w:lineRule="auto" w:before="227" w:after="0"/>
            <w:ind w:left="389" w:right="0" w:hanging="271"/>
            <w:jc w:val="left"/>
          </w:pPr>
          <w:hyperlink w:history="true" w:anchor="_bookmark29">
            <w:r>
              <w:rPr/>
              <w:t>REFERENCIAS</w:t>
            </w:r>
            <w:r>
              <w:rPr>
                <w:spacing w:val="-1"/>
              </w:rPr>
              <w:t> </w:t>
            </w:r>
            <w:r>
              <w:rPr/>
              <w:t>BIBLIOGRAFICAS</w:t>
              <w:tab/>
              <w:t>169</w:t>
            </w:r>
          </w:hyperlink>
        </w:p>
      </w:sdtContent>
    </w:sdt>
    <w:p>
      <w:pPr>
        <w:spacing w:after="0" w:line="240" w:lineRule="auto"/>
        <w:jc w:val="left"/>
        <w:sectPr>
          <w:type w:val="continuous"/>
          <w:pgSz w:w="12240" w:h="15840"/>
          <w:pgMar w:top="1288" w:bottom="1553" w:left="1300" w:right="1340"/>
        </w:sectPr>
      </w:pPr>
    </w:p>
    <w:p>
      <w:pPr>
        <w:pStyle w:val="Heading4"/>
        <w:ind w:right="410"/>
        <w:jc w:val="left"/>
      </w:pPr>
      <w:r>
        <w:rPr/>
        <w:t>ÍNDICE DE GRÁFICAS</w:t>
      </w:r>
    </w:p>
    <w:p>
      <w:pPr>
        <w:pStyle w:val="BodyText"/>
        <w:rPr>
          <w:b/>
          <w:sz w:val="23"/>
        </w:rPr>
      </w:pPr>
    </w:p>
    <w:tbl>
      <w:tblPr>
        <w:tblW w:w="0" w:type="auto"/>
        <w:jc w:val="left"/>
        <w:tblInd w:w="1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34"/>
        <w:gridCol w:w="6947"/>
        <w:gridCol w:w="561"/>
      </w:tblGrid>
      <w:tr>
        <w:trPr>
          <w:trHeight w:val="426" w:hRule="exact"/>
        </w:trPr>
        <w:tc>
          <w:tcPr>
            <w:tcW w:w="1134" w:type="dxa"/>
          </w:tcPr>
          <w:p>
            <w:pPr>
              <w:pStyle w:val="TableParagraph"/>
              <w:spacing w:before="69"/>
              <w:ind w:left="15" w:right="119"/>
              <w:jc w:val="center"/>
              <w:rPr>
                <w:sz w:val="24"/>
              </w:rPr>
            </w:pPr>
            <w:r>
              <w:rPr>
                <w:sz w:val="24"/>
              </w:rPr>
              <w:t>Gráfica 1.</w:t>
            </w:r>
          </w:p>
        </w:tc>
        <w:tc>
          <w:tcPr>
            <w:tcW w:w="6947" w:type="dxa"/>
          </w:tcPr>
          <w:p>
            <w:pPr>
              <w:pStyle w:val="TableParagraph"/>
              <w:spacing w:before="69"/>
              <w:ind w:left="141"/>
              <w:rPr>
                <w:sz w:val="24"/>
              </w:rPr>
            </w:pPr>
            <w:r>
              <w:rPr>
                <w:sz w:val="24"/>
              </w:rPr>
              <w:t>Producción mundial de carne de cerdo durante los últimos tres años.</w:t>
            </w:r>
          </w:p>
        </w:tc>
        <w:tc>
          <w:tcPr>
            <w:tcW w:w="561" w:type="dxa"/>
          </w:tcPr>
          <w:p>
            <w:pPr>
              <w:pStyle w:val="TableParagraph"/>
              <w:spacing w:before="69"/>
              <w:ind w:right="93"/>
              <w:jc w:val="right"/>
              <w:rPr>
                <w:sz w:val="24"/>
              </w:rPr>
            </w:pPr>
            <w:r>
              <w:rPr>
                <w:sz w:val="24"/>
              </w:rPr>
              <w:t>5</w:t>
            </w:r>
          </w:p>
        </w:tc>
      </w:tr>
      <w:tr>
        <w:trPr>
          <w:trHeight w:val="414" w:hRule="exact"/>
        </w:trPr>
        <w:tc>
          <w:tcPr>
            <w:tcW w:w="1134" w:type="dxa"/>
          </w:tcPr>
          <w:p>
            <w:pPr>
              <w:pStyle w:val="TableParagraph"/>
              <w:spacing w:before="55"/>
              <w:ind w:left="15" w:right="119"/>
              <w:jc w:val="center"/>
              <w:rPr>
                <w:sz w:val="24"/>
              </w:rPr>
            </w:pPr>
            <w:r>
              <w:rPr>
                <w:sz w:val="24"/>
              </w:rPr>
              <w:t>Gráfica 2.</w:t>
            </w:r>
          </w:p>
        </w:tc>
        <w:tc>
          <w:tcPr>
            <w:tcW w:w="6947" w:type="dxa"/>
          </w:tcPr>
          <w:p>
            <w:pPr>
              <w:pStyle w:val="TableParagraph"/>
              <w:spacing w:before="55"/>
              <w:ind w:left="141"/>
              <w:rPr>
                <w:sz w:val="24"/>
              </w:rPr>
            </w:pPr>
            <w:r>
              <w:rPr>
                <w:sz w:val="24"/>
              </w:rPr>
              <w:t>Principales países productores de carne de cerdo.</w:t>
            </w:r>
          </w:p>
        </w:tc>
        <w:tc>
          <w:tcPr>
            <w:tcW w:w="561" w:type="dxa"/>
          </w:tcPr>
          <w:p>
            <w:pPr>
              <w:pStyle w:val="TableParagraph"/>
              <w:spacing w:before="55"/>
              <w:ind w:right="93"/>
              <w:jc w:val="right"/>
              <w:rPr>
                <w:sz w:val="24"/>
              </w:rPr>
            </w:pPr>
            <w:r>
              <w:rPr>
                <w:sz w:val="24"/>
              </w:rPr>
              <w:t>6</w:t>
            </w:r>
          </w:p>
        </w:tc>
      </w:tr>
      <w:tr>
        <w:trPr>
          <w:trHeight w:val="414" w:hRule="exact"/>
        </w:trPr>
        <w:tc>
          <w:tcPr>
            <w:tcW w:w="1134" w:type="dxa"/>
          </w:tcPr>
          <w:p>
            <w:pPr>
              <w:pStyle w:val="TableParagraph"/>
              <w:spacing w:before="56"/>
              <w:ind w:left="15" w:right="119"/>
              <w:jc w:val="center"/>
              <w:rPr>
                <w:sz w:val="24"/>
              </w:rPr>
            </w:pPr>
            <w:r>
              <w:rPr>
                <w:sz w:val="24"/>
              </w:rPr>
              <w:t>Gráfica 3.</w:t>
            </w:r>
          </w:p>
        </w:tc>
        <w:tc>
          <w:tcPr>
            <w:tcW w:w="6947" w:type="dxa"/>
          </w:tcPr>
          <w:p>
            <w:pPr>
              <w:pStyle w:val="TableParagraph"/>
              <w:spacing w:before="56"/>
              <w:ind w:left="141"/>
              <w:rPr>
                <w:sz w:val="24"/>
              </w:rPr>
            </w:pPr>
            <w:r>
              <w:rPr>
                <w:sz w:val="24"/>
              </w:rPr>
              <w:t>Principales países consumidores de carne de cerdo.</w:t>
            </w:r>
          </w:p>
        </w:tc>
        <w:tc>
          <w:tcPr>
            <w:tcW w:w="561" w:type="dxa"/>
          </w:tcPr>
          <w:p>
            <w:pPr>
              <w:pStyle w:val="TableParagraph"/>
              <w:spacing w:before="56"/>
              <w:ind w:right="93"/>
              <w:jc w:val="right"/>
              <w:rPr>
                <w:sz w:val="24"/>
              </w:rPr>
            </w:pPr>
            <w:r>
              <w:rPr>
                <w:sz w:val="24"/>
              </w:rPr>
              <w:t>7</w:t>
            </w:r>
          </w:p>
        </w:tc>
      </w:tr>
      <w:tr>
        <w:trPr>
          <w:trHeight w:val="414" w:hRule="exact"/>
        </w:trPr>
        <w:tc>
          <w:tcPr>
            <w:tcW w:w="1134" w:type="dxa"/>
          </w:tcPr>
          <w:p>
            <w:pPr>
              <w:pStyle w:val="TableParagraph"/>
              <w:spacing w:before="55"/>
              <w:ind w:left="15" w:right="119"/>
              <w:jc w:val="center"/>
              <w:rPr>
                <w:sz w:val="24"/>
              </w:rPr>
            </w:pPr>
            <w:r>
              <w:rPr>
                <w:sz w:val="24"/>
              </w:rPr>
              <w:t>Gráfica 4.</w:t>
            </w:r>
          </w:p>
        </w:tc>
        <w:tc>
          <w:tcPr>
            <w:tcW w:w="6947" w:type="dxa"/>
          </w:tcPr>
          <w:p>
            <w:pPr>
              <w:pStyle w:val="TableParagraph"/>
              <w:spacing w:before="55"/>
              <w:ind w:left="141"/>
              <w:rPr>
                <w:sz w:val="24"/>
              </w:rPr>
            </w:pPr>
            <w:r>
              <w:rPr>
                <w:sz w:val="24"/>
              </w:rPr>
              <w:t>Producción de cerdo en México de 2013 a 2015.</w:t>
            </w:r>
          </w:p>
        </w:tc>
        <w:tc>
          <w:tcPr>
            <w:tcW w:w="561" w:type="dxa"/>
          </w:tcPr>
          <w:p>
            <w:pPr>
              <w:pStyle w:val="TableParagraph"/>
              <w:spacing w:before="55"/>
              <w:ind w:right="93"/>
              <w:jc w:val="right"/>
              <w:rPr>
                <w:sz w:val="24"/>
              </w:rPr>
            </w:pPr>
            <w:r>
              <w:rPr>
                <w:sz w:val="24"/>
              </w:rPr>
              <w:t>8</w:t>
            </w:r>
          </w:p>
        </w:tc>
      </w:tr>
      <w:tr>
        <w:trPr>
          <w:trHeight w:val="414" w:hRule="exact"/>
        </w:trPr>
        <w:tc>
          <w:tcPr>
            <w:tcW w:w="1134" w:type="dxa"/>
          </w:tcPr>
          <w:p>
            <w:pPr>
              <w:pStyle w:val="TableParagraph"/>
              <w:spacing w:before="56"/>
              <w:ind w:left="15" w:right="119"/>
              <w:jc w:val="center"/>
              <w:rPr>
                <w:sz w:val="24"/>
              </w:rPr>
            </w:pPr>
            <w:r>
              <w:rPr>
                <w:sz w:val="24"/>
              </w:rPr>
              <w:t>Gráfica 5.</w:t>
            </w:r>
          </w:p>
        </w:tc>
        <w:tc>
          <w:tcPr>
            <w:tcW w:w="6947" w:type="dxa"/>
          </w:tcPr>
          <w:p>
            <w:pPr>
              <w:pStyle w:val="TableParagraph"/>
              <w:spacing w:before="56"/>
              <w:ind w:left="141"/>
              <w:rPr>
                <w:sz w:val="24"/>
              </w:rPr>
            </w:pPr>
            <w:r>
              <w:rPr>
                <w:sz w:val="24"/>
              </w:rPr>
              <w:t>Principales estados productores de carne de cerdo en México.</w:t>
            </w:r>
          </w:p>
        </w:tc>
        <w:tc>
          <w:tcPr>
            <w:tcW w:w="561" w:type="dxa"/>
          </w:tcPr>
          <w:p>
            <w:pPr>
              <w:pStyle w:val="TableParagraph"/>
              <w:spacing w:before="56"/>
              <w:ind w:right="93"/>
              <w:jc w:val="right"/>
              <w:rPr>
                <w:sz w:val="24"/>
              </w:rPr>
            </w:pPr>
            <w:r>
              <w:rPr>
                <w:sz w:val="24"/>
              </w:rPr>
              <w:t>8</w:t>
            </w:r>
          </w:p>
        </w:tc>
      </w:tr>
      <w:tr>
        <w:trPr>
          <w:trHeight w:val="414" w:hRule="exact"/>
        </w:trPr>
        <w:tc>
          <w:tcPr>
            <w:tcW w:w="1134" w:type="dxa"/>
          </w:tcPr>
          <w:p>
            <w:pPr>
              <w:pStyle w:val="TableParagraph"/>
              <w:spacing w:before="55"/>
              <w:ind w:left="15" w:right="119"/>
              <w:jc w:val="center"/>
              <w:rPr>
                <w:sz w:val="24"/>
              </w:rPr>
            </w:pPr>
            <w:r>
              <w:rPr>
                <w:sz w:val="24"/>
              </w:rPr>
              <w:t>Gráfica 6.</w:t>
            </w:r>
          </w:p>
        </w:tc>
        <w:tc>
          <w:tcPr>
            <w:tcW w:w="6947" w:type="dxa"/>
          </w:tcPr>
          <w:p>
            <w:pPr>
              <w:pStyle w:val="TableParagraph"/>
              <w:spacing w:before="55"/>
              <w:ind w:left="141"/>
              <w:rPr>
                <w:sz w:val="24"/>
              </w:rPr>
            </w:pPr>
            <w:r>
              <w:rPr>
                <w:sz w:val="24"/>
              </w:rPr>
              <w:t>Principales estados consumidores de carne de cerdo en México.</w:t>
            </w:r>
          </w:p>
        </w:tc>
        <w:tc>
          <w:tcPr>
            <w:tcW w:w="561" w:type="dxa"/>
          </w:tcPr>
          <w:p>
            <w:pPr>
              <w:pStyle w:val="TableParagraph"/>
              <w:spacing w:before="55"/>
              <w:ind w:right="93"/>
              <w:jc w:val="right"/>
              <w:rPr>
                <w:sz w:val="24"/>
              </w:rPr>
            </w:pPr>
            <w:r>
              <w:rPr>
                <w:sz w:val="24"/>
              </w:rPr>
              <w:t>9</w:t>
            </w:r>
          </w:p>
        </w:tc>
      </w:tr>
      <w:tr>
        <w:trPr>
          <w:trHeight w:val="414" w:hRule="exact"/>
        </w:trPr>
        <w:tc>
          <w:tcPr>
            <w:tcW w:w="1134" w:type="dxa"/>
          </w:tcPr>
          <w:p>
            <w:pPr>
              <w:pStyle w:val="TableParagraph"/>
              <w:spacing w:before="56"/>
              <w:ind w:left="15" w:right="119"/>
              <w:jc w:val="center"/>
              <w:rPr>
                <w:sz w:val="24"/>
              </w:rPr>
            </w:pPr>
            <w:r>
              <w:rPr>
                <w:sz w:val="24"/>
              </w:rPr>
              <w:t>Gráfica 7.</w:t>
            </w:r>
          </w:p>
        </w:tc>
        <w:tc>
          <w:tcPr>
            <w:tcW w:w="6947" w:type="dxa"/>
          </w:tcPr>
          <w:p>
            <w:pPr>
              <w:pStyle w:val="TableParagraph"/>
              <w:spacing w:before="56"/>
              <w:ind w:left="141"/>
              <w:rPr>
                <w:sz w:val="24"/>
              </w:rPr>
            </w:pPr>
            <w:r>
              <w:rPr>
                <w:sz w:val="24"/>
              </w:rPr>
              <w:t>Importaciones nacionales de carne de cerdo 1984-2015.</w:t>
            </w:r>
          </w:p>
        </w:tc>
        <w:tc>
          <w:tcPr>
            <w:tcW w:w="561" w:type="dxa"/>
          </w:tcPr>
          <w:p>
            <w:pPr>
              <w:pStyle w:val="TableParagraph"/>
              <w:spacing w:before="56"/>
              <w:ind w:right="33"/>
              <w:jc w:val="right"/>
              <w:rPr>
                <w:sz w:val="24"/>
              </w:rPr>
            </w:pPr>
            <w:r>
              <w:rPr>
                <w:sz w:val="24"/>
              </w:rPr>
              <w:t>10</w:t>
            </w:r>
          </w:p>
        </w:tc>
      </w:tr>
      <w:tr>
        <w:trPr>
          <w:trHeight w:val="427" w:hRule="exact"/>
        </w:trPr>
        <w:tc>
          <w:tcPr>
            <w:tcW w:w="1134" w:type="dxa"/>
          </w:tcPr>
          <w:p>
            <w:pPr>
              <w:pStyle w:val="TableParagraph"/>
              <w:spacing w:before="55"/>
              <w:ind w:left="15" w:right="119"/>
              <w:jc w:val="center"/>
              <w:rPr>
                <w:sz w:val="24"/>
              </w:rPr>
            </w:pPr>
            <w:r>
              <w:rPr>
                <w:sz w:val="24"/>
              </w:rPr>
              <w:t>Gráfica 8.</w:t>
            </w:r>
          </w:p>
        </w:tc>
        <w:tc>
          <w:tcPr>
            <w:tcW w:w="6947" w:type="dxa"/>
          </w:tcPr>
          <w:p>
            <w:pPr>
              <w:pStyle w:val="TableParagraph"/>
              <w:spacing w:before="55"/>
              <w:ind w:left="141"/>
              <w:rPr>
                <w:sz w:val="24"/>
              </w:rPr>
            </w:pPr>
            <w:r>
              <w:rPr>
                <w:sz w:val="24"/>
              </w:rPr>
              <w:t>Producción  nacional de carne de cerdo 1984-2015.</w:t>
            </w:r>
          </w:p>
        </w:tc>
        <w:tc>
          <w:tcPr>
            <w:tcW w:w="561" w:type="dxa"/>
          </w:tcPr>
          <w:p>
            <w:pPr>
              <w:pStyle w:val="TableParagraph"/>
              <w:spacing w:before="55"/>
              <w:ind w:right="33"/>
              <w:jc w:val="right"/>
              <w:rPr>
                <w:sz w:val="24"/>
              </w:rPr>
            </w:pPr>
            <w:r>
              <w:rPr>
                <w:sz w:val="24"/>
              </w:rPr>
              <w:t>11</w:t>
            </w:r>
          </w:p>
        </w:tc>
      </w:tr>
    </w:tbl>
    <w:p>
      <w:pPr>
        <w:spacing w:after="0"/>
        <w:jc w:val="right"/>
        <w:rPr>
          <w:sz w:val="24"/>
        </w:rPr>
        <w:sectPr>
          <w:pgSz w:w="12240" w:h="15840"/>
          <w:pgMar w:header="984" w:footer="986" w:top="1280" w:bottom="1180" w:left="1300" w:right="134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Heading1"/>
        <w:numPr>
          <w:ilvl w:val="1"/>
          <w:numId w:val="2"/>
        </w:numPr>
        <w:tabs>
          <w:tab w:pos="1577" w:val="left" w:leader="none"/>
          <w:tab w:pos="1578" w:val="left" w:leader="none"/>
        </w:tabs>
        <w:spacing w:line="240" w:lineRule="auto" w:before="133" w:after="0"/>
        <w:ind w:left="3069" w:right="287" w:hanging="2571"/>
        <w:jc w:val="left"/>
      </w:pPr>
      <w:bookmarkStart w:name="_bookmark2" w:id="4"/>
      <w:bookmarkEnd w:id="4"/>
      <w:r>
        <w:rPr>
          <w:b w:val="0"/>
        </w:rPr>
      </w:r>
      <w:bookmarkStart w:name="_bookmark2" w:id="5"/>
      <w:bookmarkEnd w:id="5"/>
      <w:r>
        <w:rPr/>
        <w:t>INTRODUCCIÓN</w:t>
      </w:r>
      <w:r>
        <w:rPr>
          <w:w w:val="99"/>
        </w:rPr>
        <w:t> </w:t>
      </w:r>
      <w:r>
        <w:rPr/>
        <w:t>GENERAL</w:t>
      </w:r>
    </w:p>
    <w:p>
      <w:pPr>
        <w:spacing w:after="0" w:line="240" w:lineRule="auto"/>
        <w:jc w:val="left"/>
        <w:sectPr>
          <w:footerReference w:type="default" r:id="rId11"/>
          <w:pgSz w:w="12240" w:h="15840"/>
          <w:pgMar w:footer="986" w:header="984" w:top="1280" w:bottom="1180" w:left="1300" w:right="1340"/>
          <w:pgNumType w:start="1"/>
        </w:sectPr>
      </w:pPr>
    </w:p>
    <w:p>
      <w:pPr>
        <w:pStyle w:val="BodyText"/>
        <w:spacing w:line="360" w:lineRule="auto" w:before="125"/>
        <w:ind w:left="118" w:right="266"/>
        <w:jc w:val="both"/>
      </w:pPr>
      <w:r>
        <w:rPr/>
        <w:t>En la década de los setentas, con un modelo económico cerrado, México contaba con una piara de casi 10 millones de cerdos; para 1983 creció 15.30%, el volumen de producción pasó de</w:t>
      </w:r>
      <w:r>
        <w:rPr>
          <w:spacing w:val="-27"/>
        </w:rPr>
        <w:t> </w:t>
      </w:r>
      <w:r>
        <w:rPr/>
        <w:t>0.57 millones de toneladas a 1.48 millones, se incrementó 159% en 13 años, esto garantizó satisfacer la demanda interna sin recurrir a importaciones, el consumo per cápita fue 19.7 kg (Tinoco, 2004).</w:t>
      </w:r>
    </w:p>
    <w:p>
      <w:pPr>
        <w:pStyle w:val="BodyText"/>
        <w:spacing w:line="360" w:lineRule="auto" w:before="4"/>
        <w:ind w:left="118" w:right="269"/>
        <w:jc w:val="both"/>
      </w:pPr>
      <w:r>
        <w:rPr/>
        <w:t>Con la crisis económica que tuvo lugar en el país en 1982, México enfrentó un proceso inflacionario y devaluación constante del peso durante los años subsecuentes, estas condiciones elevaron los costos de producción de carne de cerdo y deterioraron el poder adquisitivo lo que disminuyó el consumo de carne. Además, se modificó el modelo económico al retirar subsidios a los granos y generó una transición a una economía abierta y desregulada, México ingresó al GATT en 1986 y la apertura comercial para la carne de cerdo empezó en 1988; para este año, la producción nacional descendió a 0.861 millones de toneladas (t) y se importó 0.031 millones  de t, con un consumo per cápita de solamente 11.20 kg (SIACON,</w:t>
      </w:r>
      <w:r>
        <w:rPr>
          <w:spacing w:val="-11"/>
        </w:rPr>
        <w:t> </w:t>
      </w:r>
      <w:r>
        <w:rPr/>
        <w:t>2015).</w:t>
      </w:r>
    </w:p>
    <w:p>
      <w:pPr>
        <w:pStyle w:val="BodyText"/>
        <w:spacing w:line="360" w:lineRule="auto" w:before="4"/>
        <w:ind w:left="118" w:right="268"/>
        <w:jc w:val="both"/>
      </w:pPr>
      <w:r>
        <w:rPr/>
        <w:t>El</w:t>
      </w:r>
      <w:r>
        <w:rPr>
          <w:spacing w:val="-8"/>
        </w:rPr>
        <w:t> </w:t>
      </w:r>
      <w:r>
        <w:rPr/>
        <w:t>año</w:t>
      </w:r>
      <w:r>
        <w:rPr>
          <w:spacing w:val="-9"/>
        </w:rPr>
        <w:t> </w:t>
      </w:r>
      <w:r>
        <w:rPr/>
        <w:t>más</w:t>
      </w:r>
      <w:r>
        <w:rPr>
          <w:spacing w:val="-9"/>
        </w:rPr>
        <w:t> </w:t>
      </w:r>
      <w:r>
        <w:rPr/>
        <w:t>crítico</w:t>
      </w:r>
      <w:r>
        <w:rPr>
          <w:spacing w:val="-9"/>
        </w:rPr>
        <w:t> </w:t>
      </w:r>
      <w:r>
        <w:rPr/>
        <w:t>para</w:t>
      </w:r>
      <w:r>
        <w:rPr>
          <w:spacing w:val="-10"/>
        </w:rPr>
        <w:t> </w:t>
      </w:r>
      <w:r>
        <w:rPr/>
        <w:t>la</w:t>
      </w:r>
      <w:r>
        <w:rPr>
          <w:spacing w:val="-9"/>
        </w:rPr>
        <w:t> </w:t>
      </w:r>
      <w:r>
        <w:rPr/>
        <w:t>porcicultura</w:t>
      </w:r>
      <w:r>
        <w:rPr>
          <w:spacing w:val="-10"/>
        </w:rPr>
        <w:t> </w:t>
      </w:r>
      <w:r>
        <w:rPr/>
        <w:t>mexicana</w:t>
      </w:r>
      <w:r>
        <w:rPr>
          <w:spacing w:val="-10"/>
        </w:rPr>
        <w:t> </w:t>
      </w:r>
      <w:r>
        <w:rPr/>
        <w:t>fue</w:t>
      </w:r>
      <w:r>
        <w:rPr>
          <w:spacing w:val="-10"/>
        </w:rPr>
        <w:t> </w:t>
      </w:r>
      <w:r>
        <w:rPr/>
        <w:t>1989</w:t>
      </w:r>
      <w:r>
        <w:rPr>
          <w:spacing w:val="-6"/>
        </w:rPr>
        <w:t> </w:t>
      </w:r>
      <w:r>
        <w:rPr>
          <w:spacing w:val="-3"/>
        </w:rPr>
        <w:t>ya</w:t>
      </w:r>
      <w:r>
        <w:rPr>
          <w:spacing w:val="-10"/>
        </w:rPr>
        <w:t> </w:t>
      </w:r>
      <w:r>
        <w:rPr/>
        <w:t>que</w:t>
      </w:r>
      <w:r>
        <w:rPr>
          <w:spacing w:val="-10"/>
        </w:rPr>
        <w:t> </w:t>
      </w:r>
      <w:r>
        <w:rPr/>
        <w:t>se</w:t>
      </w:r>
      <w:r>
        <w:rPr>
          <w:spacing w:val="-9"/>
        </w:rPr>
        <w:t> </w:t>
      </w:r>
      <w:r>
        <w:rPr/>
        <w:t>registró</w:t>
      </w:r>
      <w:r>
        <w:rPr>
          <w:spacing w:val="-7"/>
        </w:rPr>
        <w:t> </w:t>
      </w:r>
      <w:r>
        <w:rPr/>
        <w:t>la</w:t>
      </w:r>
      <w:r>
        <w:rPr>
          <w:spacing w:val="-9"/>
        </w:rPr>
        <w:t> </w:t>
      </w:r>
      <w:r>
        <w:rPr/>
        <w:t>menor</w:t>
      </w:r>
      <w:r>
        <w:rPr>
          <w:spacing w:val="-10"/>
        </w:rPr>
        <w:t> </w:t>
      </w:r>
      <w:r>
        <w:rPr/>
        <w:t>producción de carne de cerdo con 0.726 millones de t, la importación de carne ascendió a .055 millones de</w:t>
      </w:r>
      <w:r>
        <w:rPr>
          <w:spacing w:val="-19"/>
        </w:rPr>
        <w:t> </w:t>
      </w:r>
      <w:r>
        <w:rPr/>
        <w:t>t y el consumo per cápita fue 9.80 kg el más bajo</w:t>
      </w:r>
      <w:r>
        <w:rPr>
          <w:spacing w:val="-10"/>
        </w:rPr>
        <w:t> </w:t>
      </w:r>
      <w:r>
        <w:rPr/>
        <w:t>históricamente.</w:t>
      </w:r>
    </w:p>
    <w:p>
      <w:pPr>
        <w:pStyle w:val="BodyText"/>
        <w:spacing w:line="360" w:lineRule="auto" w:before="6"/>
        <w:ind w:left="118" w:right="265"/>
        <w:jc w:val="both"/>
      </w:pPr>
      <w:r>
        <w:rPr/>
        <w:t>Las</w:t>
      </w:r>
      <w:r>
        <w:rPr>
          <w:spacing w:val="-6"/>
        </w:rPr>
        <w:t> </w:t>
      </w:r>
      <w:r>
        <w:rPr/>
        <w:t>importaciones</w:t>
      </w:r>
      <w:r>
        <w:rPr>
          <w:spacing w:val="-7"/>
        </w:rPr>
        <w:t> </w:t>
      </w:r>
      <w:r>
        <w:rPr/>
        <w:t>que</w:t>
      </w:r>
      <w:r>
        <w:rPr>
          <w:spacing w:val="-7"/>
        </w:rPr>
        <w:t> </w:t>
      </w:r>
      <w:r>
        <w:rPr/>
        <w:t>se</w:t>
      </w:r>
      <w:r>
        <w:rPr>
          <w:spacing w:val="-5"/>
        </w:rPr>
        <w:t> </w:t>
      </w:r>
      <w:r>
        <w:rPr/>
        <w:t>realizaron</w:t>
      </w:r>
      <w:r>
        <w:rPr>
          <w:spacing w:val="-7"/>
        </w:rPr>
        <w:t> </w:t>
      </w:r>
      <w:r>
        <w:rPr/>
        <w:t>desde</w:t>
      </w:r>
      <w:r>
        <w:rPr>
          <w:spacing w:val="-7"/>
        </w:rPr>
        <w:t> </w:t>
      </w:r>
      <w:r>
        <w:rPr/>
        <w:t>1988</w:t>
      </w:r>
      <w:r>
        <w:rPr>
          <w:spacing w:val="-1"/>
        </w:rPr>
        <w:t> </w:t>
      </w:r>
      <w:r>
        <w:rPr/>
        <w:t>y</w:t>
      </w:r>
      <w:r>
        <w:rPr>
          <w:spacing w:val="-9"/>
        </w:rPr>
        <w:t> </w:t>
      </w:r>
      <w:r>
        <w:rPr/>
        <w:t>hasta</w:t>
      </w:r>
      <w:r>
        <w:rPr>
          <w:spacing w:val="-6"/>
        </w:rPr>
        <w:t> </w:t>
      </w:r>
      <w:r>
        <w:rPr/>
        <w:t>1993</w:t>
      </w:r>
      <w:r>
        <w:rPr>
          <w:spacing w:val="-6"/>
        </w:rPr>
        <w:t> </w:t>
      </w:r>
      <w:r>
        <w:rPr/>
        <w:t>se</w:t>
      </w:r>
      <w:r>
        <w:rPr>
          <w:spacing w:val="-7"/>
        </w:rPr>
        <w:t> </w:t>
      </w:r>
      <w:r>
        <w:rPr/>
        <w:t>hacían</w:t>
      </w:r>
      <w:r>
        <w:rPr>
          <w:spacing w:val="-7"/>
        </w:rPr>
        <w:t> </w:t>
      </w:r>
      <w:r>
        <w:rPr/>
        <w:t>por</w:t>
      </w:r>
      <w:r>
        <w:rPr>
          <w:spacing w:val="-2"/>
        </w:rPr>
        <w:t> </w:t>
      </w:r>
      <w:r>
        <w:rPr/>
        <w:t>cuotas,</w:t>
      </w:r>
      <w:r>
        <w:rPr>
          <w:spacing w:val="-6"/>
        </w:rPr>
        <w:t> </w:t>
      </w:r>
      <w:r>
        <w:rPr/>
        <w:t>pero</w:t>
      </w:r>
      <w:r>
        <w:rPr>
          <w:spacing w:val="-5"/>
        </w:rPr>
        <w:t> </w:t>
      </w:r>
      <w:r>
        <w:rPr/>
        <w:t>a</w:t>
      </w:r>
      <w:r>
        <w:rPr>
          <w:spacing w:val="-7"/>
        </w:rPr>
        <w:t> </w:t>
      </w:r>
      <w:r>
        <w:rPr/>
        <w:t>raíz</w:t>
      </w:r>
      <w:r>
        <w:rPr>
          <w:spacing w:val="-5"/>
        </w:rPr>
        <w:t> </w:t>
      </w:r>
      <w:r>
        <w:rPr/>
        <w:t>de la firma del tratado de libre comercio (TLCAN) en 1994 se estableció un arancel a la carne de cerdo de 20% a eliminarse 2% anual, para que en 2003 este impuesto fuera de cero o libre de arancel. A partir de 1997 hasta hoy en día, con tasas de inflación de un solo dígito y mayor estabilidad monetaria, se ha regresado al crecimiento en la producción porcina, sin alcanzar los niveles de 1984 de 1.45 millones de t, pues en 2015 la producción fue 1.32 millones de t (SIACON,</w:t>
      </w:r>
      <w:r>
        <w:rPr>
          <w:spacing w:val="-7"/>
        </w:rPr>
        <w:t> </w:t>
      </w:r>
      <w:r>
        <w:rPr/>
        <w:t>2015).</w:t>
      </w:r>
    </w:p>
    <w:p>
      <w:pPr>
        <w:pStyle w:val="BodyText"/>
        <w:spacing w:line="360" w:lineRule="auto" w:before="4"/>
        <w:ind w:left="118" w:right="265"/>
        <w:jc w:val="both"/>
      </w:pPr>
      <w:r>
        <w:rPr/>
        <w:t>Resultado de estos acontecimientos, el incremento de la demanda nacional de carne de cerdo se fue cubriendo, en su mayoría, con creciente importaciones; así, en el periodo 1988-2015 la Tasa Media de Crecimiento Anual (TMCA) para la producción fue de 2.5%, mientras que la TMCA para las importaciones fue 15.8%</w:t>
      </w:r>
    </w:p>
    <w:p>
      <w:pPr>
        <w:pStyle w:val="BodyText"/>
        <w:spacing w:line="360" w:lineRule="auto" w:before="6"/>
        <w:ind w:left="118" w:right="266"/>
        <w:jc w:val="both"/>
      </w:pPr>
      <w:r>
        <w:rPr/>
        <w:t>Estados</w:t>
      </w:r>
      <w:r>
        <w:rPr>
          <w:spacing w:val="-4"/>
        </w:rPr>
        <w:t> </w:t>
      </w:r>
      <w:r>
        <w:rPr/>
        <w:t>Unidos</w:t>
      </w:r>
      <w:r>
        <w:rPr>
          <w:spacing w:val="-4"/>
        </w:rPr>
        <w:t> </w:t>
      </w:r>
      <w:r>
        <w:rPr/>
        <w:t>(USA)</w:t>
      </w:r>
      <w:r>
        <w:rPr>
          <w:spacing w:val="-5"/>
        </w:rPr>
        <w:t> </w:t>
      </w:r>
      <w:r>
        <w:rPr/>
        <w:t>es</w:t>
      </w:r>
      <w:r>
        <w:rPr>
          <w:spacing w:val="-1"/>
        </w:rPr>
        <w:t> </w:t>
      </w:r>
      <w:r>
        <w:rPr/>
        <w:t>el</w:t>
      </w:r>
      <w:r>
        <w:rPr>
          <w:spacing w:val="-3"/>
        </w:rPr>
        <w:t> </w:t>
      </w:r>
      <w:r>
        <w:rPr/>
        <w:t>principal</w:t>
      </w:r>
      <w:r>
        <w:rPr>
          <w:spacing w:val="-4"/>
        </w:rPr>
        <w:t> </w:t>
      </w:r>
      <w:r>
        <w:rPr/>
        <w:t>socio</w:t>
      </w:r>
      <w:r>
        <w:rPr>
          <w:spacing w:val="-1"/>
        </w:rPr>
        <w:t> </w:t>
      </w:r>
      <w:r>
        <w:rPr/>
        <w:t>comercial</w:t>
      </w:r>
      <w:r>
        <w:rPr>
          <w:spacing w:val="-4"/>
        </w:rPr>
        <w:t> </w:t>
      </w:r>
      <w:r>
        <w:rPr/>
        <w:t>de</w:t>
      </w:r>
      <w:r>
        <w:rPr>
          <w:spacing w:val="-5"/>
        </w:rPr>
        <w:t> </w:t>
      </w:r>
      <w:r>
        <w:rPr/>
        <w:t>México</w:t>
      </w:r>
      <w:r>
        <w:rPr>
          <w:spacing w:val="-4"/>
        </w:rPr>
        <w:t> </w:t>
      </w:r>
      <w:r>
        <w:rPr/>
        <w:t>para</w:t>
      </w:r>
      <w:r>
        <w:rPr>
          <w:spacing w:val="-5"/>
        </w:rPr>
        <w:t> </w:t>
      </w:r>
      <w:r>
        <w:rPr/>
        <w:t>este</w:t>
      </w:r>
      <w:r>
        <w:rPr>
          <w:spacing w:val="-1"/>
        </w:rPr>
        <w:t> </w:t>
      </w:r>
      <w:r>
        <w:rPr/>
        <w:t>producto;</w:t>
      </w:r>
      <w:r>
        <w:rPr>
          <w:spacing w:val="-3"/>
        </w:rPr>
        <w:t> </w:t>
      </w:r>
      <w:r>
        <w:rPr/>
        <w:t>de</w:t>
      </w:r>
      <w:r>
        <w:rPr>
          <w:spacing w:val="-5"/>
        </w:rPr>
        <w:t> </w:t>
      </w:r>
      <w:r>
        <w:rPr/>
        <w:t>ese</w:t>
      </w:r>
      <w:r>
        <w:rPr>
          <w:spacing w:val="-5"/>
        </w:rPr>
        <w:t> </w:t>
      </w:r>
      <w:r>
        <w:rPr/>
        <w:t>país se importa el 99% de la carne de cerdo, que en 2015 ascendió a 0.875 millones de t (SIACON, 2015).</w:t>
      </w:r>
    </w:p>
    <w:p>
      <w:pPr>
        <w:spacing w:after="0" w:line="360" w:lineRule="auto"/>
        <w:jc w:val="both"/>
        <w:sectPr>
          <w:pgSz w:w="12240" w:h="15840"/>
          <w:pgMar w:header="984" w:footer="986" w:top="1280" w:bottom="1180" w:left="1300" w:right="1340"/>
        </w:sectPr>
      </w:pPr>
    </w:p>
    <w:p>
      <w:pPr>
        <w:pStyle w:val="BodyText"/>
        <w:spacing w:line="360" w:lineRule="auto" w:before="125"/>
        <w:ind w:left="118" w:right="264"/>
        <w:jc w:val="both"/>
      </w:pPr>
      <w:r>
        <w:rPr/>
        <w:t>Las crecientes importaciones mexicanas de Estados Unidos, se deben a ventajas competitivas que</w:t>
      </w:r>
      <w:r>
        <w:rPr>
          <w:spacing w:val="-7"/>
        </w:rPr>
        <w:t> </w:t>
      </w:r>
      <w:r>
        <w:rPr/>
        <w:t>este</w:t>
      </w:r>
      <w:r>
        <w:rPr>
          <w:spacing w:val="-6"/>
        </w:rPr>
        <w:t> </w:t>
      </w:r>
      <w:r>
        <w:rPr/>
        <w:t>país</w:t>
      </w:r>
      <w:r>
        <w:rPr>
          <w:spacing w:val="-6"/>
        </w:rPr>
        <w:t> </w:t>
      </w:r>
      <w:r>
        <w:rPr/>
        <w:t>tiene,</w:t>
      </w:r>
      <w:r>
        <w:rPr>
          <w:spacing w:val="-1"/>
        </w:rPr>
        <w:t> </w:t>
      </w:r>
      <w:r>
        <w:rPr>
          <w:spacing w:val="-3"/>
        </w:rPr>
        <w:t>ya</w:t>
      </w:r>
      <w:r>
        <w:rPr>
          <w:spacing w:val="-5"/>
        </w:rPr>
        <w:t> </w:t>
      </w:r>
      <w:r>
        <w:rPr/>
        <w:t>que</w:t>
      </w:r>
      <w:r>
        <w:rPr>
          <w:spacing w:val="-7"/>
        </w:rPr>
        <w:t> </w:t>
      </w:r>
      <w:r>
        <w:rPr/>
        <w:t>posee</w:t>
      </w:r>
      <w:r>
        <w:rPr>
          <w:spacing w:val="-5"/>
        </w:rPr>
        <w:t> </w:t>
      </w:r>
      <w:r>
        <w:rPr/>
        <w:t>una</w:t>
      </w:r>
      <w:r>
        <w:rPr>
          <w:spacing w:val="-7"/>
        </w:rPr>
        <w:t> </w:t>
      </w:r>
      <w:r>
        <w:rPr/>
        <w:t>porcicultura</w:t>
      </w:r>
      <w:r>
        <w:rPr>
          <w:spacing w:val="-3"/>
        </w:rPr>
        <w:t> </w:t>
      </w:r>
      <w:r>
        <w:rPr/>
        <w:t>de</w:t>
      </w:r>
      <w:r>
        <w:rPr>
          <w:spacing w:val="-7"/>
        </w:rPr>
        <w:t> </w:t>
      </w:r>
      <w:r>
        <w:rPr/>
        <w:t>mayor</w:t>
      </w:r>
      <w:r>
        <w:rPr>
          <w:spacing w:val="-7"/>
        </w:rPr>
        <w:t> </w:t>
      </w:r>
      <w:r>
        <w:rPr/>
        <w:t>tamaño,</w:t>
      </w:r>
      <w:r>
        <w:rPr>
          <w:spacing w:val="-7"/>
        </w:rPr>
        <w:t> </w:t>
      </w:r>
      <w:r>
        <w:rPr/>
        <w:t>mayor</w:t>
      </w:r>
      <w:r>
        <w:rPr>
          <w:spacing w:val="-5"/>
        </w:rPr>
        <w:t> </w:t>
      </w:r>
      <w:r>
        <w:rPr/>
        <w:t>infraestructura,</w:t>
      </w:r>
      <w:r>
        <w:rPr>
          <w:spacing w:val="-6"/>
        </w:rPr>
        <w:t> </w:t>
      </w:r>
      <w:r>
        <w:rPr/>
        <w:t>bajas tasas de interés, más y mayor acceso a subsidios y apoyos gubernamentales y los costos de los insumos alimenticios son hasta 30% menores con respecto a México. Los indicadores de tasa  de penetración de importaciones y relación producción/consumo nacional, demuestran que la porcicultura mexicana ha ido perdiendo terreno frente a la estadounidense (Gómez.</w:t>
      </w:r>
      <w:r>
        <w:rPr>
          <w:spacing w:val="-12"/>
        </w:rPr>
        <w:t> </w:t>
      </w:r>
      <w:r>
        <w:rPr/>
        <w:t>2012).</w:t>
      </w:r>
    </w:p>
    <w:p>
      <w:pPr>
        <w:pStyle w:val="BodyText"/>
        <w:spacing w:line="360" w:lineRule="auto" w:before="6"/>
        <w:ind w:left="118" w:right="266"/>
        <w:jc w:val="both"/>
      </w:pPr>
      <w:r>
        <w:rPr/>
        <w:t>El lento crecimiento de la porcicultura se debe a un retiro y cierre calculado de granjas de un 40%.</w:t>
      </w:r>
      <w:r>
        <w:rPr>
          <w:spacing w:val="-6"/>
        </w:rPr>
        <w:t> </w:t>
      </w:r>
      <w:r>
        <w:rPr/>
        <w:t>Produciendo</w:t>
      </w:r>
      <w:r>
        <w:rPr>
          <w:spacing w:val="-5"/>
        </w:rPr>
        <w:t> </w:t>
      </w:r>
      <w:r>
        <w:rPr/>
        <w:t>cambios</w:t>
      </w:r>
      <w:r>
        <w:rPr>
          <w:spacing w:val="-6"/>
        </w:rPr>
        <w:t> </w:t>
      </w:r>
      <w:r>
        <w:rPr/>
        <w:t>en</w:t>
      </w:r>
      <w:r>
        <w:rPr>
          <w:spacing w:val="-6"/>
        </w:rPr>
        <w:t> </w:t>
      </w:r>
      <w:r>
        <w:rPr/>
        <w:t>los</w:t>
      </w:r>
      <w:r>
        <w:rPr>
          <w:spacing w:val="-3"/>
        </w:rPr>
        <w:t> </w:t>
      </w:r>
      <w:r>
        <w:rPr/>
        <w:t>estratos</w:t>
      </w:r>
      <w:r>
        <w:rPr>
          <w:spacing w:val="-6"/>
        </w:rPr>
        <w:t> </w:t>
      </w:r>
      <w:r>
        <w:rPr/>
        <w:t>de</w:t>
      </w:r>
      <w:r>
        <w:rPr>
          <w:spacing w:val="-7"/>
        </w:rPr>
        <w:t> </w:t>
      </w:r>
      <w:r>
        <w:rPr/>
        <w:t>producción,</w:t>
      </w:r>
      <w:r>
        <w:rPr>
          <w:spacing w:val="-6"/>
        </w:rPr>
        <w:t> </w:t>
      </w:r>
      <w:r>
        <w:rPr/>
        <w:t>debido</w:t>
      </w:r>
      <w:r>
        <w:rPr>
          <w:spacing w:val="-4"/>
        </w:rPr>
        <w:t> </w:t>
      </w:r>
      <w:r>
        <w:rPr/>
        <w:t>a</w:t>
      </w:r>
      <w:r>
        <w:rPr>
          <w:spacing w:val="-7"/>
        </w:rPr>
        <w:t> </w:t>
      </w:r>
      <w:r>
        <w:rPr/>
        <w:t>que</w:t>
      </w:r>
      <w:r>
        <w:rPr>
          <w:spacing w:val="-5"/>
        </w:rPr>
        <w:t> </w:t>
      </w:r>
      <w:r>
        <w:rPr/>
        <w:t>el</w:t>
      </w:r>
      <w:r>
        <w:rPr>
          <w:spacing w:val="-6"/>
        </w:rPr>
        <w:t> </w:t>
      </w:r>
      <w:r>
        <w:rPr/>
        <w:t>sistema</w:t>
      </w:r>
      <w:r>
        <w:rPr>
          <w:spacing w:val="-7"/>
        </w:rPr>
        <w:t> </w:t>
      </w:r>
      <w:r>
        <w:rPr/>
        <w:t>de</w:t>
      </w:r>
      <w:r>
        <w:rPr>
          <w:spacing w:val="-5"/>
        </w:rPr>
        <w:t> </w:t>
      </w:r>
      <w:r>
        <w:rPr/>
        <w:t>producción semitecnificado ha reducido su participación en la producción nacional de 50 a 15%, mientras que el tecnificado creció del 20 al 57% </w:t>
      </w:r>
      <w:r>
        <w:rPr>
          <w:spacing w:val="-3"/>
        </w:rPr>
        <w:t>y, </w:t>
      </w:r>
      <w:r>
        <w:rPr/>
        <w:t>el de traspatio se ha mantenido estable (Hernández, 2008). Actualmente, la producción de cerdo en México se realiza a través de un millón de unidades de producción porcinas, con una piara de más de 16.2 millones de cabezas. Alrededor de dos millones de familias dependen de esta actividad, misma que genera 350,000 empleos directos</w:t>
      </w:r>
      <w:r>
        <w:rPr>
          <w:spacing w:val="-3"/>
        </w:rPr>
        <w:t> </w:t>
      </w:r>
      <w:r>
        <w:rPr/>
        <w:t>y</w:t>
      </w:r>
      <w:r>
        <w:rPr>
          <w:spacing w:val="-13"/>
        </w:rPr>
        <w:t> </w:t>
      </w:r>
      <w:r>
        <w:rPr/>
        <w:t>más</w:t>
      </w:r>
      <w:r>
        <w:rPr>
          <w:spacing w:val="-8"/>
        </w:rPr>
        <w:t> </w:t>
      </w:r>
      <w:r>
        <w:rPr/>
        <w:t>de</w:t>
      </w:r>
      <w:r>
        <w:rPr>
          <w:spacing w:val="-7"/>
        </w:rPr>
        <w:t> </w:t>
      </w:r>
      <w:r>
        <w:rPr/>
        <w:t>1.7</w:t>
      </w:r>
      <w:r>
        <w:rPr>
          <w:spacing w:val="-9"/>
        </w:rPr>
        <w:t> </w:t>
      </w:r>
      <w:r>
        <w:rPr/>
        <w:t>millones</w:t>
      </w:r>
      <w:r>
        <w:rPr>
          <w:spacing w:val="-8"/>
        </w:rPr>
        <w:t> </w:t>
      </w:r>
      <w:r>
        <w:rPr/>
        <w:t>de</w:t>
      </w:r>
      <w:r>
        <w:rPr>
          <w:spacing w:val="-7"/>
        </w:rPr>
        <w:t> </w:t>
      </w:r>
      <w:r>
        <w:rPr/>
        <w:t>indirectos.</w:t>
      </w:r>
      <w:r>
        <w:rPr>
          <w:spacing w:val="-6"/>
        </w:rPr>
        <w:t> </w:t>
      </w:r>
      <w:r>
        <w:rPr/>
        <w:t>El</w:t>
      </w:r>
      <w:r>
        <w:rPr>
          <w:spacing w:val="-8"/>
        </w:rPr>
        <w:t> </w:t>
      </w:r>
      <w:r>
        <w:rPr/>
        <w:t>valor</w:t>
      </w:r>
      <w:r>
        <w:rPr>
          <w:spacing w:val="-9"/>
        </w:rPr>
        <w:t> </w:t>
      </w:r>
      <w:r>
        <w:rPr/>
        <w:t>de</w:t>
      </w:r>
      <w:r>
        <w:rPr>
          <w:spacing w:val="-7"/>
        </w:rPr>
        <w:t> </w:t>
      </w:r>
      <w:r>
        <w:rPr/>
        <w:t>la</w:t>
      </w:r>
      <w:r>
        <w:rPr>
          <w:spacing w:val="-9"/>
        </w:rPr>
        <w:t> </w:t>
      </w:r>
      <w:r>
        <w:rPr/>
        <w:t>producción</w:t>
      </w:r>
      <w:r>
        <w:rPr>
          <w:spacing w:val="-6"/>
        </w:rPr>
        <w:t> </w:t>
      </w:r>
      <w:r>
        <w:rPr/>
        <w:t>e</w:t>
      </w:r>
      <w:r>
        <w:rPr>
          <w:spacing w:val="-10"/>
        </w:rPr>
        <w:t> </w:t>
      </w:r>
      <w:r>
        <w:rPr/>
        <w:t>importaciones</w:t>
      </w:r>
      <w:r>
        <w:rPr>
          <w:spacing w:val="-7"/>
        </w:rPr>
        <w:t> </w:t>
      </w:r>
      <w:r>
        <w:rPr/>
        <w:t>ascendió, en 2015, a 71,490 millones de pesos (FIRA,</w:t>
      </w:r>
      <w:r>
        <w:rPr>
          <w:spacing w:val="-7"/>
        </w:rPr>
        <w:t> </w:t>
      </w:r>
      <w:r>
        <w:rPr/>
        <w:t>2016).</w:t>
      </w:r>
    </w:p>
    <w:p>
      <w:pPr>
        <w:spacing w:after="0" w:line="360" w:lineRule="auto"/>
        <w:jc w:val="both"/>
        <w:sectPr>
          <w:pgSz w:w="12240" w:h="15840"/>
          <w:pgMar w:header="984" w:footer="986" w:top="1280" w:bottom="1180" w:left="130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1"/>
        </w:rPr>
      </w:pPr>
    </w:p>
    <w:p>
      <w:pPr>
        <w:pStyle w:val="Heading2"/>
        <w:numPr>
          <w:ilvl w:val="1"/>
          <w:numId w:val="2"/>
        </w:numPr>
        <w:tabs>
          <w:tab w:pos="2282" w:val="left" w:leader="none"/>
          <w:tab w:pos="7002" w:val="left" w:leader="none"/>
        </w:tabs>
        <w:spacing w:line="1081" w:lineRule="exact" w:before="0" w:after="0"/>
        <w:ind w:left="2281" w:right="0" w:hanging="1119"/>
        <w:jc w:val="left"/>
      </w:pPr>
      <w:bookmarkStart w:name="_bookmark4" w:id="6"/>
      <w:bookmarkEnd w:id="6"/>
      <w:r>
        <w:rPr/>
      </w:r>
      <w:bookmarkStart w:name="_bookmark3" w:id="7"/>
      <w:bookmarkEnd w:id="7"/>
      <w:r>
        <w:rPr/>
      </w:r>
      <w:bookmarkStart w:name="_bookmark3" w:id="8"/>
      <w:bookmarkEnd w:id="8"/>
      <w:r>
        <w:rPr/>
        <w:t>REVIS</w:t>
      </w:r>
      <w:r>
        <w:rPr/>
        <w:t>IÓN</w:t>
        <w:tab/>
        <w:t>DE</w:t>
      </w:r>
    </w:p>
    <w:p>
      <w:pPr>
        <w:spacing w:before="555"/>
        <w:ind w:left="1710" w:right="410" w:firstLine="0"/>
        <w:jc w:val="left"/>
        <w:rPr>
          <w:sz w:val="96"/>
        </w:rPr>
      </w:pPr>
      <w:r>
        <w:rPr>
          <w:sz w:val="96"/>
        </w:rPr>
        <w:t>LITERATURA</w:t>
      </w:r>
    </w:p>
    <w:p>
      <w:pPr>
        <w:spacing w:after="0"/>
        <w:jc w:val="left"/>
        <w:rPr>
          <w:sz w:val="96"/>
        </w:rPr>
        <w:sectPr>
          <w:pgSz w:w="12240" w:h="15840"/>
          <w:pgMar w:header="984" w:footer="986" w:top="1280" w:bottom="1180" w:left="1300" w:right="1340"/>
        </w:sectPr>
      </w:pPr>
    </w:p>
    <w:p>
      <w:pPr>
        <w:pStyle w:val="BodyText"/>
        <w:spacing w:before="125"/>
        <w:ind w:left="118"/>
        <w:jc w:val="both"/>
      </w:pPr>
      <w:r>
        <w:rPr/>
        <w:t>2.1 Contexto mundial</w:t>
      </w:r>
    </w:p>
    <w:p>
      <w:pPr>
        <w:pStyle w:val="BodyText"/>
      </w:pPr>
    </w:p>
    <w:p>
      <w:pPr>
        <w:pStyle w:val="BodyText"/>
      </w:pPr>
    </w:p>
    <w:p>
      <w:pPr>
        <w:pStyle w:val="BodyText"/>
        <w:ind w:left="118"/>
        <w:jc w:val="both"/>
      </w:pPr>
      <w:bookmarkStart w:name="_bookmark5" w:id="9"/>
      <w:bookmarkEnd w:id="9"/>
      <w:r>
        <w:rPr/>
      </w:r>
      <w:r>
        <w:rPr/>
        <w:t>2.1.1 Producción</w:t>
      </w:r>
    </w:p>
    <w:p>
      <w:pPr>
        <w:pStyle w:val="BodyText"/>
      </w:pPr>
    </w:p>
    <w:p>
      <w:pPr>
        <w:pStyle w:val="BodyText"/>
      </w:pPr>
    </w:p>
    <w:p>
      <w:pPr>
        <w:pStyle w:val="BodyText"/>
        <w:spacing w:line="360" w:lineRule="auto"/>
        <w:ind w:left="118" w:right="264"/>
        <w:jc w:val="both"/>
      </w:pPr>
      <w:r>
        <w:rPr/>
        <w:t>La carne de cerdo es una de las más producidas a nivel mundial, cifras de la USDA estiman que en al año 2013, la producción fue 108.4 millones de toneladas, y para el 2014 la producción mundial de carne de cerdo totalizó 110.5 millones de toneladas, lo que significó un aumento</w:t>
      </w:r>
      <w:r>
        <w:rPr>
          <w:spacing w:val="55"/>
        </w:rPr>
        <w:t> </w:t>
      </w:r>
      <w:r>
        <w:rPr/>
        <w:t>de</w:t>
      </w:r>
    </w:p>
    <w:p>
      <w:pPr>
        <w:pStyle w:val="BodyText"/>
        <w:spacing w:line="360" w:lineRule="auto" w:before="4"/>
        <w:ind w:left="118" w:right="268"/>
        <w:jc w:val="both"/>
      </w:pPr>
      <w:r>
        <w:rPr/>
        <w:t>2.3 % con respecto al año anterior, para el año 2015 (Ver gráfica 1) la producción mundial de esta carne alcanzará 110.9 millones de toneladas, lo que muestra un incremento de .33 % con respecto al año anterior (USDA 2016).</w:t>
      </w:r>
    </w:p>
    <w:p>
      <w:pPr>
        <w:pStyle w:val="BodyText"/>
      </w:pPr>
    </w:p>
    <w:p>
      <w:pPr>
        <w:pStyle w:val="BodyText"/>
        <w:spacing w:before="143"/>
        <w:ind w:left="118"/>
        <w:jc w:val="both"/>
      </w:pPr>
      <w:r>
        <w:rPr/>
        <w:pict>
          <v:group style="position:absolute;margin-left:111.230003pt;margin-top:27.893126pt;width:379.7pt;height:216.5pt;mso-position-horizontal-relative:page;mso-position-vertical-relative:paragraph;z-index:1360" coordorigin="2225,558" coordsize="7594,4330">
            <v:rect style="position:absolute;left:3274;top:784;width:6319;height:3173" filled="true" fillcolor="#ebf0e9" stroked="false">
              <v:fill type="solid"/>
            </v:rect>
            <v:shape style="position:absolute;left:3274;top:784;width:6320;height:2645" coordorigin="3274,784" coordsize="6320,2645" path="m8962,3428l9593,3428m6854,3428l8119,3428m4747,3428l6012,3428m3274,3428l3905,3428m8962,2900l9593,2900m6854,2900l8119,2900m3274,2900l6012,2900m8962,2370l9593,2370m6854,2370l8119,2370m3274,2370l6012,2370m8962,1842l9593,1842m6854,1842l8119,1842m3274,1842l6012,1842m3274,1314l9593,1314m3274,784l9593,784e" filled="false" stroked="true" strokeweight=".48pt" strokecolor="#888888">
              <v:path arrowok="t"/>
            </v:shape>
            <v:shape style="position:absolute;left:3905;top:1367;width:5057;height:2590" coordorigin="3905,1367" coordsize="5057,2590" path="m4747,2900l3905,2900,3905,3956,4747,3956,4747,2900m6854,1578l6012,1578,6012,3956,6854,3956,6854,1578m8962,1367l8119,1367,8119,3956,8962,3956,8962,1367e" filled="true" fillcolor="#6fac46" stroked="false">
              <v:path arrowok="t"/>
              <v:fill type="solid"/>
            </v:shape>
            <v:shape style="position:absolute;left:3905;top:1367;width:5057;height:2590" coordorigin="3905,1367" coordsize="5057,2590" path="m3905,2900l4747,2900,4747,3956,3905,3956,3905,2900xm6012,1578l6854,1578,6854,3956,6012,3956,6012,1578xm8119,1367l8962,1367,8962,3956,8119,3956,8119,1367xe" filled="false" stroked="true" strokeweight=".48pt" strokecolor="#507d31">
              <v:path arrowok="t"/>
            </v:shape>
            <v:shape style="position:absolute;left:3209;top:784;width:6384;height:3238" coordorigin="3209,784" coordsize="6384,3238" path="m3274,3956l3274,784m3209,3956l3274,3956m3209,3428l3274,3428m3209,2900l3274,2900m3209,2370l3274,2370m3209,1842l3274,1842m3209,1314l3274,1314m3209,784l3274,784m3274,3956l9593,3956m3274,3956l3274,4021m5378,3956l5378,4021m7486,3956l7486,4021m9593,3956l9593,4021e" filled="false" stroked="true" strokeweight=".48pt" strokecolor="#888888">
              <v:path arrowok="t"/>
            </v:shape>
            <v:rect style="position:absolute;left:2230;top:563;width:7584;height:4320" filled="false" stroked="true" strokeweight=".48pt" strokecolor="#888888"/>
            <v:shape style="position:absolute;left:2784;top:692;width:306;height:2315" type="#_x0000_t202" filled="false" stroked="false">
              <v:textbox inset="0,0,0,0">
                <w:txbxContent>
                  <w:p>
                    <w:pPr>
                      <w:spacing w:line="203" w:lineRule="exact" w:before="0"/>
                      <w:ind w:left="0" w:right="-19" w:firstLine="0"/>
                      <w:jc w:val="left"/>
                      <w:rPr>
                        <w:rFonts w:ascii="Calibri"/>
                        <w:sz w:val="20"/>
                      </w:rPr>
                    </w:pPr>
                    <w:r>
                      <w:rPr>
                        <w:rFonts w:ascii="Calibri"/>
                        <w:sz w:val="20"/>
                      </w:rPr>
                      <w:t>112</w:t>
                    </w:r>
                  </w:p>
                  <w:p>
                    <w:pPr>
                      <w:spacing w:line="240" w:lineRule="auto" w:before="8"/>
                      <w:rPr>
                        <w:sz w:val="24"/>
                      </w:rPr>
                    </w:pPr>
                  </w:p>
                  <w:p>
                    <w:pPr>
                      <w:spacing w:before="0"/>
                      <w:ind w:left="0" w:right="-19" w:firstLine="0"/>
                      <w:jc w:val="left"/>
                      <w:rPr>
                        <w:rFonts w:ascii="Calibri"/>
                        <w:sz w:val="20"/>
                      </w:rPr>
                    </w:pPr>
                    <w:r>
                      <w:rPr>
                        <w:rFonts w:ascii="Calibri"/>
                        <w:sz w:val="20"/>
                      </w:rPr>
                      <w:t>111</w:t>
                    </w:r>
                  </w:p>
                  <w:p>
                    <w:pPr>
                      <w:spacing w:line="240" w:lineRule="auto" w:before="8"/>
                      <w:rPr>
                        <w:sz w:val="24"/>
                      </w:rPr>
                    </w:pPr>
                  </w:p>
                  <w:p>
                    <w:pPr>
                      <w:spacing w:before="1"/>
                      <w:ind w:left="0" w:right="-19" w:firstLine="0"/>
                      <w:jc w:val="left"/>
                      <w:rPr>
                        <w:rFonts w:ascii="Calibri"/>
                        <w:sz w:val="20"/>
                      </w:rPr>
                    </w:pPr>
                    <w:r>
                      <w:rPr>
                        <w:rFonts w:ascii="Calibri"/>
                        <w:sz w:val="20"/>
                      </w:rPr>
                      <w:t>110</w:t>
                    </w:r>
                  </w:p>
                  <w:p>
                    <w:pPr>
                      <w:spacing w:line="240" w:lineRule="auto" w:before="8"/>
                      <w:rPr>
                        <w:sz w:val="24"/>
                      </w:rPr>
                    </w:pPr>
                  </w:p>
                  <w:p>
                    <w:pPr>
                      <w:spacing w:before="0"/>
                      <w:ind w:left="0" w:right="-19" w:firstLine="0"/>
                      <w:jc w:val="left"/>
                      <w:rPr>
                        <w:rFonts w:ascii="Calibri"/>
                        <w:sz w:val="20"/>
                      </w:rPr>
                    </w:pPr>
                    <w:r>
                      <w:rPr>
                        <w:rFonts w:ascii="Calibri"/>
                        <w:sz w:val="20"/>
                      </w:rPr>
                      <w:t>109</w:t>
                    </w:r>
                  </w:p>
                  <w:p>
                    <w:pPr>
                      <w:spacing w:line="240" w:lineRule="auto" w:before="8"/>
                      <w:rPr>
                        <w:sz w:val="24"/>
                      </w:rPr>
                    </w:pPr>
                  </w:p>
                  <w:p>
                    <w:pPr>
                      <w:spacing w:line="240" w:lineRule="exact" w:before="1"/>
                      <w:ind w:left="0" w:right="-19" w:firstLine="0"/>
                      <w:jc w:val="left"/>
                      <w:rPr>
                        <w:rFonts w:ascii="Calibri"/>
                        <w:sz w:val="20"/>
                      </w:rPr>
                    </w:pPr>
                    <w:r>
                      <w:rPr>
                        <w:rFonts w:ascii="Calibri"/>
                        <w:sz w:val="20"/>
                      </w:rPr>
                      <w:t>108</w:t>
                    </w:r>
                  </w:p>
                </w:txbxContent>
              </v:textbox>
              <w10:wrap type="none"/>
            </v:shape>
            <v:shape style="position:absolute;left:6206;top:2686;width:456;height:200" type="#_x0000_t202" filled="false" stroked="false">
              <v:textbox inset="0,0,0,0">
                <w:txbxContent>
                  <w:p>
                    <w:pPr>
                      <w:spacing w:line="200" w:lineRule="exact" w:before="0"/>
                      <w:ind w:left="0" w:right="-96" w:firstLine="0"/>
                      <w:jc w:val="left"/>
                      <w:rPr>
                        <w:rFonts w:ascii="Calibri"/>
                        <w:sz w:val="20"/>
                      </w:rPr>
                    </w:pPr>
                    <w:r>
                      <w:rPr>
                        <w:rFonts w:ascii="Calibri"/>
                        <w:w w:val="95"/>
                        <w:sz w:val="20"/>
                      </w:rPr>
                      <w:t>110.5</w:t>
                    </w:r>
                  </w:p>
                </w:txbxContent>
              </v:textbox>
              <w10:wrap type="none"/>
            </v:shape>
            <v:shape style="position:absolute;left:2784;top:2581;width:5984;height:956" type="#_x0000_t202" filled="false" stroked="false">
              <v:textbox inset="0,0,0,0">
                <w:txbxContent>
                  <w:p>
                    <w:pPr>
                      <w:spacing w:line="203" w:lineRule="exact" w:before="0"/>
                      <w:ind w:left="0" w:right="0" w:firstLine="0"/>
                      <w:jc w:val="right"/>
                      <w:rPr>
                        <w:rFonts w:ascii="Calibri"/>
                        <w:sz w:val="20"/>
                      </w:rPr>
                    </w:pPr>
                    <w:r>
                      <w:rPr>
                        <w:rFonts w:ascii="Calibri"/>
                        <w:w w:val="95"/>
                        <w:sz w:val="20"/>
                      </w:rPr>
                      <w:t>110.9</w:t>
                    </w:r>
                  </w:p>
                  <w:p>
                    <w:pPr>
                      <w:spacing w:line="240" w:lineRule="auto" w:before="0"/>
                      <w:rPr>
                        <w:sz w:val="20"/>
                      </w:rPr>
                    </w:pPr>
                  </w:p>
                  <w:p>
                    <w:pPr>
                      <w:spacing w:line="240" w:lineRule="auto" w:before="5"/>
                      <w:rPr>
                        <w:sz w:val="24"/>
                      </w:rPr>
                    </w:pPr>
                  </w:p>
                  <w:p>
                    <w:pPr>
                      <w:spacing w:line="240" w:lineRule="exact" w:before="1"/>
                      <w:ind w:left="0" w:right="0" w:firstLine="0"/>
                      <w:jc w:val="left"/>
                      <w:rPr>
                        <w:rFonts w:ascii="Calibri"/>
                        <w:sz w:val="20"/>
                      </w:rPr>
                    </w:pPr>
                    <w:r>
                      <w:rPr>
                        <w:rFonts w:ascii="Calibri"/>
                        <w:sz w:val="20"/>
                      </w:rPr>
                      <w:t>107</w:t>
                    </w:r>
                  </w:p>
                </w:txbxContent>
              </v:textbox>
              <w10:wrap type="none"/>
            </v:shape>
            <v:shape style="position:absolute;left:4176;top:3348;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108</w:t>
                    </w:r>
                  </w:p>
                </w:txbxContent>
              </v:textbox>
              <w10:wrap type="none"/>
            </v:shape>
            <v:shape style="position:absolute;left:2784;top:3866;width:305;height:200" type="#_x0000_t202" filled="false" stroked="false">
              <v:textbox inset="0,0,0,0">
                <w:txbxContent>
                  <w:p>
                    <w:pPr>
                      <w:spacing w:line="199" w:lineRule="exact" w:before="0"/>
                      <w:ind w:left="0" w:right="-20" w:firstLine="0"/>
                      <w:jc w:val="left"/>
                      <w:rPr>
                        <w:rFonts w:ascii="Calibri"/>
                        <w:sz w:val="20"/>
                      </w:rPr>
                    </w:pPr>
                    <w:r>
                      <w:rPr>
                        <w:rFonts w:ascii="Calibri"/>
                        <w:sz w:val="20"/>
                      </w:rPr>
                      <w:t>106</w:t>
                    </w:r>
                  </w:p>
                </w:txbxContent>
              </v:textbox>
              <w10:wrap type="none"/>
            </v:shape>
            <v:shape style="position:absolute;left:4124;top:4125;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2013</w:t>
                    </w:r>
                  </w:p>
                </w:txbxContent>
              </v:textbox>
              <w10:wrap type="none"/>
            </v:shape>
            <v:shape style="position:absolute;left:6225;top:4125;width:415;height:504" type="#_x0000_t202" filled="false" stroked="false">
              <v:textbox inset="0,0,0,0">
                <w:txbxContent>
                  <w:p>
                    <w:pPr>
                      <w:spacing w:line="203" w:lineRule="exact" w:before="0"/>
                      <w:ind w:left="6" w:right="-17" w:firstLine="0"/>
                      <w:jc w:val="left"/>
                      <w:rPr>
                        <w:rFonts w:ascii="Calibri"/>
                        <w:sz w:val="20"/>
                      </w:rPr>
                    </w:pPr>
                    <w:r>
                      <w:rPr>
                        <w:rFonts w:ascii="Calibri"/>
                        <w:sz w:val="20"/>
                      </w:rPr>
                      <w:t>2014</w:t>
                    </w:r>
                  </w:p>
                  <w:p>
                    <w:pPr>
                      <w:spacing w:line="240" w:lineRule="exact" w:before="60"/>
                      <w:ind w:left="0" w:right="-1" w:firstLine="0"/>
                      <w:jc w:val="left"/>
                      <w:rPr>
                        <w:rFonts w:ascii="Calibri" w:hAnsi="Calibri"/>
                        <w:b/>
                        <w:sz w:val="20"/>
                      </w:rPr>
                    </w:pPr>
                    <w:r>
                      <w:rPr>
                        <w:rFonts w:ascii="Calibri" w:hAnsi="Calibri"/>
                        <w:b/>
                        <w:w w:val="95"/>
                        <w:sz w:val="20"/>
                      </w:rPr>
                      <w:t>Años</w:t>
                    </w:r>
                  </w:p>
                </w:txbxContent>
              </v:textbox>
              <w10:wrap type="none"/>
            </v:shape>
            <v:shape style="position:absolute;left:8339;top:4125;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2015</w:t>
                    </w:r>
                  </w:p>
                </w:txbxContent>
              </v:textbox>
              <w10:wrap type="none"/>
            </v:shape>
            <w10:wrap type="none"/>
          </v:group>
        </w:pict>
      </w:r>
      <w:r>
        <w:rPr/>
        <w:pict>
          <v:shape style="position:absolute;margin-left:124.989998pt;margin-top:70.934799pt;width:12pt;height:95.25pt;mso-position-horizontal-relative:page;mso-position-vertical-relative:paragraph;z-index:1384" type="#_x0000_t202" filled="false" stroked="false">
            <v:textbox inset="0,0,0,0" style="layout-flow:vertical;mso-layout-flow-alt:bottom-to-top">
              <w:txbxContent>
                <w:p>
                  <w:pPr>
                    <w:spacing w:line="223" w:lineRule="exact" w:before="0"/>
                    <w:ind w:left="20" w:right="-646" w:firstLine="0"/>
                    <w:jc w:val="left"/>
                    <w:rPr>
                      <w:rFonts w:ascii="Calibri"/>
                      <w:b/>
                      <w:sz w:val="20"/>
                    </w:rPr>
                  </w:pPr>
                  <w:r>
                    <w:rPr>
                      <w:rFonts w:ascii="Calibri"/>
                      <w:b/>
                      <w:spacing w:val="1"/>
                      <w:w w:val="99"/>
                      <w:sz w:val="20"/>
                    </w:rPr>
                    <w:t>M</w:t>
                  </w:r>
                  <w:r>
                    <w:rPr>
                      <w:rFonts w:ascii="Calibri"/>
                      <w:b/>
                      <w:spacing w:val="-1"/>
                      <w:w w:val="99"/>
                      <w:sz w:val="20"/>
                    </w:rPr>
                    <w:t>ill</w:t>
                  </w:r>
                  <w:r>
                    <w:rPr>
                      <w:rFonts w:ascii="Calibri"/>
                      <w:b/>
                      <w:spacing w:val="1"/>
                      <w:w w:val="99"/>
                      <w:sz w:val="20"/>
                    </w:rPr>
                    <w:t>on</w:t>
                  </w:r>
                  <w:r>
                    <w:rPr>
                      <w:rFonts w:ascii="Calibri"/>
                      <w:b/>
                      <w:w w:val="99"/>
                      <w:sz w:val="20"/>
                    </w:rPr>
                    <w:t>es</w:t>
                  </w:r>
                  <w:r>
                    <w:rPr>
                      <w:rFonts w:ascii="Calibri"/>
                      <w:b/>
                      <w:spacing w:val="2"/>
                      <w:sz w:val="20"/>
                    </w:rPr>
                    <w:t> </w:t>
                  </w:r>
                  <w:r>
                    <w:rPr>
                      <w:rFonts w:ascii="Calibri"/>
                      <w:b/>
                      <w:spacing w:val="1"/>
                      <w:w w:val="99"/>
                      <w:sz w:val="20"/>
                    </w:rPr>
                    <w:t>d</w:t>
                  </w:r>
                  <w:r>
                    <w:rPr>
                      <w:rFonts w:ascii="Calibri"/>
                      <w:b/>
                      <w:w w:val="99"/>
                      <w:sz w:val="20"/>
                    </w:rPr>
                    <w:t>e</w:t>
                  </w:r>
                  <w:r>
                    <w:rPr>
                      <w:rFonts w:ascii="Calibri"/>
                      <w:b/>
                      <w:spacing w:val="-2"/>
                      <w:sz w:val="20"/>
                    </w:rPr>
                    <w:t> </w:t>
                  </w:r>
                  <w:r>
                    <w:rPr>
                      <w:rFonts w:ascii="Calibri"/>
                      <w:b/>
                      <w:spacing w:val="-1"/>
                      <w:w w:val="99"/>
                      <w:sz w:val="20"/>
                    </w:rPr>
                    <w:t>T</w:t>
                  </w:r>
                  <w:r>
                    <w:rPr>
                      <w:rFonts w:ascii="Calibri"/>
                      <w:b/>
                      <w:spacing w:val="1"/>
                      <w:w w:val="99"/>
                      <w:sz w:val="20"/>
                    </w:rPr>
                    <w:t>on</w:t>
                  </w:r>
                  <w:r>
                    <w:rPr>
                      <w:rFonts w:ascii="Calibri"/>
                      <w:b/>
                      <w:w w:val="99"/>
                      <w:sz w:val="20"/>
                    </w:rPr>
                    <w:t>e</w:t>
                  </w:r>
                  <w:r>
                    <w:rPr>
                      <w:rFonts w:ascii="Calibri"/>
                      <w:b/>
                      <w:spacing w:val="-1"/>
                      <w:w w:val="99"/>
                      <w:sz w:val="20"/>
                    </w:rPr>
                    <w:t>l</w:t>
                  </w:r>
                  <w:r>
                    <w:rPr>
                      <w:rFonts w:ascii="Calibri"/>
                      <w:b/>
                      <w:w w:val="99"/>
                      <w:sz w:val="20"/>
                    </w:rPr>
                    <w:t>a</w:t>
                  </w:r>
                  <w:r>
                    <w:rPr>
                      <w:rFonts w:ascii="Calibri"/>
                      <w:b/>
                      <w:spacing w:val="1"/>
                      <w:w w:val="99"/>
                      <w:sz w:val="20"/>
                    </w:rPr>
                    <w:t>d</w:t>
                  </w:r>
                  <w:r>
                    <w:rPr>
                      <w:rFonts w:ascii="Calibri"/>
                      <w:b/>
                      <w:w w:val="99"/>
                      <w:sz w:val="20"/>
                    </w:rPr>
                    <w:t>as</w:t>
                  </w:r>
                </w:p>
              </w:txbxContent>
            </v:textbox>
            <w10:wrap type="none"/>
          </v:shape>
        </w:pict>
      </w:r>
      <w:r>
        <w:rPr/>
        <w:t>Gráfica 1. Producción mundial de carne de cerdo durante los últimos tres años.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68"/>
        <w:ind w:left="178"/>
        <w:jc w:val="both"/>
      </w:pPr>
      <w:r>
        <w:rPr/>
        <w:t>(USDA, 2016)</w:t>
      </w:r>
    </w:p>
    <w:p>
      <w:pPr>
        <w:pStyle w:val="BodyText"/>
        <w:spacing w:line="360" w:lineRule="auto" w:before="139"/>
        <w:ind w:left="118" w:right="268"/>
        <w:jc w:val="both"/>
      </w:pPr>
      <w:r>
        <w:rPr/>
        <w:t>Como</w:t>
      </w:r>
      <w:r>
        <w:rPr>
          <w:spacing w:val="-13"/>
        </w:rPr>
        <w:t> </w:t>
      </w:r>
      <w:r>
        <w:rPr/>
        <w:t>se</w:t>
      </w:r>
      <w:r>
        <w:rPr>
          <w:spacing w:val="-14"/>
        </w:rPr>
        <w:t> </w:t>
      </w:r>
      <w:r>
        <w:rPr/>
        <w:t>muestra</w:t>
      </w:r>
      <w:r>
        <w:rPr>
          <w:spacing w:val="-15"/>
        </w:rPr>
        <w:t> </w:t>
      </w:r>
      <w:r>
        <w:rPr/>
        <w:t>en</w:t>
      </w:r>
      <w:r>
        <w:rPr>
          <w:spacing w:val="-13"/>
        </w:rPr>
        <w:t> </w:t>
      </w:r>
      <w:r>
        <w:rPr/>
        <w:t>la</w:t>
      </w:r>
      <w:r>
        <w:rPr>
          <w:spacing w:val="-12"/>
        </w:rPr>
        <w:t> </w:t>
      </w:r>
      <w:r>
        <w:rPr/>
        <w:t>gráfica</w:t>
      </w:r>
      <w:r>
        <w:rPr>
          <w:spacing w:val="-14"/>
        </w:rPr>
        <w:t> </w:t>
      </w:r>
      <w:r>
        <w:rPr/>
        <w:t>2,</w:t>
      </w:r>
      <w:r>
        <w:rPr>
          <w:spacing w:val="-11"/>
        </w:rPr>
        <w:t> </w:t>
      </w:r>
      <w:r>
        <w:rPr/>
        <w:t>en</w:t>
      </w:r>
      <w:r>
        <w:rPr>
          <w:spacing w:val="-13"/>
        </w:rPr>
        <w:t> </w:t>
      </w:r>
      <w:r>
        <w:rPr/>
        <w:t>2015,</w:t>
      </w:r>
      <w:r>
        <w:rPr>
          <w:spacing w:val="-13"/>
        </w:rPr>
        <w:t> </w:t>
      </w:r>
      <w:r>
        <w:rPr/>
        <w:t>el</w:t>
      </w:r>
      <w:r>
        <w:rPr>
          <w:spacing w:val="-13"/>
        </w:rPr>
        <w:t> </w:t>
      </w:r>
      <w:r>
        <w:rPr/>
        <w:t>principal</w:t>
      </w:r>
      <w:r>
        <w:rPr>
          <w:spacing w:val="-13"/>
        </w:rPr>
        <w:t> </w:t>
      </w:r>
      <w:r>
        <w:rPr/>
        <w:t>país</w:t>
      </w:r>
      <w:r>
        <w:rPr>
          <w:spacing w:val="-13"/>
        </w:rPr>
        <w:t> </w:t>
      </w:r>
      <w:r>
        <w:rPr/>
        <w:t>productor</w:t>
      </w:r>
      <w:r>
        <w:rPr>
          <w:spacing w:val="-14"/>
        </w:rPr>
        <w:t> </w:t>
      </w:r>
      <w:r>
        <w:rPr/>
        <w:t>de</w:t>
      </w:r>
      <w:r>
        <w:rPr>
          <w:spacing w:val="-12"/>
        </w:rPr>
        <w:t> </w:t>
      </w:r>
      <w:r>
        <w:rPr/>
        <w:t>carne</w:t>
      </w:r>
      <w:r>
        <w:rPr>
          <w:spacing w:val="-14"/>
        </w:rPr>
        <w:t> </w:t>
      </w:r>
      <w:r>
        <w:rPr/>
        <w:t>de</w:t>
      </w:r>
      <w:r>
        <w:rPr>
          <w:spacing w:val="-14"/>
        </w:rPr>
        <w:t> </w:t>
      </w:r>
      <w:r>
        <w:rPr/>
        <w:t>cerdo</w:t>
      </w:r>
      <w:r>
        <w:rPr>
          <w:spacing w:val="-14"/>
        </w:rPr>
        <w:t> </w:t>
      </w:r>
      <w:r>
        <w:rPr/>
        <w:t>fue</w:t>
      </w:r>
      <w:r>
        <w:rPr>
          <w:spacing w:val="-15"/>
        </w:rPr>
        <w:t> </w:t>
      </w:r>
      <w:r>
        <w:rPr/>
        <w:t>China, con una producción de 56.6 millones de toneladas, 51 % de la producción mundial de este tipo de</w:t>
      </w:r>
      <w:r>
        <w:rPr>
          <w:spacing w:val="-17"/>
        </w:rPr>
        <w:t> </w:t>
      </w:r>
      <w:r>
        <w:rPr/>
        <w:t>carne,</w:t>
      </w:r>
      <w:r>
        <w:rPr>
          <w:spacing w:val="-14"/>
        </w:rPr>
        <w:t> </w:t>
      </w:r>
      <w:r>
        <w:rPr/>
        <w:t>le</w:t>
      </w:r>
      <w:r>
        <w:rPr>
          <w:spacing w:val="-16"/>
        </w:rPr>
        <w:t> </w:t>
      </w:r>
      <w:r>
        <w:rPr/>
        <w:t>siguió</w:t>
      </w:r>
      <w:r>
        <w:rPr>
          <w:spacing w:val="-15"/>
        </w:rPr>
        <w:t> </w:t>
      </w:r>
      <w:r>
        <w:rPr/>
        <w:t>la</w:t>
      </w:r>
      <w:r>
        <w:rPr>
          <w:spacing w:val="-14"/>
        </w:rPr>
        <w:t> </w:t>
      </w:r>
      <w:r>
        <w:rPr/>
        <w:t>Unión</w:t>
      </w:r>
      <w:r>
        <w:rPr>
          <w:spacing w:val="-16"/>
        </w:rPr>
        <w:t> </w:t>
      </w:r>
      <w:r>
        <w:rPr/>
        <w:t>Europea</w:t>
      </w:r>
      <w:r>
        <w:rPr>
          <w:spacing w:val="-17"/>
        </w:rPr>
        <w:t> </w:t>
      </w:r>
      <w:r>
        <w:rPr/>
        <w:t>con</w:t>
      </w:r>
      <w:r>
        <w:rPr>
          <w:spacing w:val="-14"/>
        </w:rPr>
        <w:t> </w:t>
      </w:r>
      <w:r>
        <w:rPr/>
        <w:t>un</w:t>
      </w:r>
      <w:r>
        <w:rPr>
          <w:spacing w:val="-14"/>
        </w:rPr>
        <w:t> </w:t>
      </w:r>
      <w:r>
        <w:rPr/>
        <w:t>22.6</w:t>
      </w:r>
      <w:r>
        <w:rPr>
          <w:spacing w:val="-13"/>
        </w:rPr>
        <w:t> </w:t>
      </w:r>
      <w:r>
        <w:rPr/>
        <w:t>%</w:t>
      </w:r>
      <w:r>
        <w:rPr>
          <w:spacing w:val="-14"/>
        </w:rPr>
        <w:t> </w:t>
      </w:r>
      <w:r>
        <w:rPr/>
        <w:t>y</w:t>
      </w:r>
      <w:r>
        <w:rPr>
          <w:spacing w:val="-18"/>
        </w:rPr>
        <w:t> </w:t>
      </w:r>
      <w:r>
        <w:rPr/>
        <w:t>en</w:t>
      </w:r>
      <w:r>
        <w:rPr>
          <w:spacing w:val="-16"/>
        </w:rPr>
        <w:t> </w:t>
      </w:r>
      <w:r>
        <w:rPr/>
        <w:t>tercer</w:t>
      </w:r>
      <w:r>
        <w:rPr>
          <w:spacing w:val="-17"/>
        </w:rPr>
        <w:t> </w:t>
      </w:r>
      <w:r>
        <w:rPr/>
        <w:t>lugar,</w:t>
      </w:r>
      <w:r>
        <w:rPr>
          <w:spacing w:val="-14"/>
        </w:rPr>
        <w:t> </w:t>
      </w:r>
      <w:r>
        <w:rPr/>
        <w:t>EUA</w:t>
      </w:r>
      <w:r>
        <w:rPr>
          <w:spacing w:val="-14"/>
        </w:rPr>
        <w:t> </w:t>
      </w:r>
      <w:r>
        <w:rPr/>
        <w:t>con</w:t>
      </w:r>
      <w:r>
        <w:rPr>
          <w:spacing w:val="-16"/>
        </w:rPr>
        <w:t> </w:t>
      </w:r>
      <w:r>
        <w:rPr/>
        <w:t>un</w:t>
      </w:r>
      <w:r>
        <w:rPr>
          <w:spacing w:val="-16"/>
        </w:rPr>
        <w:t> </w:t>
      </w:r>
      <w:r>
        <w:rPr/>
        <w:t>10.5</w:t>
      </w:r>
      <w:r>
        <w:rPr>
          <w:spacing w:val="-16"/>
        </w:rPr>
        <w:t> </w:t>
      </w:r>
      <w:r>
        <w:rPr/>
        <w:t>%</w:t>
      </w:r>
      <w:r>
        <w:rPr>
          <w:spacing w:val="-14"/>
        </w:rPr>
        <w:t> </w:t>
      </w:r>
      <w:r>
        <w:rPr/>
        <w:t>(USDA, 2016).</w:t>
      </w:r>
    </w:p>
    <w:p>
      <w:pPr>
        <w:spacing w:after="0" w:line="360" w:lineRule="auto"/>
        <w:jc w:val="both"/>
        <w:sectPr>
          <w:pgSz w:w="12240" w:h="15840"/>
          <w:pgMar w:header="984" w:footer="986" w:top="1280" w:bottom="1180" w:left="1300" w:right="1340"/>
        </w:sectPr>
      </w:pPr>
    </w:p>
    <w:p>
      <w:pPr>
        <w:pStyle w:val="BodyText"/>
        <w:rPr>
          <w:sz w:val="20"/>
        </w:rPr>
      </w:pPr>
    </w:p>
    <w:p>
      <w:pPr>
        <w:pStyle w:val="BodyText"/>
        <w:spacing w:before="8"/>
        <w:rPr>
          <w:sz w:val="20"/>
        </w:rPr>
      </w:pPr>
    </w:p>
    <w:p>
      <w:pPr>
        <w:pStyle w:val="BodyText"/>
        <w:spacing w:before="69"/>
        <w:ind w:left="118"/>
        <w:jc w:val="both"/>
      </w:pPr>
      <w:r>
        <w:rPr/>
        <w:pict>
          <v:group style="position:absolute;margin-left:120.949997pt;margin-top:24.223125pt;width:360.5pt;height:216.5pt;mso-position-horizontal-relative:page;mso-position-vertical-relative:paragraph;z-index:1792" coordorigin="2419,484" coordsize="7210,4330">
            <v:rect style="position:absolute;left:3518;top:710;width:5885;height:3173" filled="true" fillcolor="#ebf0e9" stroked="false">
              <v:fill type="solid"/>
            </v:rect>
            <v:shape style="position:absolute;left:3518;top:710;width:5885;height:2645" coordorigin="3518,710" coordsize="5885,2645" path="m5789,3355l9403,3355m4949,3355l5453,3355m4106,3355l4610,3355m3518,3355l3770,3355m4949,2827l9403,2827m4106,2827l4610,2827m3518,2827l3770,2827m4106,2297l9403,2297m3518,2297l3770,2297m4106,1769l9403,1769m3518,1769l3770,1769m4106,1241l9403,1241m3518,1241l3770,1241m3518,710l9403,710e" filled="false" stroked="true" strokeweight=".48pt" strokecolor="#888888">
              <v:path arrowok="t"/>
            </v:shape>
            <v:shape style="position:absolute;left:3770;top:893;width:5381;height:2991" coordorigin="3770,893" coordsize="5381,2991" path="m4106,893l3770,893,3770,3883,4106,3883,4106,893m4949,2712l4610,2712,4610,3883,4949,3883,4949,2712m5789,3297l5453,3297,5453,3883,5789,3883,5789,3297m6629,3698l6293,3698,6293,3883,6629,3883,6629,3698m7471,3765l7133,3765,7133,3883,7471,3883,7471,3765m8311,3777l7975,3777,7975,3883,8311,3883,8311,3777m9151,3789l8815,3789,8815,3883,9151,3883,9151,3789e" filled="true" fillcolor="#6fac46" stroked="false">
              <v:path arrowok="t"/>
              <v:fill type="solid"/>
            </v:shape>
            <v:shape style="position:absolute;left:3770;top:893;width:5381;height:2991" coordorigin="3770,893" coordsize="5381,2991" path="m3770,893l4106,893,4106,3883,3770,3883,3770,893xm4610,2712l4949,2712,4949,3883,4610,3883,4610,2712xm5453,3297l5789,3297,5789,3883,5453,3883,5453,3297xm6293,3698l6629,3698,6629,3883,6293,3883,6293,3698xm7133,3765l7471,3765,7471,3883,7133,3883,7133,3765xm7975,3777l8311,3777,8311,3883,7975,3883,7975,3777xm8815,3789l9151,3789,9151,3883,8815,3883,8815,3789xe" filled="false" stroked="true" strokeweight=".48pt" strokecolor="#507d31">
              <v:path arrowok="t"/>
            </v:shape>
            <v:shape style="position:absolute;left:3456;top:710;width:5948;height:3238" coordorigin="3456,710" coordsize="5948,3238" path="m3518,3883l3518,710m3456,3883l3518,3883m3456,3355l3518,3355m3456,2827l3518,2827m3456,2297l3518,2297m3456,1769l3518,1769m3456,1241l3518,1241m3456,710l3518,710m3518,3883l9403,3883m3518,3883l3518,3948m4358,3883l4358,3948m5201,3883l5201,3948m6041,3883l6041,3948m6881,3883l6881,3948m7723,3883l7723,3948m8563,3883l8563,3948m9403,3883l9403,3948e" filled="false" stroked="true" strokeweight=".48pt" strokecolor="#888888">
              <v:path arrowok="t"/>
            </v:shape>
            <v:rect style="position:absolute;left:2424;top:489;width:7200;height:4320" filled="false" stroked="true" strokeweight=".48pt" strokecolor="#888888"/>
            <v:shape style="position:absolute;left:2979;top:618;width:355;height:1786" type="#_x0000_t202" filled="false" stroked="false">
              <v:textbox inset="0,0,0,0">
                <w:txbxContent>
                  <w:p>
                    <w:pPr>
                      <w:spacing w:line="203" w:lineRule="exact" w:before="0"/>
                      <w:ind w:left="0" w:right="-2" w:firstLine="0"/>
                      <w:jc w:val="left"/>
                      <w:rPr>
                        <w:rFonts w:ascii="Calibri"/>
                        <w:sz w:val="20"/>
                      </w:rPr>
                    </w:pPr>
                    <w:r>
                      <w:rPr>
                        <w:rFonts w:ascii="Calibri"/>
                        <w:w w:val="95"/>
                        <w:sz w:val="20"/>
                      </w:rPr>
                      <w:t>60.0</w:t>
                    </w:r>
                  </w:p>
                  <w:p>
                    <w:pPr>
                      <w:spacing w:line="240" w:lineRule="auto" w:before="8"/>
                      <w:rPr>
                        <w:sz w:val="24"/>
                      </w:rPr>
                    </w:pPr>
                  </w:p>
                  <w:p>
                    <w:pPr>
                      <w:spacing w:before="1"/>
                      <w:ind w:left="0" w:right="-2" w:firstLine="0"/>
                      <w:jc w:val="left"/>
                      <w:rPr>
                        <w:rFonts w:ascii="Calibri"/>
                        <w:sz w:val="20"/>
                      </w:rPr>
                    </w:pPr>
                    <w:r>
                      <w:rPr>
                        <w:rFonts w:ascii="Calibri"/>
                        <w:w w:val="95"/>
                        <w:sz w:val="20"/>
                      </w:rPr>
                      <w:t>50.0</w:t>
                    </w:r>
                  </w:p>
                  <w:p>
                    <w:pPr>
                      <w:spacing w:line="240" w:lineRule="auto" w:before="8"/>
                      <w:rPr>
                        <w:sz w:val="24"/>
                      </w:rPr>
                    </w:pPr>
                  </w:p>
                  <w:p>
                    <w:pPr>
                      <w:spacing w:before="1"/>
                      <w:ind w:left="0" w:right="-2" w:firstLine="0"/>
                      <w:jc w:val="left"/>
                      <w:rPr>
                        <w:rFonts w:ascii="Calibri"/>
                        <w:sz w:val="20"/>
                      </w:rPr>
                    </w:pPr>
                    <w:r>
                      <w:rPr>
                        <w:rFonts w:ascii="Calibri"/>
                        <w:w w:val="95"/>
                        <w:sz w:val="20"/>
                      </w:rPr>
                      <w:t>40.0</w:t>
                    </w:r>
                  </w:p>
                  <w:p>
                    <w:pPr>
                      <w:spacing w:line="240" w:lineRule="auto" w:before="8"/>
                      <w:rPr>
                        <w:sz w:val="24"/>
                      </w:rPr>
                    </w:pPr>
                  </w:p>
                  <w:p>
                    <w:pPr>
                      <w:spacing w:line="240" w:lineRule="exact" w:before="0"/>
                      <w:ind w:left="0" w:right="-2" w:firstLine="0"/>
                      <w:jc w:val="left"/>
                      <w:rPr>
                        <w:rFonts w:ascii="Calibri"/>
                        <w:sz w:val="20"/>
                      </w:rPr>
                    </w:pPr>
                    <w:r>
                      <w:rPr>
                        <w:rFonts w:ascii="Calibri"/>
                        <w:w w:val="95"/>
                        <w:sz w:val="20"/>
                      </w:rPr>
                      <w:t>30.0</w:t>
                    </w:r>
                  </w:p>
                </w:txbxContent>
              </v:textbox>
              <w10:wrap type="none"/>
            </v:shape>
            <v:shape style="position:absolute;left:3762;top:2307;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56.6</w:t>
                    </w:r>
                  </w:p>
                </w:txbxContent>
              </v:textbox>
              <w10:wrap type="none"/>
            </v:shape>
            <v:shape style="position:absolute;left:2979;top:2734;width:356;height:729" type="#_x0000_t202" filled="false" stroked="false">
              <v:textbox inset="0,0,0,0">
                <w:txbxContent>
                  <w:p>
                    <w:pPr>
                      <w:spacing w:line="203" w:lineRule="exact" w:before="0"/>
                      <w:ind w:left="0" w:right="-19" w:firstLine="0"/>
                      <w:jc w:val="left"/>
                      <w:rPr>
                        <w:rFonts w:ascii="Calibri"/>
                        <w:sz w:val="20"/>
                      </w:rPr>
                    </w:pPr>
                    <w:r>
                      <w:rPr>
                        <w:rFonts w:ascii="Calibri"/>
                        <w:sz w:val="20"/>
                      </w:rPr>
                      <w:t>20.0</w:t>
                    </w:r>
                  </w:p>
                  <w:p>
                    <w:pPr>
                      <w:spacing w:line="240" w:lineRule="auto" w:before="8"/>
                      <w:rPr>
                        <w:sz w:val="24"/>
                      </w:rPr>
                    </w:pPr>
                  </w:p>
                  <w:p>
                    <w:pPr>
                      <w:spacing w:line="240" w:lineRule="exact" w:before="1"/>
                      <w:ind w:left="0" w:right="-19" w:firstLine="0"/>
                      <w:jc w:val="left"/>
                      <w:rPr>
                        <w:rFonts w:ascii="Calibri"/>
                        <w:sz w:val="20"/>
                      </w:rPr>
                    </w:pPr>
                    <w:r>
                      <w:rPr>
                        <w:rFonts w:ascii="Calibri"/>
                        <w:sz w:val="20"/>
                      </w:rPr>
                      <w:t>10.0</w:t>
                    </w:r>
                  </w:p>
                </w:txbxContent>
              </v:textbox>
              <w10:wrap type="none"/>
            </v:shape>
            <v:shape style="position:absolute;left:4603;top:3216;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22.6</w:t>
                    </w:r>
                  </w:p>
                </w:txbxContent>
              </v:textbox>
              <w10:wrap type="none"/>
            </v:shape>
            <v:shape style="position:absolute;left:5444;top:3509;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10.5</w:t>
                    </w:r>
                  </w:p>
                </w:txbxContent>
              </v:textbox>
              <w10:wrap type="none"/>
            </v:shape>
            <v:shape style="position:absolute;left:6335;top:3471;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3.4</w:t>
                    </w:r>
                  </w:p>
                </w:txbxContent>
              </v:textbox>
              <w10:wrap type="none"/>
            </v:shape>
            <v:shape style="position:absolute;left:7176;top:3591;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2.0</w:t>
                    </w:r>
                  </w:p>
                </w:txbxContent>
              </v:textbox>
              <w10:wrap type="none"/>
            </v:shape>
            <v:shape style="position:absolute;left:8017;top:3591;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2.0</w:t>
                    </w:r>
                  </w:p>
                </w:txbxContent>
              </v:textbox>
              <w10:wrap type="none"/>
            </v:shape>
            <v:shape style="position:absolute;left:8858;top:3591;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1.8</w:t>
                    </w:r>
                  </w:p>
                </w:txbxContent>
              </v:textbox>
              <w10:wrap type="none"/>
            </v:shape>
            <v:shape style="position:absolute;left:3080;top:3792;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0.0</w:t>
                    </w:r>
                  </w:p>
                </w:txbxContent>
              </v:textbox>
              <w10:wrap type="none"/>
            </v:shape>
            <v:shape style="position:absolute;left:3710;top:4052;width:458;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China</w:t>
                    </w:r>
                  </w:p>
                </w:txbxContent>
              </v:textbox>
              <w10:wrap type="none"/>
            </v:shape>
            <v:shape style="position:absolute;left:4668;top:4052;width:224;height:200" type="#_x0000_t202" filled="false" stroked="false">
              <v:textbox inset="0,0,0,0">
                <w:txbxContent>
                  <w:p>
                    <w:pPr>
                      <w:spacing w:line="199" w:lineRule="exact" w:before="0"/>
                      <w:ind w:left="0" w:right="-11" w:firstLine="0"/>
                      <w:jc w:val="left"/>
                      <w:rPr>
                        <w:rFonts w:ascii="Calibri"/>
                        <w:sz w:val="20"/>
                      </w:rPr>
                    </w:pPr>
                    <w:r>
                      <w:rPr>
                        <w:rFonts w:ascii="Calibri"/>
                        <w:w w:val="95"/>
                        <w:sz w:val="20"/>
                      </w:rPr>
                      <w:t>UE</w:t>
                    </w:r>
                  </w:p>
                </w:txbxContent>
              </v:textbox>
              <w10:wrap type="none"/>
            </v:shape>
            <v:shape style="position:absolute;left:5453;top:4052;width:336;height:200" type="#_x0000_t202" filled="false" stroked="false">
              <v:textbox inset="0,0,0,0">
                <w:txbxContent>
                  <w:p>
                    <w:pPr>
                      <w:spacing w:line="199" w:lineRule="exact" w:before="0"/>
                      <w:ind w:left="0" w:right="-4" w:firstLine="0"/>
                      <w:jc w:val="left"/>
                      <w:rPr>
                        <w:rFonts w:ascii="Calibri"/>
                        <w:sz w:val="20"/>
                      </w:rPr>
                    </w:pPr>
                    <w:r>
                      <w:rPr>
                        <w:rFonts w:ascii="Calibri"/>
                        <w:w w:val="95"/>
                        <w:sz w:val="20"/>
                      </w:rPr>
                      <w:t>USA</w:t>
                    </w:r>
                  </w:p>
                </w:txbxContent>
              </v:textbox>
              <w10:wrap type="none"/>
            </v:shape>
            <v:shape style="position:absolute;left:6205;top:4052;width:512;height:504" type="#_x0000_t202" filled="false" stroked="false">
              <v:textbox inset="0,0,0,0">
                <w:txbxContent>
                  <w:p>
                    <w:pPr>
                      <w:spacing w:line="203" w:lineRule="exact" w:before="0"/>
                      <w:ind w:left="0" w:right="-17" w:firstLine="34"/>
                      <w:jc w:val="left"/>
                      <w:rPr>
                        <w:rFonts w:ascii="Calibri"/>
                        <w:sz w:val="20"/>
                      </w:rPr>
                    </w:pPr>
                    <w:r>
                      <w:rPr>
                        <w:rFonts w:ascii="Calibri"/>
                        <w:sz w:val="20"/>
                      </w:rPr>
                      <w:t>Brasil</w:t>
                    </w:r>
                  </w:p>
                  <w:p>
                    <w:pPr>
                      <w:spacing w:line="240" w:lineRule="exact" w:before="60"/>
                      <w:ind w:left="0" w:right="-17" w:firstLine="0"/>
                      <w:jc w:val="left"/>
                      <w:rPr>
                        <w:rFonts w:ascii="Calibri"/>
                        <w:b/>
                        <w:sz w:val="20"/>
                      </w:rPr>
                    </w:pPr>
                    <w:r>
                      <w:rPr>
                        <w:rFonts w:ascii="Calibri"/>
                        <w:b/>
                        <w:spacing w:val="-1"/>
                        <w:sz w:val="20"/>
                      </w:rPr>
                      <w:t>Paises</w:t>
                    </w:r>
                  </w:p>
                </w:txbxContent>
              </v:textbox>
              <w10:wrap type="none"/>
            </v:shape>
            <v:shape style="position:absolute;left:7087;top:4052;width:434;height:200" type="#_x0000_t202" filled="false" stroked="false">
              <v:textbox inset="0,0,0,0">
                <w:txbxContent>
                  <w:p>
                    <w:pPr>
                      <w:spacing w:line="199" w:lineRule="exact" w:before="0"/>
                      <w:ind w:left="0" w:right="-20" w:firstLine="0"/>
                      <w:jc w:val="left"/>
                      <w:rPr>
                        <w:rFonts w:ascii="Calibri"/>
                        <w:sz w:val="20"/>
                      </w:rPr>
                    </w:pPr>
                    <w:r>
                      <w:rPr>
                        <w:rFonts w:ascii="Calibri"/>
                        <w:sz w:val="20"/>
                      </w:rPr>
                      <w:t>Rusia</w:t>
                    </w:r>
                  </w:p>
                </w:txbxContent>
              </v:textbox>
              <w10:wrap type="none"/>
            </v:shape>
            <v:shape style="position:absolute;left:7801;top:4052;width:1486;height:200" type="#_x0000_t202" filled="false" stroked="false">
              <v:textbox inset="0,0,0,0">
                <w:txbxContent>
                  <w:p>
                    <w:pPr>
                      <w:spacing w:line="199" w:lineRule="exact" w:before="0"/>
                      <w:ind w:left="0" w:right="-6" w:firstLine="0"/>
                      <w:jc w:val="left"/>
                      <w:rPr>
                        <w:rFonts w:ascii="Calibri"/>
                        <w:sz w:val="20"/>
                      </w:rPr>
                    </w:pPr>
                    <w:r>
                      <w:rPr>
                        <w:rFonts w:ascii="Calibri"/>
                        <w:sz w:val="20"/>
                      </w:rPr>
                      <w:t>Vietman    Canada</w:t>
                    </w:r>
                  </w:p>
                </w:txbxContent>
              </v:textbox>
              <w10:wrap type="none"/>
            </v:shape>
            <w10:wrap type="none"/>
          </v:group>
        </w:pict>
      </w:r>
      <w:r>
        <w:rPr/>
        <w:pict>
          <v:shape style="position:absolute;margin-left:134.73999pt;margin-top:67.433998pt;width:12pt;height:95.05pt;mso-position-horizontal-relative:page;mso-position-vertical-relative:paragraph;z-index:1816" type="#_x0000_t202" filled="false" stroked="false">
            <v:textbox inset="0,0,0,0" style="layout-flow:vertical;mso-layout-flow-alt:bottom-to-top">
              <w:txbxContent>
                <w:p>
                  <w:pPr>
                    <w:spacing w:line="223" w:lineRule="exact" w:before="0"/>
                    <w:ind w:left="20" w:right="-643" w:firstLine="0"/>
                    <w:jc w:val="left"/>
                    <w:rPr>
                      <w:rFonts w:ascii="Calibri"/>
                      <w:b/>
                      <w:sz w:val="20"/>
                    </w:rPr>
                  </w:pPr>
                  <w:r>
                    <w:rPr>
                      <w:rFonts w:ascii="Calibri"/>
                      <w:b/>
                      <w:spacing w:val="1"/>
                      <w:w w:val="99"/>
                      <w:sz w:val="20"/>
                    </w:rPr>
                    <w:t>M</w:t>
                  </w:r>
                  <w:r>
                    <w:rPr>
                      <w:rFonts w:ascii="Calibri"/>
                      <w:b/>
                      <w:spacing w:val="-1"/>
                      <w:w w:val="99"/>
                      <w:sz w:val="20"/>
                    </w:rPr>
                    <w:t>ill</w:t>
                  </w:r>
                  <w:r>
                    <w:rPr>
                      <w:rFonts w:ascii="Calibri"/>
                      <w:b/>
                      <w:w w:val="99"/>
                      <w:sz w:val="20"/>
                    </w:rPr>
                    <w:t>ones</w:t>
                  </w:r>
                  <w:r>
                    <w:rPr>
                      <w:rFonts w:ascii="Calibri"/>
                      <w:b/>
                      <w:spacing w:val="2"/>
                      <w:sz w:val="20"/>
                    </w:rPr>
                    <w:t> </w:t>
                  </w:r>
                  <w:r>
                    <w:rPr>
                      <w:rFonts w:ascii="Calibri"/>
                      <w:b/>
                      <w:w w:val="99"/>
                      <w:sz w:val="20"/>
                    </w:rPr>
                    <w:t>de</w:t>
                  </w:r>
                  <w:r>
                    <w:rPr>
                      <w:rFonts w:ascii="Calibri"/>
                      <w:b/>
                      <w:spacing w:val="-2"/>
                      <w:sz w:val="20"/>
                    </w:rPr>
                    <w:t> </w:t>
                  </w:r>
                  <w:r>
                    <w:rPr>
                      <w:rFonts w:ascii="Calibri"/>
                      <w:b/>
                      <w:spacing w:val="-1"/>
                      <w:w w:val="99"/>
                      <w:sz w:val="20"/>
                    </w:rPr>
                    <w:t>T</w:t>
                  </w:r>
                  <w:r>
                    <w:rPr>
                      <w:rFonts w:ascii="Calibri"/>
                      <w:b/>
                      <w:w w:val="99"/>
                      <w:sz w:val="20"/>
                    </w:rPr>
                    <w:t>one</w:t>
                  </w:r>
                  <w:r>
                    <w:rPr>
                      <w:rFonts w:ascii="Calibri"/>
                      <w:b/>
                      <w:spacing w:val="-1"/>
                      <w:w w:val="99"/>
                      <w:sz w:val="20"/>
                    </w:rPr>
                    <w:t>l</w:t>
                  </w:r>
                  <w:r>
                    <w:rPr>
                      <w:rFonts w:ascii="Calibri"/>
                      <w:b/>
                      <w:w w:val="99"/>
                      <w:sz w:val="20"/>
                    </w:rPr>
                    <w:t>adas</w:t>
                  </w:r>
                </w:p>
              </w:txbxContent>
            </v:textbox>
            <w10:wrap type="none"/>
          </v:shape>
        </w:pict>
      </w:r>
      <w:r>
        <w:rPr/>
        <w:t>Gráfica 2. Principales países productores de carne de cerdo.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71"/>
        <w:ind w:left="118"/>
        <w:jc w:val="both"/>
      </w:pPr>
      <w:r>
        <w:rPr/>
        <w:t>(FAO 2016)</w:t>
      </w:r>
    </w:p>
    <w:p>
      <w:pPr>
        <w:pStyle w:val="BodyText"/>
      </w:pPr>
    </w:p>
    <w:p>
      <w:pPr>
        <w:pStyle w:val="BodyText"/>
        <w:spacing w:before="6"/>
        <w:rPr>
          <w:sz w:val="23"/>
        </w:rPr>
      </w:pPr>
    </w:p>
    <w:p>
      <w:pPr>
        <w:pStyle w:val="BodyText"/>
        <w:ind w:left="118"/>
        <w:jc w:val="both"/>
      </w:pPr>
      <w:bookmarkStart w:name="_bookmark6" w:id="10"/>
      <w:bookmarkEnd w:id="10"/>
      <w:r>
        <w:rPr/>
      </w:r>
      <w:r>
        <w:rPr/>
        <w:t>2.1.2 Consumo</w:t>
      </w:r>
    </w:p>
    <w:p>
      <w:pPr>
        <w:pStyle w:val="BodyText"/>
        <w:spacing w:before="2"/>
      </w:pPr>
    </w:p>
    <w:p>
      <w:pPr>
        <w:pStyle w:val="BodyText"/>
        <w:spacing w:line="360" w:lineRule="auto" w:before="1"/>
        <w:ind w:left="118" w:right="1606"/>
        <w:jc w:val="both"/>
      </w:pPr>
      <w:r>
        <w:rPr/>
        <w:t>La carne de cerdo es la más consumida en el mundo, la medición de este consumo se realiza a través</w:t>
      </w:r>
      <w:r>
        <w:rPr>
          <w:spacing w:val="-8"/>
        </w:rPr>
        <w:t> </w:t>
      </w:r>
      <w:r>
        <w:rPr/>
        <w:t>del</w:t>
      </w:r>
      <w:r>
        <w:rPr>
          <w:spacing w:val="-8"/>
        </w:rPr>
        <w:t> </w:t>
      </w:r>
      <w:r>
        <w:rPr/>
        <w:t>consumo</w:t>
      </w:r>
      <w:r>
        <w:rPr>
          <w:spacing w:val="-9"/>
        </w:rPr>
        <w:t> </w:t>
      </w:r>
      <w:r>
        <w:rPr/>
        <w:t>per</w:t>
      </w:r>
      <w:r>
        <w:rPr>
          <w:spacing w:val="-7"/>
        </w:rPr>
        <w:t> </w:t>
      </w:r>
      <w:r>
        <w:rPr/>
        <w:t>cápita,</w:t>
      </w:r>
      <w:r>
        <w:rPr>
          <w:spacing w:val="-9"/>
        </w:rPr>
        <w:t> </w:t>
      </w:r>
      <w:r>
        <w:rPr/>
        <w:t>que</w:t>
      </w:r>
      <w:r>
        <w:rPr>
          <w:spacing w:val="-7"/>
        </w:rPr>
        <w:t> </w:t>
      </w:r>
      <w:r>
        <w:rPr/>
        <w:t>se</w:t>
      </w:r>
      <w:r>
        <w:rPr>
          <w:spacing w:val="-7"/>
        </w:rPr>
        <w:t> </w:t>
      </w:r>
      <w:r>
        <w:rPr/>
        <w:t>refiere</w:t>
      </w:r>
      <w:r>
        <w:rPr>
          <w:spacing w:val="-8"/>
        </w:rPr>
        <w:t> </w:t>
      </w:r>
      <w:r>
        <w:rPr/>
        <w:t>a</w:t>
      </w:r>
      <w:r>
        <w:rPr>
          <w:spacing w:val="-7"/>
        </w:rPr>
        <w:t> </w:t>
      </w:r>
      <w:r>
        <w:rPr/>
        <w:t>la</w:t>
      </w:r>
      <w:r>
        <w:rPr>
          <w:spacing w:val="-7"/>
        </w:rPr>
        <w:t> </w:t>
      </w:r>
      <w:r>
        <w:rPr/>
        <w:t>cantidad</w:t>
      </w:r>
      <w:r>
        <w:rPr>
          <w:spacing w:val="-9"/>
        </w:rPr>
        <w:t> </w:t>
      </w:r>
      <w:r>
        <w:rPr/>
        <w:t>de</w:t>
      </w:r>
      <w:r>
        <w:rPr>
          <w:spacing w:val="-7"/>
        </w:rPr>
        <w:t> </w:t>
      </w:r>
      <w:r>
        <w:rPr/>
        <w:t>carne</w:t>
      </w:r>
      <w:r>
        <w:rPr>
          <w:spacing w:val="-8"/>
        </w:rPr>
        <w:t> </w:t>
      </w:r>
      <w:r>
        <w:rPr/>
        <w:t>que</w:t>
      </w:r>
      <w:r>
        <w:rPr>
          <w:spacing w:val="-7"/>
        </w:rPr>
        <w:t> </w:t>
      </w:r>
      <w:r>
        <w:rPr/>
        <w:t>consume</w:t>
      </w:r>
      <w:r>
        <w:rPr>
          <w:spacing w:val="-9"/>
        </w:rPr>
        <w:t> </w:t>
      </w:r>
      <w:r>
        <w:rPr/>
        <w:t>una</w:t>
      </w:r>
      <w:r>
        <w:rPr>
          <w:spacing w:val="-10"/>
        </w:rPr>
        <w:t> </w:t>
      </w:r>
      <w:r>
        <w:rPr/>
        <w:t>persona</w:t>
      </w:r>
      <w:r>
        <w:rPr>
          <w:spacing w:val="-10"/>
        </w:rPr>
        <w:t> </w:t>
      </w:r>
      <w:r>
        <w:rPr/>
        <w:t>por año, la gráfica 3 muestra los principales países consumidores de carne de cerdo a nivel mundial donde se nota que el mayor consumidor es Hong Kong y Bielorusia, con 69 y 43 kg por</w:t>
      </w:r>
      <w:r>
        <w:rPr>
          <w:spacing w:val="-31"/>
        </w:rPr>
        <w:t> </w:t>
      </w:r>
      <w:r>
        <w:rPr/>
        <w:t>persona por año</w:t>
      </w:r>
      <w:r>
        <w:rPr>
          <w:spacing w:val="-6"/>
        </w:rPr>
        <w:t> </w:t>
      </w:r>
      <w:r>
        <w:rPr/>
        <w:t>respectivamente.</w:t>
      </w:r>
    </w:p>
    <w:p>
      <w:pPr>
        <w:spacing w:after="0" w:line="360" w:lineRule="auto"/>
        <w:jc w:val="both"/>
        <w:sectPr>
          <w:pgSz w:w="12240" w:h="15840"/>
          <w:pgMar w:header="984" w:footer="986" w:top="1280" w:bottom="1180" w:left="1300" w:right="0"/>
        </w:sectPr>
      </w:pPr>
    </w:p>
    <w:p>
      <w:pPr>
        <w:pStyle w:val="BodyText"/>
        <w:spacing w:before="125"/>
        <w:ind w:left="118"/>
        <w:jc w:val="both"/>
      </w:pPr>
      <w:r>
        <w:rPr/>
        <w:pict>
          <v:group style="position:absolute;margin-left:106.669998pt;margin-top:26.903139pt;width:360.5pt;height:216.5pt;mso-position-horizontal-relative:page;mso-position-vertical-relative:paragraph;z-index:2080" coordorigin="2133,538" coordsize="7210,4330">
            <v:rect style="position:absolute;left:3082;top:766;width:6036;height:2386" filled="true" fillcolor="#ebf0e9" stroked="false">
              <v:fill type="solid"/>
            </v:rect>
            <v:shape style="position:absolute;left:3082;top:766;width:6036;height:2086" coordorigin="3082,766" coordsize="6036,2086" path="m8892,2852l9118,2852m8136,2852l8590,2852m7382,2852l7836,2852m6626,2852l7080,2852m5873,2852l6326,2852m5119,2852l5570,2852m4363,2852l4817,2852m3610,2852l4061,2852m3082,2852l3307,2852m8892,2554l9118,2554m8136,2554l8590,2554m7382,2554l7836,2554m6626,2554l7080,2554m5873,2554l6326,2554m5119,2554l5570,2554m4363,2554l4817,2554m3610,2554l4061,2554m3082,2554l3307,2554m8136,2257l9118,2257m7382,2257l7836,2257m6626,2257l7080,2257m5873,2257l6326,2257m5119,2257l5570,2257m4363,2257l4817,2257m3610,2257l4061,2257m3082,2257l3307,2257m4363,1959l9118,1959m3610,1959l4061,1959m3082,1959l3307,1959m3610,1659l9118,1659m3082,1659l3307,1659m3610,1361l9118,1361m3082,1361l3307,1361m3082,1064l9118,1064m3082,766l9118,766e" filled="false" stroked="true" strokeweight=".48pt" strokecolor="#888888">
              <v:path arrowok="t"/>
            </v:shape>
            <v:shape style="position:absolute;left:3307;top:1093;width:5585;height:2060" coordorigin="3307,1093" coordsize="5585,2060" path="m3610,1093l3307,1093,3307,3152,3610,3152,3610,1093m4363,1877l4061,1877,4061,3152,4363,3152,4363,1877m5119,1942l4817,1942,4817,3152,5119,3152,5119,1942m5873,2045l5570,2045,5570,3152,5873,3152,5873,2045m6626,2089l6326,2089,6326,3152,6626,3152,6626,2089m7382,2170l7080,2170,7080,3152,7382,3152,7382,2170m8136,2218l7836,2218,7836,3152,8136,3152,8136,2218m8892,2257l8590,2257,8590,3152,8892,3152,8892,2257e" filled="true" fillcolor="#6fac46" stroked="false">
              <v:path arrowok="t"/>
              <v:fill type="solid"/>
            </v:shape>
            <v:shape style="position:absolute;left:3307;top:1093;width:5585;height:2060" coordorigin="3307,1093" coordsize="5585,2060" path="m3307,1093l3610,1093,3610,3152,3307,3152,3307,1093xm4061,1877l4363,1877,4363,3152,4061,3152,4061,1877xm4817,1942l5119,1942,5119,3152,4817,3152,4817,1942xm5570,2045l5873,2045,5873,3152,5570,3152,5570,2045xm6326,2089l6626,2089,6626,3152,6326,3152,6326,2089xm7080,2170l7382,2170,7382,3152,7080,3152,7080,2170xm7836,2218l8136,2218,8136,3152,7836,3152,7836,2218xm8590,2257l8892,2257,8892,3152,8590,3152,8590,2257xe" filled="false" stroked="true" strokeweight=".48pt" strokecolor="#507d31">
              <v:path arrowok="t"/>
            </v:shape>
            <v:shape style="position:absolute;left:3017;top:766;width:6101;height:2448" coordorigin="3017,766" coordsize="6101,2448" path="m3082,3152l3082,766m3017,3152l3082,3152m3017,2852l3082,2852m3017,2554l3082,2554m3017,2257l3082,2257m3017,1959l3082,1959m3017,1659l3082,1659m3017,1361l3082,1361m3017,1064l3082,1064m3017,766l3082,766m3082,3152l9118,3152m3082,3152l3082,3214m3835,3152l3835,3214m4589,3152l4589,3214m5345,3152l5345,3214m6098,3152l6098,3214m6854,3152l6854,3214m7608,3152l7608,3214m8364,3152l8364,3214m9118,3152l9118,3214e" filled="false" stroked="true" strokeweight=".48pt" strokecolor="#888888">
              <v:path arrowok="t"/>
            </v:shape>
            <v:shape style="position:absolute;left:2805;top:3353;width:708;height:670" type="#_x0000_t75" stroked="false">
              <v:imagedata r:id="rId12" o:title=""/>
            </v:shape>
            <v:shape style="position:absolute;left:3619;top:3368;width:1383;height:876" type="#_x0000_t75" stroked="false">
              <v:imagedata r:id="rId13" o:title=""/>
            </v:shape>
            <v:shape style="position:absolute;left:5385;top:3367;width:373;height:342" type="#_x0000_t75" stroked="false">
              <v:imagedata r:id="rId14" o:title=""/>
            </v:shape>
            <v:shape style="position:absolute;left:6026;top:3369;width:487;height:426" coordorigin="6026,3369" coordsize="487,426" path="m6085,3719l6061,3719,6139,3795,6144,3795,6145,3793,6146,3793,6147,3791,6148,3791,6149,3789,6149,3789,6150,3787,6151,3787,6151,3785,6151,3783,6085,3719xm6093,3671l6089,3671,6026,3733,6026,3733,6026,3735,6026,3737,6026,3737,6028,3739,6031,3743,6036,3743,6061,3719,6085,3719,6073,3707,6098,3681,6099,3681,6099,3679,6099,3677,6098,3677,6097,3675,6096,3673,6095,3673,6093,3671xm6194,3739l6183,3739,6187,3741,6190,3741,6194,3739xm6199,3659l6173,3659,6175,3661,6177,3661,6182,3665,6189,3673,6181,3681,6176,3685,6172,3691,6169,3695,6166,3699,6164,3703,6163,3709,6162,3713,6162,3717,6165,3725,6167,3729,6170,3733,6173,3735,6177,3737,6180,3739,6197,3739,6201,3737,6207,3733,6211,3729,6214,3725,6188,3725,6185,3723,6180,3719,6178,3715,6178,3713,6177,3711,6177,3709,6177,3707,6178,3705,6179,3701,6181,3699,6182,3695,6185,3693,6188,3689,6198,3681,6221,3681,6199,3659xm6221,3681l6198,3681,6211,3693,6211,3695,6211,3701,6211,3705,6209,3713,6207,3715,6200,3723,6196,3725,6214,3725,6217,3721,6219,3717,6221,3711,6221,3707,6221,3701,6237,3701,6238,3697,6237,3697,6221,3681xm6236,3701l6221,3701,6227,3707,6232,3707,6234,3703,6236,3703,6236,3701xm6176,3643l6169,3643,6165,3645,6160,3647,6156,3649,6152,3653,6145,3659,6143,3661,6141,3665,6139,3667,6138,3669,6136,3673,6135,3675,6134,3677,6133,3679,6133,3683,6132,3687,6133,3689,6133,3689,6134,3691,6135,3691,6137,3693,6143,3693,6143,3691,6144,3687,6146,3681,6148,3679,6149,3675,6151,3673,6153,3669,6156,3667,6158,3663,6161,3663,6166,3659,6199,3659,6191,3651,6188,3649,6184,3647,6176,3643xm6207,3603l6202,3603,6199,3607,6198,3609,6197,3609,6196,3611,6196,3611,6196,3613,6196,3613,6259,3677,6260,3677,6262,3675,6263,3675,6265,3673,6266,3673,6267,3671,6268,3671,6269,3669,6269,3669,6270,3667,6270,3665,6270,3665,6207,3603xm6234,3577l6228,3577,6228,3579,6224,3581,6223,3583,6223,3583,6221,3585,6221,3585,6221,3587,6221,3589,6223,3589,6224,3591,6225,3591,6302,3631,6304,3633,6304,3633,6305,3631,6307,3631,6309,3629,6312,3627,6313,3625,6315,3623,6315,3623,6316,3621,6317,3621,6318,3619,6318,3617,6317,3615,6316,3613,6300,3613,6234,3577xm6274,3535l6271,3535,6270,3537,6268,3537,6264,3541,6263,3543,6262,3543,6262,3545,6262,3547,6263,3547,6300,3613,6316,3613,6284,3559,6314,3559,6274,3537,6274,3535xm6206,3601l6206,3601,6205,3603,6207,3603,6206,3601xm6186,3577l6177,3577,6174,3581,6172,3583,6170,3585,6170,3589,6172,3591,6174,3595,6177,3597,6179,3599,6183,3599,6185,3597,6191,3591,6192,3589,6192,3585,6191,3583,6188,3581,6186,3577xm6314,3559l6285,3559,6343,3591,6347,3591,6348,3589,6350,3589,6355,3583,6358,3581,6358,3579,6358,3579,6359,3577,6358,3575,6357,3573,6340,3573,6314,3559xm6231,3575l6231,3577,6233,3577,6231,3575xm6316,3495l6310,3495,6306,3501,6305,3501,6304,3503,6303,3503,6303,3505,6304,3507,6340,3573,6357,3573,6317,3499,6317,3497,6316,3497,6316,3495xm6394,3539l6384,3539,6387,3541,6394,3539xm6400,3459l6373,3459,6375,3461,6378,3461,6380,3463,6390,3471,6372,3489,6369,3495,6366,3499,6364,3503,6363,3509,6362,3513,6363,3517,6364,3521,6365,3525,6367,3529,6374,3535,6377,3537,6380,3539,6397,3539,6401,3537,6404,3535,6408,3533,6411,3529,6415,3525,6388,3525,6385,3523,6382,3519,6380,3517,6379,3515,6377,3511,6377,3509,6378,3503,6383,3495,6385,3493,6398,3479,6419,3479,6400,3459xm6419,3479l6398,3479,6411,3493,6411,3501,6411,3503,6409,3513,6407,3515,6400,3523,6396,3523,6388,3525,6415,3525,6417,3521,6419,3517,6421,3511,6422,3505,6421,3501,6437,3501,6438,3499,6438,3499,6437,3497,6419,3479xm6437,3501l6421,3501,6428,3507,6431,3507,6432,3505,6433,3505,6436,3503,6437,3501xm6377,3443l6369,3443,6361,3447,6352,3451,6348,3457,6345,3459,6341,3463,6340,3467,6338,3469,6337,3473,6335,3475,6334,3477,6333,3481,6332,3485,6333,3487,6333,3487,6334,3489,6336,3491,6336,3491,6337,3493,6343,3493,6344,3489,6344,3487,6346,3483,6348,3477,6350,3475,6351,3473,6353,3469,6359,3463,6361,3463,6366,3459,6400,3459,6396,3455,6392,3451,6377,3443xm6407,3403l6402,3403,6402,3405,6401,3405,6398,3409,6397,3409,6396,3413,6396,3413,6459,3477,6461,3477,6462,3475,6465,3473,6466,3473,6468,3469,6470,3469,6470,3467,6471,3467,6471,3465,6470,3465,6427,3421,6426,3413,6426,3411,6415,3411,6407,3403xm6474,3385l6444,3385,6447,3387,6450,3387,6452,3389,6455,3389,6458,3391,6461,3393,6464,3397,6501,3433,6503,3435,6504,3433,6505,3433,6507,3431,6508,3431,6509,3429,6511,3427,6512,3427,6512,3425,6513,3423,6512,3423,6474,3385xm6446,3369l6441,3369,6429,3375,6425,3379,6421,3383,6419,3387,6417,3393,6415,3397,6415,3405,6415,3411,6426,3411,6426,3409,6427,3403,6428,3399,6429,3395,6434,3389,6437,3387,6442,3387,6444,3385,6474,3385,6466,3377,6462,3375,6458,3373,6454,3371,6446,3369xe" filled="true" fillcolor="#000000" stroked="false">
              <v:path arrowok="t"/>
              <v:fill type="solid"/>
            </v:shape>
            <v:shape style="position:absolute;left:6914;top:3369;width:353;height:326" type="#_x0000_t75" stroked="false">
              <v:imagedata r:id="rId15" o:title=""/>
            </v:shape>
            <v:shape style="position:absolute;left:7216;top:3351;width:789;height:791" type="#_x0000_t75" stroked="false">
              <v:imagedata r:id="rId16" o:title=""/>
            </v:shape>
            <v:shape style="position:absolute;left:8472;top:3358;width:313;height:281" type="#_x0000_t75" stroked="false">
              <v:imagedata r:id="rId17" o:title=""/>
            </v:shape>
            <v:rect style="position:absolute;left:2138;top:543;width:7200;height:4320" filled="false" stroked="true" strokeweight=".48pt" strokecolor="#888888"/>
            <v:shape style="position:absolute;left:2693;top:673;width:203;height:2585" type="#_x0000_t202" filled="false" stroked="false">
              <v:textbox inset="0,0,0,0">
                <w:txbxContent>
                  <w:p>
                    <w:pPr>
                      <w:spacing w:line="203" w:lineRule="exact" w:before="0"/>
                      <w:ind w:left="0" w:right="0" w:firstLine="0"/>
                      <w:jc w:val="center"/>
                      <w:rPr>
                        <w:rFonts w:ascii="Calibri"/>
                        <w:sz w:val="20"/>
                      </w:rPr>
                    </w:pPr>
                    <w:r>
                      <w:rPr>
                        <w:rFonts w:ascii="Calibri"/>
                        <w:sz w:val="20"/>
                      </w:rPr>
                      <w:t>80</w:t>
                    </w:r>
                  </w:p>
                  <w:p>
                    <w:pPr>
                      <w:spacing w:before="54"/>
                      <w:ind w:left="0" w:right="0" w:firstLine="0"/>
                      <w:jc w:val="center"/>
                      <w:rPr>
                        <w:rFonts w:ascii="Calibri"/>
                        <w:sz w:val="20"/>
                      </w:rPr>
                    </w:pPr>
                    <w:r>
                      <w:rPr>
                        <w:rFonts w:ascii="Calibri"/>
                        <w:sz w:val="20"/>
                      </w:rPr>
                      <w:t>70</w:t>
                    </w:r>
                  </w:p>
                  <w:p>
                    <w:pPr>
                      <w:spacing w:before="54"/>
                      <w:ind w:left="0" w:right="0" w:firstLine="0"/>
                      <w:jc w:val="center"/>
                      <w:rPr>
                        <w:rFonts w:ascii="Calibri"/>
                        <w:sz w:val="20"/>
                      </w:rPr>
                    </w:pPr>
                    <w:r>
                      <w:rPr>
                        <w:rFonts w:ascii="Calibri"/>
                        <w:sz w:val="20"/>
                      </w:rPr>
                      <w:t>60</w:t>
                    </w:r>
                  </w:p>
                  <w:p>
                    <w:pPr>
                      <w:spacing w:before="54"/>
                      <w:ind w:left="0" w:right="0" w:firstLine="0"/>
                      <w:jc w:val="center"/>
                      <w:rPr>
                        <w:rFonts w:ascii="Calibri"/>
                        <w:sz w:val="20"/>
                      </w:rPr>
                    </w:pPr>
                    <w:r>
                      <w:rPr>
                        <w:rFonts w:ascii="Calibri"/>
                        <w:sz w:val="20"/>
                      </w:rPr>
                      <w:t>50</w:t>
                    </w:r>
                  </w:p>
                  <w:p>
                    <w:pPr>
                      <w:spacing w:before="54"/>
                      <w:ind w:left="0" w:right="0" w:firstLine="0"/>
                      <w:jc w:val="center"/>
                      <w:rPr>
                        <w:rFonts w:ascii="Calibri"/>
                        <w:sz w:val="20"/>
                      </w:rPr>
                    </w:pPr>
                    <w:r>
                      <w:rPr>
                        <w:rFonts w:ascii="Calibri"/>
                        <w:sz w:val="20"/>
                      </w:rPr>
                      <w:t>40</w:t>
                    </w:r>
                  </w:p>
                  <w:p>
                    <w:pPr>
                      <w:spacing w:before="54"/>
                      <w:ind w:left="0" w:right="0" w:firstLine="0"/>
                      <w:jc w:val="center"/>
                      <w:rPr>
                        <w:rFonts w:ascii="Calibri"/>
                        <w:sz w:val="20"/>
                      </w:rPr>
                    </w:pPr>
                    <w:r>
                      <w:rPr>
                        <w:rFonts w:ascii="Calibri"/>
                        <w:sz w:val="20"/>
                      </w:rPr>
                      <w:t>30</w:t>
                    </w:r>
                  </w:p>
                  <w:p>
                    <w:pPr>
                      <w:spacing w:before="54"/>
                      <w:ind w:left="0" w:right="0" w:firstLine="0"/>
                      <w:jc w:val="center"/>
                      <w:rPr>
                        <w:rFonts w:ascii="Calibri"/>
                        <w:sz w:val="20"/>
                      </w:rPr>
                    </w:pPr>
                    <w:r>
                      <w:rPr>
                        <w:rFonts w:ascii="Calibri"/>
                        <w:sz w:val="20"/>
                      </w:rPr>
                      <w:t>20</w:t>
                    </w:r>
                  </w:p>
                  <w:p>
                    <w:pPr>
                      <w:spacing w:before="54"/>
                      <w:ind w:left="0" w:right="0" w:firstLine="0"/>
                      <w:jc w:val="center"/>
                      <w:rPr>
                        <w:rFonts w:ascii="Calibri"/>
                        <w:sz w:val="20"/>
                      </w:rPr>
                    </w:pPr>
                    <w:r>
                      <w:rPr>
                        <w:rFonts w:ascii="Calibri"/>
                        <w:sz w:val="20"/>
                      </w:rPr>
                      <w:t>10</w:t>
                    </w:r>
                  </w:p>
                  <w:p>
                    <w:pPr>
                      <w:spacing w:line="240" w:lineRule="exact" w:before="54"/>
                      <w:ind w:left="101" w:right="0" w:firstLine="0"/>
                      <w:jc w:val="center"/>
                      <w:rPr>
                        <w:rFonts w:ascii="Calibri"/>
                        <w:sz w:val="20"/>
                      </w:rPr>
                    </w:pPr>
                    <w:r>
                      <w:rPr>
                        <w:rFonts w:ascii="Calibri"/>
                        <w:w w:val="99"/>
                        <w:sz w:val="20"/>
                      </w:rPr>
                      <w:t>0</w:t>
                    </w:r>
                  </w:p>
                </w:txbxContent>
              </v:textbox>
              <w10:wrap type="none"/>
            </v:shape>
            <v:shape style="position:absolute;left:3358;top:2041;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69</w:t>
                    </w:r>
                  </w:p>
                </w:txbxContent>
              </v:textbox>
              <w10:wrap type="none"/>
            </v:shape>
            <v:shape style="position:absolute;left:4113;top:2433;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43</w:t>
                    </w:r>
                  </w:p>
                </w:txbxContent>
              </v:textbox>
              <w10:wrap type="none"/>
            </v:shape>
            <v:shape style="position:absolute;left:4867;top:246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41</w:t>
                    </w:r>
                  </w:p>
                </w:txbxContent>
              </v:textbox>
              <w10:wrap type="none"/>
            </v:shape>
            <v:shape style="position:absolute;left:5622;top:2517;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37</w:t>
                    </w:r>
                  </w:p>
                </w:txbxContent>
              </v:textbox>
              <w10:wrap type="none"/>
            </v:shape>
            <v:shape style="position:absolute;left:6377;top:253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36</w:t>
                    </w:r>
                  </w:p>
                </w:txbxContent>
              </v:textbox>
              <w10:wrap type="none"/>
            </v:shape>
            <v:shape style="position:absolute;left:7132;top:257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33</w:t>
                    </w:r>
                  </w:p>
                </w:txbxContent>
              </v:textbox>
              <w10:wrap type="none"/>
            </v:shape>
            <v:shape style="position:absolute;left:7887;top:2603;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31</w:t>
                    </w:r>
                  </w:p>
                </w:txbxContent>
              </v:textbox>
              <w10:wrap type="none"/>
            </v:shape>
            <v:shape style="position:absolute;left:8641;top:2622;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w:t>
                    </w:r>
                  </w:p>
                </w:txbxContent>
              </v:textbox>
              <w10:wrap type="none"/>
            </v:shape>
            <v:shape style="position:absolute;left:5844;top:4411;width:512;height:200" type="#_x0000_t202" filled="false" stroked="false">
              <v:textbox inset="0,0,0,0">
                <w:txbxContent>
                  <w:p>
                    <w:pPr>
                      <w:spacing w:line="199" w:lineRule="exact" w:before="0"/>
                      <w:ind w:left="0" w:right="-17" w:firstLine="0"/>
                      <w:jc w:val="left"/>
                      <w:rPr>
                        <w:rFonts w:ascii="Calibri"/>
                        <w:b/>
                        <w:sz w:val="20"/>
                      </w:rPr>
                    </w:pPr>
                    <w:r>
                      <w:rPr>
                        <w:rFonts w:ascii="Calibri"/>
                        <w:b/>
                        <w:spacing w:val="-1"/>
                        <w:sz w:val="20"/>
                      </w:rPr>
                      <w:t>Paises</w:t>
                    </w:r>
                  </w:p>
                </w:txbxContent>
              </v:textbox>
              <w10:wrap type="none"/>
            </v:shape>
            <w10:wrap type="none"/>
          </v:group>
        </w:pict>
      </w:r>
      <w:r>
        <w:rPr/>
        <w:pict>
          <v:shape style="position:absolute;margin-left:120.429993pt;margin-top:48.536781pt;width:12pt;height:99.05pt;mso-position-horizontal-relative:page;mso-position-vertical-relative:paragraph;z-index:2104" type="#_x0000_t202" filled="false" stroked="false">
            <v:textbox inset="0,0,0,0" style="layout-flow:vertical;mso-layout-flow-alt:bottom-to-top">
              <w:txbxContent>
                <w:p>
                  <w:pPr>
                    <w:spacing w:line="223" w:lineRule="exact" w:before="0"/>
                    <w:ind w:left="20" w:right="0" w:firstLine="0"/>
                    <w:jc w:val="left"/>
                    <w:rPr>
                      <w:rFonts w:ascii="Calibri" w:hAnsi="Calibri"/>
                      <w:b/>
                      <w:sz w:val="20"/>
                    </w:rPr>
                  </w:pPr>
                  <w:r>
                    <w:rPr>
                      <w:rFonts w:ascii="Calibri" w:hAnsi="Calibri"/>
                      <w:b/>
                      <w:spacing w:val="-1"/>
                      <w:w w:val="99"/>
                      <w:sz w:val="20"/>
                    </w:rPr>
                    <w:t>K</w:t>
                  </w:r>
                  <w:r>
                    <w:rPr>
                      <w:rFonts w:ascii="Calibri" w:hAnsi="Calibri"/>
                      <w:b/>
                      <w:w w:val="99"/>
                      <w:sz w:val="20"/>
                    </w:rPr>
                    <w:t>g</w:t>
                  </w:r>
                  <w:r>
                    <w:rPr>
                      <w:rFonts w:ascii="Calibri" w:hAnsi="Calibri"/>
                      <w:b/>
                      <w:spacing w:val="1"/>
                      <w:sz w:val="20"/>
                    </w:rPr>
                    <w:t> </w:t>
                  </w:r>
                  <w:r>
                    <w:rPr>
                      <w:rFonts w:ascii="Calibri" w:hAnsi="Calibri"/>
                      <w:b/>
                      <w:w w:val="99"/>
                      <w:sz w:val="20"/>
                    </w:rPr>
                    <w:t>por</w:t>
                  </w:r>
                  <w:r>
                    <w:rPr>
                      <w:rFonts w:ascii="Calibri" w:hAnsi="Calibri"/>
                      <w:b/>
                      <w:spacing w:val="-2"/>
                      <w:sz w:val="20"/>
                    </w:rPr>
                    <w:t> </w:t>
                  </w:r>
                  <w:r>
                    <w:rPr>
                      <w:rFonts w:ascii="Calibri" w:hAnsi="Calibri"/>
                      <w:b/>
                      <w:w w:val="99"/>
                      <w:sz w:val="20"/>
                    </w:rPr>
                    <w:t>perso</w:t>
                  </w:r>
                  <w:r>
                    <w:rPr>
                      <w:rFonts w:ascii="Calibri" w:hAnsi="Calibri"/>
                      <w:b/>
                      <w:spacing w:val="1"/>
                      <w:w w:val="99"/>
                      <w:sz w:val="20"/>
                    </w:rPr>
                    <w:t>n</w:t>
                  </w:r>
                  <w:r>
                    <w:rPr>
                      <w:rFonts w:ascii="Calibri" w:hAnsi="Calibri"/>
                      <w:b/>
                      <w:w w:val="99"/>
                      <w:sz w:val="20"/>
                    </w:rPr>
                    <w:t>a</w:t>
                  </w:r>
                  <w:r>
                    <w:rPr>
                      <w:rFonts w:ascii="Calibri" w:hAnsi="Calibri"/>
                      <w:b/>
                      <w:spacing w:val="-2"/>
                      <w:sz w:val="20"/>
                    </w:rPr>
                    <w:t> </w:t>
                  </w:r>
                  <w:r>
                    <w:rPr>
                      <w:rFonts w:ascii="Calibri" w:hAnsi="Calibri"/>
                      <w:b/>
                      <w:w w:val="99"/>
                      <w:sz w:val="20"/>
                    </w:rPr>
                    <w:t>por</w:t>
                  </w:r>
                  <w:r>
                    <w:rPr>
                      <w:rFonts w:ascii="Calibri" w:hAnsi="Calibri"/>
                      <w:b/>
                      <w:spacing w:val="-2"/>
                      <w:sz w:val="20"/>
                    </w:rPr>
                    <w:t> </w:t>
                  </w:r>
                  <w:r>
                    <w:rPr>
                      <w:rFonts w:ascii="Calibri" w:hAnsi="Calibri"/>
                      <w:b/>
                      <w:w w:val="99"/>
                      <w:sz w:val="20"/>
                    </w:rPr>
                    <w:t>año</w:t>
                  </w:r>
                </w:p>
              </w:txbxContent>
            </v:textbox>
            <w10:wrap type="none"/>
          </v:shape>
        </w:pict>
      </w:r>
      <w:r>
        <w:rPr/>
        <w:t>Gráfica 3. Principales países consumidores de carne de cerdo.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69"/>
        <w:ind w:left="838"/>
      </w:pPr>
      <w:r>
        <w:rPr/>
        <w:t>(FAO 2016)</w:t>
      </w:r>
    </w:p>
    <w:p>
      <w:pPr>
        <w:pStyle w:val="BodyText"/>
      </w:pPr>
    </w:p>
    <w:p>
      <w:pPr>
        <w:pStyle w:val="BodyText"/>
      </w:pPr>
    </w:p>
    <w:p>
      <w:pPr>
        <w:pStyle w:val="BodyText"/>
        <w:ind w:left="118"/>
        <w:jc w:val="both"/>
      </w:pPr>
      <w:r>
        <w:rPr/>
        <w:t>2.2 Contexto Nacional</w:t>
      </w:r>
    </w:p>
    <w:p>
      <w:pPr>
        <w:pStyle w:val="BodyText"/>
      </w:pPr>
    </w:p>
    <w:p>
      <w:pPr>
        <w:pStyle w:val="BodyText"/>
      </w:pPr>
    </w:p>
    <w:p>
      <w:pPr>
        <w:pStyle w:val="BodyText"/>
        <w:ind w:left="118"/>
        <w:jc w:val="both"/>
      </w:pPr>
      <w:bookmarkStart w:name="_bookmark7" w:id="11"/>
      <w:bookmarkEnd w:id="11"/>
      <w:r>
        <w:rPr/>
      </w:r>
      <w:r>
        <w:rPr/>
        <w:t>2.2.1 Producción</w:t>
      </w:r>
    </w:p>
    <w:p>
      <w:pPr>
        <w:pStyle w:val="BodyText"/>
      </w:pPr>
    </w:p>
    <w:p>
      <w:pPr>
        <w:pStyle w:val="BodyText"/>
        <w:spacing w:line="360" w:lineRule="auto" w:before="180"/>
        <w:ind w:left="118" w:right="1606"/>
        <w:jc w:val="both"/>
      </w:pPr>
      <w:r>
        <w:rPr/>
        <w:t>La producción de carne de cerdo en México se observa en la gráfica 4, donde se observa que hubo un ligero aumento del 2013 al 2014, de un 0.53 % al pasar de 1.28 a 1.29 millones de toneladas,</w:t>
      </w:r>
      <w:r>
        <w:rPr>
          <w:spacing w:val="1"/>
        </w:rPr>
        <w:t> </w:t>
      </w:r>
      <w:r>
        <w:rPr/>
        <w:t>y</w:t>
      </w:r>
      <w:r>
        <w:rPr>
          <w:spacing w:val="-9"/>
        </w:rPr>
        <w:t> </w:t>
      </w:r>
      <w:r>
        <w:rPr/>
        <w:t>del</w:t>
      </w:r>
      <w:r>
        <w:rPr>
          <w:spacing w:val="-3"/>
        </w:rPr>
        <w:t> </w:t>
      </w:r>
      <w:r>
        <w:rPr/>
        <w:t>2014</w:t>
      </w:r>
      <w:r>
        <w:rPr>
          <w:spacing w:val="-4"/>
        </w:rPr>
        <w:t> </w:t>
      </w:r>
      <w:r>
        <w:rPr/>
        <w:t>al</w:t>
      </w:r>
      <w:r>
        <w:rPr>
          <w:spacing w:val="-3"/>
        </w:rPr>
        <w:t> </w:t>
      </w:r>
      <w:r>
        <w:rPr/>
        <w:t>2015</w:t>
      </w:r>
      <w:r>
        <w:rPr>
          <w:spacing w:val="-4"/>
        </w:rPr>
        <w:t> </w:t>
      </w:r>
      <w:r>
        <w:rPr/>
        <w:t>se</w:t>
      </w:r>
      <w:r>
        <w:rPr>
          <w:spacing w:val="-5"/>
        </w:rPr>
        <w:t> </w:t>
      </w:r>
      <w:r>
        <w:rPr/>
        <w:t>incrementó</w:t>
      </w:r>
      <w:r>
        <w:rPr>
          <w:spacing w:val="-4"/>
        </w:rPr>
        <w:t> </w:t>
      </w:r>
      <w:r>
        <w:rPr/>
        <w:t>2.4</w:t>
      </w:r>
      <w:r>
        <w:rPr>
          <w:spacing w:val="-4"/>
        </w:rPr>
        <w:t> </w:t>
      </w:r>
      <w:r>
        <w:rPr/>
        <w:t>% al</w:t>
      </w:r>
      <w:r>
        <w:rPr>
          <w:spacing w:val="-3"/>
        </w:rPr>
        <w:t> </w:t>
      </w:r>
      <w:r>
        <w:rPr/>
        <w:t>pasar</w:t>
      </w:r>
      <w:r>
        <w:rPr>
          <w:spacing w:val="-2"/>
        </w:rPr>
        <w:t> </w:t>
      </w:r>
      <w:r>
        <w:rPr/>
        <w:t>de</w:t>
      </w:r>
      <w:r>
        <w:rPr>
          <w:spacing w:val="-5"/>
        </w:rPr>
        <w:t> </w:t>
      </w:r>
      <w:r>
        <w:rPr/>
        <w:t>1.29</w:t>
      </w:r>
      <w:r>
        <w:rPr>
          <w:spacing w:val="-1"/>
        </w:rPr>
        <w:t> </w:t>
      </w:r>
      <w:r>
        <w:rPr/>
        <w:t>a</w:t>
      </w:r>
      <w:r>
        <w:rPr>
          <w:spacing w:val="-5"/>
        </w:rPr>
        <w:t> </w:t>
      </w:r>
      <w:r>
        <w:rPr/>
        <w:t>1.32</w:t>
      </w:r>
      <w:r>
        <w:rPr>
          <w:spacing w:val="-1"/>
        </w:rPr>
        <w:t> </w:t>
      </w:r>
      <w:r>
        <w:rPr/>
        <w:t>millones</w:t>
      </w:r>
      <w:r>
        <w:rPr>
          <w:spacing w:val="-4"/>
        </w:rPr>
        <w:t> </w:t>
      </w:r>
      <w:r>
        <w:rPr/>
        <w:t>de</w:t>
      </w:r>
      <w:r>
        <w:rPr>
          <w:spacing w:val="-5"/>
        </w:rPr>
        <w:t> </w:t>
      </w:r>
      <w:r>
        <w:rPr/>
        <w:t>toneladas. En</w:t>
      </w:r>
      <w:r>
        <w:rPr>
          <w:spacing w:val="-7"/>
        </w:rPr>
        <w:t> </w:t>
      </w:r>
      <w:r>
        <w:rPr/>
        <w:t>2015,</w:t>
      </w:r>
      <w:r>
        <w:rPr>
          <w:spacing w:val="-6"/>
        </w:rPr>
        <w:t> </w:t>
      </w:r>
      <w:r>
        <w:rPr/>
        <w:t>México</w:t>
      </w:r>
      <w:r>
        <w:rPr>
          <w:spacing w:val="-7"/>
        </w:rPr>
        <w:t> </w:t>
      </w:r>
      <w:r>
        <w:rPr/>
        <w:t>aportó</w:t>
      </w:r>
      <w:r>
        <w:rPr>
          <w:spacing w:val="-6"/>
        </w:rPr>
        <w:t> </w:t>
      </w:r>
      <w:r>
        <w:rPr/>
        <w:t>1.32</w:t>
      </w:r>
      <w:r>
        <w:rPr>
          <w:spacing w:val="-6"/>
        </w:rPr>
        <w:t> </w:t>
      </w:r>
      <w:r>
        <w:rPr/>
        <w:t>millones</w:t>
      </w:r>
      <w:r>
        <w:rPr>
          <w:spacing w:val="-6"/>
        </w:rPr>
        <w:t> </w:t>
      </w:r>
      <w:r>
        <w:rPr/>
        <w:t>de</w:t>
      </w:r>
      <w:r>
        <w:rPr>
          <w:spacing w:val="-7"/>
        </w:rPr>
        <w:t> </w:t>
      </w:r>
      <w:r>
        <w:rPr/>
        <w:t>toneladas</w:t>
      </w:r>
      <w:r>
        <w:rPr>
          <w:spacing w:val="-6"/>
        </w:rPr>
        <w:t> </w:t>
      </w:r>
      <w:r>
        <w:rPr/>
        <w:t>a</w:t>
      </w:r>
      <w:r>
        <w:rPr>
          <w:spacing w:val="-7"/>
        </w:rPr>
        <w:t> </w:t>
      </w:r>
      <w:r>
        <w:rPr/>
        <w:t>la</w:t>
      </w:r>
      <w:r>
        <w:rPr>
          <w:spacing w:val="-7"/>
        </w:rPr>
        <w:t> </w:t>
      </w:r>
      <w:r>
        <w:rPr/>
        <w:t>producción</w:t>
      </w:r>
      <w:r>
        <w:rPr>
          <w:spacing w:val="-6"/>
        </w:rPr>
        <w:t> </w:t>
      </w:r>
      <w:r>
        <w:rPr/>
        <w:t>mundial</w:t>
      </w:r>
      <w:r>
        <w:rPr>
          <w:spacing w:val="-6"/>
        </w:rPr>
        <w:t> </w:t>
      </w:r>
      <w:r>
        <w:rPr/>
        <w:t>lo</w:t>
      </w:r>
      <w:r>
        <w:rPr>
          <w:spacing w:val="-6"/>
        </w:rPr>
        <w:t> </w:t>
      </w:r>
      <w:r>
        <w:rPr/>
        <w:t>que</w:t>
      </w:r>
      <w:r>
        <w:rPr>
          <w:spacing w:val="-7"/>
        </w:rPr>
        <w:t> </w:t>
      </w:r>
      <w:r>
        <w:rPr/>
        <w:t>representó</w:t>
      </w:r>
      <w:r>
        <w:rPr>
          <w:spacing w:val="-6"/>
        </w:rPr>
        <w:t> </w:t>
      </w:r>
      <w:r>
        <w:rPr/>
        <w:t>el</w:t>
      </w:r>
    </w:p>
    <w:p>
      <w:pPr>
        <w:pStyle w:val="BodyText"/>
        <w:spacing w:before="6"/>
        <w:ind w:left="118"/>
        <w:jc w:val="both"/>
      </w:pPr>
      <w:r>
        <w:rPr/>
        <w:t>1.19 %, lo que lo ubica en el lugar décimo sexto.</w:t>
      </w:r>
    </w:p>
    <w:p>
      <w:pPr>
        <w:spacing w:after="0"/>
        <w:jc w:val="both"/>
        <w:sectPr>
          <w:pgSz w:w="12240" w:h="15840"/>
          <w:pgMar w:header="984" w:footer="986" w:top="1280" w:bottom="1180" w:left="1300" w:right="0"/>
        </w:sectPr>
      </w:pPr>
    </w:p>
    <w:p>
      <w:pPr>
        <w:pStyle w:val="BodyText"/>
        <w:spacing w:before="125"/>
        <w:ind w:left="118"/>
        <w:jc w:val="both"/>
      </w:pPr>
      <w:r>
        <w:rPr/>
        <w:pict>
          <v:group style="position:absolute;margin-left:120.949997pt;margin-top:26.903139pt;width:360.5pt;height:216.5pt;mso-position-horizontal-relative:page;mso-position-vertical-relative:paragraph;z-index:2392" coordorigin="2419,538" coordsize="7210,4330">
            <v:rect style="position:absolute;left:3518;top:766;width:5885;height:3173" filled="true" fillcolor="#f1f1f1" stroked="false">
              <v:fill type="solid"/>
            </v:rect>
            <v:shape style="position:absolute;left:3518;top:766;width:5885;height:2379" coordorigin="3518,766" coordsize="5885,2379" path="m8815,3145l9403,3145m6854,3145l8030,3145m3518,3145l6070,3145m8815,2353l9403,2353m3518,2353l8030,2353m3518,1558l9403,1558m3518,766l9403,766e" filled="false" stroked="true" strokeweight=".48pt" strokecolor="#888888">
              <v:path arrowok="t"/>
            </v:shape>
            <v:shape style="position:absolute;left:4106;top:1558;width:4709;height:2381" coordorigin="4106,1558" coordsize="4709,2381" path="m4891,3145l4106,3145,4106,3939,4891,3939,4891,3145m6854,2749l6070,2749,6070,3939,6854,3939,6854,2749m8815,1558l8030,1558,8030,3939,8815,3939,8815,1558e" filled="true" fillcolor="#6fac46" stroked="false">
              <v:path arrowok="t"/>
              <v:fill type="solid"/>
            </v:shape>
            <v:shape style="position:absolute;left:4106;top:1558;width:4709;height:2381" coordorigin="4106,1558" coordsize="4709,2381" path="m4106,3145l4891,3145,4891,3939,4106,3939,4106,3145xm6070,2749l6854,2749,6854,3939,6070,3939,6070,2749xm8030,1558l8815,1558,8815,3939,8030,3939,8030,1558xe" filled="false" stroked="true" strokeweight=".48pt" strokecolor="#507d31">
              <v:path arrowok="t"/>
            </v:shape>
            <v:shape style="position:absolute;left:3456;top:766;width:5948;height:3236" coordorigin="3456,766" coordsize="5948,3236" path="m3518,3939l3518,766m3456,3939l3518,3939m3456,3145l3518,3145m3456,2353l3518,2353m3456,1558l3518,1558m3456,766l3518,766m3518,3939l9403,3939m3518,3939l3518,4001m5479,3939l5479,4001m7442,3939l7442,4001m9403,3939l9403,4001e" filled="false" stroked="true" strokeweight=".48pt" strokecolor="#888888">
              <v:path arrowok="t"/>
            </v:shape>
            <v:rect style="position:absolute;left:2424;top:543;width:7200;height:4320" filled="false" stroked="true" strokeweight=".48pt" strokecolor="#888888"/>
            <v:shape style="position:absolute;left:2979;top:673;width:356;height:200" type="#_x0000_t202" filled="false" stroked="false">
              <v:textbox inset="0,0,0,0">
                <w:txbxContent>
                  <w:p>
                    <w:pPr>
                      <w:spacing w:line="199" w:lineRule="exact" w:before="0"/>
                      <w:ind w:left="0" w:right="-19" w:firstLine="0"/>
                      <w:jc w:val="left"/>
                      <w:rPr>
                        <w:rFonts w:ascii="Calibri"/>
                        <w:sz w:val="20"/>
                      </w:rPr>
                    </w:pPr>
                    <w:r>
                      <w:rPr>
                        <w:rFonts w:ascii="Calibri"/>
                        <w:sz w:val="20"/>
                      </w:rPr>
                      <w:t>1.34</w:t>
                    </w:r>
                  </w:p>
                </w:txbxContent>
              </v:textbox>
              <w10:wrap type="none"/>
            </v:shape>
            <v:shape style="position:absolute;left:2979;top:1466;width:356;height:200" type="#_x0000_t202" filled="false" stroked="false">
              <v:textbox inset="0,0,0,0">
                <w:txbxContent>
                  <w:p>
                    <w:pPr>
                      <w:spacing w:line="199" w:lineRule="exact" w:before="0"/>
                      <w:ind w:left="0" w:right="-19" w:firstLine="0"/>
                      <w:jc w:val="left"/>
                      <w:rPr>
                        <w:rFonts w:ascii="Calibri"/>
                        <w:sz w:val="20"/>
                      </w:rPr>
                    </w:pPr>
                    <w:r>
                      <w:rPr>
                        <w:rFonts w:ascii="Calibri"/>
                        <w:sz w:val="20"/>
                      </w:rPr>
                      <w:t>1.32</w:t>
                    </w:r>
                  </w:p>
                </w:txbxContent>
              </v:textbox>
              <w10:wrap type="none"/>
            </v:shape>
            <v:shape style="position:absolute;left:3080;top:2260;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1.3</w:t>
                    </w:r>
                  </w:p>
                </w:txbxContent>
              </v:textbox>
              <w10:wrap type="none"/>
            </v:shape>
            <v:shape style="position:absolute;left:8247;top:2667;width:354;height:200" type="#_x0000_t202" filled="false" stroked="false">
              <v:textbox inset="0,0,0,0">
                <w:txbxContent>
                  <w:p>
                    <w:pPr>
                      <w:spacing w:line="200" w:lineRule="exact" w:before="0"/>
                      <w:ind w:left="0" w:right="-17" w:firstLine="0"/>
                      <w:jc w:val="left"/>
                      <w:rPr>
                        <w:rFonts w:ascii="Calibri"/>
                        <w:sz w:val="20"/>
                      </w:rPr>
                    </w:pPr>
                    <w:r>
                      <w:rPr>
                        <w:rFonts w:ascii="Calibri"/>
                        <w:spacing w:val="-1"/>
                        <w:sz w:val="20"/>
                      </w:rPr>
                      <w:t>1.32</w:t>
                    </w:r>
                  </w:p>
                </w:txbxContent>
              </v:textbox>
              <w10:wrap type="none"/>
            </v:shape>
            <v:shape style="position:absolute;left:2979;top:3053;width:356;height:200" type="#_x0000_t202" filled="false" stroked="false">
              <v:textbox inset="0,0,0,0">
                <w:txbxContent>
                  <w:p>
                    <w:pPr>
                      <w:spacing w:line="199" w:lineRule="exact" w:before="0"/>
                      <w:ind w:left="0" w:right="-19" w:firstLine="0"/>
                      <w:jc w:val="left"/>
                      <w:rPr>
                        <w:rFonts w:ascii="Calibri"/>
                        <w:sz w:val="20"/>
                      </w:rPr>
                    </w:pPr>
                    <w:r>
                      <w:rPr>
                        <w:rFonts w:ascii="Calibri"/>
                        <w:sz w:val="20"/>
                      </w:rPr>
                      <w:t>1.28</w:t>
                    </w:r>
                  </w:p>
                </w:txbxContent>
              </v:textbox>
              <w10:wrap type="none"/>
            </v:shape>
            <v:shape style="position:absolute;left:6285;top:3263;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1.29</w:t>
                    </w:r>
                  </w:p>
                </w:txbxContent>
              </v:textbox>
              <w10:wrap type="none"/>
            </v:shape>
            <v:shape style="position:absolute;left:4322;top:3461;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1.28</w:t>
                    </w:r>
                  </w:p>
                </w:txbxContent>
              </v:textbox>
              <w10:wrap type="none"/>
            </v:shape>
            <v:shape style="position:absolute;left:2979;top:3847;width:356;height:200" type="#_x0000_t202" filled="false" stroked="false">
              <v:textbox inset="0,0,0,0">
                <w:txbxContent>
                  <w:p>
                    <w:pPr>
                      <w:spacing w:line="199" w:lineRule="exact" w:before="0"/>
                      <w:ind w:left="0" w:right="-19" w:firstLine="0"/>
                      <w:jc w:val="left"/>
                      <w:rPr>
                        <w:rFonts w:ascii="Calibri"/>
                        <w:sz w:val="20"/>
                      </w:rPr>
                    </w:pPr>
                    <w:r>
                      <w:rPr>
                        <w:rFonts w:ascii="Calibri"/>
                        <w:sz w:val="20"/>
                      </w:rPr>
                      <w:t>1.26</w:t>
                    </w:r>
                  </w:p>
                </w:txbxContent>
              </v:textbox>
              <w10:wrap type="none"/>
            </v:shape>
            <v:shape style="position:absolute;left:4297;top:4106;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2013</w:t>
                    </w:r>
                  </w:p>
                </w:txbxContent>
              </v:textbox>
              <w10:wrap type="none"/>
            </v:shape>
            <v:shape style="position:absolute;left:6253;top:4106;width:415;height:504" type="#_x0000_t202" filled="false" stroked="false">
              <v:textbox inset="0,0,0,0">
                <w:txbxContent>
                  <w:p>
                    <w:pPr>
                      <w:spacing w:line="203" w:lineRule="exact" w:before="0"/>
                      <w:ind w:left="6" w:right="-17" w:firstLine="0"/>
                      <w:jc w:val="left"/>
                      <w:rPr>
                        <w:rFonts w:ascii="Calibri"/>
                        <w:sz w:val="20"/>
                      </w:rPr>
                    </w:pPr>
                    <w:r>
                      <w:rPr>
                        <w:rFonts w:ascii="Calibri"/>
                        <w:sz w:val="20"/>
                      </w:rPr>
                      <w:t>2014</w:t>
                    </w:r>
                  </w:p>
                  <w:p>
                    <w:pPr>
                      <w:spacing w:line="240" w:lineRule="exact" w:before="60"/>
                      <w:ind w:left="0" w:right="-1" w:firstLine="0"/>
                      <w:jc w:val="left"/>
                      <w:rPr>
                        <w:rFonts w:ascii="Calibri" w:hAnsi="Calibri"/>
                        <w:b/>
                        <w:sz w:val="20"/>
                      </w:rPr>
                    </w:pPr>
                    <w:r>
                      <w:rPr>
                        <w:rFonts w:ascii="Calibri" w:hAnsi="Calibri"/>
                        <w:b/>
                        <w:w w:val="95"/>
                        <w:sz w:val="20"/>
                      </w:rPr>
                      <w:t>Años</w:t>
                    </w:r>
                  </w:p>
                </w:txbxContent>
              </v:textbox>
              <w10:wrap type="none"/>
            </v:shape>
            <v:shape style="position:absolute;left:8222;top:4106;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2015</w:t>
                    </w:r>
                  </w:p>
                </w:txbxContent>
              </v:textbox>
              <w10:wrap type="none"/>
            </v:shape>
            <w10:wrap type="none"/>
          </v:group>
        </w:pict>
      </w:r>
      <w:r>
        <w:rPr/>
        <w:pict>
          <v:shape style="position:absolute;margin-left:134.73999pt;margin-top:70.164009pt;width:12pt;height:95.05pt;mso-position-horizontal-relative:page;mso-position-vertical-relative:paragraph;z-index:2560" type="#_x0000_t202" filled="false" stroked="false">
            <v:textbox inset="0,0,0,0" style="layout-flow:vertical;mso-layout-flow-alt:bottom-to-top">
              <w:txbxContent>
                <w:p>
                  <w:pPr>
                    <w:spacing w:line="223" w:lineRule="exact" w:before="0"/>
                    <w:ind w:left="20" w:right="-643" w:firstLine="0"/>
                    <w:jc w:val="left"/>
                    <w:rPr>
                      <w:rFonts w:ascii="Calibri"/>
                      <w:b/>
                      <w:sz w:val="20"/>
                    </w:rPr>
                  </w:pPr>
                  <w:r>
                    <w:rPr>
                      <w:rFonts w:ascii="Calibri"/>
                      <w:b/>
                      <w:spacing w:val="1"/>
                      <w:w w:val="99"/>
                      <w:sz w:val="20"/>
                    </w:rPr>
                    <w:t>M</w:t>
                  </w:r>
                  <w:r>
                    <w:rPr>
                      <w:rFonts w:ascii="Calibri"/>
                      <w:b/>
                      <w:spacing w:val="-1"/>
                      <w:w w:val="99"/>
                      <w:sz w:val="20"/>
                    </w:rPr>
                    <w:t>ill</w:t>
                  </w:r>
                  <w:r>
                    <w:rPr>
                      <w:rFonts w:ascii="Calibri"/>
                      <w:b/>
                      <w:w w:val="99"/>
                      <w:sz w:val="20"/>
                    </w:rPr>
                    <w:t>ones</w:t>
                  </w:r>
                  <w:r>
                    <w:rPr>
                      <w:rFonts w:ascii="Calibri"/>
                      <w:b/>
                      <w:spacing w:val="2"/>
                      <w:sz w:val="20"/>
                    </w:rPr>
                    <w:t> </w:t>
                  </w:r>
                  <w:r>
                    <w:rPr>
                      <w:rFonts w:ascii="Calibri"/>
                      <w:b/>
                      <w:w w:val="99"/>
                      <w:sz w:val="20"/>
                    </w:rPr>
                    <w:t>de</w:t>
                  </w:r>
                  <w:r>
                    <w:rPr>
                      <w:rFonts w:ascii="Calibri"/>
                      <w:b/>
                      <w:spacing w:val="-2"/>
                      <w:sz w:val="20"/>
                    </w:rPr>
                    <w:t> </w:t>
                  </w:r>
                  <w:r>
                    <w:rPr>
                      <w:rFonts w:ascii="Calibri"/>
                      <w:b/>
                      <w:spacing w:val="-1"/>
                      <w:w w:val="99"/>
                      <w:sz w:val="20"/>
                    </w:rPr>
                    <w:t>T</w:t>
                  </w:r>
                  <w:r>
                    <w:rPr>
                      <w:rFonts w:ascii="Calibri"/>
                      <w:b/>
                      <w:w w:val="99"/>
                      <w:sz w:val="20"/>
                    </w:rPr>
                    <w:t>one</w:t>
                  </w:r>
                  <w:r>
                    <w:rPr>
                      <w:rFonts w:ascii="Calibri"/>
                      <w:b/>
                      <w:spacing w:val="-1"/>
                      <w:w w:val="99"/>
                      <w:sz w:val="20"/>
                    </w:rPr>
                    <w:t>l</w:t>
                  </w:r>
                  <w:r>
                    <w:rPr>
                      <w:rFonts w:ascii="Calibri"/>
                      <w:b/>
                      <w:w w:val="99"/>
                      <w:sz w:val="20"/>
                    </w:rPr>
                    <w:t>adas</w:t>
                  </w:r>
                </w:p>
              </w:txbxContent>
            </v:textbox>
            <w10:wrap type="none"/>
          </v:shape>
        </w:pict>
      </w:r>
      <w:r>
        <w:rPr/>
        <w:t>Gráfica 4. Producción de cerdo en México de 2013 a 2015.</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69"/>
        <w:ind w:left="118"/>
        <w:jc w:val="both"/>
      </w:pPr>
      <w:r>
        <w:rPr/>
        <w:t>(SIACON 2016)</w:t>
      </w:r>
    </w:p>
    <w:p>
      <w:pPr>
        <w:pStyle w:val="BodyText"/>
        <w:spacing w:before="4"/>
        <w:rPr>
          <w:sz w:val="29"/>
        </w:rPr>
      </w:pPr>
    </w:p>
    <w:p>
      <w:pPr>
        <w:pStyle w:val="BodyText"/>
        <w:spacing w:line="360" w:lineRule="auto" w:before="1"/>
        <w:ind w:left="118" w:right="1604"/>
        <w:jc w:val="both"/>
      </w:pPr>
      <w:r>
        <w:rPr/>
        <w:t>Para 2015 dentro del territorio nacional, los estados que más producción aportaron fueron: Jalisco, Sonara, Puebla, Guanajuato, Veracruz y Yucatán cuyo volumen se ubicó en 73.70% del total nacional 934 mil t. y su producción estatal se observa en la gráfica 5 donde destaca Jalisco y Sonora como los principales productores.</w:t>
      </w:r>
    </w:p>
    <w:p>
      <w:pPr>
        <w:pStyle w:val="BodyText"/>
        <w:spacing w:before="205"/>
        <w:ind w:left="118"/>
        <w:jc w:val="both"/>
      </w:pPr>
      <w:r>
        <w:rPr/>
        <w:pict>
          <v:group style="position:absolute;margin-left:120.824997pt;margin-top:30.84811pt;width:360.75pt;height:216.75pt;mso-position-horizontal-relative:page;mso-position-vertical-relative:paragraph;z-index:2512" coordorigin="2416,617" coordsize="7215,4335">
            <v:rect style="position:absolute;left:3468;top:845;width:5935;height:3173" filled="true" fillcolor="#f1f1f1" stroked="false">
              <v:fill type="solid"/>
            </v:rect>
            <v:shape style="position:absolute;left:3468;top:951;width:5936;height:2962" coordorigin="3468,951" coordsize="5936,2962" path="m9034,3912l9403,3912m8045,3912l8786,3912m7054,3912l7795,3912m6065,3912l6806,3912m5076,3912l5818,3912m4087,3912l4829,3912m3468,3912l3840,3912m9034,3807l9403,3807m8045,3807l8786,3807m7054,3807l7795,3807m6065,3807l6806,3807m5076,3807l5818,3807m4087,3807l4829,3807m3468,3807l3840,3807m9034,3701l9403,3701m8045,3701l8786,3701m7054,3701l7795,3701m6065,3701l6806,3701m5076,3701l5818,3701m4087,3701l4829,3701m3468,3701l3840,3701m9034,3596l9403,3596m8045,3596l8786,3596m7054,3596l7795,3596m6065,3596l6806,3596m5076,3596l5818,3596m4087,3596l4829,3596m3468,3596l3840,3596m9034,3384l9403,3384m8045,3384l8786,3384m7054,3384l7795,3384m6065,3384l6806,3384m5076,3384l5818,3384m4087,3384l4829,3384m3468,3384l3840,3384m9034,3279l9403,3279m8045,3279l8786,3279m7054,3279l7795,3279m6065,3279l6806,3279m5076,3279l5818,3279m4087,3279l4829,3279m3468,3279l3840,3279m9034,3173l9403,3173m8045,3173l8786,3173m7054,3173l7795,3173m6065,3173l6806,3173m5076,3173l5818,3173m4087,3173l4829,3173m3468,3173l3840,3173m9034,3068l9403,3068m8045,3068l8786,3068m7054,3068l7795,3068m6065,3068l6806,3068m5076,3068l5818,3068m4087,3068l4829,3068m3468,3068l3840,3068m6065,2854l9403,2854m5076,2854l5818,2854m4087,2854l4829,2854m3468,2854l3840,2854m5076,2748l9403,2748m4087,2748l4829,2748m3468,2748l3840,2748m5076,2643l9403,2643m4087,2643l4829,2643m3468,2643l3840,2643m5076,2537l9403,2537m4087,2537l4829,2537m3468,2537l3840,2537m5076,2326l9403,2326m4087,2326l4829,2326m3468,2326l3840,2326m5076,2220l9403,2220m4087,2220l4829,2220m3468,2220l3840,2220m5076,2115l9403,2115m4087,2115l4829,2115m3468,2115l3840,2115m5076,2009l9403,2009m4087,2009l4829,2009m3468,2009l3840,2009m5076,1798l9403,1798m4087,1798l4829,1798m3468,1798l3840,1798m5076,1692l9403,1692m4087,1692l4829,1692m3468,1692l3840,1692m5076,1587l9403,1587m4087,1587l4829,1587m3468,1587l3840,1587m4087,1481l9403,1481m3468,1481l3840,1481m3468,1268l9403,1268m3468,1162l9403,1162m3468,1056l9403,1056m3468,951l9403,951e" filled="false" stroked="true" strokeweight=".72pt" strokecolor="#f1f1f1">
              <v:path arrowok="t"/>
            </v:shape>
            <v:shape style="position:absolute;left:3468;top:845;width:5936;height:2645" coordorigin="3468,845" coordsize="5936,2645" path="m9034,3490l9403,3490m8045,3490l8786,3490m7054,3490l7795,3490m6065,3490l6806,3490m5076,3490l5818,3490m4087,3490l4829,3490m3468,3490l3840,3490m9034,2960l9403,2960m8045,2960l8786,2960m7054,2960l7795,2960m6065,2960l6806,2960m5076,2960l5818,2960m4087,2960l4829,2960m3468,2960l3840,2960m5076,2432l9403,2432m4087,2432l4829,2432m3468,2432l3840,2432m5076,1904l9403,1904m4087,1904l4829,1904m3468,1904l3840,1904m4087,1373l9403,1373m3468,1373l3840,1373m3468,845l9403,845e" filled="false" stroked="true" strokeweight=".48pt" strokecolor="#000000">
              <v:path arrowok="t"/>
            </v:shape>
            <v:shape style="position:absolute;left:3840;top:1289;width:5194;height:2729" coordorigin="3840,1289" coordsize="5194,2729" path="m4087,1289l3840,1289,3840,4018,4087,4018,4087,1289m5076,1553l4829,1553,4829,4018,5076,4018,5076,1553m6065,2729l5818,2729,5818,4018,6065,4018,6065,2729m7054,2876l6806,2876,6806,4018,7054,4018,7054,2876m8045,2907l7795,2907,7795,4018,8045,4018,8045,2907m9034,2907l8786,2907,8786,4018,9034,4018,9034,2907e" filled="true" fillcolor="#6fac46" stroked="false">
              <v:path arrowok="t"/>
              <v:fill type="solid"/>
            </v:shape>
            <v:line style="position:absolute" from="3468,4018" to="9403,4018" stroked="true" strokeweight=".72pt" strokecolor="#d9d9d9"/>
            <v:rect style="position:absolute;left:2424;top:624;width:7200;height:4320" filled="false" stroked="true" strokeweight=".72pt" strokecolor="#d9d9d9"/>
            <v:shape style="position:absolute;left:2979;top:754;width:305;height:3373" type="#_x0000_t202" filled="false" stroked="false">
              <v:textbox inset="0,0,0,0">
                <w:txbxContent>
                  <w:p>
                    <w:pPr>
                      <w:spacing w:line="203" w:lineRule="exact" w:before="0"/>
                      <w:ind w:left="-1" w:right="0" w:firstLine="0"/>
                      <w:jc w:val="center"/>
                      <w:rPr>
                        <w:rFonts w:ascii="Calibri"/>
                        <w:sz w:val="20"/>
                      </w:rPr>
                    </w:pPr>
                    <w:r>
                      <w:rPr>
                        <w:rFonts w:ascii="Calibri"/>
                        <w:color w:val="585858"/>
                        <w:sz w:val="20"/>
                      </w:rPr>
                      <w:t>300</w:t>
                    </w:r>
                  </w:p>
                  <w:p>
                    <w:pPr>
                      <w:spacing w:line="240" w:lineRule="auto" w:before="8"/>
                      <w:rPr>
                        <w:sz w:val="24"/>
                      </w:rPr>
                    </w:pPr>
                  </w:p>
                  <w:p>
                    <w:pPr>
                      <w:spacing w:before="1"/>
                      <w:ind w:left="-1" w:right="0" w:firstLine="0"/>
                      <w:jc w:val="center"/>
                      <w:rPr>
                        <w:rFonts w:ascii="Calibri"/>
                        <w:sz w:val="20"/>
                      </w:rPr>
                    </w:pPr>
                    <w:r>
                      <w:rPr>
                        <w:rFonts w:ascii="Calibri"/>
                        <w:color w:val="585858"/>
                        <w:sz w:val="20"/>
                      </w:rPr>
                      <w:t>250</w:t>
                    </w:r>
                  </w:p>
                  <w:p>
                    <w:pPr>
                      <w:spacing w:line="240" w:lineRule="auto" w:before="8"/>
                      <w:rPr>
                        <w:sz w:val="24"/>
                      </w:rPr>
                    </w:pPr>
                  </w:p>
                  <w:p>
                    <w:pPr>
                      <w:spacing w:before="1"/>
                      <w:ind w:left="-1" w:right="0" w:firstLine="0"/>
                      <w:jc w:val="center"/>
                      <w:rPr>
                        <w:rFonts w:ascii="Calibri"/>
                        <w:sz w:val="20"/>
                      </w:rPr>
                    </w:pPr>
                    <w:r>
                      <w:rPr>
                        <w:rFonts w:ascii="Calibri"/>
                        <w:color w:val="585858"/>
                        <w:sz w:val="20"/>
                      </w:rPr>
                      <w:t>200</w:t>
                    </w:r>
                  </w:p>
                  <w:p>
                    <w:pPr>
                      <w:spacing w:line="240" w:lineRule="auto" w:before="8"/>
                      <w:rPr>
                        <w:sz w:val="24"/>
                      </w:rPr>
                    </w:pPr>
                  </w:p>
                  <w:p>
                    <w:pPr>
                      <w:spacing w:before="1"/>
                      <w:ind w:left="-1" w:right="0" w:firstLine="0"/>
                      <w:jc w:val="center"/>
                      <w:rPr>
                        <w:rFonts w:ascii="Calibri"/>
                        <w:sz w:val="20"/>
                      </w:rPr>
                    </w:pPr>
                    <w:r>
                      <w:rPr>
                        <w:rFonts w:ascii="Calibri"/>
                        <w:color w:val="585858"/>
                        <w:sz w:val="20"/>
                      </w:rPr>
                      <w:t>150</w:t>
                    </w:r>
                  </w:p>
                  <w:p>
                    <w:pPr>
                      <w:spacing w:line="240" w:lineRule="auto" w:before="8"/>
                      <w:rPr>
                        <w:sz w:val="24"/>
                      </w:rPr>
                    </w:pPr>
                  </w:p>
                  <w:p>
                    <w:pPr>
                      <w:spacing w:before="1"/>
                      <w:ind w:left="-1" w:right="0" w:firstLine="0"/>
                      <w:jc w:val="center"/>
                      <w:rPr>
                        <w:rFonts w:ascii="Calibri"/>
                        <w:sz w:val="20"/>
                      </w:rPr>
                    </w:pPr>
                    <w:r>
                      <w:rPr>
                        <w:rFonts w:ascii="Calibri"/>
                        <w:color w:val="585858"/>
                        <w:sz w:val="20"/>
                      </w:rPr>
                      <w:t>100</w:t>
                    </w:r>
                  </w:p>
                  <w:p>
                    <w:pPr>
                      <w:spacing w:line="240" w:lineRule="auto" w:before="8"/>
                      <w:rPr>
                        <w:sz w:val="24"/>
                      </w:rPr>
                    </w:pPr>
                  </w:p>
                  <w:p>
                    <w:pPr>
                      <w:spacing w:before="0"/>
                      <w:ind w:left="99" w:right="0" w:firstLine="0"/>
                      <w:jc w:val="center"/>
                      <w:rPr>
                        <w:rFonts w:ascii="Calibri"/>
                        <w:sz w:val="20"/>
                      </w:rPr>
                    </w:pPr>
                    <w:r>
                      <w:rPr>
                        <w:rFonts w:ascii="Calibri"/>
                        <w:color w:val="585858"/>
                        <w:w w:val="95"/>
                        <w:sz w:val="20"/>
                      </w:rPr>
                      <w:t>50</w:t>
                    </w:r>
                  </w:p>
                  <w:p>
                    <w:pPr>
                      <w:spacing w:line="240" w:lineRule="auto" w:before="8"/>
                      <w:rPr>
                        <w:sz w:val="24"/>
                      </w:rPr>
                    </w:pPr>
                  </w:p>
                  <w:p>
                    <w:pPr>
                      <w:spacing w:line="240" w:lineRule="exact" w:before="1"/>
                      <w:ind w:left="201" w:right="0" w:firstLine="0"/>
                      <w:jc w:val="center"/>
                      <w:rPr>
                        <w:rFonts w:ascii="Calibri"/>
                        <w:sz w:val="20"/>
                      </w:rPr>
                    </w:pPr>
                    <w:r>
                      <w:rPr>
                        <w:rFonts w:ascii="Calibri"/>
                        <w:color w:val="585858"/>
                        <w:w w:val="99"/>
                        <w:sz w:val="20"/>
                      </w:rPr>
                      <w:t>0</w:t>
                    </w:r>
                  </w:p>
                </w:txbxContent>
              </v:textbox>
              <w10:wrap type="none"/>
            </v:shape>
            <v:shape style="position:absolute;left:3703;top:4187;width:520;height:200" type="#_x0000_t202" filled="false" stroked="false">
              <v:textbox inset="0,0,0,0">
                <w:txbxContent>
                  <w:p>
                    <w:pPr>
                      <w:spacing w:line="199" w:lineRule="exact" w:before="0"/>
                      <w:ind w:left="0" w:right="-20" w:firstLine="0"/>
                      <w:jc w:val="left"/>
                      <w:rPr>
                        <w:rFonts w:ascii="Calibri"/>
                        <w:sz w:val="20"/>
                      </w:rPr>
                    </w:pPr>
                    <w:r>
                      <w:rPr>
                        <w:rFonts w:ascii="Calibri"/>
                        <w:color w:val="585858"/>
                        <w:sz w:val="20"/>
                      </w:rPr>
                      <w:t>Jalisco</w:t>
                    </w:r>
                  </w:p>
                </w:txbxContent>
              </v:textbox>
              <w10:wrap type="none"/>
            </v:shape>
            <v:shape style="position:absolute;left:4666;top:4187;width:573;height:200" type="#_x0000_t202" filled="false" stroked="false">
              <v:textbox inset="0,0,0,0">
                <w:txbxContent>
                  <w:p>
                    <w:pPr>
                      <w:spacing w:line="199" w:lineRule="exact" w:before="0"/>
                      <w:ind w:left="0" w:right="0" w:firstLine="0"/>
                      <w:jc w:val="left"/>
                      <w:rPr>
                        <w:rFonts w:ascii="Calibri"/>
                        <w:sz w:val="20"/>
                      </w:rPr>
                    </w:pPr>
                    <w:r>
                      <w:rPr>
                        <w:rFonts w:ascii="Calibri"/>
                        <w:color w:val="585858"/>
                        <w:w w:val="95"/>
                        <w:sz w:val="20"/>
                      </w:rPr>
                      <w:t>Sonora</w:t>
                    </w:r>
                  </w:p>
                </w:txbxContent>
              </v:textbox>
              <w10:wrap type="none"/>
            </v:shape>
            <v:shape style="position:absolute;left:5665;top:4187;width:3572;height:504" type="#_x0000_t202" filled="false" stroked="false">
              <v:textbox inset="0,0,0,0">
                <w:txbxContent>
                  <w:p>
                    <w:pPr>
                      <w:tabs>
                        <w:tab w:pos="791" w:val="left" w:leader="none"/>
                        <w:tab w:pos="2920" w:val="left" w:leader="none"/>
                      </w:tabs>
                      <w:spacing w:line="203" w:lineRule="exact" w:before="0"/>
                      <w:ind w:left="0" w:right="0" w:firstLine="0"/>
                      <w:jc w:val="left"/>
                      <w:rPr>
                        <w:rFonts w:ascii="Calibri"/>
                        <w:sz w:val="20"/>
                      </w:rPr>
                    </w:pPr>
                    <w:r>
                      <w:rPr>
                        <w:rFonts w:ascii="Calibri"/>
                        <w:color w:val="585858"/>
                        <w:sz w:val="20"/>
                      </w:rPr>
                      <w:t>Puebla</w:t>
                      <w:tab/>
                      <w:t>Guanajuato  </w:t>
                    </w:r>
                    <w:r>
                      <w:rPr>
                        <w:rFonts w:ascii="Calibri"/>
                        <w:color w:val="585858"/>
                        <w:spacing w:val="17"/>
                        <w:sz w:val="20"/>
                      </w:rPr>
                      <w:t> </w:t>
                    </w:r>
                    <w:r>
                      <w:rPr>
                        <w:rFonts w:ascii="Calibri"/>
                        <w:color w:val="585858"/>
                        <w:sz w:val="20"/>
                      </w:rPr>
                      <w:t>Veracruz</w:t>
                      <w:tab/>
                    </w:r>
                    <w:r>
                      <w:rPr>
                        <w:rFonts w:ascii="Calibri"/>
                        <w:color w:val="585858"/>
                        <w:w w:val="95"/>
                        <w:sz w:val="20"/>
                      </w:rPr>
                      <w:t>Yucatan</w:t>
                    </w:r>
                  </w:p>
                  <w:p>
                    <w:pPr>
                      <w:spacing w:line="240" w:lineRule="exact" w:before="60"/>
                      <w:ind w:left="452" w:right="0" w:firstLine="0"/>
                      <w:jc w:val="left"/>
                      <w:rPr>
                        <w:rFonts w:ascii="Calibri"/>
                        <w:b/>
                        <w:sz w:val="20"/>
                      </w:rPr>
                    </w:pPr>
                    <w:r>
                      <w:rPr>
                        <w:rFonts w:ascii="Calibri"/>
                        <w:b/>
                        <w:color w:val="585858"/>
                        <w:sz w:val="20"/>
                      </w:rPr>
                      <w:t>Estados</w:t>
                    </w:r>
                  </w:p>
                </w:txbxContent>
              </v:textbox>
              <w10:wrap type="none"/>
            </v:shape>
            <w10:wrap type="none"/>
          </v:group>
        </w:pict>
      </w:r>
      <w:r>
        <w:rPr/>
        <w:pict>
          <v:shape style="position:absolute;margin-left:134.73999pt;margin-top:81.505302pt;width:12pt;height:80.45pt;mso-position-horizontal-relative:page;mso-position-vertical-relative:paragraph;z-index:2536" type="#_x0000_t202" filled="false" stroked="false">
            <v:textbox inset="0,0,0,0" style="layout-flow:vertical;mso-layout-flow-alt:bottom-to-top">
              <w:txbxContent>
                <w:p>
                  <w:pPr>
                    <w:spacing w:line="223" w:lineRule="exact" w:before="0"/>
                    <w:ind w:left="20" w:right="0" w:firstLine="0"/>
                    <w:jc w:val="left"/>
                    <w:rPr>
                      <w:rFonts w:ascii="Calibri"/>
                      <w:b/>
                      <w:sz w:val="20"/>
                    </w:rPr>
                  </w:pPr>
                  <w:r>
                    <w:rPr>
                      <w:rFonts w:ascii="Calibri"/>
                      <w:b/>
                      <w:color w:val="585858"/>
                      <w:spacing w:val="1"/>
                      <w:w w:val="99"/>
                      <w:sz w:val="20"/>
                    </w:rPr>
                    <w:t>M</w:t>
                  </w:r>
                  <w:r>
                    <w:rPr>
                      <w:rFonts w:ascii="Calibri"/>
                      <w:b/>
                      <w:color w:val="585858"/>
                      <w:spacing w:val="-1"/>
                      <w:w w:val="99"/>
                      <w:sz w:val="20"/>
                    </w:rPr>
                    <w:t>il</w:t>
                  </w:r>
                  <w:r>
                    <w:rPr>
                      <w:rFonts w:ascii="Calibri"/>
                      <w:b/>
                      <w:color w:val="585858"/>
                      <w:w w:val="99"/>
                      <w:sz w:val="20"/>
                    </w:rPr>
                    <w:t>es</w:t>
                  </w:r>
                  <w:r>
                    <w:rPr>
                      <w:rFonts w:ascii="Calibri"/>
                      <w:b/>
                      <w:color w:val="585858"/>
                      <w:spacing w:val="2"/>
                      <w:sz w:val="20"/>
                    </w:rPr>
                    <w:t> </w:t>
                  </w:r>
                  <w:r>
                    <w:rPr>
                      <w:rFonts w:ascii="Calibri"/>
                      <w:b/>
                      <w:color w:val="585858"/>
                      <w:w w:val="99"/>
                      <w:sz w:val="20"/>
                    </w:rPr>
                    <w:t>de</w:t>
                  </w:r>
                  <w:r>
                    <w:rPr>
                      <w:rFonts w:ascii="Calibri"/>
                      <w:b/>
                      <w:color w:val="585858"/>
                      <w:spacing w:val="-2"/>
                      <w:sz w:val="20"/>
                    </w:rPr>
                    <w:t> </w:t>
                  </w:r>
                  <w:r>
                    <w:rPr>
                      <w:rFonts w:ascii="Calibri"/>
                      <w:b/>
                      <w:color w:val="585858"/>
                      <w:w w:val="99"/>
                      <w:sz w:val="20"/>
                    </w:rPr>
                    <w:t>t</w:t>
                  </w:r>
                  <w:r>
                    <w:rPr>
                      <w:rFonts w:ascii="Calibri"/>
                      <w:b/>
                      <w:color w:val="585858"/>
                      <w:spacing w:val="1"/>
                      <w:w w:val="99"/>
                      <w:sz w:val="20"/>
                    </w:rPr>
                    <w:t>o</w:t>
                  </w:r>
                  <w:r>
                    <w:rPr>
                      <w:rFonts w:ascii="Calibri"/>
                      <w:b/>
                      <w:color w:val="585858"/>
                      <w:w w:val="99"/>
                      <w:sz w:val="20"/>
                    </w:rPr>
                    <w:t>ne</w:t>
                  </w:r>
                  <w:r>
                    <w:rPr>
                      <w:rFonts w:ascii="Calibri"/>
                      <w:b/>
                      <w:color w:val="585858"/>
                      <w:spacing w:val="-1"/>
                      <w:w w:val="99"/>
                      <w:sz w:val="20"/>
                    </w:rPr>
                    <w:t>l</w:t>
                  </w:r>
                  <w:r>
                    <w:rPr>
                      <w:rFonts w:ascii="Calibri"/>
                      <w:b/>
                      <w:color w:val="585858"/>
                      <w:w w:val="99"/>
                      <w:sz w:val="20"/>
                    </w:rPr>
                    <w:t>adas</w:t>
                  </w:r>
                </w:p>
              </w:txbxContent>
            </v:textbox>
            <w10:wrap type="none"/>
          </v:shape>
        </w:pict>
      </w:r>
      <w:r>
        <w:rPr/>
        <w:t>Gráfica 5. Principales estados productores de carne de cerdo en México.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66"/>
        <w:ind w:left="118"/>
        <w:jc w:val="both"/>
      </w:pPr>
      <w:r>
        <w:rPr/>
        <w:pict>
          <v:shape style="position:absolute;margin-left:193.080002pt;margin-top:-66.006882pt;width:12pt;height:17.150pt;mso-position-horizontal-relative:page;mso-position-vertical-relative:paragraph;z-index:2584" type="#_x0000_t202" filled="false" stroked="false">
            <v:textbox inset="0,0,0,0" style="layout-flow:vertical;mso-layout-flow-alt:bottom-to-top">
              <w:txbxContent>
                <w:p>
                  <w:pPr>
                    <w:spacing w:line="223" w:lineRule="exact" w:before="0"/>
                    <w:ind w:left="20" w:right="-100" w:firstLine="0"/>
                    <w:jc w:val="left"/>
                    <w:rPr>
                      <w:rFonts w:ascii="Calibri"/>
                      <w:sz w:val="20"/>
                    </w:rPr>
                  </w:pPr>
                  <w:r>
                    <w:rPr>
                      <w:rFonts w:ascii="Calibri"/>
                      <w:color w:val="404040"/>
                      <w:spacing w:val="-1"/>
                      <w:w w:val="99"/>
                      <w:sz w:val="20"/>
                    </w:rPr>
                    <w:t>258</w:t>
                  </w:r>
                </w:p>
              </w:txbxContent>
            </v:textbox>
            <w10:wrap type="none"/>
          </v:shape>
        </w:pict>
      </w:r>
      <w:r>
        <w:rPr/>
        <w:pict>
          <v:shape style="position:absolute;margin-left:242.550003pt;margin-top:-66.006882pt;width:12pt;height:17.150pt;mso-position-horizontal-relative:page;mso-position-vertical-relative:paragraph;z-index:2608" type="#_x0000_t202" filled="false" stroked="false">
            <v:textbox inset="0,0,0,0" style="layout-flow:vertical;mso-layout-flow-alt:bottom-to-top">
              <w:txbxContent>
                <w:p>
                  <w:pPr>
                    <w:spacing w:line="223" w:lineRule="exact" w:before="0"/>
                    <w:ind w:left="20" w:right="-100" w:firstLine="0"/>
                    <w:jc w:val="left"/>
                    <w:rPr>
                      <w:rFonts w:ascii="Calibri"/>
                      <w:sz w:val="20"/>
                    </w:rPr>
                  </w:pPr>
                  <w:r>
                    <w:rPr>
                      <w:rFonts w:ascii="Calibri"/>
                      <w:color w:val="404040"/>
                      <w:spacing w:val="-1"/>
                      <w:w w:val="99"/>
                      <w:sz w:val="20"/>
                    </w:rPr>
                    <w:t>233</w:t>
                  </w:r>
                </w:p>
              </w:txbxContent>
            </v:textbox>
            <w10:wrap type="none"/>
          </v:shape>
        </w:pict>
      </w:r>
      <w:r>
        <w:rPr/>
        <w:pict>
          <v:shape style="position:absolute;margin-left:292.029999pt;margin-top:-66.006882pt;width:12pt;height:17.150pt;mso-position-horizontal-relative:page;mso-position-vertical-relative:paragraph;z-index:2632" type="#_x0000_t202" filled="false" stroked="false">
            <v:textbox inset="0,0,0,0" style="layout-flow:vertical;mso-layout-flow-alt:bottom-to-top">
              <w:txbxContent>
                <w:p>
                  <w:pPr>
                    <w:spacing w:line="223" w:lineRule="exact" w:before="0"/>
                    <w:ind w:left="20" w:right="-100" w:firstLine="0"/>
                    <w:jc w:val="left"/>
                    <w:rPr>
                      <w:rFonts w:ascii="Calibri"/>
                      <w:sz w:val="20"/>
                    </w:rPr>
                  </w:pPr>
                  <w:r>
                    <w:rPr>
                      <w:rFonts w:ascii="Calibri"/>
                      <w:color w:val="404040"/>
                      <w:spacing w:val="-1"/>
                      <w:w w:val="99"/>
                      <w:sz w:val="20"/>
                    </w:rPr>
                    <w:t>122</w:t>
                  </w:r>
                </w:p>
              </w:txbxContent>
            </v:textbox>
            <w10:wrap type="none"/>
          </v:shape>
        </w:pict>
      </w:r>
      <w:r>
        <w:rPr/>
        <w:pict>
          <v:shape style="position:absolute;margin-left:341.5pt;margin-top:-66.006882pt;width:12pt;height:17.150pt;mso-position-horizontal-relative:page;mso-position-vertical-relative:paragraph;z-index:2656" type="#_x0000_t202" filled="false" stroked="false">
            <v:textbox inset="0,0,0,0" style="layout-flow:vertical;mso-layout-flow-alt:bottom-to-top">
              <w:txbxContent>
                <w:p>
                  <w:pPr>
                    <w:spacing w:line="223" w:lineRule="exact" w:before="0"/>
                    <w:ind w:left="20" w:right="-100" w:firstLine="0"/>
                    <w:jc w:val="left"/>
                    <w:rPr>
                      <w:rFonts w:ascii="Calibri"/>
                      <w:sz w:val="20"/>
                    </w:rPr>
                  </w:pPr>
                  <w:r>
                    <w:rPr>
                      <w:rFonts w:ascii="Calibri"/>
                      <w:color w:val="404040"/>
                      <w:spacing w:val="-1"/>
                      <w:w w:val="99"/>
                      <w:sz w:val="20"/>
                    </w:rPr>
                    <w:t>108</w:t>
                  </w:r>
                </w:p>
              </w:txbxContent>
            </v:textbox>
            <w10:wrap type="none"/>
          </v:shape>
        </w:pict>
      </w:r>
      <w:r>
        <w:rPr/>
        <w:pict>
          <v:shape style="position:absolute;margin-left:390.98999pt;margin-top:-66.006882pt;width:12pt;height:17.150pt;mso-position-horizontal-relative:page;mso-position-vertical-relative:paragraph;z-index:2680" type="#_x0000_t202" filled="false" stroked="false">
            <v:textbox inset="0,0,0,0" style="layout-flow:vertical;mso-layout-flow-alt:bottom-to-top">
              <w:txbxContent>
                <w:p>
                  <w:pPr>
                    <w:spacing w:line="223" w:lineRule="exact" w:before="0"/>
                    <w:ind w:left="20" w:right="-100" w:firstLine="0"/>
                    <w:jc w:val="left"/>
                    <w:rPr>
                      <w:rFonts w:ascii="Calibri"/>
                      <w:sz w:val="20"/>
                    </w:rPr>
                  </w:pPr>
                  <w:r>
                    <w:rPr>
                      <w:rFonts w:ascii="Calibri"/>
                      <w:color w:val="404040"/>
                      <w:spacing w:val="-1"/>
                      <w:w w:val="99"/>
                      <w:sz w:val="20"/>
                    </w:rPr>
                    <w:t>105</w:t>
                  </w:r>
                </w:p>
              </w:txbxContent>
            </v:textbox>
            <w10:wrap type="none"/>
          </v:shape>
        </w:pict>
      </w:r>
      <w:r>
        <w:rPr/>
        <w:pict>
          <v:shape style="position:absolute;margin-left:440.450012pt;margin-top:-66.006882pt;width:12pt;height:17.150pt;mso-position-horizontal-relative:page;mso-position-vertical-relative:paragraph;z-index:2704" type="#_x0000_t202" filled="false" stroked="false">
            <v:textbox inset="0,0,0,0" style="layout-flow:vertical;mso-layout-flow-alt:bottom-to-top">
              <w:txbxContent>
                <w:p>
                  <w:pPr>
                    <w:spacing w:line="223" w:lineRule="exact" w:before="0"/>
                    <w:ind w:left="20" w:right="-100" w:firstLine="0"/>
                    <w:jc w:val="left"/>
                    <w:rPr>
                      <w:rFonts w:ascii="Calibri"/>
                      <w:sz w:val="20"/>
                    </w:rPr>
                  </w:pPr>
                  <w:r>
                    <w:rPr>
                      <w:rFonts w:ascii="Calibri"/>
                      <w:color w:val="404040"/>
                      <w:spacing w:val="-1"/>
                      <w:w w:val="99"/>
                      <w:sz w:val="20"/>
                    </w:rPr>
                    <w:t>105</w:t>
                  </w:r>
                </w:p>
              </w:txbxContent>
            </v:textbox>
            <w10:wrap type="none"/>
          </v:shape>
        </w:pict>
      </w:r>
      <w:r>
        <w:rPr/>
        <w:t>(SIACON 2016)</w:t>
      </w:r>
    </w:p>
    <w:p>
      <w:pPr>
        <w:spacing w:after="0"/>
        <w:jc w:val="both"/>
        <w:sectPr>
          <w:pgSz w:w="12240" w:h="15840"/>
          <w:pgMar w:header="984" w:footer="986" w:top="1280" w:bottom="1180" w:left="1300" w:right="0"/>
        </w:sectPr>
      </w:pPr>
    </w:p>
    <w:p>
      <w:pPr>
        <w:pStyle w:val="BodyText"/>
        <w:spacing w:before="122"/>
        <w:ind w:left="118"/>
        <w:jc w:val="both"/>
      </w:pPr>
      <w:bookmarkStart w:name="_bookmark8" w:id="12"/>
      <w:bookmarkEnd w:id="12"/>
      <w:r>
        <w:rPr/>
      </w:r>
      <w:r>
        <w:rPr/>
        <w:t>2.2.2 Consumo</w:t>
      </w:r>
    </w:p>
    <w:p>
      <w:pPr>
        <w:pStyle w:val="BodyText"/>
        <w:spacing w:before="2"/>
      </w:pPr>
    </w:p>
    <w:p>
      <w:pPr>
        <w:pStyle w:val="BodyText"/>
        <w:spacing w:line="360" w:lineRule="auto"/>
        <w:ind w:left="118" w:right="263"/>
        <w:jc w:val="both"/>
      </w:pPr>
      <w:r>
        <w:rPr/>
        <w:t>En</w:t>
      </w:r>
      <w:r>
        <w:rPr>
          <w:spacing w:val="-11"/>
        </w:rPr>
        <w:t> </w:t>
      </w:r>
      <w:r>
        <w:rPr/>
        <w:t>México</w:t>
      </w:r>
      <w:r>
        <w:rPr>
          <w:spacing w:val="-12"/>
        </w:rPr>
        <w:t> </w:t>
      </w:r>
      <w:r>
        <w:rPr/>
        <w:t>el</w:t>
      </w:r>
      <w:r>
        <w:rPr>
          <w:spacing w:val="-11"/>
        </w:rPr>
        <w:t> </w:t>
      </w:r>
      <w:r>
        <w:rPr/>
        <w:t>consumo</w:t>
      </w:r>
      <w:r>
        <w:rPr>
          <w:spacing w:val="-11"/>
        </w:rPr>
        <w:t> </w:t>
      </w:r>
      <w:r>
        <w:rPr/>
        <w:t>nacional</w:t>
      </w:r>
      <w:r>
        <w:rPr>
          <w:spacing w:val="-11"/>
        </w:rPr>
        <w:t> </w:t>
      </w:r>
      <w:r>
        <w:rPr/>
        <w:t>aparente</w:t>
      </w:r>
      <w:r>
        <w:rPr>
          <w:spacing w:val="-11"/>
        </w:rPr>
        <w:t> </w:t>
      </w:r>
      <w:r>
        <w:rPr/>
        <w:t>(CNA)</w:t>
      </w:r>
      <w:r>
        <w:rPr>
          <w:spacing w:val="-12"/>
        </w:rPr>
        <w:t> </w:t>
      </w:r>
      <w:r>
        <w:rPr/>
        <w:t>está</w:t>
      </w:r>
      <w:r>
        <w:rPr>
          <w:spacing w:val="-11"/>
        </w:rPr>
        <w:t> </w:t>
      </w:r>
      <w:r>
        <w:rPr/>
        <w:t>dado</w:t>
      </w:r>
      <w:r>
        <w:rPr>
          <w:spacing w:val="-11"/>
        </w:rPr>
        <w:t> </w:t>
      </w:r>
      <w:r>
        <w:rPr/>
        <w:t>por</w:t>
      </w:r>
      <w:r>
        <w:rPr>
          <w:spacing w:val="-12"/>
        </w:rPr>
        <w:t> </w:t>
      </w:r>
      <w:r>
        <w:rPr/>
        <w:t>la</w:t>
      </w:r>
      <w:r>
        <w:rPr>
          <w:spacing w:val="-12"/>
        </w:rPr>
        <w:t> </w:t>
      </w:r>
      <w:r>
        <w:rPr/>
        <w:t>suma</w:t>
      </w:r>
      <w:r>
        <w:rPr>
          <w:spacing w:val="-11"/>
        </w:rPr>
        <w:t> </w:t>
      </w:r>
      <w:r>
        <w:rPr/>
        <w:t>de</w:t>
      </w:r>
      <w:r>
        <w:rPr>
          <w:spacing w:val="-12"/>
        </w:rPr>
        <w:t> </w:t>
      </w:r>
      <w:r>
        <w:rPr/>
        <w:t>la</w:t>
      </w:r>
      <w:r>
        <w:rPr>
          <w:spacing w:val="-12"/>
        </w:rPr>
        <w:t> </w:t>
      </w:r>
      <w:r>
        <w:rPr/>
        <w:t>producción</w:t>
      </w:r>
      <w:r>
        <w:rPr>
          <w:spacing w:val="-11"/>
        </w:rPr>
        <w:t> </w:t>
      </w:r>
      <w:r>
        <w:rPr/>
        <w:t>nacional más las importaciones, menos las exportaciones. Para el año 2015 el CNA fue de 2.10 millones de toneladas, si esta cantidad se divide entre la población de dicho año que fue 121 millones de habitantes</w:t>
      </w:r>
      <w:r>
        <w:rPr>
          <w:spacing w:val="23"/>
        </w:rPr>
        <w:t> </w:t>
      </w:r>
      <w:r>
        <w:rPr/>
        <w:t>(CONAPO.</w:t>
      </w:r>
      <w:r>
        <w:rPr>
          <w:spacing w:val="23"/>
        </w:rPr>
        <w:t> </w:t>
      </w:r>
      <w:r>
        <w:rPr/>
        <w:t>2016)</w:t>
      </w:r>
      <w:r>
        <w:rPr>
          <w:spacing w:val="23"/>
        </w:rPr>
        <w:t> </w:t>
      </w:r>
      <w:r>
        <w:rPr/>
        <w:t>la</w:t>
      </w:r>
      <w:r>
        <w:rPr>
          <w:spacing w:val="23"/>
        </w:rPr>
        <w:t> </w:t>
      </w:r>
      <w:r>
        <w:rPr/>
        <w:t>disponibilidad</w:t>
      </w:r>
      <w:r>
        <w:rPr>
          <w:spacing w:val="23"/>
        </w:rPr>
        <w:t> </w:t>
      </w:r>
      <w:r>
        <w:rPr/>
        <w:t>per</w:t>
      </w:r>
      <w:r>
        <w:rPr>
          <w:spacing w:val="23"/>
        </w:rPr>
        <w:t> </w:t>
      </w:r>
      <w:r>
        <w:rPr/>
        <w:t>cápita</w:t>
      </w:r>
      <w:r>
        <w:rPr>
          <w:spacing w:val="22"/>
        </w:rPr>
        <w:t> </w:t>
      </w:r>
      <w:r>
        <w:rPr/>
        <w:t>para</w:t>
      </w:r>
      <w:r>
        <w:rPr>
          <w:spacing w:val="22"/>
        </w:rPr>
        <w:t> </w:t>
      </w:r>
      <w:r>
        <w:rPr/>
        <w:t>México,</w:t>
      </w:r>
      <w:r>
        <w:rPr>
          <w:spacing w:val="23"/>
        </w:rPr>
        <w:t> </w:t>
      </w:r>
      <w:r>
        <w:rPr/>
        <w:t>durante</w:t>
      </w:r>
      <w:r>
        <w:rPr>
          <w:spacing w:val="23"/>
        </w:rPr>
        <w:t> </w:t>
      </w:r>
      <w:r>
        <w:rPr/>
        <w:t>el</w:t>
      </w:r>
      <w:r>
        <w:rPr>
          <w:spacing w:val="26"/>
        </w:rPr>
        <w:t> </w:t>
      </w:r>
      <w:r>
        <w:rPr/>
        <w:t>2015fue</w:t>
      </w:r>
      <w:r>
        <w:rPr>
          <w:spacing w:val="22"/>
        </w:rPr>
        <w:t> </w:t>
      </w:r>
      <w:r>
        <w:rPr/>
        <w:t>de</w:t>
      </w:r>
    </w:p>
    <w:p>
      <w:pPr>
        <w:pStyle w:val="BodyText"/>
        <w:spacing w:line="360" w:lineRule="auto" w:before="6"/>
        <w:ind w:left="118" w:right="270"/>
        <w:jc w:val="both"/>
      </w:pPr>
      <w:r>
        <w:rPr/>
        <w:t>17.36 kilogramos por habitante (SNIIM, 2016), los principales estados consumidores de carne de cerdo se muestran en la gráfica 6 donde se observa que la ciudad de México y el estado de México son la zona urbana de mayor consumo de carne en el país.</w:t>
      </w:r>
    </w:p>
    <w:p>
      <w:pPr>
        <w:pStyle w:val="BodyText"/>
        <w:spacing w:before="124"/>
        <w:ind w:left="118"/>
        <w:jc w:val="both"/>
      </w:pPr>
      <w:r>
        <w:rPr/>
        <w:pict>
          <v:group style="position:absolute;margin-left:115.544998pt;margin-top:32.818108pt;width:371.1pt;height:245.45pt;mso-position-horizontal-relative:page;mso-position-vertical-relative:paragraph;z-index:2944" coordorigin="2311,656" coordsize="7422,4909">
            <v:rect style="position:absolute;left:3454;top:885;width:6050;height:2803" filled="true" fillcolor="#f1f1f1" stroked="false">
              <v:fill type="solid"/>
            </v:rect>
            <v:shape style="position:absolute;left:3454;top:885;width:6051;height:2403" coordorigin="3454,885" coordsize="6051,2403" path="m9319,3287l9504,3287m8455,3287l8825,3287m7589,3287l7961,3287m6725,3287l7097,3287m5861,3287l6233,3287m4997,3287l5366,3287m4133,3287l4502,3287m3454,3287l3638,3287m8455,2886l9504,2886m7589,2886l7961,2886m6725,2886l7097,2886m5861,2886l6233,2886m4997,2886l5366,2886m4133,2886l4502,2886m3454,2886l3638,2886m6725,2488l9504,2488m5861,2488l6233,2488m4997,2488l5366,2488m4133,2488l4502,2488m3454,2488l3638,2488m4997,2087l9504,2087m4133,2087l4502,2087m3454,2087l3638,2087m4133,1686l9504,1686m3454,1686l3638,1686m3454,1285l9504,1285m3454,885l9504,885e" filled="false" stroked="true" strokeweight=".48pt" strokecolor="#000000">
              <v:path arrowok="t"/>
            </v:shape>
            <v:shape style="position:absolute;left:3638;top:1333;width:5681;height:2355" coordorigin="3638,1333" coordsize="5681,2355" path="m4133,1333l3638,1333,3638,3688,4133,3688,4133,1333m4997,1816l4502,1816,4502,3688,4997,3688,4997,1816m5861,2248l5366,2248,5366,3688,5861,3688,5861,2248m6725,2452l6233,2452,6233,3688,6725,3688,6725,2452m7589,2466l7097,2466,7097,3688,7589,3688,7589,2466m9319,2877l8825,2877,8825,3688,9319,3688,9319,2877e" filled="true" fillcolor="#6fac46" stroked="false">
              <v:path arrowok="t"/>
              <v:fill type="solid"/>
            </v:shape>
            <v:line style="position:absolute" from="3454,3688" to="9504,3688" stroked="true" strokeweight=".72pt" strokecolor="#d9d9d9"/>
            <v:shape style="position:absolute;left:2842;top:3905;width:1069;height:1047" type="#_x0000_t75" stroked="false">
              <v:imagedata r:id="rId18" o:title=""/>
            </v:shape>
            <v:shape style="position:absolute;left:4205;top:3894;width:586;height:528" type="#_x0000_t75" stroked="false">
              <v:imagedata r:id="rId19" o:title=""/>
            </v:shape>
            <v:shape style="position:absolute;left:5195;top:3906;width:1308;height:794" type="#_x0000_t75" stroked="false">
              <v:imagedata r:id="rId20" o:title=""/>
            </v:shape>
            <v:shape style="position:absolute;left:6883;top:3898;width:492;height:472" type="#_x0000_t75" stroked="false">
              <v:imagedata r:id="rId21" o:title=""/>
            </v:shape>
            <v:shape style="position:absolute;left:7821;top:3905;width:412;height:408" type="#_x0000_t75" stroked="false">
              <v:imagedata r:id="rId22" o:title=""/>
            </v:shape>
            <v:shape style="position:absolute;left:8389;top:3906;width:709;height:686" type="#_x0000_t75" stroked="false">
              <v:imagedata r:id="rId23" o:title=""/>
            </v:shape>
            <v:rect style="position:absolute;left:2318;top:664;width:7406;height:4894" filled="false" stroked="true" strokeweight=".72pt" strokecolor="#d9d9d9"/>
            <v:shape style="position:absolute;left:7961;top:2581;width:495;height:1107" type="#_x0000_t202" filled="true" fillcolor="#6fac46" stroked="false">
              <v:textbox inset="0,0,0,0">
                <w:txbxContent>
                  <w:p>
                    <w:pPr>
                      <w:spacing w:line="240" w:lineRule="auto" w:before="0"/>
                      <w:rPr>
                        <w:sz w:val="20"/>
                      </w:rPr>
                    </w:pPr>
                  </w:p>
                  <w:p>
                    <w:pPr>
                      <w:spacing w:line="240" w:lineRule="auto" w:before="5"/>
                      <w:rPr>
                        <w:sz w:val="17"/>
                      </w:rPr>
                    </w:pPr>
                  </w:p>
                  <w:p>
                    <w:pPr>
                      <w:spacing w:before="0"/>
                      <w:ind w:left="119" w:right="0" w:firstLine="0"/>
                      <w:jc w:val="left"/>
                      <w:rPr>
                        <w:rFonts w:ascii="Calibri"/>
                        <w:sz w:val="20"/>
                      </w:rPr>
                    </w:pPr>
                    <w:r>
                      <w:rPr>
                        <w:rFonts w:ascii="Calibri"/>
                        <w:color w:val="404040"/>
                        <w:sz w:val="20"/>
                      </w:rPr>
                      <w:t>138</w:t>
                    </w:r>
                  </w:p>
                </w:txbxContent>
              </v:textbox>
              <v:fill type="solid"/>
              <w10:wrap type="none"/>
            </v:shape>
            <v:shape style="position:absolute;left:2919;top:793;width:305;height:3003" type="#_x0000_t202" filled="false" stroked="false">
              <v:textbox inset="0,0,0,0">
                <w:txbxContent>
                  <w:p>
                    <w:pPr>
                      <w:spacing w:line="203" w:lineRule="exact" w:before="0"/>
                      <w:ind w:left="0" w:right="1" w:firstLine="0"/>
                      <w:jc w:val="center"/>
                      <w:rPr>
                        <w:rFonts w:ascii="Calibri"/>
                        <w:sz w:val="20"/>
                      </w:rPr>
                    </w:pPr>
                    <w:r>
                      <w:rPr>
                        <w:rFonts w:ascii="Calibri"/>
                        <w:color w:val="585858"/>
                        <w:w w:val="95"/>
                        <w:sz w:val="20"/>
                      </w:rPr>
                      <w:t>350</w:t>
                    </w:r>
                  </w:p>
                  <w:p>
                    <w:pPr>
                      <w:spacing w:before="156"/>
                      <w:ind w:left="0" w:right="1" w:firstLine="0"/>
                      <w:jc w:val="center"/>
                      <w:rPr>
                        <w:rFonts w:ascii="Calibri"/>
                        <w:sz w:val="20"/>
                      </w:rPr>
                    </w:pPr>
                    <w:r>
                      <w:rPr>
                        <w:rFonts w:ascii="Calibri"/>
                        <w:color w:val="585858"/>
                        <w:w w:val="95"/>
                        <w:sz w:val="20"/>
                      </w:rPr>
                      <w:t>300</w:t>
                    </w:r>
                  </w:p>
                  <w:p>
                    <w:pPr>
                      <w:spacing w:before="156"/>
                      <w:ind w:left="0" w:right="1" w:firstLine="0"/>
                      <w:jc w:val="center"/>
                      <w:rPr>
                        <w:rFonts w:ascii="Calibri"/>
                        <w:sz w:val="20"/>
                      </w:rPr>
                    </w:pPr>
                    <w:r>
                      <w:rPr>
                        <w:rFonts w:ascii="Calibri"/>
                        <w:color w:val="585858"/>
                        <w:w w:val="95"/>
                        <w:sz w:val="20"/>
                      </w:rPr>
                      <w:t>250</w:t>
                    </w:r>
                  </w:p>
                  <w:p>
                    <w:pPr>
                      <w:spacing w:before="156"/>
                      <w:ind w:left="0" w:right="1" w:firstLine="0"/>
                      <w:jc w:val="center"/>
                      <w:rPr>
                        <w:rFonts w:ascii="Calibri"/>
                        <w:sz w:val="20"/>
                      </w:rPr>
                    </w:pPr>
                    <w:r>
                      <w:rPr>
                        <w:rFonts w:ascii="Calibri"/>
                        <w:color w:val="585858"/>
                        <w:w w:val="95"/>
                        <w:sz w:val="20"/>
                      </w:rPr>
                      <w:t>200</w:t>
                    </w:r>
                  </w:p>
                  <w:p>
                    <w:pPr>
                      <w:spacing w:before="156"/>
                      <w:ind w:left="0" w:right="1" w:firstLine="0"/>
                      <w:jc w:val="center"/>
                      <w:rPr>
                        <w:rFonts w:ascii="Calibri"/>
                        <w:sz w:val="20"/>
                      </w:rPr>
                    </w:pPr>
                    <w:r>
                      <w:rPr>
                        <w:rFonts w:ascii="Calibri"/>
                        <w:color w:val="585858"/>
                        <w:w w:val="95"/>
                        <w:sz w:val="20"/>
                      </w:rPr>
                      <w:t>150</w:t>
                    </w:r>
                  </w:p>
                  <w:p>
                    <w:pPr>
                      <w:spacing w:before="156"/>
                      <w:ind w:left="0" w:right="1" w:firstLine="0"/>
                      <w:jc w:val="center"/>
                      <w:rPr>
                        <w:rFonts w:ascii="Calibri"/>
                        <w:sz w:val="20"/>
                      </w:rPr>
                    </w:pPr>
                    <w:r>
                      <w:rPr>
                        <w:rFonts w:ascii="Calibri"/>
                        <w:color w:val="585858"/>
                        <w:w w:val="95"/>
                        <w:sz w:val="20"/>
                      </w:rPr>
                      <w:t>100</w:t>
                    </w:r>
                  </w:p>
                  <w:p>
                    <w:pPr>
                      <w:spacing w:before="156"/>
                      <w:ind w:left="100" w:right="0" w:firstLine="0"/>
                      <w:jc w:val="center"/>
                      <w:rPr>
                        <w:rFonts w:ascii="Calibri"/>
                        <w:sz w:val="20"/>
                      </w:rPr>
                    </w:pPr>
                    <w:r>
                      <w:rPr>
                        <w:rFonts w:ascii="Calibri"/>
                        <w:color w:val="585858"/>
                        <w:sz w:val="20"/>
                      </w:rPr>
                      <w:t>50</w:t>
                    </w:r>
                  </w:p>
                  <w:p>
                    <w:pPr>
                      <w:spacing w:line="240" w:lineRule="exact" w:before="156"/>
                      <w:ind w:left="0" w:right="0" w:firstLine="0"/>
                      <w:jc w:val="right"/>
                      <w:rPr>
                        <w:rFonts w:ascii="Calibri"/>
                        <w:sz w:val="20"/>
                      </w:rPr>
                    </w:pPr>
                    <w:r>
                      <w:rPr>
                        <w:rFonts w:ascii="Calibri"/>
                        <w:color w:val="585858"/>
                        <w:w w:val="99"/>
                        <w:sz w:val="20"/>
                      </w:rPr>
                      <w:t>-</w:t>
                    </w:r>
                  </w:p>
                </w:txbxContent>
              </v:textbox>
              <w10:wrap type="none"/>
            </v:shape>
            <v:shape style="position:absolute;left:3757;top:2430;width:303;height:200" type="#_x0000_t202" filled="false" stroked="false">
              <v:textbox inset="0,0,0,0">
                <w:txbxContent>
                  <w:p>
                    <w:pPr>
                      <w:spacing w:line="199" w:lineRule="exact" w:before="0"/>
                      <w:ind w:left="0" w:right="-19" w:firstLine="0"/>
                      <w:jc w:val="left"/>
                      <w:rPr>
                        <w:rFonts w:ascii="Calibri"/>
                        <w:sz w:val="20"/>
                      </w:rPr>
                    </w:pPr>
                    <w:r>
                      <w:rPr>
                        <w:rFonts w:ascii="Calibri"/>
                        <w:color w:val="404040"/>
                        <w:spacing w:val="-1"/>
                        <w:sz w:val="20"/>
                      </w:rPr>
                      <w:t>294</w:t>
                    </w:r>
                  </w:p>
                </w:txbxContent>
              </v:textbox>
              <w10:wrap type="none"/>
            </v:shape>
            <v:shape style="position:absolute;left:4622;top:2671;width:303;height:200" type="#_x0000_t202" filled="false" stroked="false">
              <v:textbox inset="0,0,0,0">
                <w:txbxContent>
                  <w:p>
                    <w:pPr>
                      <w:spacing w:line="199" w:lineRule="exact" w:before="0"/>
                      <w:ind w:left="0" w:right="-19" w:firstLine="0"/>
                      <w:jc w:val="left"/>
                      <w:rPr>
                        <w:rFonts w:ascii="Calibri"/>
                        <w:sz w:val="20"/>
                      </w:rPr>
                    </w:pPr>
                    <w:r>
                      <w:rPr>
                        <w:rFonts w:ascii="Calibri"/>
                        <w:color w:val="404040"/>
                        <w:spacing w:val="-1"/>
                        <w:sz w:val="20"/>
                      </w:rPr>
                      <w:t>234</w:t>
                    </w:r>
                  </w:p>
                </w:txbxContent>
              </v:textbox>
              <w10:wrap type="none"/>
            </v:shape>
            <v:shape style="position:absolute;left:5487;top:2887;width:303;height:200" type="#_x0000_t202" filled="false" stroked="false">
              <v:textbox inset="0,0,0,0">
                <w:txbxContent>
                  <w:p>
                    <w:pPr>
                      <w:spacing w:line="199" w:lineRule="exact" w:before="0"/>
                      <w:ind w:left="0" w:right="-19" w:firstLine="0"/>
                      <w:jc w:val="left"/>
                      <w:rPr>
                        <w:rFonts w:ascii="Calibri"/>
                        <w:sz w:val="20"/>
                      </w:rPr>
                    </w:pPr>
                    <w:r>
                      <w:rPr>
                        <w:rFonts w:ascii="Calibri"/>
                        <w:color w:val="404040"/>
                        <w:spacing w:val="-1"/>
                        <w:sz w:val="20"/>
                      </w:rPr>
                      <w:t>180</w:t>
                    </w:r>
                  </w:p>
                </w:txbxContent>
              </v:textbox>
              <w10:wrap type="none"/>
            </v:shape>
            <v:shape style="position:absolute;left:6351;top:2989;width:303;height:200" type="#_x0000_t202" filled="false" stroked="false">
              <v:textbox inset="0,0,0,0">
                <w:txbxContent>
                  <w:p>
                    <w:pPr>
                      <w:spacing w:line="199" w:lineRule="exact" w:before="0"/>
                      <w:ind w:left="0" w:right="-19" w:firstLine="0"/>
                      <w:jc w:val="left"/>
                      <w:rPr>
                        <w:rFonts w:ascii="Calibri"/>
                        <w:sz w:val="20"/>
                      </w:rPr>
                    </w:pPr>
                    <w:r>
                      <w:rPr>
                        <w:rFonts w:ascii="Calibri"/>
                        <w:color w:val="404040"/>
                        <w:spacing w:val="-1"/>
                        <w:sz w:val="20"/>
                      </w:rPr>
                      <w:t>154</w:t>
                    </w:r>
                  </w:p>
                </w:txbxContent>
              </v:textbox>
              <w10:wrap type="none"/>
            </v:shape>
            <v:shape style="position:absolute;left:7216;top:2996;width:303;height:200" type="#_x0000_t202" filled="false" stroked="false">
              <v:textbox inset="0,0,0,0">
                <w:txbxContent>
                  <w:p>
                    <w:pPr>
                      <w:spacing w:line="199" w:lineRule="exact" w:before="0"/>
                      <w:ind w:left="0" w:right="-19" w:firstLine="0"/>
                      <w:jc w:val="left"/>
                      <w:rPr>
                        <w:rFonts w:ascii="Calibri"/>
                        <w:sz w:val="20"/>
                      </w:rPr>
                    </w:pPr>
                    <w:r>
                      <w:rPr>
                        <w:rFonts w:ascii="Calibri"/>
                        <w:color w:val="404040"/>
                        <w:spacing w:val="-1"/>
                        <w:sz w:val="20"/>
                      </w:rPr>
                      <w:t>153</w:t>
                    </w:r>
                  </w:p>
                </w:txbxContent>
              </v:textbox>
              <w10:wrap type="none"/>
            </v:shape>
            <v:shape style="position:absolute;left:8945;top:3201;width:303;height:200" type="#_x0000_t202" filled="false" stroked="false">
              <v:textbox inset="0,0,0,0">
                <w:txbxContent>
                  <w:p>
                    <w:pPr>
                      <w:spacing w:line="199" w:lineRule="exact" w:before="0"/>
                      <w:ind w:left="0" w:right="-19" w:firstLine="0"/>
                      <w:jc w:val="left"/>
                      <w:rPr>
                        <w:rFonts w:ascii="Calibri"/>
                        <w:sz w:val="20"/>
                      </w:rPr>
                    </w:pPr>
                    <w:r>
                      <w:rPr>
                        <w:rFonts w:ascii="Calibri"/>
                        <w:color w:val="404040"/>
                        <w:spacing w:val="-1"/>
                        <w:sz w:val="20"/>
                      </w:rPr>
                      <w:t>101</w:t>
                    </w:r>
                  </w:p>
                </w:txbxContent>
              </v:textbox>
              <w10:wrap type="none"/>
            </v:shape>
            <v:shape style="position:absolute;left:6160;top:5106;width:639;height:200" type="#_x0000_t202" filled="false" stroked="false">
              <v:textbox inset="0,0,0,0">
                <w:txbxContent>
                  <w:p>
                    <w:pPr>
                      <w:spacing w:line="199" w:lineRule="exact" w:before="0"/>
                      <w:ind w:left="0" w:right="0" w:firstLine="0"/>
                      <w:jc w:val="left"/>
                      <w:rPr>
                        <w:rFonts w:ascii="Calibri"/>
                        <w:b/>
                        <w:sz w:val="20"/>
                      </w:rPr>
                    </w:pPr>
                    <w:r>
                      <w:rPr>
                        <w:rFonts w:ascii="Calibri"/>
                        <w:b/>
                        <w:color w:val="585858"/>
                        <w:w w:val="95"/>
                        <w:sz w:val="20"/>
                      </w:rPr>
                      <w:t>Estados</w:t>
                    </w:r>
                  </w:p>
                </w:txbxContent>
              </v:textbox>
              <w10:wrap type="none"/>
            </v:shape>
            <w10:wrap type="none"/>
          </v:group>
        </w:pict>
      </w:r>
      <w:r>
        <w:rPr/>
        <w:pict>
          <v:shape style="position:absolute;margin-left:129.479996pt;margin-top:74.185303pt;width:12pt;height:80.45pt;mso-position-horizontal-relative:page;mso-position-vertical-relative:paragraph;z-index:2968" type="#_x0000_t202" filled="false" stroked="false">
            <v:textbox inset="0,0,0,0" style="layout-flow:vertical;mso-layout-flow-alt:bottom-to-top">
              <w:txbxContent>
                <w:p>
                  <w:pPr>
                    <w:spacing w:line="223" w:lineRule="exact" w:before="0"/>
                    <w:ind w:left="20" w:right="0" w:firstLine="0"/>
                    <w:jc w:val="left"/>
                    <w:rPr>
                      <w:rFonts w:ascii="Calibri"/>
                      <w:b/>
                      <w:sz w:val="20"/>
                    </w:rPr>
                  </w:pPr>
                  <w:r>
                    <w:rPr>
                      <w:rFonts w:ascii="Calibri"/>
                      <w:b/>
                      <w:color w:val="585858"/>
                      <w:spacing w:val="1"/>
                      <w:w w:val="99"/>
                      <w:sz w:val="20"/>
                    </w:rPr>
                    <w:t>M</w:t>
                  </w:r>
                  <w:r>
                    <w:rPr>
                      <w:rFonts w:ascii="Calibri"/>
                      <w:b/>
                      <w:color w:val="585858"/>
                      <w:spacing w:val="-1"/>
                      <w:w w:val="99"/>
                      <w:sz w:val="20"/>
                    </w:rPr>
                    <w:t>il</w:t>
                  </w:r>
                  <w:r>
                    <w:rPr>
                      <w:rFonts w:ascii="Calibri"/>
                      <w:b/>
                      <w:color w:val="585858"/>
                      <w:w w:val="99"/>
                      <w:sz w:val="20"/>
                    </w:rPr>
                    <w:t>es</w:t>
                  </w:r>
                  <w:r>
                    <w:rPr>
                      <w:rFonts w:ascii="Calibri"/>
                      <w:b/>
                      <w:color w:val="585858"/>
                      <w:spacing w:val="2"/>
                      <w:sz w:val="20"/>
                    </w:rPr>
                    <w:t> </w:t>
                  </w:r>
                  <w:r>
                    <w:rPr>
                      <w:rFonts w:ascii="Calibri"/>
                      <w:b/>
                      <w:color w:val="585858"/>
                      <w:w w:val="99"/>
                      <w:sz w:val="20"/>
                    </w:rPr>
                    <w:t>de</w:t>
                  </w:r>
                  <w:r>
                    <w:rPr>
                      <w:rFonts w:ascii="Calibri"/>
                      <w:b/>
                      <w:color w:val="585858"/>
                      <w:spacing w:val="-2"/>
                      <w:sz w:val="20"/>
                    </w:rPr>
                    <w:t> </w:t>
                  </w:r>
                  <w:r>
                    <w:rPr>
                      <w:rFonts w:ascii="Calibri"/>
                      <w:b/>
                      <w:color w:val="585858"/>
                      <w:w w:val="99"/>
                      <w:sz w:val="20"/>
                    </w:rPr>
                    <w:t>t</w:t>
                  </w:r>
                  <w:r>
                    <w:rPr>
                      <w:rFonts w:ascii="Calibri"/>
                      <w:b/>
                      <w:color w:val="585858"/>
                      <w:spacing w:val="1"/>
                      <w:w w:val="99"/>
                      <w:sz w:val="20"/>
                    </w:rPr>
                    <w:t>o</w:t>
                  </w:r>
                  <w:r>
                    <w:rPr>
                      <w:rFonts w:ascii="Calibri"/>
                      <w:b/>
                      <w:color w:val="585858"/>
                      <w:w w:val="99"/>
                      <w:sz w:val="20"/>
                    </w:rPr>
                    <w:t>ne</w:t>
                  </w:r>
                  <w:r>
                    <w:rPr>
                      <w:rFonts w:ascii="Calibri"/>
                      <w:b/>
                      <w:color w:val="585858"/>
                      <w:spacing w:val="-1"/>
                      <w:w w:val="99"/>
                      <w:sz w:val="20"/>
                    </w:rPr>
                    <w:t>l</w:t>
                  </w:r>
                  <w:r>
                    <w:rPr>
                      <w:rFonts w:ascii="Calibri"/>
                      <w:b/>
                      <w:color w:val="585858"/>
                      <w:w w:val="99"/>
                      <w:sz w:val="20"/>
                    </w:rPr>
                    <w:t>adas</w:t>
                  </w:r>
                </w:p>
              </w:txbxContent>
            </v:textbox>
            <w10:wrap type="none"/>
          </v:shape>
        </w:pict>
      </w:r>
      <w:r>
        <w:rPr/>
        <w:t>Gráfica 6: Principales estados consumidores de carne de cerdo en México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3"/>
        </w:rPr>
      </w:pPr>
    </w:p>
    <w:p>
      <w:pPr>
        <w:pStyle w:val="BodyText"/>
        <w:ind w:left="118"/>
        <w:jc w:val="both"/>
      </w:pPr>
      <w:bookmarkStart w:name="_bookmark9" w:id="13"/>
      <w:bookmarkEnd w:id="13"/>
      <w:r>
        <w:rPr/>
      </w:r>
      <w:r>
        <w:rPr/>
        <w:t>(SIACON 2016)</w:t>
      </w:r>
    </w:p>
    <w:p>
      <w:pPr>
        <w:pStyle w:val="BodyText"/>
      </w:pPr>
    </w:p>
    <w:p>
      <w:pPr>
        <w:pStyle w:val="BodyText"/>
        <w:spacing w:before="202"/>
        <w:ind w:left="118"/>
        <w:jc w:val="both"/>
      </w:pPr>
      <w:r>
        <w:rPr/>
        <w:t>2.3 Desarrollo del sector porcino en México</w:t>
      </w:r>
    </w:p>
    <w:p>
      <w:pPr>
        <w:pStyle w:val="BodyText"/>
        <w:spacing w:before="10"/>
        <w:rPr>
          <w:sz w:val="35"/>
        </w:rPr>
      </w:pPr>
    </w:p>
    <w:p>
      <w:pPr>
        <w:pStyle w:val="BodyText"/>
        <w:ind w:left="118"/>
        <w:jc w:val="both"/>
      </w:pPr>
      <w:r>
        <w:rPr/>
        <w:t>En 1970, existían en México casi 10 millones de cerdos y para 1983 la piara se había elevado  a</w:t>
      </w:r>
    </w:p>
    <w:p>
      <w:pPr>
        <w:pStyle w:val="BodyText"/>
        <w:spacing w:line="360" w:lineRule="auto" w:before="139"/>
        <w:ind w:left="118" w:right="271"/>
        <w:jc w:val="both"/>
      </w:pPr>
      <w:r>
        <w:rPr/>
        <w:t>15.3 %, en tanto que el volumen de producción pasó de 573 mil toneladas a un millón 485 mil en 1983, es decir un incremento de 159 % en tan sólo 13 años, lo que garantizó satisfacer la demanda interna sin recurrir a las importaciones (Tinoco, 2004).</w:t>
      </w:r>
    </w:p>
    <w:p>
      <w:pPr>
        <w:spacing w:after="0" w:line="360" w:lineRule="auto"/>
        <w:jc w:val="both"/>
        <w:sectPr>
          <w:pgSz w:w="12240" w:h="15840"/>
          <w:pgMar w:header="984" w:footer="986" w:top="1280" w:bottom="1180" w:left="1300" w:right="1340"/>
        </w:sectPr>
      </w:pPr>
    </w:p>
    <w:p>
      <w:pPr>
        <w:pStyle w:val="BodyText"/>
        <w:spacing w:line="360" w:lineRule="auto" w:before="125"/>
        <w:ind w:left="118" w:right="265"/>
        <w:jc w:val="both"/>
      </w:pPr>
      <w:r>
        <w:rPr/>
        <w:t>Sin embargo, a partir de entonces la actividad fue decreciendo al mostrar gran vulnerabilidad ante</w:t>
      </w:r>
      <w:r>
        <w:rPr>
          <w:spacing w:val="-4"/>
        </w:rPr>
        <w:t> </w:t>
      </w:r>
      <w:r>
        <w:rPr/>
        <w:t>los</w:t>
      </w:r>
      <w:r>
        <w:rPr>
          <w:spacing w:val="-3"/>
        </w:rPr>
        <w:t> </w:t>
      </w:r>
      <w:r>
        <w:rPr/>
        <w:t>cambios</w:t>
      </w:r>
      <w:r>
        <w:rPr>
          <w:spacing w:val="-4"/>
        </w:rPr>
        <w:t> </w:t>
      </w:r>
      <w:r>
        <w:rPr/>
        <w:t>económicos</w:t>
      </w:r>
      <w:r>
        <w:rPr>
          <w:spacing w:val="-4"/>
        </w:rPr>
        <w:t> </w:t>
      </w:r>
      <w:r>
        <w:rPr/>
        <w:t>que</w:t>
      </w:r>
      <w:r>
        <w:rPr>
          <w:spacing w:val="-5"/>
        </w:rPr>
        <w:t> </w:t>
      </w:r>
      <w:r>
        <w:rPr/>
        <w:t>tuvieron</w:t>
      </w:r>
      <w:r>
        <w:rPr>
          <w:spacing w:val="-5"/>
        </w:rPr>
        <w:t> </w:t>
      </w:r>
      <w:r>
        <w:rPr/>
        <w:t>lugar</w:t>
      </w:r>
      <w:r>
        <w:rPr>
          <w:spacing w:val="-5"/>
        </w:rPr>
        <w:t> </w:t>
      </w:r>
      <w:r>
        <w:rPr/>
        <w:t>en</w:t>
      </w:r>
      <w:r>
        <w:rPr>
          <w:spacing w:val="-4"/>
        </w:rPr>
        <w:t> </w:t>
      </w:r>
      <w:r>
        <w:rPr/>
        <w:t>el</w:t>
      </w:r>
      <w:r>
        <w:rPr>
          <w:spacing w:val="-3"/>
        </w:rPr>
        <w:t> </w:t>
      </w:r>
      <w:r>
        <w:rPr/>
        <w:t>país</w:t>
      </w:r>
      <w:r>
        <w:rPr>
          <w:spacing w:val="-3"/>
        </w:rPr>
        <w:t> </w:t>
      </w:r>
      <w:r>
        <w:rPr/>
        <w:t>como</w:t>
      </w:r>
      <w:r>
        <w:rPr>
          <w:spacing w:val="-3"/>
        </w:rPr>
        <w:t> </w:t>
      </w:r>
      <w:r>
        <w:rPr/>
        <w:t>lo</w:t>
      </w:r>
      <w:r>
        <w:rPr>
          <w:spacing w:val="-3"/>
        </w:rPr>
        <w:t> </w:t>
      </w:r>
      <w:r>
        <w:rPr/>
        <w:t>fue</w:t>
      </w:r>
      <w:r>
        <w:rPr>
          <w:spacing w:val="-6"/>
        </w:rPr>
        <w:t> </w:t>
      </w:r>
      <w:r>
        <w:rPr/>
        <w:t>el</w:t>
      </w:r>
      <w:r>
        <w:rPr>
          <w:spacing w:val="-3"/>
        </w:rPr>
        <w:t> </w:t>
      </w:r>
      <w:r>
        <w:rPr/>
        <w:t>retiro</w:t>
      </w:r>
      <w:r>
        <w:rPr>
          <w:spacing w:val="-5"/>
        </w:rPr>
        <w:t> </w:t>
      </w:r>
      <w:r>
        <w:rPr/>
        <w:t>de</w:t>
      </w:r>
      <w:r>
        <w:rPr>
          <w:spacing w:val="-5"/>
        </w:rPr>
        <w:t> </w:t>
      </w:r>
      <w:r>
        <w:rPr/>
        <w:t>subsidios</w:t>
      </w:r>
      <w:r>
        <w:rPr>
          <w:spacing w:val="-1"/>
        </w:rPr>
        <w:t> </w:t>
      </w:r>
      <w:r>
        <w:rPr/>
        <w:t>y</w:t>
      </w:r>
      <w:r>
        <w:rPr>
          <w:spacing w:val="-8"/>
        </w:rPr>
        <w:t> </w:t>
      </w:r>
      <w:r>
        <w:rPr/>
        <w:t>el ingreso</w:t>
      </w:r>
      <w:r>
        <w:rPr>
          <w:spacing w:val="-4"/>
        </w:rPr>
        <w:t> </w:t>
      </w:r>
      <w:r>
        <w:rPr/>
        <w:t>de</w:t>
      </w:r>
      <w:r>
        <w:rPr>
          <w:spacing w:val="-5"/>
        </w:rPr>
        <w:t> </w:t>
      </w:r>
      <w:r>
        <w:rPr/>
        <w:t>México</w:t>
      </w:r>
      <w:r>
        <w:rPr>
          <w:spacing w:val="-4"/>
        </w:rPr>
        <w:t> </w:t>
      </w:r>
      <w:r>
        <w:rPr/>
        <w:t>al</w:t>
      </w:r>
      <w:r>
        <w:rPr>
          <w:spacing w:val="-3"/>
        </w:rPr>
        <w:t> </w:t>
      </w:r>
      <w:r>
        <w:rPr/>
        <w:t>GATT</w:t>
      </w:r>
      <w:r>
        <w:rPr>
          <w:spacing w:val="-4"/>
        </w:rPr>
        <w:t> </w:t>
      </w:r>
      <w:r>
        <w:rPr/>
        <w:t>el</w:t>
      </w:r>
      <w:r>
        <w:rPr>
          <w:spacing w:val="-3"/>
        </w:rPr>
        <w:t> </w:t>
      </w:r>
      <w:r>
        <w:rPr/>
        <w:t>cual</w:t>
      </w:r>
      <w:r>
        <w:rPr>
          <w:spacing w:val="-3"/>
        </w:rPr>
        <w:t> </w:t>
      </w:r>
      <w:r>
        <w:rPr/>
        <w:t>genero</w:t>
      </w:r>
      <w:r>
        <w:rPr>
          <w:spacing w:val="-5"/>
        </w:rPr>
        <w:t> </w:t>
      </w:r>
      <w:r>
        <w:rPr/>
        <w:t>la</w:t>
      </w:r>
      <w:r>
        <w:rPr>
          <w:spacing w:val="-4"/>
        </w:rPr>
        <w:t> </w:t>
      </w:r>
      <w:r>
        <w:rPr/>
        <w:t>apertura</w:t>
      </w:r>
      <w:r>
        <w:rPr>
          <w:spacing w:val="-5"/>
        </w:rPr>
        <w:t> </w:t>
      </w:r>
      <w:r>
        <w:rPr/>
        <w:t>comercial</w:t>
      </w:r>
      <w:r>
        <w:rPr>
          <w:spacing w:val="-4"/>
        </w:rPr>
        <w:t> </w:t>
      </w:r>
      <w:r>
        <w:rPr/>
        <w:t>en</w:t>
      </w:r>
      <w:r>
        <w:rPr>
          <w:spacing w:val="-4"/>
        </w:rPr>
        <w:t> </w:t>
      </w:r>
      <w:r>
        <w:rPr/>
        <w:t>1988</w:t>
      </w:r>
      <w:r>
        <w:rPr>
          <w:spacing w:val="-4"/>
        </w:rPr>
        <w:t> </w:t>
      </w:r>
      <w:r>
        <w:rPr/>
        <w:t>para</w:t>
      </w:r>
      <w:r>
        <w:rPr>
          <w:spacing w:val="-6"/>
        </w:rPr>
        <w:t> </w:t>
      </w:r>
      <w:r>
        <w:rPr/>
        <w:t>la</w:t>
      </w:r>
      <w:r>
        <w:rPr>
          <w:spacing w:val="-5"/>
        </w:rPr>
        <w:t> </w:t>
      </w:r>
      <w:r>
        <w:rPr/>
        <w:t>carne</w:t>
      </w:r>
      <w:r>
        <w:rPr>
          <w:spacing w:val="-6"/>
        </w:rPr>
        <w:t> </w:t>
      </w:r>
      <w:r>
        <w:rPr/>
        <w:t>de</w:t>
      </w:r>
      <w:r>
        <w:rPr>
          <w:spacing w:val="-2"/>
        </w:rPr>
        <w:t> </w:t>
      </w:r>
      <w:r>
        <w:rPr/>
        <w:t>cerdo, lo cual propició una reducción paulatina de la producción porcina quedando en 2015 en 1.32 millones de t, el proceso inflacionario y la devaluación constante del peso ocurrido en los años ochentas,  generó una elevación en  costos de producción y un deterioro del poder</w:t>
      </w:r>
      <w:r>
        <w:rPr>
          <w:spacing w:val="-11"/>
        </w:rPr>
        <w:t> </w:t>
      </w:r>
      <w:r>
        <w:rPr/>
        <w:t>adquisitivo.</w:t>
      </w:r>
    </w:p>
    <w:p>
      <w:pPr>
        <w:pStyle w:val="BodyText"/>
        <w:spacing w:before="11"/>
        <w:rPr>
          <w:sz w:val="34"/>
        </w:rPr>
      </w:pPr>
    </w:p>
    <w:p>
      <w:pPr>
        <w:pStyle w:val="BodyText"/>
        <w:spacing w:line="360" w:lineRule="auto"/>
        <w:ind w:left="118" w:right="267"/>
        <w:jc w:val="both"/>
      </w:pPr>
      <w:r>
        <w:rPr/>
        <w:t>La contracción de la oferta generada en la misma década a partir del año 1983, fue cubriéndose con crecientes importaciones de carne de cerdo alcanzando, en 2015, el 41.68%, las compras mexicanas de cerdo y/o carne de cerdo del exterior se iniciaron en 1988 con 31,044 t y llegaron en 2015 hasta 875 mil t.</w:t>
      </w:r>
    </w:p>
    <w:p>
      <w:pPr>
        <w:pStyle w:val="BodyText"/>
      </w:pPr>
    </w:p>
    <w:p>
      <w:pPr>
        <w:pStyle w:val="BodyText"/>
        <w:spacing w:before="10"/>
        <w:rPr>
          <w:sz w:val="22"/>
        </w:rPr>
      </w:pPr>
    </w:p>
    <w:p>
      <w:pPr>
        <w:pStyle w:val="BodyText"/>
        <w:ind w:left="118"/>
        <w:jc w:val="both"/>
      </w:pPr>
      <w:r>
        <w:rPr/>
        <w:pict>
          <v:group style="position:absolute;margin-left:120.824997pt;margin-top:26.618139pt;width:360.75pt;height:216.75pt;mso-position-horizontal-relative:page;mso-position-vertical-relative:paragraph;z-index:-146464" coordorigin="2416,532" coordsize="7215,4335">
            <v:shape style="position:absolute;left:3965;top:4020;width:327;height:340" type="#_x0000_t75" stroked="false">
              <v:imagedata r:id="rId24" o:title=""/>
            </v:shape>
            <v:shape style="position:absolute;left:2424;top:540;width:7200;height:4320" type="#_x0000_t202" filled="false" stroked="true" strokeweight=".72pt" strokecolor="#d9d9d9">
              <v:textbox inset="0,0,0,0">
                <w:txbxContent>
                  <w:p>
                    <w:pPr>
                      <w:spacing w:line="240" w:lineRule="auto" w:before="0"/>
                      <w:rPr>
                        <w:sz w:val="18"/>
                      </w:rPr>
                    </w:pPr>
                  </w:p>
                  <w:p>
                    <w:pPr>
                      <w:spacing w:line="240" w:lineRule="auto" w:before="0"/>
                      <w:rPr>
                        <w:sz w:val="18"/>
                      </w:rPr>
                    </w:pPr>
                  </w:p>
                  <w:p>
                    <w:pPr>
                      <w:spacing w:line="240" w:lineRule="auto" w:before="4"/>
                      <w:rPr>
                        <w:sz w:val="17"/>
                      </w:rPr>
                    </w:pPr>
                  </w:p>
                  <w:p>
                    <w:pPr>
                      <w:spacing w:before="0"/>
                      <w:ind w:left="527" w:right="0" w:firstLine="0"/>
                      <w:jc w:val="left"/>
                      <w:rPr>
                        <w:rFonts w:ascii="Calibri"/>
                        <w:sz w:val="18"/>
                      </w:rPr>
                    </w:pPr>
                    <w:r>
                      <w:rPr>
                        <w:rFonts w:ascii="Calibri"/>
                        <w:color w:val="585858"/>
                        <w:sz w:val="18"/>
                      </w:rPr>
                      <w:t>1000000</w:t>
                    </w:r>
                  </w:p>
                  <w:p>
                    <w:pPr>
                      <w:spacing w:before="35"/>
                      <w:ind w:left="618" w:right="0" w:firstLine="0"/>
                      <w:jc w:val="left"/>
                      <w:rPr>
                        <w:rFonts w:ascii="Calibri"/>
                        <w:sz w:val="18"/>
                      </w:rPr>
                    </w:pPr>
                    <w:r>
                      <w:rPr>
                        <w:rFonts w:ascii="Calibri"/>
                        <w:color w:val="585858"/>
                        <w:sz w:val="18"/>
                      </w:rPr>
                      <w:t>900000</w:t>
                    </w:r>
                  </w:p>
                  <w:p>
                    <w:pPr>
                      <w:spacing w:before="34"/>
                      <w:ind w:left="618" w:right="0" w:firstLine="0"/>
                      <w:jc w:val="left"/>
                      <w:rPr>
                        <w:rFonts w:ascii="Calibri"/>
                        <w:sz w:val="18"/>
                      </w:rPr>
                    </w:pPr>
                    <w:r>
                      <w:rPr>
                        <w:rFonts w:ascii="Calibri"/>
                        <w:color w:val="585858"/>
                        <w:sz w:val="18"/>
                      </w:rPr>
                      <w:t>800000</w:t>
                    </w:r>
                  </w:p>
                  <w:p>
                    <w:pPr>
                      <w:spacing w:before="34"/>
                      <w:ind w:left="618" w:right="0" w:firstLine="0"/>
                      <w:jc w:val="left"/>
                      <w:rPr>
                        <w:rFonts w:ascii="Calibri"/>
                        <w:sz w:val="18"/>
                      </w:rPr>
                    </w:pPr>
                    <w:r>
                      <w:rPr>
                        <w:rFonts w:ascii="Calibri"/>
                        <w:color w:val="585858"/>
                        <w:sz w:val="18"/>
                      </w:rPr>
                      <w:t>700000</w:t>
                    </w:r>
                  </w:p>
                  <w:p>
                    <w:pPr>
                      <w:spacing w:before="35"/>
                      <w:ind w:left="618" w:right="0" w:firstLine="0"/>
                      <w:jc w:val="left"/>
                      <w:rPr>
                        <w:rFonts w:ascii="Calibri"/>
                        <w:sz w:val="18"/>
                      </w:rPr>
                    </w:pPr>
                    <w:r>
                      <w:rPr>
                        <w:rFonts w:ascii="Calibri"/>
                        <w:color w:val="585858"/>
                        <w:sz w:val="18"/>
                      </w:rPr>
                      <w:t>600000</w:t>
                    </w:r>
                  </w:p>
                  <w:p>
                    <w:pPr>
                      <w:spacing w:before="34"/>
                      <w:ind w:left="618" w:right="0" w:firstLine="0"/>
                      <w:jc w:val="left"/>
                      <w:rPr>
                        <w:rFonts w:ascii="Calibri"/>
                        <w:sz w:val="18"/>
                      </w:rPr>
                    </w:pPr>
                    <w:r>
                      <w:rPr>
                        <w:rFonts w:ascii="Calibri"/>
                        <w:color w:val="585858"/>
                        <w:sz w:val="18"/>
                      </w:rPr>
                      <w:t>500000</w:t>
                    </w:r>
                  </w:p>
                  <w:p>
                    <w:pPr>
                      <w:spacing w:before="34"/>
                      <w:ind w:left="618" w:right="0" w:firstLine="0"/>
                      <w:jc w:val="left"/>
                      <w:rPr>
                        <w:rFonts w:ascii="Calibri"/>
                        <w:sz w:val="18"/>
                      </w:rPr>
                    </w:pPr>
                    <w:r>
                      <w:rPr>
                        <w:rFonts w:ascii="Calibri"/>
                        <w:color w:val="585858"/>
                        <w:sz w:val="18"/>
                      </w:rPr>
                      <w:t>400000</w:t>
                    </w:r>
                  </w:p>
                  <w:p>
                    <w:pPr>
                      <w:spacing w:before="35"/>
                      <w:ind w:left="618" w:right="0" w:firstLine="0"/>
                      <w:jc w:val="left"/>
                      <w:rPr>
                        <w:rFonts w:ascii="Calibri"/>
                        <w:sz w:val="18"/>
                      </w:rPr>
                    </w:pPr>
                    <w:r>
                      <w:rPr>
                        <w:rFonts w:ascii="Calibri"/>
                        <w:color w:val="585858"/>
                        <w:sz w:val="18"/>
                      </w:rPr>
                      <w:t>300000</w:t>
                    </w:r>
                  </w:p>
                  <w:p>
                    <w:pPr>
                      <w:spacing w:before="34"/>
                      <w:ind w:left="618" w:right="0" w:firstLine="0"/>
                      <w:jc w:val="left"/>
                      <w:rPr>
                        <w:rFonts w:ascii="Calibri"/>
                        <w:sz w:val="18"/>
                      </w:rPr>
                    </w:pPr>
                    <w:r>
                      <w:rPr>
                        <w:rFonts w:ascii="Calibri"/>
                        <w:color w:val="585858"/>
                        <w:sz w:val="18"/>
                      </w:rPr>
                      <w:t>200000</w:t>
                    </w:r>
                  </w:p>
                  <w:p>
                    <w:pPr>
                      <w:spacing w:before="34"/>
                      <w:ind w:left="618" w:right="0" w:firstLine="0"/>
                      <w:jc w:val="left"/>
                      <w:rPr>
                        <w:rFonts w:ascii="Calibri"/>
                        <w:sz w:val="18"/>
                      </w:rPr>
                    </w:pPr>
                    <w:r>
                      <w:rPr>
                        <w:rFonts w:ascii="Calibri"/>
                        <w:color w:val="585858"/>
                        <w:sz w:val="18"/>
                      </w:rPr>
                      <w:t>100000</w:t>
                    </w:r>
                  </w:p>
                  <w:p>
                    <w:pPr>
                      <w:spacing w:before="34"/>
                      <w:ind w:left="1074" w:right="0" w:firstLine="0"/>
                      <w:jc w:val="left"/>
                      <w:rPr>
                        <w:rFonts w:ascii="Calibri"/>
                        <w:sz w:val="18"/>
                      </w:rPr>
                    </w:pPr>
                    <w:r>
                      <w:rPr>
                        <w:rFonts w:ascii="Calibri"/>
                        <w:color w:val="585858"/>
                        <w:sz w:val="18"/>
                      </w:rPr>
                      <w:t>0</w:t>
                    </w:r>
                  </w:p>
                  <w:p>
                    <w:pPr>
                      <w:spacing w:line="240" w:lineRule="auto" w:before="0"/>
                      <w:rPr>
                        <w:sz w:val="18"/>
                      </w:rPr>
                    </w:pPr>
                  </w:p>
                  <w:p>
                    <w:pPr>
                      <w:spacing w:line="240" w:lineRule="auto" w:before="0"/>
                      <w:rPr>
                        <w:sz w:val="18"/>
                      </w:rPr>
                    </w:pPr>
                  </w:p>
                  <w:p>
                    <w:pPr>
                      <w:spacing w:before="134"/>
                      <w:ind w:left="3897" w:right="2789" w:firstLine="0"/>
                      <w:jc w:val="center"/>
                      <w:rPr>
                        <w:rFonts w:ascii="Calibri" w:hAnsi="Calibri"/>
                        <w:b/>
                        <w:sz w:val="20"/>
                      </w:rPr>
                    </w:pPr>
                    <w:r>
                      <w:rPr>
                        <w:rFonts w:ascii="Calibri" w:hAnsi="Calibri"/>
                        <w:b/>
                        <w:color w:val="585858"/>
                        <w:sz w:val="20"/>
                      </w:rPr>
                      <w:t>Años</w:t>
                    </w:r>
                  </w:p>
                </w:txbxContent>
              </v:textbox>
              <w10:wrap type="none"/>
            </v:shape>
            <w10:wrap type="none"/>
          </v:group>
        </w:pict>
      </w:r>
      <w:r>
        <w:rPr/>
        <w:pict>
          <v:shape style="position:absolute;margin-left:133.729996pt;margin-top:87.565331pt;width:12pt;height:80.45pt;mso-position-horizontal-relative:page;mso-position-vertical-relative:paragraph;z-index:3160" type="#_x0000_t202" filled="false" stroked="false">
            <v:textbox inset="0,0,0,0" style="layout-flow:vertical;mso-layout-flow-alt:bottom-to-top">
              <w:txbxContent>
                <w:p>
                  <w:pPr>
                    <w:spacing w:line="223" w:lineRule="exact" w:before="0"/>
                    <w:ind w:left="20" w:right="0" w:firstLine="0"/>
                    <w:jc w:val="left"/>
                    <w:rPr>
                      <w:rFonts w:ascii="Calibri"/>
                      <w:b/>
                      <w:sz w:val="20"/>
                    </w:rPr>
                  </w:pPr>
                  <w:r>
                    <w:rPr>
                      <w:rFonts w:ascii="Calibri"/>
                      <w:b/>
                      <w:color w:val="585858"/>
                      <w:spacing w:val="1"/>
                      <w:w w:val="99"/>
                      <w:sz w:val="20"/>
                    </w:rPr>
                    <w:t>M</w:t>
                  </w:r>
                  <w:r>
                    <w:rPr>
                      <w:rFonts w:ascii="Calibri"/>
                      <w:b/>
                      <w:color w:val="585858"/>
                      <w:spacing w:val="-1"/>
                      <w:w w:val="99"/>
                      <w:sz w:val="20"/>
                    </w:rPr>
                    <w:t>il</w:t>
                  </w:r>
                  <w:r>
                    <w:rPr>
                      <w:rFonts w:ascii="Calibri"/>
                      <w:b/>
                      <w:color w:val="585858"/>
                      <w:w w:val="99"/>
                      <w:sz w:val="20"/>
                    </w:rPr>
                    <w:t>es</w:t>
                  </w:r>
                  <w:r>
                    <w:rPr>
                      <w:rFonts w:ascii="Calibri"/>
                      <w:b/>
                      <w:color w:val="585858"/>
                      <w:spacing w:val="2"/>
                      <w:sz w:val="20"/>
                    </w:rPr>
                    <w:t> </w:t>
                  </w:r>
                  <w:r>
                    <w:rPr>
                      <w:rFonts w:ascii="Calibri"/>
                      <w:b/>
                      <w:color w:val="585858"/>
                      <w:w w:val="99"/>
                      <w:sz w:val="20"/>
                    </w:rPr>
                    <w:t>de</w:t>
                  </w:r>
                  <w:r>
                    <w:rPr>
                      <w:rFonts w:ascii="Calibri"/>
                      <w:b/>
                      <w:color w:val="585858"/>
                      <w:spacing w:val="-2"/>
                      <w:sz w:val="20"/>
                    </w:rPr>
                    <w:t> </w:t>
                  </w:r>
                  <w:r>
                    <w:rPr>
                      <w:rFonts w:ascii="Calibri"/>
                      <w:b/>
                      <w:color w:val="585858"/>
                      <w:w w:val="99"/>
                      <w:sz w:val="20"/>
                    </w:rPr>
                    <w:t>t</w:t>
                  </w:r>
                  <w:r>
                    <w:rPr>
                      <w:rFonts w:ascii="Calibri"/>
                      <w:b/>
                      <w:color w:val="585858"/>
                      <w:spacing w:val="1"/>
                      <w:w w:val="99"/>
                      <w:sz w:val="20"/>
                    </w:rPr>
                    <w:t>o</w:t>
                  </w:r>
                  <w:r>
                    <w:rPr>
                      <w:rFonts w:ascii="Calibri"/>
                      <w:b/>
                      <w:color w:val="585858"/>
                      <w:w w:val="99"/>
                      <w:sz w:val="20"/>
                    </w:rPr>
                    <w:t>ne</w:t>
                  </w:r>
                  <w:r>
                    <w:rPr>
                      <w:rFonts w:ascii="Calibri"/>
                      <w:b/>
                      <w:color w:val="585858"/>
                      <w:spacing w:val="-1"/>
                      <w:w w:val="99"/>
                      <w:sz w:val="20"/>
                    </w:rPr>
                    <w:t>l</w:t>
                  </w:r>
                  <w:r>
                    <w:rPr>
                      <w:rFonts w:ascii="Calibri"/>
                      <w:b/>
                      <w:color w:val="585858"/>
                      <w:w w:val="99"/>
                      <w:sz w:val="20"/>
                    </w:rPr>
                    <w:t>adas</w:t>
                  </w:r>
                </w:p>
              </w:txbxContent>
            </v:textbox>
            <w10:wrap type="none"/>
          </v:shape>
        </w:pict>
      </w:r>
      <w:r>
        <w:rPr/>
        <w:t>Gráfica 7. Importaciones nacionales de carne de cerdo 1984-2015</w:t>
      </w:r>
    </w:p>
    <w:p>
      <w:pPr>
        <w:pStyle w:val="BodyText"/>
        <w:rPr>
          <w:sz w:val="20"/>
        </w:rPr>
      </w:pPr>
    </w:p>
    <w:p>
      <w:pPr>
        <w:pStyle w:val="BodyText"/>
        <w:rPr>
          <w:sz w:val="20"/>
        </w:rPr>
      </w:pPr>
    </w:p>
    <w:p>
      <w:pPr>
        <w:pStyle w:val="BodyText"/>
        <w:rPr>
          <w:sz w:val="20"/>
        </w:rPr>
      </w:pPr>
    </w:p>
    <w:p>
      <w:pPr>
        <w:pStyle w:val="BodyText"/>
        <w:spacing w:before="7"/>
        <w:rPr>
          <w:sz w:val="23"/>
        </w:rPr>
      </w:pPr>
      <w:r>
        <w:rPr/>
        <w:pict>
          <v:group style="position:absolute;margin-left:187.785004pt;margin-top:15.52724pt;width:281.8pt;height:127.85pt;mso-position-horizontal-relative:page;mso-position-vertical-relative:paragraph;z-index:2992;mso-wrap-distance-left:0;mso-wrap-distance-right:0" coordorigin="3756,311" coordsize="5636,2557">
            <v:rect style="position:absolute;left:3763;top:316;width:5621;height:2544" filled="true" fillcolor="#f1f1f1" stroked="false">
              <v:fill type="solid"/>
            </v:rect>
            <v:line style="position:absolute" from="3763,2605" to="9384,2605" stroked="true" strokeweight=".48pt" strokecolor="#000000"/>
            <v:line style="position:absolute" from="3763,2351" to="9384,2351" stroked="true" strokeweight=".48pt" strokecolor="#000000"/>
            <v:line style="position:absolute" from="3763,2096" to="9384,2096" stroked="true" strokeweight=".48pt" strokecolor="#000000"/>
            <v:line style="position:absolute" from="3763,1842" to="9384,1842" stroked="true" strokeweight=".48pt" strokecolor="#000000"/>
            <v:line style="position:absolute" from="3763,1588" to="9384,1588" stroked="true" strokeweight=".48pt" strokecolor="#000000"/>
            <v:line style="position:absolute" from="3763,1333" to="9384,1333" stroked="true" strokeweight=".48pt" strokecolor="#000000"/>
            <v:line style="position:absolute" from="3763,1079" to="9384,1079" stroked="true" strokeweight=".48pt" strokecolor="#000000"/>
            <v:line style="position:absolute" from="3763,824" to="9384,824" stroked="true" strokeweight=".48pt" strokecolor="#000000"/>
            <v:line style="position:absolute" from="3763,570" to="9384,570" stroked="true" strokeweight=".48pt" strokecolor="#000000"/>
            <v:line style="position:absolute" from="3763,316" to="9384,316" stroked="true" strokeweight=".48pt" strokecolor="#000000"/>
            <v:line style="position:absolute" from="3763,2860" to="9384,2860" stroked="true" strokeweight=".72pt" strokecolor="#d9d9d9"/>
            <v:shape style="position:absolute;left:3863;top:631;width:5422;height:2151" coordorigin="3863,631" coordsize="5422,2151" path="m3863,2782l4064,2719,4266,2400,4465,2311,4667,2263,4868,2292,5068,2150,5269,2395,5471,2362,5670,2302,5872,2150,6071,2093,6272,1934,6474,1862,6673,1774,6875,1579,7076,1301,7276,1423,7477,1394,7679,1402,7878,1207,8080,828,8279,790,8480,1013,8682,977,8881,1030,9083,953,9284,631e" filled="false" stroked="true" strokeweight="2.280pt" strokecolor="#6fac46">
              <v:path arrowok="t"/>
            </v:shape>
            <w10:wrap type="topAndBottom"/>
          </v:group>
        </w:pict>
      </w:r>
      <w:r>
        <w:rPr/>
        <w:drawing>
          <wp:anchor distT="0" distB="0" distL="0" distR="0" allowOverlap="1" layoutInCell="1" locked="0" behindDoc="0" simplePos="0" relativeHeight="3016">
            <wp:simplePos x="0" y="0"/>
            <wp:positionH relativeFrom="page">
              <wp:posOffset>2262504</wp:posOffset>
            </wp:positionH>
            <wp:positionV relativeFrom="paragraph">
              <wp:posOffset>1937857</wp:posOffset>
            </wp:positionV>
            <wp:extent cx="211772" cy="219075"/>
            <wp:effectExtent l="0" t="0" r="0" b="0"/>
            <wp:wrapTopAndBottom/>
            <wp:docPr id="3" name="image15.png" descr=""/>
            <wp:cNvGraphicFramePr>
              <a:graphicFrameLocks noChangeAspect="1"/>
            </wp:cNvGraphicFramePr>
            <a:graphic>
              <a:graphicData uri="http://schemas.openxmlformats.org/drawingml/2006/picture">
                <pic:pic>
                  <pic:nvPicPr>
                    <pic:cNvPr id="4" name="image15.png"/>
                    <pic:cNvPicPr/>
                  </pic:nvPicPr>
                  <pic:blipFill>
                    <a:blip r:embed="rId25" cstate="print"/>
                    <a:stretch>
                      <a:fillRect/>
                    </a:stretch>
                  </pic:blipFill>
                  <pic:spPr>
                    <a:xfrm>
                      <a:off x="0" y="0"/>
                      <a:ext cx="211772" cy="219075"/>
                    </a:xfrm>
                    <a:prstGeom prst="rect">
                      <a:avLst/>
                    </a:prstGeom>
                  </pic:spPr>
                </pic:pic>
              </a:graphicData>
            </a:graphic>
          </wp:anchor>
        </w:drawing>
      </w:r>
      <w:r>
        <w:rPr/>
        <w:pict>
          <v:group style="position:absolute;margin-left:218.289993pt;margin-top:152.587234pt;width:36.65pt;height:17.1pt;mso-position-horizontal-relative:page;mso-position-vertical-relative:paragraph;z-index:3040;mso-wrap-distance-left:0;mso-wrap-distance-right:0" coordorigin="4366,3052" coordsize="733,342">
            <v:shape style="position:absolute;left:4366;top:3056;width:339;height:338" type="#_x0000_t75" stroked="false">
              <v:imagedata r:id="rId26" o:title=""/>
            </v:shape>
            <v:shape style="position:absolute;left:4767;top:3052;width:331;height:342" type="#_x0000_t75" stroked="false">
              <v:imagedata r:id="rId27" o:title=""/>
            </v:shape>
            <w10:wrap type="topAndBottom"/>
          </v:group>
        </w:pict>
      </w:r>
      <w:r>
        <w:rPr/>
        <w:drawing>
          <wp:anchor distT="0" distB="0" distL="0" distR="0" allowOverlap="1" layoutInCell="1" locked="0" behindDoc="0" simplePos="0" relativeHeight="3064">
            <wp:simplePos x="0" y="0"/>
            <wp:positionH relativeFrom="page">
              <wp:posOffset>3282188</wp:posOffset>
            </wp:positionH>
            <wp:positionV relativeFrom="paragraph">
              <wp:posOffset>1934048</wp:posOffset>
            </wp:positionV>
            <wp:extent cx="207005" cy="219360"/>
            <wp:effectExtent l="0" t="0" r="0" b="0"/>
            <wp:wrapTopAndBottom/>
            <wp:docPr id="5" name="image18.png" descr=""/>
            <wp:cNvGraphicFramePr>
              <a:graphicFrameLocks noChangeAspect="1"/>
            </wp:cNvGraphicFramePr>
            <a:graphic>
              <a:graphicData uri="http://schemas.openxmlformats.org/drawingml/2006/picture">
                <pic:pic>
                  <pic:nvPicPr>
                    <pic:cNvPr id="6" name="image18.png"/>
                    <pic:cNvPicPr/>
                  </pic:nvPicPr>
                  <pic:blipFill>
                    <a:blip r:embed="rId28" cstate="print"/>
                    <a:stretch>
                      <a:fillRect/>
                    </a:stretch>
                  </pic:blipFill>
                  <pic:spPr>
                    <a:xfrm>
                      <a:off x="0" y="0"/>
                      <a:ext cx="207005" cy="219360"/>
                    </a:xfrm>
                    <a:prstGeom prst="rect">
                      <a:avLst/>
                    </a:prstGeom>
                  </pic:spPr>
                </pic:pic>
              </a:graphicData>
            </a:graphic>
          </wp:anchor>
        </w:drawing>
      </w:r>
      <w:r>
        <w:rPr/>
        <w:pict>
          <v:group style="position:absolute;margin-left:278.510010pt;margin-top:152.287247pt;width:177.15pt;height:17.6pt;mso-position-horizontal-relative:page;mso-position-vertical-relative:paragraph;z-index:3088;mso-wrap-distance-left:0;mso-wrap-distance-right:0" coordorigin="5570,3046" coordsize="3543,352">
            <v:shape style="position:absolute;left:5570;top:3052;width:331;height:342" type="#_x0000_t75" stroked="false">
              <v:imagedata r:id="rId29" o:title=""/>
            </v:shape>
            <v:shape style="position:absolute;left:5962;top:3054;width:337;height:344" type="#_x0000_t75" stroked="false">
              <v:imagedata r:id="rId30" o:title=""/>
            </v:shape>
            <v:shape style="position:absolute;left:6364;top:3056;width:349;height:342" type="#_x0000_t75" stroked="false">
              <v:imagedata r:id="rId31" o:title=""/>
            </v:shape>
            <v:shape style="position:absolute;left:6765;top:3052;width:341;height:346" type="#_x0000_t75" stroked="false">
              <v:imagedata r:id="rId32" o:title=""/>
            </v:shape>
            <v:shape style="position:absolute;left:7166;top:3046;width:338;height:352" type="#_x0000_t75" stroked="false">
              <v:imagedata r:id="rId33" o:title=""/>
            </v:shape>
            <v:shape style="position:absolute;left:7568;top:3052;width:341;height:346" type="#_x0000_t75" stroked="false">
              <v:imagedata r:id="rId34" o:title=""/>
            </v:shape>
            <v:shape style="position:absolute;left:7969;top:3054;width:337;height:344" type="#_x0000_t75" stroked="false">
              <v:imagedata r:id="rId35" o:title=""/>
            </v:shape>
            <v:shape style="position:absolute;left:8371;top:3056;width:349;height:342" type="#_x0000_t75" stroked="false">
              <v:imagedata r:id="rId36" o:title=""/>
            </v:shape>
            <v:shape style="position:absolute;left:8772;top:3052;width:341;height:346" type="#_x0000_t75" stroked="false">
              <v:imagedata r:id="rId37" o:title=""/>
            </v:shape>
            <w10:wrap type="topAndBottom"/>
          </v:group>
        </w:pict>
      </w:r>
    </w:p>
    <w:p>
      <w:pPr>
        <w:pStyle w:val="BodyText"/>
        <w:spacing w:before="7"/>
        <w:rPr>
          <w:sz w:val="9"/>
        </w:rPr>
      </w:pPr>
    </w:p>
    <w:p>
      <w:pPr>
        <w:pStyle w:val="BodyText"/>
      </w:pPr>
    </w:p>
    <w:p>
      <w:pPr>
        <w:pStyle w:val="BodyText"/>
        <w:spacing w:before="1"/>
        <w:rPr>
          <w:sz w:val="27"/>
        </w:rPr>
      </w:pPr>
    </w:p>
    <w:p>
      <w:pPr>
        <w:pStyle w:val="BodyText"/>
        <w:spacing w:before="1"/>
        <w:ind w:left="718" w:right="410"/>
      </w:pPr>
      <w:r>
        <w:rPr/>
        <w:t>(SIACON 2016)</w:t>
      </w:r>
    </w:p>
    <w:p>
      <w:pPr>
        <w:pStyle w:val="BodyText"/>
      </w:pPr>
    </w:p>
    <w:p>
      <w:pPr>
        <w:pStyle w:val="BodyText"/>
      </w:pPr>
    </w:p>
    <w:p>
      <w:pPr>
        <w:pStyle w:val="BodyText"/>
        <w:spacing w:line="360" w:lineRule="auto"/>
        <w:ind w:left="118" w:right="263"/>
        <w:jc w:val="both"/>
      </w:pPr>
      <w:r>
        <w:rPr/>
        <w:t>De 1997 a 2015 con el control de la inflación y la estabilidad monetaria, se ha regresado al crecimiento en la población porcina, sin embargo la producción no ha alcanzado los niveles de 1984</w:t>
      </w:r>
      <w:r>
        <w:rPr>
          <w:spacing w:val="-11"/>
        </w:rPr>
        <w:t> </w:t>
      </w:r>
      <w:r>
        <w:rPr/>
        <w:t>que</w:t>
      </w:r>
      <w:r>
        <w:rPr>
          <w:spacing w:val="-12"/>
        </w:rPr>
        <w:t> </w:t>
      </w:r>
      <w:r>
        <w:rPr/>
        <w:t>era</w:t>
      </w:r>
      <w:r>
        <w:rPr>
          <w:spacing w:val="-13"/>
        </w:rPr>
        <w:t> </w:t>
      </w:r>
      <w:r>
        <w:rPr/>
        <w:t>de</w:t>
      </w:r>
      <w:r>
        <w:rPr>
          <w:spacing w:val="-12"/>
        </w:rPr>
        <w:t> </w:t>
      </w:r>
      <w:r>
        <w:rPr/>
        <w:t>1.4</w:t>
      </w:r>
      <w:r>
        <w:rPr>
          <w:spacing w:val="-11"/>
        </w:rPr>
        <w:t> </w:t>
      </w:r>
      <w:r>
        <w:rPr/>
        <w:t>millones</w:t>
      </w:r>
      <w:r>
        <w:rPr>
          <w:spacing w:val="-11"/>
        </w:rPr>
        <w:t> </w:t>
      </w:r>
      <w:r>
        <w:rPr/>
        <w:t>de</w:t>
      </w:r>
      <w:r>
        <w:rPr>
          <w:spacing w:val="-11"/>
        </w:rPr>
        <w:t> </w:t>
      </w:r>
      <w:r>
        <w:rPr/>
        <w:t>t,</w:t>
      </w:r>
      <w:r>
        <w:rPr>
          <w:spacing w:val="-8"/>
        </w:rPr>
        <w:t> </w:t>
      </w:r>
      <w:r>
        <w:rPr>
          <w:spacing w:val="-3"/>
        </w:rPr>
        <w:t>ya</w:t>
      </w:r>
      <w:r>
        <w:rPr>
          <w:spacing w:val="-12"/>
        </w:rPr>
        <w:t> </w:t>
      </w:r>
      <w:r>
        <w:rPr/>
        <w:t>que</w:t>
      </w:r>
      <w:r>
        <w:rPr>
          <w:spacing w:val="-12"/>
        </w:rPr>
        <w:t> </w:t>
      </w:r>
      <w:r>
        <w:rPr/>
        <w:t>en</w:t>
      </w:r>
      <w:r>
        <w:rPr>
          <w:spacing w:val="-11"/>
        </w:rPr>
        <w:t> </w:t>
      </w:r>
      <w:r>
        <w:rPr/>
        <w:t>2015</w:t>
      </w:r>
      <w:r>
        <w:rPr>
          <w:spacing w:val="-11"/>
        </w:rPr>
        <w:t> </w:t>
      </w:r>
      <w:r>
        <w:rPr/>
        <w:t>la</w:t>
      </w:r>
      <w:r>
        <w:rPr>
          <w:spacing w:val="-12"/>
        </w:rPr>
        <w:t> </w:t>
      </w:r>
      <w:r>
        <w:rPr/>
        <w:t>producción</w:t>
      </w:r>
      <w:r>
        <w:rPr>
          <w:spacing w:val="-11"/>
        </w:rPr>
        <w:t> </w:t>
      </w:r>
      <w:r>
        <w:rPr/>
        <w:t>fue</w:t>
      </w:r>
      <w:r>
        <w:rPr>
          <w:spacing w:val="-13"/>
        </w:rPr>
        <w:t> </w:t>
      </w:r>
      <w:r>
        <w:rPr/>
        <w:t>de</w:t>
      </w:r>
      <w:r>
        <w:rPr>
          <w:spacing w:val="-12"/>
        </w:rPr>
        <w:t> </w:t>
      </w:r>
      <w:r>
        <w:rPr/>
        <w:t>1,32</w:t>
      </w:r>
      <w:r>
        <w:rPr>
          <w:spacing w:val="-11"/>
        </w:rPr>
        <w:t> </w:t>
      </w:r>
      <w:r>
        <w:rPr/>
        <w:t>millones</w:t>
      </w:r>
      <w:r>
        <w:rPr>
          <w:spacing w:val="-11"/>
        </w:rPr>
        <w:t> </w:t>
      </w:r>
      <w:r>
        <w:rPr/>
        <w:t>de</w:t>
      </w:r>
      <w:r>
        <w:rPr>
          <w:spacing w:val="-12"/>
        </w:rPr>
        <w:t> </w:t>
      </w:r>
      <w:r>
        <w:rPr/>
        <w:t>t</w:t>
      </w:r>
      <w:r>
        <w:rPr>
          <w:spacing w:val="-13"/>
        </w:rPr>
        <w:t> </w:t>
      </w:r>
      <w:r>
        <w:rPr/>
        <w:t>(USDA, 2015), como se observa en la gráfica</w:t>
      </w:r>
      <w:r>
        <w:rPr>
          <w:spacing w:val="-5"/>
        </w:rPr>
        <w:t> </w:t>
      </w:r>
      <w:r>
        <w:rPr/>
        <w:t>8</w:t>
      </w:r>
    </w:p>
    <w:p>
      <w:pPr>
        <w:spacing w:after="0" w:line="360" w:lineRule="auto"/>
        <w:jc w:val="both"/>
        <w:sectPr>
          <w:pgSz w:w="12240" w:h="15840"/>
          <w:pgMar w:header="984" w:footer="986" w:top="1280" w:bottom="1180" w:left="1300" w:right="1340"/>
        </w:sectPr>
      </w:pPr>
    </w:p>
    <w:p>
      <w:pPr>
        <w:pStyle w:val="BodyText"/>
        <w:spacing w:before="125"/>
        <w:ind w:left="118"/>
        <w:jc w:val="both"/>
      </w:pPr>
      <w:r>
        <w:rPr/>
        <w:pict>
          <v:group style="position:absolute;margin-left:120.824997pt;margin-top:32.778141pt;width:360.75pt;height:216.75pt;mso-position-horizontal-relative:page;mso-position-vertical-relative:paragraph;z-index:-146368" coordorigin="2416,656" coordsize="7215,4335">
            <v:shape style="position:absolute;left:3658;top:4029;width:5457;height:352" type="#_x0000_t75" stroked="false">
              <v:imagedata r:id="rId38" o:title=""/>
            </v:shape>
            <v:shape style="position:absolute;left:2424;top:663;width:7200;height:4320" type="#_x0000_t202" filled="false" stroked="true" strokeweight=".72pt" strokecolor="#d9d9d9">
              <v:textbox inset="0,0,0,0">
                <w:txbxContent>
                  <w:p>
                    <w:pPr>
                      <w:spacing w:before="82"/>
                      <w:ind w:left="536" w:right="5914" w:firstLine="0"/>
                      <w:jc w:val="center"/>
                      <w:rPr>
                        <w:rFonts w:ascii="Calibri"/>
                        <w:sz w:val="20"/>
                      </w:rPr>
                    </w:pPr>
                    <w:r>
                      <w:rPr>
                        <w:rFonts w:ascii="Calibri"/>
                        <w:color w:val="585858"/>
                        <w:sz w:val="20"/>
                      </w:rPr>
                      <w:t>1600000</w:t>
                    </w:r>
                  </w:p>
                  <w:p>
                    <w:pPr>
                      <w:spacing w:before="125"/>
                      <w:ind w:left="536" w:right="5914" w:firstLine="0"/>
                      <w:jc w:val="center"/>
                      <w:rPr>
                        <w:rFonts w:ascii="Calibri"/>
                        <w:sz w:val="20"/>
                      </w:rPr>
                    </w:pPr>
                    <w:r>
                      <w:rPr>
                        <w:rFonts w:ascii="Calibri"/>
                        <w:color w:val="585858"/>
                        <w:sz w:val="20"/>
                      </w:rPr>
                      <w:t>1400000</w:t>
                    </w:r>
                  </w:p>
                  <w:p>
                    <w:pPr>
                      <w:spacing w:before="125"/>
                      <w:ind w:left="536" w:right="5914" w:firstLine="0"/>
                      <w:jc w:val="center"/>
                      <w:rPr>
                        <w:rFonts w:ascii="Calibri"/>
                        <w:sz w:val="20"/>
                      </w:rPr>
                    </w:pPr>
                    <w:r>
                      <w:rPr>
                        <w:rFonts w:ascii="Calibri"/>
                        <w:color w:val="585858"/>
                        <w:sz w:val="20"/>
                      </w:rPr>
                      <w:t>1200000</w:t>
                    </w:r>
                  </w:p>
                  <w:p>
                    <w:pPr>
                      <w:spacing w:before="126"/>
                      <w:ind w:left="536" w:right="5914" w:firstLine="0"/>
                      <w:jc w:val="center"/>
                      <w:rPr>
                        <w:rFonts w:ascii="Calibri"/>
                        <w:sz w:val="20"/>
                      </w:rPr>
                    </w:pPr>
                    <w:r>
                      <w:rPr>
                        <w:rFonts w:ascii="Calibri"/>
                        <w:color w:val="585858"/>
                        <w:sz w:val="20"/>
                      </w:rPr>
                      <w:t>1000000</w:t>
                    </w:r>
                  </w:p>
                  <w:p>
                    <w:pPr>
                      <w:spacing w:before="125"/>
                      <w:ind w:left="536" w:right="5813" w:firstLine="0"/>
                      <w:jc w:val="center"/>
                      <w:rPr>
                        <w:rFonts w:ascii="Calibri"/>
                        <w:sz w:val="20"/>
                      </w:rPr>
                    </w:pPr>
                    <w:r>
                      <w:rPr>
                        <w:rFonts w:ascii="Calibri"/>
                        <w:color w:val="585858"/>
                        <w:sz w:val="20"/>
                      </w:rPr>
                      <w:t>800000</w:t>
                    </w:r>
                  </w:p>
                  <w:p>
                    <w:pPr>
                      <w:spacing w:before="125"/>
                      <w:ind w:left="536" w:right="5813" w:firstLine="0"/>
                      <w:jc w:val="center"/>
                      <w:rPr>
                        <w:rFonts w:ascii="Calibri"/>
                        <w:sz w:val="20"/>
                      </w:rPr>
                    </w:pPr>
                    <w:r>
                      <w:rPr>
                        <w:rFonts w:ascii="Calibri"/>
                        <w:color w:val="585858"/>
                        <w:sz w:val="20"/>
                      </w:rPr>
                      <w:t>600000</w:t>
                    </w:r>
                  </w:p>
                  <w:p>
                    <w:pPr>
                      <w:spacing w:before="125"/>
                      <w:ind w:left="536" w:right="5813" w:firstLine="0"/>
                      <w:jc w:val="center"/>
                      <w:rPr>
                        <w:rFonts w:ascii="Calibri"/>
                        <w:sz w:val="20"/>
                      </w:rPr>
                    </w:pPr>
                    <w:r>
                      <w:rPr>
                        <w:rFonts w:ascii="Calibri"/>
                        <w:color w:val="585858"/>
                        <w:sz w:val="20"/>
                      </w:rPr>
                      <w:t>400000</w:t>
                    </w:r>
                  </w:p>
                  <w:p>
                    <w:pPr>
                      <w:spacing w:before="126"/>
                      <w:ind w:left="536" w:right="5813" w:firstLine="0"/>
                      <w:jc w:val="center"/>
                      <w:rPr>
                        <w:rFonts w:ascii="Calibri"/>
                        <w:sz w:val="20"/>
                      </w:rPr>
                    </w:pPr>
                    <w:r>
                      <w:rPr>
                        <w:rFonts w:ascii="Calibri"/>
                        <w:color w:val="585858"/>
                        <w:sz w:val="20"/>
                      </w:rPr>
                      <w:t>200000</w:t>
                    </w:r>
                  </w:p>
                  <w:p>
                    <w:pPr>
                      <w:spacing w:before="125"/>
                      <w:ind w:left="1155" w:right="0" w:firstLine="0"/>
                      <w:jc w:val="left"/>
                      <w:rPr>
                        <w:rFonts w:ascii="Calibri"/>
                        <w:sz w:val="20"/>
                      </w:rPr>
                    </w:pPr>
                    <w:r>
                      <w:rPr>
                        <w:rFonts w:ascii="Calibri"/>
                        <w:color w:val="585858"/>
                        <w:w w:val="99"/>
                        <w:sz w:val="20"/>
                      </w:rPr>
                      <w:t>0</w:t>
                    </w:r>
                  </w:p>
                  <w:p>
                    <w:pPr>
                      <w:spacing w:line="240" w:lineRule="auto" w:before="0"/>
                      <w:rPr>
                        <w:sz w:val="20"/>
                      </w:rPr>
                    </w:pPr>
                  </w:p>
                  <w:p>
                    <w:pPr>
                      <w:spacing w:line="240" w:lineRule="auto" w:before="6"/>
                      <w:rPr>
                        <w:sz w:val="26"/>
                      </w:rPr>
                    </w:pPr>
                  </w:p>
                  <w:p>
                    <w:pPr>
                      <w:spacing w:before="0"/>
                      <w:ind w:left="3926" w:right="2761" w:firstLine="0"/>
                      <w:jc w:val="center"/>
                      <w:rPr>
                        <w:rFonts w:ascii="Calibri" w:hAnsi="Calibri"/>
                        <w:b/>
                        <w:sz w:val="20"/>
                      </w:rPr>
                    </w:pPr>
                    <w:r>
                      <w:rPr>
                        <w:rFonts w:ascii="Calibri" w:hAnsi="Calibri"/>
                        <w:b/>
                        <w:color w:val="585858"/>
                        <w:sz w:val="20"/>
                      </w:rPr>
                      <w:t>Años</w:t>
                    </w:r>
                  </w:p>
                </w:txbxContent>
              </v:textbox>
              <w10:wrap type="none"/>
            </v:shape>
            <w10:wrap type="none"/>
          </v:group>
        </w:pict>
      </w:r>
      <w:r>
        <w:rPr/>
        <w:pict>
          <v:shape style="position:absolute;margin-left:134.73999pt;margin-top:78.075333pt;width:12pt;height:80.45pt;mso-position-horizontal-relative:page;mso-position-vertical-relative:paragraph;z-index:3256" type="#_x0000_t202" filled="false" stroked="false">
            <v:textbox inset="0,0,0,0" style="layout-flow:vertical;mso-layout-flow-alt:bottom-to-top">
              <w:txbxContent>
                <w:p>
                  <w:pPr>
                    <w:spacing w:line="223" w:lineRule="exact" w:before="0"/>
                    <w:ind w:left="20" w:right="0" w:firstLine="0"/>
                    <w:jc w:val="left"/>
                    <w:rPr>
                      <w:rFonts w:ascii="Calibri"/>
                      <w:b/>
                      <w:sz w:val="20"/>
                    </w:rPr>
                  </w:pPr>
                  <w:r>
                    <w:rPr>
                      <w:rFonts w:ascii="Calibri"/>
                      <w:b/>
                      <w:color w:val="585858"/>
                      <w:spacing w:val="1"/>
                      <w:w w:val="99"/>
                      <w:sz w:val="20"/>
                    </w:rPr>
                    <w:t>M</w:t>
                  </w:r>
                  <w:r>
                    <w:rPr>
                      <w:rFonts w:ascii="Calibri"/>
                      <w:b/>
                      <w:color w:val="585858"/>
                      <w:spacing w:val="-1"/>
                      <w:w w:val="99"/>
                      <w:sz w:val="20"/>
                    </w:rPr>
                    <w:t>il</w:t>
                  </w:r>
                  <w:r>
                    <w:rPr>
                      <w:rFonts w:ascii="Calibri"/>
                      <w:b/>
                      <w:color w:val="585858"/>
                      <w:w w:val="99"/>
                      <w:sz w:val="20"/>
                    </w:rPr>
                    <w:t>es</w:t>
                  </w:r>
                  <w:r>
                    <w:rPr>
                      <w:rFonts w:ascii="Calibri"/>
                      <w:b/>
                      <w:color w:val="585858"/>
                      <w:spacing w:val="2"/>
                      <w:sz w:val="20"/>
                    </w:rPr>
                    <w:t> </w:t>
                  </w:r>
                  <w:r>
                    <w:rPr>
                      <w:rFonts w:ascii="Calibri"/>
                      <w:b/>
                      <w:color w:val="585858"/>
                      <w:w w:val="99"/>
                      <w:sz w:val="20"/>
                    </w:rPr>
                    <w:t>de</w:t>
                  </w:r>
                  <w:r>
                    <w:rPr>
                      <w:rFonts w:ascii="Calibri"/>
                      <w:b/>
                      <w:color w:val="585858"/>
                      <w:spacing w:val="-2"/>
                      <w:sz w:val="20"/>
                    </w:rPr>
                    <w:t> </w:t>
                  </w:r>
                  <w:r>
                    <w:rPr>
                      <w:rFonts w:ascii="Calibri"/>
                      <w:b/>
                      <w:color w:val="585858"/>
                      <w:w w:val="99"/>
                      <w:sz w:val="20"/>
                    </w:rPr>
                    <w:t>t</w:t>
                  </w:r>
                  <w:r>
                    <w:rPr>
                      <w:rFonts w:ascii="Calibri"/>
                      <w:b/>
                      <w:color w:val="585858"/>
                      <w:spacing w:val="1"/>
                      <w:w w:val="99"/>
                      <w:sz w:val="20"/>
                    </w:rPr>
                    <w:t>o</w:t>
                  </w:r>
                  <w:r>
                    <w:rPr>
                      <w:rFonts w:ascii="Calibri"/>
                      <w:b/>
                      <w:color w:val="585858"/>
                      <w:w w:val="99"/>
                      <w:sz w:val="20"/>
                    </w:rPr>
                    <w:t>ne</w:t>
                  </w:r>
                  <w:r>
                    <w:rPr>
                      <w:rFonts w:ascii="Calibri"/>
                      <w:b/>
                      <w:color w:val="585858"/>
                      <w:spacing w:val="-1"/>
                      <w:w w:val="99"/>
                      <w:sz w:val="20"/>
                    </w:rPr>
                    <w:t>l</w:t>
                  </w:r>
                  <w:r>
                    <w:rPr>
                      <w:rFonts w:ascii="Calibri"/>
                      <w:b/>
                      <w:color w:val="585858"/>
                      <w:w w:val="99"/>
                      <w:sz w:val="20"/>
                    </w:rPr>
                    <w:t>adas</w:t>
                  </w:r>
                </w:p>
              </w:txbxContent>
            </v:textbox>
            <w10:wrap type="none"/>
          </v:shape>
        </w:pict>
      </w:r>
      <w:r>
        <w:rPr/>
        <w:t>Gráfica 8. Producción  nacional de carne de cerdo 1984-2015</w:t>
      </w:r>
    </w:p>
    <w:p>
      <w:pPr>
        <w:pStyle w:val="BodyText"/>
        <w:rPr>
          <w:sz w:val="20"/>
        </w:rPr>
      </w:pPr>
    </w:p>
    <w:p>
      <w:pPr>
        <w:pStyle w:val="BodyText"/>
        <w:spacing w:before="4"/>
        <w:rPr>
          <w:sz w:val="18"/>
        </w:rPr>
      </w:pPr>
      <w:r>
        <w:rPr/>
        <w:pict>
          <v:group style="position:absolute;margin-left:193.304993pt;margin-top:12.515288pt;width:274.150pt;height:148.5pt;mso-position-horizontal-relative:page;mso-position-vertical-relative:paragraph;z-index:3184;mso-wrap-distance-left:0;mso-wrap-distance-right:0" coordorigin="3866,250" coordsize="5483,2970">
            <v:rect style="position:absolute;left:3874;top:255;width:5467;height:2957" filled="true" fillcolor="#f1f1f1" stroked="false">
              <v:fill type="solid"/>
            </v:rect>
            <v:line style="position:absolute" from="3874,2843" to="9341,2843" stroked="true" strokeweight=".48pt" strokecolor="#000000"/>
            <v:line style="position:absolute" from="3874,2473" to="9341,2473" stroked="true" strokeweight=".48pt" strokecolor="#000000"/>
            <v:line style="position:absolute" from="3874,2103" to="9341,2103" stroked="true" strokeweight=".48pt" strokecolor="#000000"/>
            <v:line style="position:absolute" from="3874,1734" to="9341,1734" stroked="true" strokeweight=".48pt" strokecolor="#000000"/>
            <v:line style="position:absolute" from="3874,1364" to="9341,1364" stroked="true" strokeweight=".48pt" strokecolor="#000000"/>
            <v:line style="position:absolute" from="3874,995" to="9341,995" stroked="true" strokeweight=".48pt" strokecolor="#000000"/>
            <v:line style="position:absolute" from="3874,625" to="9341,625" stroked="true" strokeweight=".48pt" strokecolor="#000000"/>
            <v:line style="position:absolute" from="3874,255" to="9341,255" stroked="true" strokeweight=".48pt" strokecolor="#000000"/>
            <v:line style="position:absolute" from="3874,3212" to="9341,3212" stroked="true" strokeweight=".72pt" strokecolor="#d9d9d9"/>
            <v:shape style="position:absolute;left:3959;top:523;width:5297;height:1347" coordorigin="3959,523" coordsize="5297,1347" path="m3959,523l4129,823,4300,1440,4472,1521,4643,1620,4813,1869,4984,1812,5154,1711,5327,1697,5497,1694,5668,1598,5838,1509,6008,1531,6179,1476,6352,1437,6522,1375,6692,1308,6863,1257,7033,1233,7206,1298,7376,1245,7547,1173,7717,1164,7888,1082,8060,1068,8231,1063,8401,1041,8572,991,8742,924,8915,840,9085,828,9256,768e" filled="false" stroked="true" strokeweight="2.280pt" strokecolor="#6fac46">
              <v:path arrowok="t"/>
            </v:shape>
            <w10:wrap type="topAndBottom"/>
          </v:group>
        </w:pict>
      </w:r>
    </w:p>
    <w:p>
      <w:pPr>
        <w:pStyle w:val="BodyText"/>
      </w:pPr>
    </w:p>
    <w:p>
      <w:pPr>
        <w:pStyle w:val="BodyText"/>
      </w:pPr>
    </w:p>
    <w:p>
      <w:pPr>
        <w:pStyle w:val="BodyText"/>
      </w:pPr>
    </w:p>
    <w:p>
      <w:pPr>
        <w:pStyle w:val="BodyText"/>
      </w:pPr>
    </w:p>
    <w:p>
      <w:pPr>
        <w:pStyle w:val="BodyText"/>
        <w:rPr>
          <w:sz w:val="21"/>
        </w:rPr>
      </w:pPr>
    </w:p>
    <w:p>
      <w:pPr>
        <w:pStyle w:val="BodyText"/>
        <w:ind w:left="778"/>
      </w:pPr>
      <w:r>
        <w:rPr/>
        <w:t>(SIACON 2013)</w:t>
      </w:r>
    </w:p>
    <w:p>
      <w:pPr>
        <w:pStyle w:val="BodyText"/>
      </w:pPr>
    </w:p>
    <w:p>
      <w:pPr>
        <w:pStyle w:val="BodyText"/>
      </w:pPr>
    </w:p>
    <w:p>
      <w:pPr>
        <w:pStyle w:val="BodyText"/>
        <w:spacing w:line="360" w:lineRule="auto"/>
        <w:ind w:left="118" w:right="1605"/>
        <w:jc w:val="both"/>
      </w:pPr>
      <w:r>
        <w:rPr/>
        <w:t>La apertura comercial de 1988 ha propiciado una depuración de la actividad, se calcula el retiro y</w:t>
      </w:r>
      <w:r>
        <w:rPr>
          <w:spacing w:val="-6"/>
        </w:rPr>
        <w:t> </w:t>
      </w:r>
      <w:r>
        <w:rPr/>
        <w:t>cierre</w:t>
      </w:r>
      <w:r>
        <w:rPr>
          <w:spacing w:val="-5"/>
        </w:rPr>
        <w:t> </w:t>
      </w:r>
      <w:r>
        <w:rPr/>
        <w:t>de</w:t>
      </w:r>
      <w:r>
        <w:rPr>
          <w:spacing w:val="-3"/>
        </w:rPr>
        <w:t> </w:t>
      </w:r>
      <w:r>
        <w:rPr/>
        <w:t>granjas</w:t>
      </w:r>
      <w:r>
        <w:rPr>
          <w:spacing w:val="-2"/>
        </w:rPr>
        <w:t> </w:t>
      </w:r>
      <w:r>
        <w:rPr/>
        <w:t>en</w:t>
      </w:r>
      <w:r>
        <w:rPr>
          <w:spacing w:val="-4"/>
        </w:rPr>
        <w:t> </w:t>
      </w:r>
      <w:r>
        <w:rPr/>
        <w:t>aproximadamente</w:t>
      </w:r>
      <w:r>
        <w:rPr>
          <w:spacing w:val="-5"/>
        </w:rPr>
        <w:t> </w:t>
      </w:r>
      <w:r>
        <w:rPr/>
        <w:t>40</w:t>
      </w:r>
      <w:r>
        <w:rPr>
          <w:spacing w:val="-4"/>
        </w:rPr>
        <w:t> </w:t>
      </w:r>
      <w:r>
        <w:rPr/>
        <w:t>%.</w:t>
      </w:r>
      <w:r>
        <w:rPr>
          <w:spacing w:val="-2"/>
        </w:rPr>
        <w:t> </w:t>
      </w:r>
      <w:r>
        <w:rPr/>
        <w:t>Lo</w:t>
      </w:r>
      <w:r>
        <w:rPr>
          <w:spacing w:val="-2"/>
        </w:rPr>
        <w:t> </w:t>
      </w:r>
      <w:r>
        <w:rPr/>
        <w:t>anterior,</w:t>
      </w:r>
      <w:r>
        <w:rPr>
          <w:spacing w:val="-4"/>
        </w:rPr>
        <w:t> </w:t>
      </w:r>
      <w:r>
        <w:rPr/>
        <w:t>ha</w:t>
      </w:r>
      <w:r>
        <w:rPr>
          <w:spacing w:val="-4"/>
        </w:rPr>
        <w:t> </w:t>
      </w:r>
      <w:r>
        <w:rPr/>
        <w:t>producido</w:t>
      </w:r>
      <w:r>
        <w:rPr>
          <w:spacing w:val="-3"/>
        </w:rPr>
        <w:t> </w:t>
      </w:r>
      <w:r>
        <w:rPr/>
        <w:t>cambios</w:t>
      </w:r>
      <w:r>
        <w:rPr>
          <w:spacing w:val="-4"/>
        </w:rPr>
        <w:t> </w:t>
      </w:r>
      <w:r>
        <w:rPr/>
        <w:t>en</w:t>
      </w:r>
      <w:r>
        <w:rPr>
          <w:spacing w:val="-4"/>
        </w:rPr>
        <w:t> </w:t>
      </w:r>
      <w:r>
        <w:rPr/>
        <w:t>los</w:t>
      </w:r>
      <w:r>
        <w:rPr>
          <w:spacing w:val="-4"/>
        </w:rPr>
        <w:t> </w:t>
      </w:r>
      <w:r>
        <w:rPr/>
        <w:t>estratos de producción </w:t>
      </w:r>
      <w:r>
        <w:rPr>
          <w:spacing w:val="-3"/>
        </w:rPr>
        <w:t>ya </w:t>
      </w:r>
      <w:r>
        <w:rPr/>
        <w:t>que, por ejemplo, el semitecnificado ha reducido su participación en la producción nacional de 50 a 15 %, mientras que el tecnificado creció del 20 al 57% </w:t>
      </w:r>
      <w:r>
        <w:rPr>
          <w:spacing w:val="-3"/>
        </w:rPr>
        <w:t>y, </w:t>
      </w:r>
      <w:r>
        <w:rPr>
          <w:spacing w:val="3"/>
        </w:rPr>
        <w:t>el </w:t>
      </w:r>
      <w:r>
        <w:rPr/>
        <w:t>de traspatio se ha mantenido estable (Hernández </w:t>
      </w:r>
      <w:r>
        <w:rPr>
          <w:i/>
        </w:rPr>
        <w:t>et al.,</w:t>
      </w:r>
      <w:r>
        <w:rPr>
          <w:i/>
          <w:spacing w:val="51"/>
        </w:rPr>
        <w:t> </w:t>
      </w:r>
      <w:r>
        <w:rPr/>
        <w:t>2008).</w:t>
      </w:r>
    </w:p>
    <w:p>
      <w:pPr>
        <w:pStyle w:val="BodyText"/>
        <w:spacing w:before="3"/>
      </w:pPr>
    </w:p>
    <w:p>
      <w:pPr>
        <w:pStyle w:val="ListParagraph"/>
        <w:numPr>
          <w:ilvl w:val="1"/>
          <w:numId w:val="7"/>
        </w:numPr>
        <w:tabs>
          <w:tab w:pos="479" w:val="left" w:leader="none"/>
        </w:tabs>
        <w:spacing w:line="240" w:lineRule="auto" w:before="1" w:after="0"/>
        <w:ind w:left="478" w:right="0" w:hanging="360"/>
        <w:jc w:val="both"/>
        <w:rPr>
          <w:sz w:val="24"/>
        </w:rPr>
      </w:pPr>
      <w:bookmarkStart w:name="_bookmark10" w:id="14"/>
      <w:bookmarkEnd w:id="14"/>
      <w:r>
        <w:rPr/>
      </w:r>
      <w:bookmarkStart w:name="_bookmark10" w:id="15"/>
      <w:bookmarkEnd w:id="15"/>
      <w:r>
        <w:rPr>
          <w:sz w:val="24"/>
        </w:rPr>
        <w:t>Con</w:t>
      </w:r>
      <w:r>
        <w:rPr>
          <w:sz w:val="24"/>
        </w:rPr>
        <w:t>cepto de</w:t>
      </w:r>
      <w:r>
        <w:rPr>
          <w:spacing w:val="-2"/>
          <w:sz w:val="24"/>
        </w:rPr>
        <w:t> </w:t>
      </w:r>
      <w:r>
        <w:rPr>
          <w:sz w:val="24"/>
        </w:rPr>
        <w:t>competitividad</w:t>
      </w:r>
    </w:p>
    <w:p>
      <w:pPr>
        <w:pStyle w:val="BodyText"/>
      </w:pPr>
    </w:p>
    <w:p>
      <w:pPr>
        <w:pStyle w:val="BodyText"/>
        <w:spacing w:line="360" w:lineRule="auto" w:before="139"/>
        <w:ind w:left="118" w:right="1610"/>
        <w:jc w:val="both"/>
      </w:pPr>
      <w:r>
        <w:rPr/>
        <w:t>Con el inicio del proceso de globalización, surge una nueva conceptualización del término competitividad,</w:t>
      </w:r>
      <w:r>
        <w:rPr>
          <w:spacing w:val="-10"/>
        </w:rPr>
        <w:t> </w:t>
      </w:r>
      <w:r>
        <w:rPr/>
        <w:t>donde</w:t>
      </w:r>
      <w:r>
        <w:rPr>
          <w:spacing w:val="-11"/>
        </w:rPr>
        <w:t> </w:t>
      </w:r>
      <w:r>
        <w:rPr/>
        <w:t>los</w:t>
      </w:r>
      <w:r>
        <w:rPr>
          <w:spacing w:val="-9"/>
        </w:rPr>
        <w:t> </w:t>
      </w:r>
      <w:r>
        <w:rPr/>
        <w:t>aspectos</w:t>
      </w:r>
      <w:r>
        <w:rPr>
          <w:spacing w:val="-9"/>
        </w:rPr>
        <w:t> </w:t>
      </w:r>
      <w:r>
        <w:rPr/>
        <w:t>enfocados</w:t>
      </w:r>
      <w:r>
        <w:rPr>
          <w:spacing w:val="-7"/>
        </w:rPr>
        <w:t> </w:t>
      </w:r>
      <w:r>
        <w:rPr/>
        <w:t>en</w:t>
      </w:r>
      <w:r>
        <w:rPr>
          <w:spacing w:val="-10"/>
        </w:rPr>
        <w:t> </w:t>
      </w:r>
      <w:r>
        <w:rPr/>
        <w:t>conceptos</w:t>
      </w:r>
      <w:r>
        <w:rPr>
          <w:spacing w:val="-7"/>
        </w:rPr>
        <w:t> </w:t>
      </w:r>
      <w:r>
        <w:rPr/>
        <w:t>economistas</w:t>
      </w:r>
      <w:r>
        <w:rPr>
          <w:spacing w:val="-10"/>
        </w:rPr>
        <w:t> </w:t>
      </w:r>
      <w:r>
        <w:rPr/>
        <w:t>inician</w:t>
      </w:r>
      <w:r>
        <w:rPr>
          <w:spacing w:val="-10"/>
        </w:rPr>
        <w:t> </w:t>
      </w:r>
      <w:r>
        <w:rPr/>
        <w:t>la</w:t>
      </w:r>
      <w:r>
        <w:rPr>
          <w:spacing w:val="-10"/>
        </w:rPr>
        <w:t> </w:t>
      </w:r>
      <w:r>
        <w:rPr/>
        <w:t>incorporación de elementos de carácter no económico, tales como política, cultura, aspectos ambientales, calidad del recurso humano y ubicación espacial; buscando cada vez más que los alcances de la competitividad incorporen el equilibrio entre el rendimiento económico y la eficiencia</w:t>
      </w:r>
      <w:r>
        <w:rPr>
          <w:spacing w:val="-18"/>
        </w:rPr>
        <w:t> </w:t>
      </w:r>
      <w:r>
        <w:rPr/>
        <w:t>social.</w:t>
      </w:r>
    </w:p>
    <w:p>
      <w:pPr>
        <w:pStyle w:val="BodyText"/>
        <w:spacing w:line="360" w:lineRule="auto" w:before="4"/>
        <w:ind w:left="118" w:right="1610"/>
        <w:jc w:val="both"/>
      </w:pPr>
      <w:r>
        <w:rPr/>
        <w:t>La competitividad se puede analizar desde tres enfoques diferentes: en un país, en un sector o una empresa.</w:t>
      </w:r>
    </w:p>
    <w:p>
      <w:pPr>
        <w:pStyle w:val="BodyText"/>
        <w:spacing w:before="3"/>
      </w:pPr>
    </w:p>
    <w:p>
      <w:pPr>
        <w:pStyle w:val="ListParagraph"/>
        <w:numPr>
          <w:ilvl w:val="2"/>
          <w:numId w:val="7"/>
        </w:numPr>
        <w:tabs>
          <w:tab w:pos="839" w:val="left" w:leader="none"/>
        </w:tabs>
        <w:spacing w:line="360" w:lineRule="auto" w:before="1" w:after="0"/>
        <w:ind w:left="838" w:right="1608" w:hanging="360"/>
        <w:jc w:val="left"/>
        <w:rPr>
          <w:sz w:val="24"/>
        </w:rPr>
      </w:pPr>
      <w:r>
        <w:rPr>
          <w:sz w:val="24"/>
        </w:rPr>
        <w:t>A nivel empresa y sector, el concepto está vinculado directamente con la habilidad de estas para operar rentablemente en un mercado</w:t>
      </w:r>
      <w:r>
        <w:rPr>
          <w:spacing w:val="-8"/>
          <w:sz w:val="24"/>
        </w:rPr>
        <w:t> </w:t>
      </w:r>
      <w:r>
        <w:rPr>
          <w:sz w:val="24"/>
        </w:rPr>
        <w:t>determinado.</w:t>
      </w:r>
    </w:p>
    <w:p>
      <w:pPr>
        <w:spacing w:after="0" w:line="360" w:lineRule="auto"/>
        <w:jc w:val="left"/>
        <w:rPr>
          <w:sz w:val="24"/>
        </w:rPr>
        <w:sectPr>
          <w:pgSz w:w="12240" w:h="15840"/>
          <w:pgMar w:header="984" w:footer="986" w:top="1280" w:bottom="1180" w:left="1300" w:right="0"/>
        </w:sectPr>
      </w:pPr>
    </w:p>
    <w:p>
      <w:pPr>
        <w:pStyle w:val="ListParagraph"/>
        <w:numPr>
          <w:ilvl w:val="2"/>
          <w:numId w:val="7"/>
        </w:numPr>
        <w:tabs>
          <w:tab w:pos="839" w:val="left" w:leader="none"/>
        </w:tabs>
        <w:spacing w:line="360" w:lineRule="auto" w:before="125" w:after="0"/>
        <w:ind w:left="838" w:right="267" w:hanging="360"/>
        <w:jc w:val="both"/>
        <w:rPr>
          <w:sz w:val="24"/>
        </w:rPr>
      </w:pPr>
      <w:r>
        <w:rPr>
          <w:sz w:val="24"/>
        </w:rPr>
        <w:t>A nivel región o país, la competitividad está relacionada con la ventajas comparativas derivadas</w:t>
      </w:r>
      <w:r>
        <w:rPr>
          <w:spacing w:val="-11"/>
          <w:sz w:val="24"/>
        </w:rPr>
        <w:t> </w:t>
      </w:r>
      <w:r>
        <w:rPr>
          <w:sz w:val="24"/>
        </w:rPr>
        <w:t>de</w:t>
      </w:r>
      <w:r>
        <w:rPr>
          <w:spacing w:val="38"/>
          <w:sz w:val="24"/>
        </w:rPr>
        <w:t> </w:t>
      </w:r>
      <w:r>
        <w:rPr>
          <w:sz w:val="24"/>
        </w:rPr>
        <w:t>sus</w:t>
      </w:r>
      <w:r>
        <w:rPr>
          <w:spacing w:val="-8"/>
          <w:sz w:val="24"/>
        </w:rPr>
        <w:t> </w:t>
      </w:r>
      <w:r>
        <w:rPr>
          <w:sz w:val="24"/>
        </w:rPr>
        <w:t>recursos,</w:t>
      </w:r>
      <w:r>
        <w:rPr>
          <w:spacing w:val="-8"/>
          <w:sz w:val="24"/>
        </w:rPr>
        <w:t> </w:t>
      </w:r>
      <w:r>
        <w:rPr>
          <w:spacing w:val="-3"/>
          <w:sz w:val="24"/>
        </w:rPr>
        <w:t>ya</w:t>
      </w:r>
      <w:r>
        <w:rPr>
          <w:spacing w:val="-10"/>
          <w:sz w:val="24"/>
        </w:rPr>
        <w:t> </w:t>
      </w:r>
      <w:r>
        <w:rPr>
          <w:sz w:val="24"/>
        </w:rPr>
        <w:t>sea</w:t>
      </w:r>
      <w:r>
        <w:rPr>
          <w:spacing w:val="-12"/>
          <w:sz w:val="24"/>
        </w:rPr>
        <w:t> </w:t>
      </w:r>
      <w:r>
        <w:rPr>
          <w:sz w:val="24"/>
        </w:rPr>
        <w:t>tierra,</w:t>
      </w:r>
      <w:r>
        <w:rPr>
          <w:spacing w:val="-11"/>
          <w:sz w:val="24"/>
        </w:rPr>
        <w:t> </w:t>
      </w:r>
      <w:r>
        <w:rPr>
          <w:sz w:val="24"/>
        </w:rPr>
        <w:t>fuerza</w:t>
      </w:r>
      <w:r>
        <w:rPr>
          <w:spacing w:val="-12"/>
          <w:sz w:val="24"/>
        </w:rPr>
        <w:t> </w:t>
      </w:r>
      <w:r>
        <w:rPr>
          <w:sz w:val="24"/>
        </w:rPr>
        <w:t>laboral</w:t>
      </w:r>
      <w:r>
        <w:rPr>
          <w:spacing w:val="-11"/>
          <w:sz w:val="24"/>
        </w:rPr>
        <w:t> </w:t>
      </w:r>
      <w:r>
        <w:rPr>
          <w:sz w:val="24"/>
        </w:rPr>
        <w:t>o</w:t>
      </w:r>
      <w:r>
        <w:rPr>
          <w:spacing w:val="-11"/>
          <w:sz w:val="24"/>
        </w:rPr>
        <w:t> </w:t>
      </w:r>
      <w:r>
        <w:rPr>
          <w:sz w:val="24"/>
        </w:rPr>
        <w:t>capital</w:t>
      </w:r>
      <w:r>
        <w:rPr>
          <w:spacing w:val="-11"/>
          <w:sz w:val="24"/>
        </w:rPr>
        <w:t> </w:t>
      </w:r>
      <w:r>
        <w:rPr>
          <w:sz w:val="24"/>
        </w:rPr>
        <w:t>o</w:t>
      </w:r>
      <w:r>
        <w:rPr>
          <w:spacing w:val="-11"/>
          <w:sz w:val="24"/>
        </w:rPr>
        <w:t> </w:t>
      </w:r>
      <w:r>
        <w:rPr>
          <w:sz w:val="24"/>
        </w:rPr>
        <w:t>con</w:t>
      </w:r>
      <w:r>
        <w:rPr>
          <w:spacing w:val="-9"/>
          <w:sz w:val="24"/>
        </w:rPr>
        <w:t> </w:t>
      </w:r>
      <w:r>
        <w:rPr>
          <w:sz w:val="24"/>
        </w:rPr>
        <w:t>las</w:t>
      </w:r>
      <w:r>
        <w:rPr>
          <w:spacing w:val="-11"/>
          <w:sz w:val="24"/>
        </w:rPr>
        <w:t> </w:t>
      </w:r>
      <w:r>
        <w:rPr>
          <w:sz w:val="24"/>
        </w:rPr>
        <w:t>ventajas</w:t>
      </w:r>
      <w:r>
        <w:rPr>
          <w:spacing w:val="-11"/>
          <w:sz w:val="24"/>
        </w:rPr>
        <w:t> </w:t>
      </w:r>
      <w:r>
        <w:rPr>
          <w:sz w:val="24"/>
        </w:rPr>
        <w:t>creadas derivadas,</w:t>
      </w:r>
      <w:r>
        <w:rPr>
          <w:spacing w:val="-16"/>
          <w:sz w:val="24"/>
        </w:rPr>
        <w:t> </w:t>
      </w:r>
      <w:r>
        <w:rPr>
          <w:sz w:val="24"/>
        </w:rPr>
        <w:t>principalmente,</w:t>
      </w:r>
      <w:r>
        <w:rPr>
          <w:spacing w:val="-16"/>
          <w:sz w:val="24"/>
        </w:rPr>
        <w:t> </w:t>
      </w:r>
      <w:r>
        <w:rPr>
          <w:sz w:val="24"/>
        </w:rPr>
        <w:t>de</w:t>
      </w:r>
      <w:r>
        <w:rPr>
          <w:spacing w:val="-17"/>
          <w:sz w:val="24"/>
        </w:rPr>
        <w:t> </w:t>
      </w:r>
      <w:r>
        <w:rPr>
          <w:sz w:val="24"/>
        </w:rPr>
        <w:t>la</w:t>
      </w:r>
      <w:r>
        <w:rPr>
          <w:spacing w:val="-16"/>
          <w:sz w:val="24"/>
        </w:rPr>
        <w:t> </w:t>
      </w:r>
      <w:r>
        <w:rPr>
          <w:sz w:val="24"/>
        </w:rPr>
        <w:t>inversión</w:t>
      </w:r>
      <w:r>
        <w:rPr>
          <w:spacing w:val="-16"/>
          <w:sz w:val="24"/>
        </w:rPr>
        <w:t> </w:t>
      </w:r>
      <w:r>
        <w:rPr>
          <w:sz w:val="24"/>
        </w:rPr>
        <w:t>en</w:t>
      </w:r>
      <w:r>
        <w:rPr>
          <w:spacing w:val="-16"/>
          <w:sz w:val="24"/>
        </w:rPr>
        <w:t> </w:t>
      </w:r>
      <w:r>
        <w:rPr>
          <w:sz w:val="24"/>
        </w:rPr>
        <w:t>formación</w:t>
      </w:r>
      <w:r>
        <w:rPr>
          <w:spacing w:val="-15"/>
          <w:sz w:val="24"/>
        </w:rPr>
        <w:t> </w:t>
      </w:r>
      <w:r>
        <w:rPr>
          <w:sz w:val="24"/>
        </w:rPr>
        <w:t>del</w:t>
      </w:r>
      <w:r>
        <w:rPr>
          <w:spacing w:val="-15"/>
          <w:sz w:val="24"/>
        </w:rPr>
        <w:t> </w:t>
      </w:r>
      <w:r>
        <w:rPr>
          <w:sz w:val="24"/>
        </w:rPr>
        <w:t>capital</w:t>
      </w:r>
      <w:r>
        <w:rPr>
          <w:spacing w:val="-15"/>
          <w:sz w:val="24"/>
        </w:rPr>
        <w:t> </w:t>
      </w:r>
      <w:r>
        <w:rPr>
          <w:sz w:val="24"/>
        </w:rPr>
        <w:t>humano</w:t>
      </w:r>
      <w:r>
        <w:rPr>
          <w:spacing w:val="-14"/>
          <w:sz w:val="24"/>
        </w:rPr>
        <w:t> </w:t>
      </w:r>
      <w:r>
        <w:rPr>
          <w:sz w:val="24"/>
        </w:rPr>
        <w:t>y</w:t>
      </w:r>
      <w:r>
        <w:rPr>
          <w:spacing w:val="-18"/>
          <w:sz w:val="24"/>
        </w:rPr>
        <w:t> </w:t>
      </w:r>
      <w:r>
        <w:rPr>
          <w:sz w:val="24"/>
        </w:rPr>
        <w:t>en</w:t>
      </w:r>
      <w:r>
        <w:rPr>
          <w:spacing w:val="-13"/>
          <w:sz w:val="24"/>
        </w:rPr>
        <w:t> </w:t>
      </w:r>
      <w:r>
        <w:rPr>
          <w:sz w:val="24"/>
        </w:rPr>
        <w:t>esfuerzos de</w:t>
      </w:r>
      <w:r>
        <w:rPr>
          <w:spacing w:val="-3"/>
          <w:sz w:val="24"/>
        </w:rPr>
        <w:t> </w:t>
      </w:r>
      <w:r>
        <w:rPr>
          <w:sz w:val="24"/>
        </w:rPr>
        <w:t>innovación.</w:t>
      </w:r>
    </w:p>
    <w:p>
      <w:pPr>
        <w:pStyle w:val="ListParagraph"/>
        <w:numPr>
          <w:ilvl w:val="2"/>
          <w:numId w:val="7"/>
        </w:numPr>
        <w:tabs>
          <w:tab w:pos="839" w:val="left" w:leader="none"/>
        </w:tabs>
        <w:spacing w:line="360" w:lineRule="auto" w:before="6" w:after="0"/>
        <w:ind w:left="838" w:right="272" w:hanging="360"/>
        <w:jc w:val="both"/>
        <w:rPr>
          <w:sz w:val="24"/>
        </w:rPr>
      </w:pPr>
      <w:r>
        <w:rPr>
          <w:sz w:val="24"/>
        </w:rPr>
        <w:t>Para los economistas se relaciona con el valor agregado o con la participación en mercados</w:t>
      </w:r>
      <w:r>
        <w:rPr>
          <w:spacing w:val="-4"/>
          <w:sz w:val="24"/>
        </w:rPr>
        <w:t> </w:t>
      </w:r>
      <w:r>
        <w:rPr>
          <w:sz w:val="24"/>
        </w:rPr>
        <w:t>internacionales.</w:t>
      </w:r>
    </w:p>
    <w:p>
      <w:pPr>
        <w:pStyle w:val="BodyText"/>
        <w:spacing w:before="6"/>
      </w:pPr>
    </w:p>
    <w:p>
      <w:pPr>
        <w:pStyle w:val="BodyText"/>
        <w:spacing w:line="360" w:lineRule="auto"/>
        <w:ind w:left="118" w:right="268"/>
        <w:jc w:val="both"/>
      </w:pPr>
      <w:r>
        <w:rPr/>
        <w:t>En general, la competitividad puede ser vista como un objetivo asociado, en un sentido más amplio,</w:t>
      </w:r>
      <w:r>
        <w:rPr>
          <w:spacing w:val="-15"/>
        </w:rPr>
        <w:t> </w:t>
      </w:r>
      <w:r>
        <w:rPr/>
        <w:t>con</w:t>
      </w:r>
      <w:r>
        <w:rPr>
          <w:spacing w:val="-16"/>
        </w:rPr>
        <w:t> </w:t>
      </w:r>
      <w:r>
        <w:rPr/>
        <w:t>el</w:t>
      </w:r>
      <w:r>
        <w:rPr>
          <w:spacing w:val="-15"/>
        </w:rPr>
        <w:t> </w:t>
      </w:r>
      <w:r>
        <w:rPr/>
        <w:t>ingreso</w:t>
      </w:r>
      <w:r>
        <w:rPr>
          <w:spacing w:val="-16"/>
        </w:rPr>
        <w:t> </w:t>
      </w:r>
      <w:r>
        <w:rPr/>
        <w:t>per</w:t>
      </w:r>
      <w:r>
        <w:rPr>
          <w:spacing w:val="-14"/>
        </w:rPr>
        <w:t> </w:t>
      </w:r>
      <w:r>
        <w:rPr/>
        <w:t>cápita</w:t>
      </w:r>
      <w:r>
        <w:rPr>
          <w:spacing w:val="-14"/>
        </w:rPr>
        <w:t> </w:t>
      </w:r>
      <w:r>
        <w:rPr/>
        <w:t>y</w:t>
      </w:r>
      <w:r>
        <w:rPr>
          <w:spacing w:val="-21"/>
        </w:rPr>
        <w:t> </w:t>
      </w:r>
      <w:r>
        <w:rPr/>
        <w:t>el</w:t>
      </w:r>
      <w:r>
        <w:rPr>
          <w:spacing w:val="-15"/>
        </w:rPr>
        <w:t> </w:t>
      </w:r>
      <w:r>
        <w:rPr/>
        <w:t>crecimiento</w:t>
      </w:r>
      <w:r>
        <w:rPr>
          <w:spacing w:val="-16"/>
        </w:rPr>
        <w:t> </w:t>
      </w:r>
      <w:r>
        <w:rPr/>
        <w:t>económico,</w:t>
      </w:r>
      <w:r>
        <w:rPr>
          <w:spacing w:val="-16"/>
        </w:rPr>
        <w:t> </w:t>
      </w:r>
      <w:r>
        <w:rPr/>
        <w:t>por</w:t>
      </w:r>
      <w:r>
        <w:rPr>
          <w:spacing w:val="-17"/>
        </w:rPr>
        <w:t> </w:t>
      </w:r>
      <w:r>
        <w:rPr/>
        <w:t>esta</w:t>
      </w:r>
      <w:r>
        <w:rPr>
          <w:spacing w:val="-16"/>
        </w:rPr>
        <w:t> </w:t>
      </w:r>
      <w:r>
        <w:rPr/>
        <w:t>razón,</w:t>
      </w:r>
      <w:r>
        <w:rPr>
          <w:spacing w:val="-16"/>
        </w:rPr>
        <w:t> </w:t>
      </w:r>
      <w:r>
        <w:rPr/>
        <w:t>no</w:t>
      </w:r>
      <w:r>
        <w:rPr>
          <w:spacing w:val="-16"/>
        </w:rPr>
        <w:t> </w:t>
      </w:r>
      <w:r>
        <w:rPr/>
        <w:t>hay</w:t>
      </w:r>
      <w:r>
        <w:rPr>
          <w:spacing w:val="-21"/>
        </w:rPr>
        <w:t> </w:t>
      </w:r>
      <w:r>
        <w:rPr/>
        <w:t>discrepancias sobre la necesidad sobre la discrepancia de ser competitivos o mejorar la competitividad (CEPAL,</w:t>
      </w:r>
      <w:r>
        <w:rPr>
          <w:spacing w:val="-6"/>
        </w:rPr>
        <w:t> </w:t>
      </w:r>
      <w:r>
        <w:rPr/>
        <w:t>2006).</w:t>
      </w:r>
    </w:p>
    <w:p>
      <w:pPr>
        <w:pStyle w:val="BodyText"/>
      </w:pPr>
    </w:p>
    <w:p>
      <w:pPr>
        <w:pStyle w:val="BodyText"/>
        <w:spacing w:line="360" w:lineRule="auto" w:before="143"/>
        <w:ind w:left="118" w:right="269"/>
        <w:jc w:val="both"/>
      </w:pPr>
      <w:r>
        <w:rPr/>
        <w:t>La competitividad, es un proceso de transformación que conlleva un análisis crítico en torno a quienes</w:t>
      </w:r>
      <w:r>
        <w:rPr>
          <w:spacing w:val="-4"/>
        </w:rPr>
        <w:t> </w:t>
      </w:r>
      <w:r>
        <w:rPr/>
        <w:t>serán</w:t>
      </w:r>
      <w:r>
        <w:rPr>
          <w:spacing w:val="-4"/>
        </w:rPr>
        <w:t> </w:t>
      </w:r>
      <w:r>
        <w:rPr/>
        <w:t>los</w:t>
      </w:r>
      <w:r>
        <w:rPr>
          <w:spacing w:val="-2"/>
        </w:rPr>
        <w:t> </w:t>
      </w:r>
      <w:r>
        <w:rPr/>
        <w:t>ganadores,</w:t>
      </w:r>
      <w:r>
        <w:rPr>
          <w:spacing w:val="1"/>
        </w:rPr>
        <w:t> </w:t>
      </w:r>
      <w:r>
        <w:rPr/>
        <w:t>y</w:t>
      </w:r>
      <w:r>
        <w:rPr>
          <w:spacing w:val="-9"/>
        </w:rPr>
        <w:t> </w:t>
      </w:r>
      <w:r>
        <w:rPr/>
        <w:t>quienes</w:t>
      </w:r>
      <w:r>
        <w:rPr>
          <w:spacing w:val="-4"/>
        </w:rPr>
        <w:t> </w:t>
      </w:r>
      <w:r>
        <w:rPr/>
        <w:t>serán</w:t>
      </w:r>
      <w:r>
        <w:rPr>
          <w:spacing w:val="-4"/>
        </w:rPr>
        <w:t> </w:t>
      </w:r>
      <w:r>
        <w:rPr/>
        <w:t>los</w:t>
      </w:r>
      <w:r>
        <w:rPr>
          <w:spacing w:val="-3"/>
        </w:rPr>
        <w:t> </w:t>
      </w:r>
      <w:r>
        <w:rPr/>
        <w:t>perdedores,</w:t>
      </w:r>
      <w:r>
        <w:rPr>
          <w:spacing w:val="-4"/>
        </w:rPr>
        <w:t> </w:t>
      </w:r>
      <w:r>
        <w:rPr/>
        <w:t>cuáles</w:t>
      </w:r>
      <w:r>
        <w:rPr>
          <w:spacing w:val="-4"/>
        </w:rPr>
        <w:t> </w:t>
      </w:r>
      <w:r>
        <w:rPr/>
        <w:t>serán</w:t>
      </w:r>
      <w:r>
        <w:rPr>
          <w:spacing w:val="-4"/>
        </w:rPr>
        <w:t> </w:t>
      </w:r>
      <w:r>
        <w:rPr/>
        <w:t>los</w:t>
      </w:r>
      <w:r>
        <w:rPr>
          <w:spacing w:val="-4"/>
        </w:rPr>
        <w:t> </w:t>
      </w:r>
      <w:r>
        <w:rPr/>
        <w:t>beneficios</w:t>
      </w:r>
      <w:r>
        <w:rPr>
          <w:spacing w:val="1"/>
        </w:rPr>
        <w:t> </w:t>
      </w:r>
      <w:r>
        <w:rPr/>
        <w:t>y</w:t>
      </w:r>
      <w:r>
        <w:rPr>
          <w:spacing w:val="-6"/>
        </w:rPr>
        <w:t> </w:t>
      </w:r>
      <w:r>
        <w:rPr/>
        <w:t>cuales sus</w:t>
      </w:r>
      <w:r>
        <w:rPr>
          <w:spacing w:val="-11"/>
        </w:rPr>
        <w:t> </w:t>
      </w:r>
      <w:r>
        <w:rPr/>
        <w:t>costos,</w:t>
      </w:r>
      <w:r>
        <w:rPr>
          <w:spacing w:val="-9"/>
        </w:rPr>
        <w:t> </w:t>
      </w:r>
      <w:r>
        <w:rPr/>
        <w:t>y</w:t>
      </w:r>
      <w:r>
        <w:rPr>
          <w:spacing w:val="-16"/>
        </w:rPr>
        <w:t> </w:t>
      </w:r>
      <w:r>
        <w:rPr/>
        <w:t>sobre</w:t>
      </w:r>
      <w:r>
        <w:rPr>
          <w:spacing w:val="-12"/>
        </w:rPr>
        <w:t> </w:t>
      </w:r>
      <w:r>
        <w:rPr/>
        <w:t>todo</w:t>
      </w:r>
      <w:r>
        <w:rPr>
          <w:spacing w:val="-11"/>
        </w:rPr>
        <w:t> </w:t>
      </w:r>
      <w:r>
        <w:rPr/>
        <w:t>cuál</w:t>
      </w:r>
      <w:r>
        <w:rPr>
          <w:spacing w:val="-11"/>
        </w:rPr>
        <w:t> </w:t>
      </w:r>
      <w:r>
        <w:rPr/>
        <w:t>de</w:t>
      </w:r>
      <w:r>
        <w:rPr>
          <w:spacing w:val="-12"/>
        </w:rPr>
        <w:t> </w:t>
      </w:r>
      <w:r>
        <w:rPr/>
        <w:t>estos</w:t>
      </w:r>
      <w:r>
        <w:rPr>
          <w:spacing w:val="-10"/>
        </w:rPr>
        <w:t> </w:t>
      </w:r>
      <w:r>
        <w:rPr/>
        <w:t>será</w:t>
      </w:r>
      <w:r>
        <w:rPr>
          <w:spacing w:val="-12"/>
        </w:rPr>
        <w:t> </w:t>
      </w:r>
      <w:r>
        <w:rPr/>
        <w:t>mayor.</w:t>
      </w:r>
      <w:r>
        <w:rPr>
          <w:spacing w:val="-9"/>
        </w:rPr>
        <w:t> </w:t>
      </w:r>
      <w:r>
        <w:rPr/>
        <w:t>Así,</w:t>
      </w:r>
      <w:r>
        <w:rPr>
          <w:spacing w:val="-11"/>
        </w:rPr>
        <w:t> </w:t>
      </w:r>
      <w:r>
        <w:rPr/>
        <w:t>se</w:t>
      </w:r>
      <w:r>
        <w:rPr>
          <w:spacing w:val="-12"/>
        </w:rPr>
        <w:t> </w:t>
      </w:r>
      <w:r>
        <w:rPr/>
        <w:t>puede</w:t>
      </w:r>
      <w:r>
        <w:rPr>
          <w:spacing w:val="-12"/>
        </w:rPr>
        <w:t> </w:t>
      </w:r>
      <w:r>
        <w:rPr/>
        <w:t>beneficiar</w:t>
      </w:r>
      <w:r>
        <w:rPr>
          <w:spacing w:val="-12"/>
        </w:rPr>
        <w:t> </w:t>
      </w:r>
      <w:r>
        <w:rPr/>
        <w:t>a</w:t>
      </w:r>
      <w:r>
        <w:rPr>
          <w:spacing w:val="-10"/>
        </w:rPr>
        <w:t> </w:t>
      </w:r>
      <w:r>
        <w:rPr/>
        <w:t>determinados</w:t>
      </w:r>
      <w:r>
        <w:rPr>
          <w:spacing w:val="-11"/>
        </w:rPr>
        <w:t> </w:t>
      </w:r>
      <w:r>
        <w:rPr/>
        <w:t>actores económicos en detrimento de aquellos que no están en condiciones de competir lealmente en el mercado, su desventaja puede tener varias causas como tamaño de la empresa, acceso a activos, retrasó tecnológico, zona geográfica (ubicación), accesos a información, infraestructura y mano de obra poco calificada o menos productiva (CEPAL,</w:t>
      </w:r>
      <w:r>
        <w:rPr>
          <w:spacing w:val="-10"/>
        </w:rPr>
        <w:t> </w:t>
      </w:r>
      <w:r>
        <w:rPr/>
        <w:t>2006).</w:t>
      </w:r>
    </w:p>
    <w:p>
      <w:pPr>
        <w:pStyle w:val="BodyText"/>
      </w:pPr>
    </w:p>
    <w:p>
      <w:pPr>
        <w:pStyle w:val="BodyText"/>
        <w:spacing w:line="360" w:lineRule="auto" w:before="143"/>
        <w:ind w:left="118" w:right="267"/>
        <w:jc w:val="both"/>
      </w:pPr>
      <w:r>
        <w:rPr/>
        <w:t>Existen diversos elementos que condicionan la competitividad de un producto dentro de un mercado,</w:t>
      </w:r>
      <w:r>
        <w:rPr>
          <w:spacing w:val="-4"/>
        </w:rPr>
        <w:t> </w:t>
      </w:r>
      <w:r>
        <w:rPr/>
        <w:t>los</w:t>
      </w:r>
      <w:r>
        <w:rPr>
          <w:spacing w:val="-3"/>
        </w:rPr>
        <w:t> </w:t>
      </w:r>
      <w:r>
        <w:rPr/>
        <w:t>cuales</w:t>
      </w:r>
      <w:r>
        <w:rPr>
          <w:spacing w:val="-4"/>
        </w:rPr>
        <w:t> </w:t>
      </w:r>
      <w:r>
        <w:rPr/>
        <w:t>se</w:t>
      </w:r>
      <w:r>
        <w:rPr>
          <w:spacing w:val="-5"/>
        </w:rPr>
        <w:t> </w:t>
      </w:r>
      <w:r>
        <w:rPr/>
        <w:t>encuentran</w:t>
      </w:r>
      <w:r>
        <w:rPr>
          <w:spacing w:val="-2"/>
        </w:rPr>
        <w:t> </w:t>
      </w:r>
      <w:r>
        <w:rPr/>
        <w:t>en</w:t>
      </w:r>
      <w:r>
        <w:rPr>
          <w:spacing w:val="-4"/>
        </w:rPr>
        <w:t> </w:t>
      </w:r>
      <w:r>
        <w:rPr/>
        <w:t>cuatro</w:t>
      </w:r>
      <w:r>
        <w:rPr>
          <w:spacing w:val="-4"/>
        </w:rPr>
        <w:t> </w:t>
      </w:r>
      <w:r>
        <w:rPr/>
        <w:t>niveles</w:t>
      </w:r>
      <w:r>
        <w:rPr>
          <w:spacing w:val="-4"/>
        </w:rPr>
        <w:t> </w:t>
      </w:r>
      <w:r>
        <w:rPr/>
        <w:t>diferentes:</w:t>
      </w:r>
      <w:r>
        <w:rPr>
          <w:spacing w:val="-4"/>
        </w:rPr>
        <w:t> </w:t>
      </w:r>
      <w:r>
        <w:rPr/>
        <w:t>micro,</w:t>
      </w:r>
      <w:r>
        <w:rPr>
          <w:spacing w:val="-5"/>
        </w:rPr>
        <w:t> </w:t>
      </w:r>
      <w:r>
        <w:rPr/>
        <w:t>meso,</w:t>
      </w:r>
      <w:r>
        <w:rPr>
          <w:spacing w:val="-4"/>
        </w:rPr>
        <w:t> </w:t>
      </w:r>
      <w:r>
        <w:rPr/>
        <w:t>macro</w:t>
      </w:r>
      <w:r>
        <w:rPr>
          <w:spacing w:val="-1"/>
        </w:rPr>
        <w:t> </w:t>
      </w:r>
      <w:r>
        <w:rPr/>
        <w:t>y</w:t>
      </w:r>
      <w:r>
        <w:rPr>
          <w:spacing w:val="-9"/>
        </w:rPr>
        <w:t> </w:t>
      </w:r>
      <w:r>
        <w:rPr/>
        <w:t>meta,</w:t>
      </w:r>
      <w:r>
        <w:rPr>
          <w:spacing w:val="-4"/>
        </w:rPr>
        <w:t> </w:t>
      </w:r>
      <w:r>
        <w:rPr/>
        <w:t>cada nivel tiene sus propias políticas y estrategias pero a su vez se relacionan entre</w:t>
      </w:r>
      <w:r>
        <w:rPr>
          <w:spacing w:val="-14"/>
        </w:rPr>
        <w:t> </w:t>
      </w:r>
      <w:r>
        <w:rPr/>
        <w:t>sí.</w:t>
      </w:r>
    </w:p>
    <w:p>
      <w:pPr>
        <w:pStyle w:val="BodyText"/>
      </w:pPr>
    </w:p>
    <w:p>
      <w:pPr>
        <w:pStyle w:val="ListParagraph"/>
        <w:numPr>
          <w:ilvl w:val="0"/>
          <w:numId w:val="8"/>
        </w:numPr>
        <w:tabs>
          <w:tab w:pos="839" w:val="left" w:leader="none"/>
        </w:tabs>
        <w:spacing w:line="360" w:lineRule="auto" w:before="143" w:after="0"/>
        <w:ind w:left="838" w:right="269" w:hanging="360"/>
        <w:jc w:val="both"/>
        <w:rPr>
          <w:sz w:val="24"/>
        </w:rPr>
      </w:pPr>
      <w:r>
        <w:rPr>
          <w:sz w:val="24"/>
        </w:rPr>
        <w:t>Micro: considera lo relacionado con las empresas, abarca factores como: precios,</w:t>
      </w:r>
      <w:r>
        <w:rPr>
          <w:spacing w:val="-25"/>
          <w:sz w:val="24"/>
        </w:rPr>
        <w:t> </w:t>
      </w:r>
      <w:r>
        <w:rPr>
          <w:sz w:val="24"/>
        </w:rPr>
        <w:t>costos, utilidades, eficiencia, calidad, rapidez de reacción, articulación en redes de colaboración y competencia entre empresa, en este nivel para que una empresa sea competitiva debe tener</w:t>
      </w:r>
      <w:r>
        <w:rPr>
          <w:spacing w:val="-10"/>
          <w:sz w:val="24"/>
        </w:rPr>
        <w:t> </w:t>
      </w:r>
      <w:r>
        <w:rPr>
          <w:sz w:val="24"/>
        </w:rPr>
        <w:t>habilidades</w:t>
      </w:r>
      <w:r>
        <w:rPr>
          <w:spacing w:val="-9"/>
          <w:sz w:val="24"/>
        </w:rPr>
        <w:t> </w:t>
      </w:r>
      <w:r>
        <w:rPr>
          <w:sz w:val="24"/>
        </w:rPr>
        <w:t>suficientes</w:t>
      </w:r>
      <w:r>
        <w:rPr>
          <w:spacing w:val="-8"/>
          <w:sz w:val="24"/>
        </w:rPr>
        <w:t> </w:t>
      </w:r>
      <w:r>
        <w:rPr>
          <w:sz w:val="24"/>
        </w:rPr>
        <w:t>y</w:t>
      </w:r>
      <w:r>
        <w:rPr>
          <w:spacing w:val="-13"/>
          <w:sz w:val="24"/>
        </w:rPr>
        <w:t> </w:t>
      </w:r>
      <w:r>
        <w:rPr>
          <w:sz w:val="24"/>
        </w:rPr>
        <w:t>ser</w:t>
      </w:r>
      <w:r>
        <w:rPr>
          <w:spacing w:val="-8"/>
          <w:sz w:val="24"/>
        </w:rPr>
        <w:t> </w:t>
      </w:r>
      <w:r>
        <w:rPr>
          <w:sz w:val="24"/>
        </w:rPr>
        <w:t>capaz</w:t>
      </w:r>
      <w:r>
        <w:rPr>
          <w:spacing w:val="-8"/>
          <w:sz w:val="24"/>
        </w:rPr>
        <w:t> </w:t>
      </w:r>
      <w:r>
        <w:rPr>
          <w:sz w:val="24"/>
        </w:rPr>
        <w:t>de</w:t>
      </w:r>
      <w:r>
        <w:rPr>
          <w:spacing w:val="-8"/>
          <w:sz w:val="24"/>
        </w:rPr>
        <w:t> </w:t>
      </w:r>
      <w:r>
        <w:rPr>
          <w:sz w:val="24"/>
        </w:rPr>
        <w:t>gestionarlas</w:t>
      </w:r>
      <w:r>
        <w:rPr>
          <w:spacing w:val="-9"/>
          <w:sz w:val="24"/>
        </w:rPr>
        <w:t> </w:t>
      </w:r>
      <w:r>
        <w:rPr>
          <w:sz w:val="24"/>
        </w:rPr>
        <w:t>de</w:t>
      </w:r>
      <w:r>
        <w:rPr>
          <w:spacing w:val="-11"/>
          <w:sz w:val="24"/>
        </w:rPr>
        <w:t> </w:t>
      </w:r>
      <w:r>
        <w:rPr>
          <w:sz w:val="24"/>
        </w:rPr>
        <w:t>manera</w:t>
      </w:r>
      <w:r>
        <w:rPr>
          <w:spacing w:val="-11"/>
          <w:sz w:val="24"/>
        </w:rPr>
        <w:t> </w:t>
      </w:r>
      <w:r>
        <w:rPr>
          <w:sz w:val="24"/>
        </w:rPr>
        <w:t>adecuada</w:t>
      </w:r>
      <w:r>
        <w:rPr>
          <w:spacing w:val="-8"/>
          <w:sz w:val="24"/>
        </w:rPr>
        <w:t> </w:t>
      </w:r>
      <w:r>
        <w:rPr>
          <w:sz w:val="24"/>
        </w:rPr>
        <w:t>para</w:t>
      </w:r>
      <w:r>
        <w:rPr>
          <w:spacing w:val="-11"/>
          <w:sz w:val="24"/>
        </w:rPr>
        <w:t> </w:t>
      </w:r>
      <w:r>
        <w:rPr>
          <w:sz w:val="24"/>
        </w:rPr>
        <w:t>colocar sus productos o servicios en el mercado, y también debe formular y aplicar estrategias que la lleven a una posición sostenida de mercado, o incluso ampliar el segmento de la industria donde</w:t>
      </w:r>
      <w:r>
        <w:rPr>
          <w:spacing w:val="-5"/>
          <w:sz w:val="24"/>
        </w:rPr>
        <w:t> </w:t>
      </w:r>
      <w:r>
        <w:rPr>
          <w:sz w:val="24"/>
        </w:rPr>
        <w:t>opera.</w:t>
      </w:r>
    </w:p>
    <w:p>
      <w:pPr>
        <w:spacing w:after="0" w:line="360" w:lineRule="auto"/>
        <w:jc w:val="both"/>
        <w:rPr>
          <w:sz w:val="24"/>
        </w:rPr>
        <w:sectPr>
          <w:pgSz w:w="12240" w:h="15840"/>
          <w:pgMar w:header="984" w:footer="986" w:top="1280" w:bottom="1180" w:left="1300" w:right="1340"/>
        </w:sectPr>
      </w:pPr>
    </w:p>
    <w:p>
      <w:pPr>
        <w:pStyle w:val="ListParagraph"/>
        <w:numPr>
          <w:ilvl w:val="0"/>
          <w:numId w:val="8"/>
        </w:numPr>
        <w:tabs>
          <w:tab w:pos="839" w:val="left" w:leader="none"/>
        </w:tabs>
        <w:spacing w:line="360" w:lineRule="auto" w:before="125" w:after="0"/>
        <w:ind w:left="838" w:right="261" w:hanging="360"/>
        <w:jc w:val="both"/>
        <w:rPr>
          <w:sz w:val="24"/>
        </w:rPr>
      </w:pPr>
      <w:r>
        <w:rPr>
          <w:sz w:val="24"/>
        </w:rPr>
        <w:t>Meso: se refiere a la formación de un entorno capaz de fomentar, complementar y multiplicar esfuerzos en las empresas, se concreta en variables como la distancia, la infraestructura, la tecnología, la educación y recursos naturales, se propicia con medidas como la promoción económica, el comercio regional, la información comercial, la estructura industrial, y las políticas dirigidas o aplicadas al fortalecimiento de la competitividad de algunos</w:t>
      </w:r>
      <w:r>
        <w:rPr>
          <w:spacing w:val="-9"/>
          <w:sz w:val="24"/>
        </w:rPr>
        <w:t> </w:t>
      </w:r>
      <w:r>
        <w:rPr>
          <w:sz w:val="24"/>
        </w:rPr>
        <w:t>sectores.</w:t>
      </w:r>
    </w:p>
    <w:p>
      <w:pPr>
        <w:pStyle w:val="BodyText"/>
      </w:pPr>
    </w:p>
    <w:p>
      <w:pPr>
        <w:pStyle w:val="ListParagraph"/>
        <w:numPr>
          <w:ilvl w:val="0"/>
          <w:numId w:val="8"/>
        </w:numPr>
        <w:tabs>
          <w:tab w:pos="839" w:val="left" w:leader="none"/>
        </w:tabs>
        <w:spacing w:line="360" w:lineRule="auto" w:before="143" w:after="0"/>
        <w:ind w:left="838" w:right="271" w:hanging="360"/>
        <w:jc w:val="both"/>
        <w:rPr>
          <w:sz w:val="24"/>
        </w:rPr>
      </w:pPr>
      <w:r>
        <w:rPr>
          <w:sz w:val="24"/>
        </w:rPr>
        <w:t>Macro: se relaciona con políticas propuestas por los gobiernos, parlamentos y el banco central,</w:t>
      </w:r>
      <w:r>
        <w:rPr>
          <w:spacing w:val="-8"/>
          <w:sz w:val="24"/>
        </w:rPr>
        <w:t> </w:t>
      </w:r>
      <w:r>
        <w:rPr>
          <w:sz w:val="24"/>
        </w:rPr>
        <w:t>que</w:t>
      </w:r>
      <w:r>
        <w:rPr>
          <w:spacing w:val="-10"/>
          <w:sz w:val="24"/>
        </w:rPr>
        <w:t> </w:t>
      </w:r>
      <w:r>
        <w:rPr>
          <w:sz w:val="24"/>
        </w:rPr>
        <w:t>aseguren</w:t>
      </w:r>
      <w:r>
        <w:rPr>
          <w:spacing w:val="-7"/>
          <w:sz w:val="24"/>
        </w:rPr>
        <w:t> </w:t>
      </w:r>
      <w:r>
        <w:rPr>
          <w:sz w:val="24"/>
        </w:rPr>
        <w:t>estabilidad</w:t>
      </w:r>
      <w:r>
        <w:rPr>
          <w:spacing w:val="-7"/>
          <w:sz w:val="24"/>
        </w:rPr>
        <w:t> </w:t>
      </w:r>
      <w:r>
        <w:rPr>
          <w:sz w:val="24"/>
        </w:rPr>
        <w:t>y</w:t>
      </w:r>
      <w:r>
        <w:rPr>
          <w:spacing w:val="-11"/>
          <w:sz w:val="24"/>
        </w:rPr>
        <w:t> </w:t>
      </w:r>
      <w:r>
        <w:rPr>
          <w:sz w:val="24"/>
        </w:rPr>
        <w:t>certeza,</w:t>
      </w:r>
      <w:r>
        <w:rPr>
          <w:spacing w:val="-9"/>
          <w:sz w:val="24"/>
        </w:rPr>
        <w:t> </w:t>
      </w:r>
      <w:r>
        <w:rPr>
          <w:sz w:val="24"/>
        </w:rPr>
        <w:t>se</w:t>
      </w:r>
      <w:r>
        <w:rPr>
          <w:spacing w:val="-9"/>
          <w:sz w:val="24"/>
        </w:rPr>
        <w:t> </w:t>
      </w:r>
      <w:r>
        <w:rPr>
          <w:sz w:val="24"/>
        </w:rPr>
        <w:t>deriva</w:t>
      </w:r>
      <w:r>
        <w:rPr>
          <w:spacing w:val="-10"/>
          <w:sz w:val="24"/>
        </w:rPr>
        <w:t> </w:t>
      </w:r>
      <w:r>
        <w:rPr>
          <w:sz w:val="24"/>
        </w:rPr>
        <w:t>del</w:t>
      </w:r>
      <w:r>
        <w:rPr>
          <w:spacing w:val="-6"/>
          <w:sz w:val="24"/>
        </w:rPr>
        <w:t> </w:t>
      </w:r>
      <w:r>
        <w:rPr>
          <w:sz w:val="24"/>
        </w:rPr>
        <w:t>control</w:t>
      </w:r>
      <w:r>
        <w:rPr>
          <w:spacing w:val="-8"/>
          <w:sz w:val="24"/>
        </w:rPr>
        <w:t> </w:t>
      </w:r>
      <w:r>
        <w:rPr>
          <w:sz w:val="24"/>
        </w:rPr>
        <w:t>de</w:t>
      </w:r>
      <w:r>
        <w:rPr>
          <w:spacing w:val="-10"/>
          <w:sz w:val="24"/>
        </w:rPr>
        <w:t> </w:t>
      </w:r>
      <w:r>
        <w:rPr>
          <w:sz w:val="24"/>
        </w:rPr>
        <w:t>la</w:t>
      </w:r>
      <w:r>
        <w:rPr>
          <w:spacing w:val="-10"/>
          <w:sz w:val="24"/>
        </w:rPr>
        <w:t> </w:t>
      </w:r>
      <w:r>
        <w:rPr>
          <w:sz w:val="24"/>
        </w:rPr>
        <w:t>inflación</w:t>
      </w:r>
      <w:r>
        <w:rPr>
          <w:spacing w:val="-8"/>
          <w:sz w:val="24"/>
        </w:rPr>
        <w:t> </w:t>
      </w:r>
      <w:r>
        <w:rPr>
          <w:sz w:val="24"/>
        </w:rPr>
        <w:t>en</w:t>
      </w:r>
      <w:r>
        <w:rPr>
          <w:spacing w:val="-9"/>
          <w:sz w:val="24"/>
        </w:rPr>
        <w:t> </w:t>
      </w:r>
      <w:r>
        <w:rPr>
          <w:sz w:val="24"/>
        </w:rPr>
        <w:t>niveles bajos, el establecimiento de políticas fiscales que estimulen la inversión y de políticas monetarias y cambiarias que favorezcan las condiciones de comercio</w:t>
      </w:r>
      <w:r>
        <w:rPr>
          <w:spacing w:val="-17"/>
          <w:sz w:val="24"/>
        </w:rPr>
        <w:t> </w:t>
      </w:r>
      <w:r>
        <w:rPr>
          <w:sz w:val="24"/>
        </w:rPr>
        <w:t>internacional.</w:t>
      </w:r>
    </w:p>
    <w:p>
      <w:pPr>
        <w:pStyle w:val="BodyText"/>
        <w:spacing w:before="3"/>
      </w:pPr>
    </w:p>
    <w:p>
      <w:pPr>
        <w:pStyle w:val="ListParagraph"/>
        <w:numPr>
          <w:ilvl w:val="0"/>
          <w:numId w:val="8"/>
        </w:numPr>
        <w:tabs>
          <w:tab w:pos="839" w:val="left" w:leader="none"/>
        </w:tabs>
        <w:spacing w:line="360" w:lineRule="auto" w:before="1" w:after="0"/>
        <w:ind w:left="838" w:right="273" w:hanging="360"/>
        <w:jc w:val="both"/>
        <w:rPr>
          <w:sz w:val="24"/>
        </w:rPr>
      </w:pPr>
      <w:r>
        <w:rPr>
          <w:sz w:val="24"/>
        </w:rPr>
        <w:t>Meta: se refiere a los valores y filosofías de las sociedades y economías para buscar su desarrollo en general (Díaz B. A.</w:t>
      </w:r>
      <w:r>
        <w:rPr>
          <w:spacing w:val="-9"/>
          <w:sz w:val="24"/>
        </w:rPr>
        <w:t> </w:t>
      </w:r>
      <w:r>
        <w:rPr>
          <w:sz w:val="24"/>
        </w:rPr>
        <w:t>2006).</w:t>
      </w:r>
    </w:p>
    <w:p>
      <w:pPr>
        <w:pStyle w:val="BodyText"/>
      </w:pPr>
    </w:p>
    <w:p>
      <w:pPr>
        <w:pStyle w:val="ListParagraph"/>
        <w:numPr>
          <w:ilvl w:val="1"/>
          <w:numId w:val="7"/>
        </w:numPr>
        <w:tabs>
          <w:tab w:pos="479" w:val="left" w:leader="none"/>
        </w:tabs>
        <w:spacing w:line="240" w:lineRule="auto" w:before="143" w:after="0"/>
        <w:ind w:left="478" w:right="0" w:hanging="360"/>
        <w:jc w:val="both"/>
        <w:rPr>
          <w:sz w:val="24"/>
        </w:rPr>
      </w:pPr>
      <w:bookmarkStart w:name="_bookmark11" w:id="16"/>
      <w:bookmarkEnd w:id="16"/>
      <w:r>
        <w:rPr/>
      </w:r>
      <w:bookmarkStart w:name="_bookmark11" w:id="17"/>
      <w:bookmarkEnd w:id="17"/>
      <w:r>
        <w:rPr>
          <w:sz w:val="24"/>
        </w:rPr>
        <w:t>V</w:t>
      </w:r>
      <w:r>
        <w:rPr>
          <w:sz w:val="24"/>
        </w:rPr>
        <w:t>entajas competitivas Estados Unidos y</w:t>
      </w:r>
      <w:r>
        <w:rPr>
          <w:spacing w:val="-7"/>
          <w:sz w:val="24"/>
        </w:rPr>
        <w:t> </w:t>
      </w:r>
      <w:r>
        <w:rPr>
          <w:sz w:val="24"/>
        </w:rPr>
        <w:t>México</w:t>
      </w:r>
    </w:p>
    <w:p>
      <w:pPr>
        <w:pStyle w:val="BodyText"/>
      </w:pPr>
    </w:p>
    <w:p>
      <w:pPr>
        <w:pStyle w:val="BodyText"/>
      </w:pPr>
    </w:p>
    <w:p>
      <w:pPr>
        <w:pStyle w:val="BodyText"/>
        <w:spacing w:line="360" w:lineRule="auto"/>
        <w:ind w:left="118" w:right="270"/>
        <w:jc w:val="both"/>
      </w:pPr>
      <w:r>
        <w:rPr>
          <w:color w:val="292425"/>
        </w:rPr>
        <w:t>Existen</w:t>
      </w:r>
      <w:r>
        <w:rPr>
          <w:color w:val="292425"/>
          <w:spacing w:val="-11"/>
        </w:rPr>
        <w:t> </w:t>
      </w:r>
      <w:r>
        <w:rPr>
          <w:color w:val="292425"/>
        </w:rPr>
        <w:t>ventajas</w:t>
      </w:r>
      <w:r>
        <w:rPr>
          <w:color w:val="292425"/>
          <w:spacing w:val="-11"/>
        </w:rPr>
        <w:t> </w:t>
      </w:r>
      <w:r>
        <w:rPr>
          <w:color w:val="292425"/>
        </w:rPr>
        <w:t>competitivas</w:t>
      </w:r>
      <w:r>
        <w:rPr>
          <w:color w:val="292425"/>
          <w:spacing w:val="-11"/>
        </w:rPr>
        <w:t> </w:t>
      </w:r>
      <w:r>
        <w:rPr>
          <w:color w:val="292425"/>
        </w:rPr>
        <w:t>de</w:t>
      </w:r>
      <w:r>
        <w:rPr>
          <w:color w:val="292425"/>
          <w:spacing w:val="-12"/>
        </w:rPr>
        <w:t> </w:t>
      </w:r>
      <w:r>
        <w:rPr>
          <w:color w:val="292425"/>
        </w:rPr>
        <w:t>EUA</w:t>
      </w:r>
      <w:r>
        <w:rPr>
          <w:color w:val="292425"/>
          <w:spacing w:val="-12"/>
        </w:rPr>
        <w:t> </w:t>
      </w:r>
      <w:r>
        <w:rPr>
          <w:color w:val="292425"/>
        </w:rPr>
        <w:t>sobre</w:t>
      </w:r>
      <w:r>
        <w:rPr>
          <w:color w:val="292425"/>
          <w:spacing w:val="-13"/>
        </w:rPr>
        <w:t> </w:t>
      </w:r>
      <w:r>
        <w:rPr>
          <w:color w:val="292425"/>
        </w:rPr>
        <w:t>México</w:t>
      </w:r>
      <w:r>
        <w:rPr>
          <w:color w:val="292425"/>
          <w:spacing w:val="-11"/>
        </w:rPr>
        <w:t> </w:t>
      </w:r>
      <w:r>
        <w:rPr>
          <w:color w:val="292425"/>
        </w:rPr>
        <w:t>en</w:t>
      </w:r>
      <w:r>
        <w:rPr>
          <w:color w:val="292425"/>
          <w:spacing w:val="-11"/>
        </w:rPr>
        <w:t> </w:t>
      </w:r>
      <w:r>
        <w:rPr>
          <w:color w:val="292425"/>
        </w:rPr>
        <w:t>cuanto</w:t>
      </w:r>
      <w:r>
        <w:rPr>
          <w:color w:val="292425"/>
          <w:spacing w:val="-8"/>
        </w:rPr>
        <w:t> </w:t>
      </w:r>
      <w:r>
        <w:rPr>
          <w:color w:val="292425"/>
        </w:rPr>
        <w:t>a</w:t>
      </w:r>
      <w:r>
        <w:rPr>
          <w:color w:val="292425"/>
          <w:spacing w:val="-12"/>
        </w:rPr>
        <w:t> </w:t>
      </w:r>
      <w:r>
        <w:rPr>
          <w:color w:val="292425"/>
        </w:rPr>
        <w:t>las</w:t>
      </w:r>
      <w:r>
        <w:rPr>
          <w:color w:val="292425"/>
          <w:spacing w:val="-11"/>
        </w:rPr>
        <w:t> </w:t>
      </w:r>
      <w:r>
        <w:rPr>
          <w:color w:val="292425"/>
        </w:rPr>
        <w:t>variables</w:t>
      </w:r>
      <w:r>
        <w:rPr>
          <w:color w:val="292425"/>
          <w:spacing w:val="-11"/>
        </w:rPr>
        <w:t> </w:t>
      </w:r>
      <w:r>
        <w:rPr>
          <w:color w:val="292425"/>
        </w:rPr>
        <w:t>macroeconómicas, siendo las tasas de interés y el tipo de cambio claves para el desarrollo de la porcicultura en México </w:t>
      </w:r>
      <w:r>
        <w:rPr>
          <w:color w:val="292425"/>
          <w:spacing w:val="-3"/>
        </w:rPr>
        <w:t>ya </w:t>
      </w:r>
      <w:r>
        <w:rPr>
          <w:color w:val="292425"/>
        </w:rPr>
        <w:t>que el crédito es escaso y muy caro, y la sobrevaluación del peso favorece las importaciones.</w:t>
      </w:r>
    </w:p>
    <w:p>
      <w:pPr>
        <w:pStyle w:val="BodyText"/>
        <w:spacing w:before="6"/>
      </w:pPr>
    </w:p>
    <w:p>
      <w:pPr>
        <w:pStyle w:val="BodyText"/>
        <w:spacing w:line="360" w:lineRule="auto"/>
        <w:ind w:left="118" w:right="268"/>
        <w:jc w:val="both"/>
      </w:pPr>
      <w:r>
        <w:rPr>
          <w:color w:val="292425"/>
        </w:rPr>
        <w:t>EUA</w:t>
      </w:r>
      <w:r>
        <w:rPr>
          <w:color w:val="292425"/>
          <w:spacing w:val="-9"/>
        </w:rPr>
        <w:t> </w:t>
      </w:r>
      <w:r>
        <w:rPr>
          <w:color w:val="292425"/>
        </w:rPr>
        <w:t>posee</w:t>
      </w:r>
      <w:r>
        <w:rPr>
          <w:color w:val="292425"/>
          <w:spacing w:val="-10"/>
        </w:rPr>
        <w:t> </w:t>
      </w:r>
      <w:r>
        <w:rPr>
          <w:color w:val="292425"/>
        </w:rPr>
        <w:t>una</w:t>
      </w:r>
      <w:r>
        <w:rPr>
          <w:color w:val="292425"/>
          <w:spacing w:val="-10"/>
        </w:rPr>
        <w:t> </w:t>
      </w:r>
      <w:r>
        <w:rPr>
          <w:color w:val="292425"/>
        </w:rPr>
        <w:t>porcicultura</w:t>
      </w:r>
      <w:r>
        <w:rPr>
          <w:color w:val="292425"/>
          <w:spacing w:val="-10"/>
        </w:rPr>
        <w:t> </w:t>
      </w:r>
      <w:r>
        <w:rPr>
          <w:color w:val="292425"/>
        </w:rPr>
        <w:t>de</w:t>
      </w:r>
      <w:r>
        <w:rPr>
          <w:color w:val="292425"/>
          <w:spacing w:val="-10"/>
        </w:rPr>
        <w:t> </w:t>
      </w:r>
      <w:r>
        <w:rPr>
          <w:color w:val="292425"/>
        </w:rPr>
        <w:t>mayor</w:t>
      </w:r>
      <w:r>
        <w:rPr>
          <w:color w:val="292425"/>
          <w:spacing w:val="-9"/>
        </w:rPr>
        <w:t> </w:t>
      </w:r>
      <w:r>
        <w:rPr>
          <w:color w:val="292425"/>
        </w:rPr>
        <w:t>tamaño</w:t>
      </w:r>
      <w:r>
        <w:rPr>
          <w:color w:val="292425"/>
          <w:spacing w:val="-4"/>
        </w:rPr>
        <w:t> </w:t>
      </w:r>
      <w:r>
        <w:rPr>
          <w:color w:val="292425"/>
        </w:rPr>
        <w:t>y</w:t>
      </w:r>
      <w:r>
        <w:rPr>
          <w:color w:val="292425"/>
          <w:spacing w:val="-11"/>
        </w:rPr>
        <w:t> </w:t>
      </w:r>
      <w:r>
        <w:rPr>
          <w:color w:val="292425"/>
        </w:rPr>
        <w:t>con</w:t>
      </w:r>
      <w:r>
        <w:rPr>
          <w:color w:val="292425"/>
          <w:spacing w:val="-9"/>
        </w:rPr>
        <w:t> </w:t>
      </w:r>
      <w:r>
        <w:rPr>
          <w:color w:val="292425"/>
        </w:rPr>
        <w:t>más</w:t>
      </w:r>
      <w:r>
        <w:rPr>
          <w:color w:val="292425"/>
          <w:spacing w:val="-9"/>
        </w:rPr>
        <w:t> </w:t>
      </w:r>
      <w:r>
        <w:rPr>
          <w:color w:val="292425"/>
        </w:rPr>
        <w:t>infraestructura,</w:t>
      </w:r>
      <w:r>
        <w:rPr>
          <w:color w:val="292425"/>
          <w:spacing w:val="-9"/>
        </w:rPr>
        <w:t> </w:t>
      </w:r>
      <w:r>
        <w:rPr>
          <w:color w:val="292425"/>
        </w:rPr>
        <w:t>los</w:t>
      </w:r>
      <w:r>
        <w:rPr>
          <w:color w:val="292425"/>
          <w:spacing w:val="-8"/>
        </w:rPr>
        <w:t> </w:t>
      </w:r>
      <w:r>
        <w:rPr>
          <w:color w:val="292425"/>
        </w:rPr>
        <w:t>porcicultores</w:t>
      </w:r>
      <w:r>
        <w:rPr>
          <w:color w:val="292425"/>
          <w:spacing w:val="-8"/>
        </w:rPr>
        <w:t> </w:t>
      </w:r>
      <w:r>
        <w:rPr>
          <w:color w:val="292425"/>
        </w:rPr>
        <w:t>tienen acceso a más subsidios y apoyos gubernamentales. Los costos de los insumos alimenticios son hasta 30% menores en EUA lo cual es una ventaja competitiva determinante </w:t>
      </w:r>
      <w:r>
        <w:rPr>
          <w:color w:val="292425"/>
          <w:spacing w:val="-3"/>
        </w:rPr>
        <w:t>ya </w:t>
      </w:r>
      <w:r>
        <w:rPr>
          <w:color w:val="292425"/>
        </w:rPr>
        <w:t>que representan más del 70% del costo total de</w:t>
      </w:r>
      <w:r>
        <w:rPr>
          <w:color w:val="292425"/>
          <w:spacing w:val="-6"/>
        </w:rPr>
        <w:t> </w:t>
      </w:r>
      <w:r>
        <w:rPr>
          <w:color w:val="292425"/>
        </w:rPr>
        <w:t>producción.</w:t>
      </w:r>
    </w:p>
    <w:p>
      <w:pPr>
        <w:pStyle w:val="BodyText"/>
      </w:pPr>
    </w:p>
    <w:p>
      <w:pPr>
        <w:pStyle w:val="BodyText"/>
        <w:spacing w:before="143"/>
        <w:ind w:left="118"/>
        <w:jc w:val="both"/>
      </w:pPr>
      <w:r>
        <w:rPr>
          <w:color w:val="292425"/>
        </w:rPr>
        <w:t>México presenta ventaja competitiva en el costo de mano de obra y mayor precio de venta.</w:t>
      </w:r>
    </w:p>
    <w:p>
      <w:pPr>
        <w:pStyle w:val="BodyText"/>
        <w:spacing w:line="360" w:lineRule="auto" w:before="137"/>
        <w:ind w:left="118" w:right="268"/>
        <w:jc w:val="both"/>
      </w:pPr>
      <w:r>
        <w:rPr>
          <w:color w:val="292425"/>
        </w:rPr>
        <w:t>Los indicadores de tasa de penetración de importaciones y Relación Producción Nacional/Consumo Nacional demuestran que la porcicultura mexicana ha ido perdiendo terreno frente a la estadounidense, y que de no modificarse algunas de estas ventajas, la tendencia será la misma.</w:t>
      </w:r>
    </w:p>
    <w:p>
      <w:pPr>
        <w:spacing w:after="0" w:line="360" w:lineRule="auto"/>
        <w:jc w:val="both"/>
        <w:sectPr>
          <w:pgSz w:w="12240" w:h="15840"/>
          <w:pgMar w:header="984" w:footer="986" w:top="1280" w:bottom="1180" w:left="1300" w:right="1340"/>
        </w:sectPr>
      </w:pPr>
    </w:p>
    <w:p>
      <w:pPr>
        <w:pStyle w:val="BodyText"/>
        <w:spacing w:line="360" w:lineRule="auto" w:before="125"/>
        <w:ind w:left="118" w:right="264"/>
        <w:jc w:val="both"/>
      </w:pPr>
      <w:bookmarkStart w:name="_bookmark12" w:id="18"/>
      <w:bookmarkEnd w:id="18"/>
      <w:r>
        <w:rPr/>
      </w:r>
      <w:r>
        <w:rPr>
          <w:color w:val="292425"/>
        </w:rPr>
        <w:t>Estas situaciones han determinado que en EUA haya crecido la porcicultura y en México se encuentre estancada. A pesar de que la porcicultura de EUA tiene la mayoría de ventajas competitivas</w:t>
      </w:r>
      <w:r>
        <w:rPr>
          <w:color w:val="292425"/>
          <w:spacing w:val="-15"/>
        </w:rPr>
        <w:t> </w:t>
      </w:r>
      <w:r>
        <w:rPr>
          <w:color w:val="292425"/>
        </w:rPr>
        <w:t>sobre</w:t>
      </w:r>
      <w:r>
        <w:rPr>
          <w:color w:val="292425"/>
          <w:spacing w:val="-16"/>
        </w:rPr>
        <w:t> </w:t>
      </w:r>
      <w:r>
        <w:rPr>
          <w:color w:val="292425"/>
        </w:rPr>
        <w:t>la</w:t>
      </w:r>
      <w:r>
        <w:rPr>
          <w:color w:val="292425"/>
          <w:spacing w:val="-15"/>
        </w:rPr>
        <w:t> </w:t>
      </w:r>
      <w:r>
        <w:rPr>
          <w:color w:val="292425"/>
        </w:rPr>
        <w:t>mexicana,</w:t>
      </w:r>
      <w:r>
        <w:rPr>
          <w:color w:val="292425"/>
          <w:spacing w:val="-14"/>
        </w:rPr>
        <w:t> </w:t>
      </w:r>
      <w:r>
        <w:rPr>
          <w:color w:val="292425"/>
        </w:rPr>
        <w:t>las</w:t>
      </w:r>
      <w:r>
        <w:rPr>
          <w:color w:val="292425"/>
          <w:spacing w:val="-15"/>
        </w:rPr>
        <w:t> </w:t>
      </w:r>
      <w:r>
        <w:rPr>
          <w:color w:val="292425"/>
        </w:rPr>
        <w:t>empresas</w:t>
      </w:r>
      <w:r>
        <w:rPr>
          <w:color w:val="292425"/>
          <w:spacing w:val="-14"/>
        </w:rPr>
        <w:t> </w:t>
      </w:r>
      <w:r>
        <w:rPr>
          <w:color w:val="292425"/>
        </w:rPr>
        <w:t>nacionales</w:t>
      </w:r>
      <w:r>
        <w:rPr>
          <w:color w:val="292425"/>
          <w:spacing w:val="-15"/>
        </w:rPr>
        <w:t> </w:t>
      </w:r>
      <w:r>
        <w:rPr>
          <w:color w:val="292425"/>
        </w:rPr>
        <w:t>integradas</w:t>
      </w:r>
      <w:r>
        <w:rPr>
          <w:color w:val="292425"/>
          <w:spacing w:val="-14"/>
        </w:rPr>
        <w:t> </w:t>
      </w:r>
      <w:r>
        <w:rPr>
          <w:color w:val="292425"/>
        </w:rPr>
        <w:t>han</w:t>
      </w:r>
      <w:r>
        <w:rPr>
          <w:color w:val="292425"/>
          <w:spacing w:val="-14"/>
        </w:rPr>
        <w:t> </w:t>
      </w:r>
      <w:r>
        <w:rPr>
          <w:color w:val="292425"/>
        </w:rPr>
        <w:t>tenido</w:t>
      </w:r>
      <w:r>
        <w:rPr>
          <w:color w:val="292425"/>
          <w:spacing w:val="-14"/>
        </w:rPr>
        <w:t> </w:t>
      </w:r>
      <w:r>
        <w:rPr>
          <w:color w:val="292425"/>
        </w:rPr>
        <w:t>utilidades,</w:t>
      </w:r>
      <w:r>
        <w:rPr>
          <w:color w:val="292425"/>
          <w:spacing w:val="-14"/>
        </w:rPr>
        <w:t> </w:t>
      </w:r>
      <w:r>
        <w:rPr>
          <w:color w:val="292425"/>
        </w:rPr>
        <w:t>aunque menores que sus similares en EUA, inclusive en años difíciles, por lo que es de esperar su permanencia</w:t>
      </w:r>
      <w:r>
        <w:rPr>
          <w:color w:val="292425"/>
          <w:spacing w:val="-9"/>
        </w:rPr>
        <w:t> </w:t>
      </w:r>
      <w:r>
        <w:rPr>
          <w:color w:val="292425"/>
        </w:rPr>
        <w:t>en</w:t>
      </w:r>
      <w:r>
        <w:rPr>
          <w:color w:val="292425"/>
          <w:spacing w:val="-6"/>
        </w:rPr>
        <w:t> </w:t>
      </w:r>
      <w:r>
        <w:rPr>
          <w:color w:val="292425"/>
        </w:rPr>
        <w:t>el</w:t>
      </w:r>
      <w:r>
        <w:rPr>
          <w:color w:val="292425"/>
          <w:spacing w:val="-8"/>
        </w:rPr>
        <w:t> </w:t>
      </w:r>
      <w:r>
        <w:rPr>
          <w:color w:val="292425"/>
        </w:rPr>
        <w:t>mercado</w:t>
      </w:r>
      <w:r>
        <w:rPr>
          <w:color w:val="292425"/>
          <w:spacing w:val="-9"/>
        </w:rPr>
        <w:t> </w:t>
      </w:r>
      <w:r>
        <w:rPr>
          <w:color w:val="292425"/>
        </w:rPr>
        <w:t>pero</w:t>
      </w:r>
      <w:r>
        <w:rPr>
          <w:color w:val="292425"/>
          <w:spacing w:val="-9"/>
        </w:rPr>
        <w:t> </w:t>
      </w:r>
      <w:r>
        <w:rPr>
          <w:color w:val="292425"/>
        </w:rPr>
        <w:t>con</w:t>
      </w:r>
      <w:r>
        <w:rPr>
          <w:color w:val="292425"/>
          <w:spacing w:val="-6"/>
        </w:rPr>
        <w:t> </w:t>
      </w:r>
      <w:r>
        <w:rPr>
          <w:color w:val="292425"/>
        </w:rPr>
        <w:t>escaso</w:t>
      </w:r>
      <w:r>
        <w:rPr>
          <w:color w:val="292425"/>
          <w:spacing w:val="-6"/>
        </w:rPr>
        <w:t> </w:t>
      </w:r>
      <w:r>
        <w:rPr>
          <w:color w:val="292425"/>
        </w:rPr>
        <w:t>crecimiento,</w:t>
      </w:r>
      <w:r>
        <w:rPr>
          <w:color w:val="292425"/>
          <w:spacing w:val="-8"/>
        </w:rPr>
        <w:t> </w:t>
      </w:r>
      <w:r>
        <w:rPr>
          <w:color w:val="292425"/>
        </w:rPr>
        <w:t>mientras</w:t>
      </w:r>
      <w:r>
        <w:rPr>
          <w:color w:val="292425"/>
          <w:spacing w:val="-8"/>
        </w:rPr>
        <w:t> </w:t>
      </w:r>
      <w:r>
        <w:rPr>
          <w:color w:val="292425"/>
        </w:rPr>
        <w:t>que</w:t>
      </w:r>
      <w:r>
        <w:rPr>
          <w:color w:val="292425"/>
          <w:spacing w:val="-10"/>
        </w:rPr>
        <w:t> </w:t>
      </w:r>
      <w:r>
        <w:rPr>
          <w:color w:val="292425"/>
        </w:rPr>
        <w:t>las</w:t>
      </w:r>
      <w:r>
        <w:rPr>
          <w:color w:val="292425"/>
          <w:spacing w:val="-7"/>
        </w:rPr>
        <w:t> </w:t>
      </w:r>
      <w:r>
        <w:rPr>
          <w:color w:val="292425"/>
        </w:rPr>
        <w:t>no</w:t>
      </w:r>
      <w:r>
        <w:rPr>
          <w:color w:val="292425"/>
          <w:spacing w:val="-9"/>
        </w:rPr>
        <w:t> </w:t>
      </w:r>
      <w:r>
        <w:rPr>
          <w:color w:val="292425"/>
        </w:rPr>
        <w:t>integradas</w:t>
      </w:r>
      <w:r>
        <w:rPr>
          <w:color w:val="292425"/>
          <w:spacing w:val="-8"/>
        </w:rPr>
        <w:t> </w:t>
      </w:r>
      <w:r>
        <w:rPr>
          <w:color w:val="292425"/>
        </w:rPr>
        <w:t>son</w:t>
      </w:r>
      <w:r>
        <w:rPr>
          <w:color w:val="292425"/>
          <w:spacing w:val="-8"/>
        </w:rPr>
        <w:t> </w:t>
      </w:r>
      <w:r>
        <w:rPr>
          <w:color w:val="292425"/>
        </w:rPr>
        <w:t>muy sensibles</w:t>
      </w:r>
      <w:r>
        <w:rPr>
          <w:color w:val="292425"/>
          <w:spacing w:val="-6"/>
        </w:rPr>
        <w:t> </w:t>
      </w:r>
      <w:r>
        <w:rPr>
          <w:color w:val="292425"/>
        </w:rPr>
        <w:t>al</w:t>
      </w:r>
      <w:r>
        <w:rPr>
          <w:color w:val="292425"/>
          <w:spacing w:val="-6"/>
        </w:rPr>
        <w:t> </w:t>
      </w:r>
      <w:r>
        <w:rPr>
          <w:color w:val="292425"/>
        </w:rPr>
        <w:t>aumento</w:t>
      </w:r>
      <w:r>
        <w:rPr>
          <w:color w:val="292425"/>
          <w:spacing w:val="-6"/>
        </w:rPr>
        <w:t> </w:t>
      </w:r>
      <w:r>
        <w:rPr>
          <w:color w:val="292425"/>
        </w:rPr>
        <w:t>del</w:t>
      </w:r>
      <w:r>
        <w:rPr>
          <w:color w:val="292425"/>
          <w:spacing w:val="-3"/>
        </w:rPr>
        <w:t> </w:t>
      </w:r>
      <w:r>
        <w:rPr>
          <w:color w:val="292425"/>
        </w:rPr>
        <w:t>precio</w:t>
      </w:r>
      <w:r>
        <w:rPr>
          <w:color w:val="292425"/>
          <w:spacing w:val="-6"/>
        </w:rPr>
        <w:t> </w:t>
      </w:r>
      <w:r>
        <w:rPr>
          <w:color w:val="292425"/>
        </w:rPr>
        <w:t>de</w:t>
      </w:r>
      <w:r>
        <w:rPr>
          <w:color w:val="292425"/>
          <w:spacing w:val="-7"/>
        </w:rPr>
        <w:t> </w:t>
      </w:r>
      <w:r>
        <w:rPr>
          <w:color w:val="292425"/>
        </w:rPr>
        <w:t>los</w:t>
      </w:r>
      <w:r>
        <w:rPr>
          <w:color w:val="292425"/>
          <w:spacing w:val="-6"/>
        </w:rPr>
        <w:t> </w:t>
      </w:r>
      <w:r>
        <w:rPr>
          <w:color w:val="292425"/>
        </w:rPr>
        <w:t>insumos</w:t>
      </w:r>
      <w:r>
        <w:rPr>
          <w:color w:val="292425"/>
          <w:spacing w:val="-6"/>
        </w:rPr>
        <w:t> </w:t>
      </w:r>
      <w:r>
        <w:rPr>
          <w:color w:val="292425"/>
        </w:rPr>
        <w:t>o</w:t>
      </w:r>
      <w:r>
        <w:rPr>
          <w:color w:val="292425"/>
          <w:spacing w:val="-4"/>
        </w:rPr>
        <w:t> </w:t>
      </w:r>
      <w:r>
        <w:rPr>
          <w:color w:val="292425"/>
        </w:rPr>
        <w:t>a</w:t>
      </w:r>
      <w:r>
        <w:rPr>
          <w:color w:val="292425"/>
          <w:spacing w:val="-5"/>
        </w:rPr>
        <w:t> </w:t>
      </w:r>
      <w:r>
        <w:rPr>
          <w:color w:val="292425"/>
        </w:rPr>
        <w:t>la</w:t>
      </w:r>
      <w:r>
        <w:rPr>
          <w:color w:val="292425"/>
          <w:spacing w:val="-7"/>
        </w:rPr>
        <w:t> </w:t>
      </w:r>
      <w:r>
        <w:rPr>
          <w:color w:val="292425"/>
        </w:rPr>
        <w:t>baja</w:t>
      </w:r>
      <w:r>
        <w:rPr>
          <w:color w:val="292425"/>
          <w:spacing w:val="-5"/>
        </w:rPr>
        <w:t> </w:t>
      </w:r>
      <w:r>
        <w:rPr>
          <w:color w:val="292425"/>
        </w:rPr>
        <w:t>del</w:t>
      </w:r>
      <w:r>
        <w:rPr>
          <w:color w:val="292425"/>
          <w:spacing w:val="-6"/>
        </w:rPr>
        <w:t> </w:t>
      </w:r>
      <w:r>
        <w:rPr>
          <w:color w:val="292425"/>
        </w:rPr>
        <w:t>precio</w:t>
      </w:r>
      <w:r>
        <w:rPr>
          <w:color w:val="292425"/>
          <w:spacing w:val="-4"/>
        </w:rPr>
        <w:t> </w:t>
      </w:r>
      <w:r>
        <w:rPr>
          <w:color w:val="292425"/>
        </w:rPr>
        <w:t>del</w:t>
      </w:r>
      <w:r>
        <w:rPr>
          <w:color w:val="292425"/>
          <w:spacing w:val="-3"/>
        </w:rPr>
        <w:t> </w:t>
      </w:r>
      <w:r>
        <w:rPr>
          <w:color w:val="292425"/>
        </w:rPr>
        <w:t>cerdo</w:t>
      </w:r>
      <w:r>
        <w:rPr>
          <w:color w:val="292425"/>
          <w:spacing w:val="-6"/>
        </w:rPr>
        <w:t> </w:t>
      </w:r>
      <w:r>
        <w:rPr>
          <w:color w:val="292425"/>
        </w:rPr>
        <w:t>por</w:t>
      </w:r>
      <w:r>
        <w:rPr>
          <w:color w:val="292425"/>
          <w:spacing w:val="-7"/>
        </w:rPr>
        <w:t> </w:t>
      </w:r>
      <w:r>
        <w:rPr>
          <w:color w:val="292425"/>
        </w:rPr>
        <w:t>lo</w:t>
      </w:r>
      <w:r>
        <w:rPr>
          <w:color w:val="292425"/>
          <w:spacing w:val="-6"/>
        </w:rPr>
        <w:t> </w:t>
      </w:r>
      <w:r>
        <w:rPr>
          <w:color w:val="292425"/>
        </w:rPr>
        <w:t>que</w:t>
      </w:r>
      <w:r>
        <w:rPr>
          <w:color w:val="292425"/>
          <w:spacing w:val="-7"/>
        </w:rPr>
        <w:t> </w:t>
      </w:r>
      <w:r>
        <w:rPr>
          <w:color w:val="292425"/>
        </w:rPr>
        <w:t>han</w:t>
      </w:r>
      <w:r>
        <w:rPr>
          <w:color w:val="292425"/>
          <w:spacing w:val="-4"/>
        </w:rPr>
        <w:t> </w:t>
      </w:r>
      <w:r>
        <w:rPr>
          <w:color w:val="292425"/>
        </w:rPr>
        <w:t>ido disminuyéndose. Por todo lo anterior, es muy probable que el incremento del consumo nacional sea cubierto con más importaciones y que la porcicultura integrada estadounidense siga creciendo, y se abre la posibilidad de colocar algunas de sus granjas en México para aprovechar la mano de obra barata (Gómez </w:t>
      </w:r>
      <w:r>
        <w:rPr>
          <w:i/>
          <w:color w:val="292425"/>
        </w:rPr>
        <w:t>et al.,</w:t>
      </w:r>
      <w:r>
        <w:rPr>
          <w:i/>
          <w:color w:val="292425"/>
          <w:spacing w:val="-3"/>
        </w:rPr>
        <w:t> </w:t>
      </w:r>
      <w:r>
        <w:rPr>
          <w:color w:val="292425"/>
        </w:rPr>
        <w:t>2012)</w:t>
      </w:r>
    </w:p>
    <w:p>
      <w:pPr>
        <w:spacing w:after="0" w:line="360" w:lineRule="auto"/>
        <w:jc w:val="both"/>
        <w:sectPr>
          <w:pgSz w:w="12240" w:h="15840"/>
          <w:pgMar w:header="984" w:footer="986" w:top="1280" w:bottom="1180" w:left="130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7"/>
        </w:rPr>
      </w:pPr>
    </w:p>
    <w:p>
      <w:pPr>
        <w:pStyle w:val="Heading1"/>
        <w:numPr>
          <w:ilvl w:val="1"/>
          <w:numId w:val="2"/>
        </w:numPr>
        <w:tabs>
          <w:tab w:pos="1739" w:val="left" w:leader="none"/>
        </w:tabs>
        <w:spacing w:line="1081" w:lineRule="exact" w:before="0" w:after="0"/>
        <w:ind w:left="1738" w:right="0" w:hanging="1603"/>
        <w:jc w:val="left"/>
      </w:pPr>
      <w:r>
        <w:rPr/>
        <w:t>JUSTIFICACIÓN</w:t>
      </w:r>
    </w:p>
    <w:p>
      <w:pPr>
        <w:spacing w:after="0" w:line="1081" w:lineRule="exact"/>
        <w:jc w:val="left"/>
        <w:sectPr>
          <w:pgSz w:w="12240" w:h="15840"/>
          <w:pgMar w:header="984" w:footer="986" w:top="1280" w:bottom="1180" w:left="1300" w:right="1340"/>
        </w:sectPr>
      </w:pPr>
    </w:p>
    <w:p>
      <w:pPr>
        <w:pStyle w:val="BodyText"/>
        <w:spacing w:line="360" w:lineRule="auto" w:before="125"/>
        <w:ind w:left="118" w:right="264"/>
        <w:jc w:val="both"/>
      </w:pPr>
      <w:r>
        <w:rPr/>
        <w:t>La intervención del gobierno de los EUA, apoyando, económicamente, a los porcicultores norteamericanos en 2012 por el aumento en los precios de los insumos, propiciado por la utilización</w:t>
      </w:r>
      <w:r>
        <w:rPr>
          <w:spacing w:val="-8"/>
        </w:rPr>
        <w:t> </w:t>
      </w:r>
      <w:r>
        <w:rPr/>
        <w:t>creciente</w:t>
      </w:r>
      <w:r>
        <w:rPr>
          <w:spacing w:val="-7"/>
        </w:rPr>
        <w:t> </w:t>
      </w:r>
      <w:r>
        <w:rPr/>
        <w:t>de</w:t>
      </w:r>
      <w:r>
        <w:rPr>
          <w:spacing w:val="-10"/>
        </w:rPr>
        <w:t> </w:t>
      </w:r>
      <w:r>
        <w:rPr/>
        <w:t>maíz</w:t>
      </w:r>
      <w:r>
        <w:rPr>
          <w:spacing w:val="-7"/>
        </w:rPr>
        <w:t> </w:t>
      </w:r>
      <w:r>
        <w:rPr/>
        <w:t>en</w:t>
      </w:r>
      <w:r>
        <w:rPr>
          <w:spacing w:val="-9"/>
        </w:rPr>
        <w:t> </w:t>
      </w:r>
      <w:r>
        <w:rPr/>
        <w:t>la</w:t>
      </w:r>
      <w:r>
        <w:rPr>
          <w:spacing w:val="-9"/>
        </w:rPr>
        <w:t> </w:t>
      </w:r>
      <w:r>
        <w:rPr/>
        <w:t>producción</w:t>
      </w:r>
      <w:r>
        <w:rPr>
          <w:spacing w:val="-8"/>
        </w:rPr>
        <w:t> </w:t>
      </w:r>
      <w:r>
        <w:rPr/>
        <w:t>de</w:t>
      </w:r>
      <w:r>
        <w:rPr>
          <w:spacing w:val="-10"/>
        </w:rPr>
        <w:t> </w:t>
      </w:r>
      <w:r>
        <w:rPr/>
        <w:t>etanol</w:t>
      </w:r>
      <w:r>
        <w:rPr>
          <w:spacing w:val="-6"/>
        </w:rPr>
        <w:t> </w:t>
      </w:r>
      <w:r>
        <w:rPr/>
        <w:t>y</w:t>
      </w:r>
      <w:r>
        <w:rPr>
          <w:spacing w:val="-11"/>
        </w:rPr>
        <w:t> </w:t>
      </w:r>
      <w:r>
        <w:rPr/>
        <w:t>el</w:t>
      </w:r>
      <w:r>
        <w:rPr>
          <w:spacing w:val="-8"/>
        </w:rPr>
        <w:t> </w:t>
      </w:r>
      <w:r>
        <w:rPr/>
        <w:t>pronóstico</w:t>
      </w:r>
      <w:r>
        <w:rPr>
          <w:spacing w:val="-9"/>
        </w:rPr>
        <w:t> </w:t>
      </w:r>
      <w:r>
        <w:rPr/>
        <w:t>de</w:t>
      </w:r>
      <w:r>
        <w:rPr>
          <w:spacing w:val="-10"/>
        </w:rPr>
        <w:t> </w:t>
      </w:r>
      <w:r>
        <w:rPr/>
        <w:t>menor</w:t>
      </w:r>
      <w:r>
        <w:rPr>
          <w:spacing w:val="-9"/>
        </w:rPr>
        <w:t> </w:t>
      </w:r>
      <w:r>
        <w:rPr/>
        <w:t>producción</w:t>
      </w:r>
      <w:r>
        <w:rPr>
          <w:spacing w:val="-8"/>
        </w:rPr>
        <w:t> </w:t>
      </w:r>
      <w:r>
        <w:rPr/>
        <w:t>por la sequía, hace necesario evaluar la aplicación de políticas económicas en la porcicultura Mexicana y su efecto en la producción, consumo e importaciones de la carne de</w:t>
      </w:r>
      <w:r>
        <w:rPr>
          <w:spacing w:val="-15"/>
        </w:rPr>
        <w:t> </w:t>
      </w:r>
      <w:r>
        <w:rPr/>
        <w:t>cerdo.</w:t>
      </w:r>
    </w:p>
    <w:p>
      <w:pPr>
        <w:pStyle w:val="BodyText"/>
      </w:pPr>
    </w:p>
    <w:p>
      <w:pPr>
        <w:pStyle w:val="BodyText"/>
        <w:spacing w:line="360" w:lineRule="auto" w:before="143"/>
        <w:ind w:left="118" w:right="268"/>
        <w:jc w:val="both"/>
      </w:pPr>
      <w:r>
        <w:rPr/>
        <w:t>Se</w:t>
      </w:r>
      <w:r>
        <w:rPr>
          <w:spacing w:val="-7"/>
        </w:rPr>
        <w:t> </w:t>
      </w:r>
      <w:r>
        <w:rPr/>
        <w:t>pueden</w:t>
      </w:r>
      <w:r>
        <w:rPr>
          <w:spacing w:val="-6"/>
        </w:rPr>
        <w:t> </w:t>
      </w:r>
      <w:r>
        <w:rPr/>
        <w:t>aplicar</w:t>
      </w:r>
      <w:r>
        <w:rPr>
          <w:spacing w:val="-7"/>
        </w:rPr>
        <w:t> </w:t>
      </w:r>
      <w:r>
        <w:rPr/>
        <w:t>aranceles</w:t>
      </w:r>
      <w:r>
        <w:rPr>
          <w:spacing w:val="-7"/>
        </w:rPr>
        <w:t> </w:t>
      </w:r>
      <w:r>
        <w:rPr/>
        <w:t>a</w:t>
      </w:r>
      <w:r>
        <w:rPr>
          <w:spacing w:val="-7"/>
        </w:rPr>
        <w:t> </w:t>
      </w:r>
      <w:r>
        <w:rPr/>
        <w:t>la</w:t>
      </w:r>
      <w:r>
        <w:rPr>
          <w:spacing w:val="-7"/>
        </w:rPr>
        <w:t> </w:t>
      </w:r>
      <w:r>
        <w:rPr/>
        <w:t>carne</w:t>
      </w:r>
      <w:r>
        <w:rPr>
          <w:spacing w:val="-8"/>
        </w:rPr>
        <w:t> </w:t>
      </w:r>
      <w:r>
        <w:rPr/>
        <w:t>de</w:t>
      </w:r>
      <w:r>
        <w:rPr>
          <w:spacing w:val="-7"/>
        </w:rPr>
        <w:t> </w:t>
      </w:r>
      <w:r>
        <w:rPr/>
        <w:t>cerdo</w:t>
      </w:r>
      <w:r>
        <w:rPr>
          <w:spacing w:val="-7"/>
        </w:rPr>
        <w:t> </w:t>
      </w:r>
      <w:r>
        <w:rPr/>
        <w:t>importada</w:t>
      </w:r>
      <w:r>
        <w:rPr>
          <w:spacing w:val="-7"/>
        </w:rPr>
        <w:t> </w:t>
      </w:r>
      <w:r>
        <w:rPr/>
        <w:t>o</w:t>
      </w:r>
      <w:r>
        <w:rPr>
          <w:spacing w:val="-6"/>
        </w:rPr>
        <w:t> </w:t>
      </w:r>
      <w:r>
        <w:rPr/>
        <w:t>subsidios</w:t>
      </w:r>
      <w:r>
        <w:rPr>
          <w:spacing w:val="-6"/>
        </w:rPr>
        <w:t> </w:t>
      </w:r>
      <w:r>
        <w:rPr/>
        <w:t>que</w:t>
      </w:r>
      <w:r>
        <w:rPr>
          <w:spacing w:val="-6"/>
        </w:rPr>
        <w:t> </w:t>
      </w:r>
      <w:r>
        <w:rPr/>
        <w:t>podrían</w:t>
      </w:r>
      <w:r>
        <w:rPr>
          <w:spacing w:val="-6"/>
        </w:rPr>
        <w:t> </w:t>
      </w:r>
      <w:r>
        <w:rPr/>
        <w:t>utilizarse</w:t>
      </w:r>
      <w:r>
        <w:rPr>
          <w:spacing w:val="-8"/>
        </w:rPr>
        <w:t> </w:t>
      </w:r>
      <w:r>
        <w:rPr/>
        <w:t>para la planta productiva (número de hembras), producción (cerdos enviados al rastro), compra de insumos (principalmente sorgo o maíz). Sin embargo, no se conoce cuál de ellos otorgue a los porcicultores mayor competitividad </w:t>
      </w:r>
      <w:r>
        <w:rPr>
          <w:spacing w:val="-3"/>
        </w:rPr>
        <w:t>y, </w:t>
      </w:r>
      <w:r>
        <w:rPr/>
        <w:t>por otro lado, sea menos costosa su</w:t>
      </w:r>
      <w:r>
        <w:rPr>
          <w:spacing w:val="-7"/>
        </w:rPr>
        <w:t> </w:t>
      </w:r>
      <w:r>
        <w:rPr/>
        <w:t>aplicación.</w:t>
      </w:r>
    </w:p>
    <w:p>
      <w:pPr>
        <w:pStyle w:val="BodyText"/>
      </w:pPr>
    </w:p>
    <w:p>
      <w:pPr>
        <w:pStyle w:val="BodyText"/>
        <w:spacing w:line="360" w:lineRule="auto" w:before="143"/>
        <w:ind w:left="118" w:right="265"/>
        <w:jc w:val="both"/>
      </w:pPr>
      <w:r>
        <w:rPr/>
        <w:t>Debido a que la producción y consumo de carne de cerdo entre las regiones, es diferente </w:t>
      </w:r>
      <w:r>
        <w:rPr>
          <w:spacing w:val="-3"/>
        </w:rPr>
        <w:t>y, </w:t>
      </w:r>
      <w:r>
        <w:rPr/>
        <w:t>las importaciones mexicanas de este producto, se realizan en un 99 % por la frontera norte, es importante generar modelos lineales y no lineales de programación, con los que sea posible obtener</w:t>
      </w:r>
      <w:r>
        <w:rPr>
          <w:spacing w:val="-17"/>
        </w:rPr>
        <w:t> </w:t>
      </w:r>
      <w:r>
        <w:rPr/>
        <w:t>la</w:t>
      </w:r>
      <w:r>
        <w:rPr>
          <w:spacing w:val="-16"/>
        </w:rPr>
        <w:t> </w:t>
      </w:r>
      <w:r>
        <w:rPr/>
        <w:t>distribución</w:t>
      </w:r>
      <w:r>
        <w:rPr>
          <w:spacing w:val="-15"/>
        </w:rPr>
        <w:t> </w:t>
      </w:r>
      <w:r>
        <w:rPr/>
        <w:t>óptima</w:t>
      </w:r>
      <w:r>
        <w:rPr>
          <w:spacing w:val="-16"/>
        </w:rPr>
        <w:t> </w:t>
      </w:r>
      <w:r>
        <w:rPr/>
        <w:t>en</w:t>
      </w:r>
      <w:r>
        <w:rPr>
          <w:spacing w:val="-16"/>
        </w:rPr>
        <w:t> </w:t>
      </w:r>
      <w:r>
        <w:rPr/>
        <w:t>variables</w:t>
      </w:r>
      <w:r>
        <w:rPr>
          <w:spacing w:val="-14"/>
        </w:rPr>
        <w:t> </w:t>
      </w:r>
      <w:r>
        <w:rPr/>
        <w:t>como</w:t>
      </w:r>
      <w:r>
        <w:rPr>
          <w:spacing w:val="-15"/>
        </w:rPr>
        <w:t> </w:t>
      </w:r>
      <w:r>
        <w:rPr/>
        <w:t>producción,</w:t>
      </w:r>
      <w:r>
        <w:rPr>
          <w:spacing w:val="-15"/>
        </w:rPr>
        <w:t> </w:t>
      </w:r>
      <w:r>
        <w:rPr/>
        <w:t>consumo</w:t>
      </w:r>
      <w:r>
        <w:rPr>
          <w:spacing w:val="-16"/>
        </w:rPr>
        <w:t> </w:t>
      </w:r>
      <w:r>
        <w:rPr/>
        <w:t>e</w:t>
      </w:r>
      <w:r>
        <w:rPr>
          <w:spacing w:val="-17"/>
        </w:rPr>
        <w:t> </w:t>
      </w:r>
      <w:r>
        <w:rPr/>
        <w:t>importaciones,</w:t>
      </w:r>
      <w:r>
        <w:rPr>
          <w:spacing w:val="-16"/>
        </w:rPr>
        <w:t> </w:t>
      </w:r>
      <w:r>
        <w:rPr/>
        <w:t>así</w:t>
      </w:r>
      <w:r>
        <w:rPr>
          <w:spacing w:val="-13"/>
        </w:rPr>
        <w:t> </w:t>
      </w:r>
      <w:r>
        <w:rPr/>
        <w:t>como de</w:t>
      </w:r>
      <w:r>
        <w:rPr>
          <w:spacing w:val="-7"/>
        </w:rPr>
        <w:t> </w:t>
      </w:r>
      <w:r>
        <w:rPr/>
        <w:t>rutas</w:t>
      </w:r>
      <w:r>
        <w:rPr>
          <w:spacing w:val="-6"/>
        </w:rPr>
        <w:t> </w:t>
      </w:r>
      <w:r>
        <w:rPr/>
        <w:t>de</w:t>
      </w:r>
      <w:r>
        <w:rPr>
          <w:spacing w:val="-7"/>
        </w:rPr>
        <w:t> </w:t>
      </w:r>
      <w:r>
        <w:rPr/>
        <w:t>importación,</w:t>
      </w:r>
      <w:r>
        <w:rPr>
          <w:spacing w:val="-3"/>
        </w:rPr>
        <w:t> </w:t>
      </w:r>
      <w:r>
        <w:rPr/>
        <w:t>que</w:t>
      </w:r>
      <w:r>
        <w:rPr>
          <w:spacing w:val="-7"/>
        </w:rPr>
        <w:t> </w:t>
      </w:r>
      <w:r>
        <w:rPr/>
        <w:t>vayan</w:t>
      </w:r>
      <w:r>
        <w:rPr>
          <w:spacing w:val="-6"/>
        </w:rPr>
        <w:t> </w:t>
      </w:r>
      <w:r>
        <w:rPr/>
        <w:t>de</w:t>
      </w:r>
      <w:r>
        <w:rPr>
          <w:spacing w:val="-7"/>
        </w:rPr>
        <w:t> </w:t>
      </w:r>
      <w:r>
        <w:rPr/>
        <w:t>acuerdo</w:t>
      </w:r>
      <w:r>
        <w:rPr>
          <w:spacing w:val="-5"/>
        </w:rPr>
        <w:t> </w:t>
      </w:r>
      <w:r>
        <w:rPr/>
        <w:t>a</w:t>
      </w:r>
      <w:r>
        <w:rPr>
          <w:spacing w:val="-7"/>
        </w:rPr>
        <w:t> </w:t>
      </w:r>
      <w:r>
        <w:rPr/>
        <w:t>las</w:t>
      </w:r>
      <w:r>
        <w:rPr>
          <w:spacing w:val="-4"/>
        </w:rPr>
        <w:t> </w:t>
      </w:r>
      <w:r>
        <w:rPr/>
        <w:t>épocas</w:t>
      </w:r>
      <w:r>
        <w:rPr>
          <w:spacing w:val="-6"/>
        </w:rPr>
        <w:t> </w:t>
      </w:r>
      <w:r>
        <w:rPr/>
        <w:t>de</w:t>
      </w:r>
      <w:r>
        <w:rPr>
          <w:spacing w:val="-7"/>
        </w:rPr>
        <w:t> </w:t>
      </w:r>
      <w:r>
        <w:rPr/>
        <w:t>mayor</w:t>
      </w:r>
      <w:r>
        <w:rPr>
          <w:spacing w:val="-1"/>
        </w:rPr>
        <w:t> </w:t>
      </w:r>
      <w:r>
        <w:rPr/>
        <w:t>y</w:t>
      </w:r>
      <w:r>
        <w:rPr>
          <w:spacing w:val="-12"/>
        </w:rPr>
        <w:t> </w:t>
      </w:r>
      <w:r>
        <w:rPr/>
        <w:t>menor</w:t>
      </w:r>
      <w:r>
        <w:rPr>
          <w:spacing w:val="-7"/>
        </w:rPr>
        <w:t> </w:t>
      </w:r>
      <w:r>
        <w:rPr/>
        <w:t>consumo</w:t>
      </w:r>
      <w:r>
        <w:rPr>
          <w:spacing w:val="-5"/>
        </w:rPr>
        <w:t> </w:t>
      </w:r>
      <w:r>
        <w:rPr/>
        <w:t>de</w:t>
      </w:r>
      <w:r>
        <w:rPr>
          <w:spacing w:val="-7"/>
        </w:rPr>
        <w:t> </w:t>
      </w:r>
      <w:r>
        <w:rPr/>
        <w:t>cerdo en</w:t>
      </w:r>
      <w:r>
        <w:rPr>
          <w:spacing w:val="-1"/>
        </w:rPr>
        <w:t> </w:t>
      </w:r>
      <w:r>
        <w:rPr/>
        <w:t>México.</w:t>
      </w:r>
    </w:p>
    <w:p>
      <w:pPr>
        <w:pStyle w:val="BodyText"/>
      </w:pPr>
    </w:p>
    <w:p>
      <w:pPr>
        <w:pStyle w:val="BodyText"/>
        <w:spacing w:line="360" w:lineRule="auto" w:before="143"/>
        <w:ind w:left="118" w:right="266"/>
        <w:jc w:val="both"/>
      </w:pPr>
      <w:r>
        <w:rPr/>
        <w:t>En este mismo sentido, los modelos propuestos en este proyecto y que se visualizan poco más adelante,</w:t>
      </w:r>
      <w:r>
        <w:rPr>
          <w:spacing w:val="-9"/>
        </w:rPr>
        <w:t> </w:t>
      </w:r>
      <w:r>
        <w:rPr/>
        <w:t>se</w:t>
      </w:r>
      <w:r>
        <w:rPr>
          <w:spacing w:val="-7"/>
        </w:rPr>
        <w:t> </w:t>
      </w:r>
      <w:r>
        <w:rPr/>
        <w:t>consideran</w:t>
      </w:r>
      <w:r>
        <w:rPr>
          <w:spacing w:val="-9"/>
        </w:rPr>
        <w:t> </w:t>
      </w:r>
      <w:r>
        <w:rPr/>
        <w:t>óptimos</w:t>
      </w:r>
      <w:r>
        <w:rPr>
          <w:spacing w:val="-8"/>
        </w:rPr>
        <w:t> </w:t>
      </w:r>
      <w:r>
        <w:rPr/>
        <w:t>para</w:t>
      </w:r>
      <w:r>
        <w:rPr>
          <w:spacing w:val="-10"/>
        </w:rPr>
        <w:t> </w:t>
      </w:r>
      <w:r>
        <w:rPr/>
        <w:t>la</w:t>
      </w:r>
      <w:r>
        <w:rPr>
          <w:spacing w:val="-9"/>
        </w:rPr>
        <w:t> </w:t>
      </w:r>
      <w:r>
        <w:rPr/>
        <w:t>problemática</w:t>
      </w:r>
      <w:r>
        <w:rPr>
          <w:spacing w:val="-10"/>
        </w:rPr>
        <w:t> </w:t>
      </w:r>
      <w:r>
        <w:rPr/>
        <w:t>en</w:t>
      </w:r>
      <w:r>
        <w:rPr>
          <w:spacing w:val="-9"/>
        </w:rPr>
        <w:t> </w:t>
      </w:r>
      <w:r>
        <w:rPr/>
        <w:t>cuestión,</w:t>
      </w:r>
      <w:r>
        <w:rPr>
          <w:spacing w:val="-9"/>
        </w:rPr>
        <w:t> </w:t>
      </w:r>
      <w:r>
        <w:rPr/>
        <w:t>en</w:t>
      </w:r>
      <w:r>
        <w:rPr>
          <w:spacing w:val="-9"/>
        </w:rPr>
        <w:t> </w:t>
      </w:r>
      <w:r>
        <w:rPr/>
        <w:t>el</w:t>
      </w:r>
      <w:r>
        <w:rPr>
          <w:spacing w:val="-8"/>
        </w:rPr>
        <w:t> </w:t>
      </w:r>
      <w:r>
        <w:rPr/>
        <w:t>sentido</w:t>
      </w:r>
      <w:r>
        <w:rPr>
          <w:spacing w:val="-9"/>
        </w:rPr>
        <w:t> </w:t>
      </w:r>
      <w:r>
        <w:rPr/>
        <w:t>de</w:t>
      </w:r>
      <w:r>
        <w:rPr>
          <w:spacing w:val="-10"/>
        </w:rPr>
        <w:t> </w:t>
      </w:r>
      <w:r>
        <w:rPr/>
        <w:t>que</w:t>
      </w:r>
      <w:r>
        <w:rPr>
          <w:spacing w:val="-10"/>
        </w:rPr>
        <w:t> </w:t>
      </w:r>
      <w:r>
        <w:rPr/>
        <w:t>en</w:t>
      </w:r>
      <w:r>
        <w:rPr>
          <w:spacing w:val="-9"/>
        </w:rPr>
        <w:t> </w:t>
      </w:r>
      <w:r>
        <w:rPr/>
        <w:t>México no hay aplicaciones metodológicas similares en las que se analice el efecto espacial en las variables de mercado (producción, importaciones y consumo) de carne de cerdo, como se ha realizado con maíz, sorgo, cebada, frijol y melón, la información que existe sobre el tema de porcinos</w:t>
      </w:r>
      <w:r>
        <w:rPr>
          <w:spacing w:val="-7"/>
        </w:rPr>
        <w:t> </w:t>
      </w:r>
      <w:r>
        <w:rPr/>
        <w:t>es</w:t>
      </w:r>
      <w:r>
        <w:rPr>
          <w:spacing w:val="-7"/>
        </w:rPr>
        <w:t> </w:t>
      </w:r>
      <w:r>
        <w:rPr/>
        <w:t>la</w:t>
      </w:r>
      <w:r>
        <w:rPr>
          <w:spacing w:val="-8"/>
        </w:rPr>
        <w:t> </w:t>
      </w:r>
      <w:r>
        <w:rPr/>
        <w:t>publicada</w:t>
      </w:r>
      <w:r>
        <w:rPr>
          <w:spacing w:val="-8"/>
        </w:rPr>
        <w:t> </w:t>
      </w:r>
      <w:r>
        <w:rPr/>
        <w:t>por</w:t>
      </w:r>
      <w:r>
        <w:rPr>
          <w:spacing w:val="-8"/>
        </w:rPr>
        <w:t> </w:t>
      </w:r>
      <w:r>
        <w:rPr/>
        <w:t>Gómez</w:t>
      </w:r>
      <w:r>
        <w:rPr>
          <w:spacing w:val="-5"/>
        </w:rPr>
        <w:t> </w:t>
      </w:r>
      <w:r>
        <w:rPr>
          <w:i/>
        </w:rPr>
        <w:t>et</w:t>
      </w:r>
      <w:r>
        <w:rPr>
          <w:i/>
          <w:spacing w:val="-7"/>
        </w:rPr>
        <w:t> </w:t>
      </w:r>
      <w:r>
        <w:rPr>
          <w:i/>
        </w:rPr>
        <w:t>al.</w:t>
      </w:r>
      <w:r>
        <w:rPr>
          <w:i/>
          <w:spacing w:val="-9"/>
        </w:rPr>
        <w:t> </w:t>
      </w:r>
      <w:r>
        <w:rPr/>
        <w:t>(2011),</w:t>
      </w:r>
      <w:r>
        <w:rPr>
          <w:spacing w:val="-7"/>
        </w:rPr>
        <w:t> </w:t>
      </w:r>
      <w:r>
        <w:rPr/>
        <w:t>en</w:t>
      </w:r>
      <w:r>
        <w:rPr>
          <w:spacing w:val="-7"/>
        </w:rPr>
        <w:t> </w:t>
      </w:r>
      <w:r>
        <w:rPr/>
        <w:t>la</w:t>
      </w:r>
      <w:r>
        <w:rPr>
          <w:spacing w:val="-8"/>
        </w:rPr>
        <w:t> </w:t>
      </w:r>
      <w:r>
        <w:rPr/>
        <w:t>cual</w:t>
      </w:r>
      <w:r>
        <w:rPr>
          <w:spacing w:val="-7"/>
        </w:rPr>
        <w:t> </w:t>
      </w:r>
      <w:r>
        <w:rPr/>
        <w:t>se</w:t>
      </w:r>
      <w:r>
        <w:rPr>
          <w:spacing w:val="-8"/>
        </w:rPr>
        <w:t> </w:t>
      </w:r>
      <w:r>
        <w:rPr/>
        <w:t>calculó</w:t>
      </w:r>
      <w:r>
        <w:rPr>
          <w:spacing w:val="-7"/>
        </w:rPr>
        <w:t> </w:t>
      </w:r>
      <w:r>
        <w:rPr/>
        <w:t>el</w:t>
      </w:r>
      <w:r>
        <w:rPr>
          <w:spacing w:val="-7"/>
        </w:rPr>
        <w:t> </w:t>
      </w:r>
      <w:r>
        <w:rPr/>
        <w:t>efecto</w:t>
      </w:r>
      <w:r>
        <w:rPr>
          <w:spacing w:val="-7"/>
        </w:rPr>
        <w:t> </w:t>
      </w:r>
      <w:r>
        <w:rPr/>
        <w:t>que</w:t>
      </w:r>
      <w:r>
        <w:rPr>
          <w:spacing w:val="-8"/>
        </w:rPr>
        <w:t> </w:t>
      </w:r>
      <w:r>
        <w:rPr/>
        <w:t>los</w:t>
      </w:r>
      <w:r>
        <w:rPr>
          <w:spacing w:val="-7"/>
        </w:rPr>
        <w:t> </w:t>
      </w:r>
      <w:r>
        <w:rPr/>
        <w:t>aranceles tienen</w:t>
      </w:r>
      <w:r>
        <w:rPr>
          <w:spacing w:val="-4"/>
        </w:rPr>
        <w:t> </w:t>
      </w:r>
      <w:r>
        <w:rPr/>
        <w:t>sobre</w:t>
      </w:r>
      <w:r>
        <w:rPr>
          <w:spacing w:val="-5"/>
        </w:rPr>
        <w:t> </w:t>
      </w:r>
      <w:r>
        <w:rPr/>
        <w:t>variables</w:t>
      </w:r>
      <w:r>
        <w:rPr>
          <w:spacing w:val="-4"/>
        </w:rPr>
        <w:t> </w:t>
      </w:r>
      <w:r>
        <w:rPr/>
        <w:t>como</w:t>
      </w:r>
      <w:r>
        <w:rPr>
          <w:spacing w:val="-3"/>
        </w:rPr>
        <w:t> </w:t>
      </w:r>
      <w:r>
        <w:rPr/>
        <w:t>producción</w:t>
      </w:r>
      <w:r>
        <w:rPr>
          <w:spacing w:val="-2"/>
        </w:rPr>
        <w:t> </w:t>
      </w:r>
      <w:r>
        <w:rPr/>
        <w:t>y</w:t>
      </w:r>
      <w:r>
        <w:rPr>
          <w:spacing w:val="-8"/>
        </w:rPr>
        <w:t> </w:t>
      </w:r>
      <w:r>
        <w:rPr/>
        <w:t>precio</w:t>
      </w:r>
      <w:r>
        <w:rPr>
          <w:spacing w:val="-3"/>
        </w:rPr>
        <w:t> </w:t>
      </w:r>
      <w:r>
        <w:rPr/>
        <w:t>de</w:t>
      </w:r>
      <w:r>
        <w:rPr>
          <w:spacing w:val="-5"/>
        </w:rPr>
        <w:t> </w:t>
      </w:r>
      <w:r>
        <w:rPr/>
        <w:t>la</w:t>
      </w:r>
      <w:r>
        <w:rPr>
          <w:spacing w:val="-4"/>
        </w:rPr>
        <w:t> </w:t>
      </w:r>
      <w:r>
        <w:rPr/>
        <w:t>carne</w:t>
      </w:r>
      <w:r>
        <w:rPr>
          <w:spacing w:val="-5"/>
        </w:rPr>
        <w:t> </w:t>
      </w:r>
      <w:r>
        <w:rPr/>
        <w:t>de</w:t>
      </w:r>
      <w:r>
        <w:rPr>
          <w:spacing w:val="-5"/>
        </w:rPr>
        <w:t> </w:t>
      </w:r>
      <w:r>
        <w:rPr/>
        <w:t>cerdo</w:t>
      </w:r>
      <w:r>
        <w:rPr>
          <w:spacing w:val="-5"/>
        </w:rPr>
        <w:t> </w:t>
      </w:r>
      <w:r>
        <w:rPr/>
        <w:t>en</w:t>
      </w:r>
      <w:r>
        <w:rPr>
          <w:spacing w:val="-4"/>
        </w:rPr>
        <w:t> </w:t>
      </w:r>
      <w:r>
        <w:rPr/>
        <w:t>México,</w:t>
      </w:r>
      <w:r>
        <w:rPr>
          <w:spacing w:val="-4"/>
        </w:rPr>
        <w:t> </w:t>
      </w:r>
      <w:r>
        <w:rPr/>
        <w:t>sin</w:t>
      </w:r>
      <w:r>
        <w:rPr>
          <w:spacing w:val="-3"/>
        </w:rPr>
        <w:t> </w:t>
      </w:r>
      <w:r>
        <w:rPr/>
        <w:t>embargo</w:t>
      </w:r>
      <w:r>
        <w:rPr>
          <w:spacing w:val="-4"/>
        </w:rPr>
        <w:t> </w:t>
      </w:r>
      <w:r>
        <w:rPr/>
        <w:t>la metodología utilizada fue la propuesta por Armington</w:t>
      </w:r>
      <w:r>
        <w:rPr>
          <w:spacing w:val="-9"/>
        </w:rPr>
        <w:t> </w:t>
      </w:r>
      <w:r>
        <w:rPr/>
        <w:t>(1969).</w:t>
      </w:r>
    </w:p>
    <w:p>
      <w:pPr>
        <w:spacing w:after="0" w:line="360" w:lineRule="auto"/>
        <w:jc w:val="both"/>
        <w:sectPr>
          <w:pgSz w:w="12240" w:h="15840"/>
          <w:pgMar w:header="984" w:footer="986" w:top="1280" w:bottom="1180" w:left="130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9"/>
        </w:rPr>
      </w:pPr>
    </w:p>
    <w:p>
      <w:pPr>
        <w:pStyle w:val="Heading1"/>
        <w:numPr>
          <w:ilvl w:val="1"/>
          <w:numId w:val="2"/>
        </w:numPr>
        <w:tabs>
          <w:tab w:pos="2911" w:val="left" w:leader="none"/>
        </w:tabs>
        <w:spacing w:line="1080" w:lineRule="exact" w:before="0" w:after="0"/>
        <w:ind w:left="2910" w:right="0" w:hanging="1548"/>
        <w:jc w:val="left"/>
      </w:pPr>
      <w:bookmarkStart w:name="_bookmark13" w:id="19"/>
      <w:bookmarkEnd w:id="19"/>
      <w:r>
        <w:rPr>
          <w:b w:val="0"/>
        </w:rPr>
      </w:r>
      <w:bookmarkStart w:name="_bookmark13" w:id="20"/>
      <w:bookmarkEnd w:id="20"/>
      <w:r>
        <w:rPr/>
        <w:t>HIPÓTESIS</w:t>
      </w:r>
    </w:p>
    <w:p>
      <w:pPr>
        <w:spacing w:after="0" w:line="1080" w:lineRule="exact"/>
        <w:jc w:val="left"/>
        <w:sectPr>
          <w:pgSz w:w="12240" w:h="15840"/>
          <w:pgMar w:header="984" w:footer="986" w:top="1280" w:bottom="1180" w:left="1300" w:right="1340"/>
        </w:sectPr>
      </w:pPr>
    </w:p>
    <w:p>
      <w:pPr>
        <w:pStyle w:val="BodyText"/>
        <w:spacing w:before="125"/>
        <w:ind w:left="118" w:right="410"/>
      </w:pPr>
      <w:r>
        <w:rPr/>
        <w:t>El presente trabajo planteo hipótesis de acuerdo al tipo de investigación que se realizó.</w:t>
      </w:r>
    </w:p>
    <w:p>
      <w:pPr>
        <w:pStyle w:val="BodyText"/>
      </w:pPr>
    </w:p>
    <w:p>
      <w:pPr>
        <w:pStyle w:val="BodyText"/>
      </w:pPr>
    </w:p>
    <w:p>
      <w:pPr>
        <w:pStyle w:val="BodyText"/>
        <w:spacing w:before="10"/>
        <w:rPr>
          <w:sz w:val="35"/>
        </w:rPr>
      </w:pPr>
    </w:p>
    <w:p>
      <w:pPr>
        <w:pStyle w:val="ListParagraph"/>
        <w:numPr>
          <w:ilvl w:val="0"/>
          <w:numId w:val="9"/>
        </w:numPr>
        <w:tabs>
          <w:tab w:pos="839" w:val="left" w:leader="none"/>
        </w:tabs>
        <w:spacing w:line="360" w:lineRule="auto" w:before="0" w:after="0"/>
        <w:ind w:left="838" w:right="266" w:hanging="360"/>
        <w:jc w:val="both"/>
        <w:rPr>
          <w:sz w:val="24"/>
        </w:rPr>
      </w:pPr>
      <w:r>
        <w:rPr>
          <w:sz w:val="24"/>
        </w:rPr>
        <w:t>La</w:t>
      </w:r>
      <w:r>
        <w:rPr>
          <w:spacing w:val="-7"/>
          <w:sz w:val="24"/>
        </w:rPr>
        <w:t> </w:t>
      </w:r>
      <w:r>
        <w:rPr>
          <w:sz w:val="24"/>
        </w:rPr>
        <w:t>ubicación,</w:t>
      </w:r>
      <w:r>
        <w:rPr>
          <w:spacing w:val="-8"/>
          <w:sz w:val="24"/>
        </w:rPr>
        <w:t> </w:t>
      </w:r>
      <w:r>
        <w:rPr>
          <w:sz w:val="24"/>
        </w:rPr>
        <w:t>el</w:t>
      </w:r>
      <w:r>
        <w:rPr>
          <w:spacing w:val="-8"/>
          <w:sz w:val="24"/>
        </w:rPr>
        <w:t> </w:t>
      </w:r>
      <w:r>
        <w:rPr>
          <w:sz w:val="24"/>
        </w:rPr>
        <w:t>tamaño</w:t>
      </w:r>
      <w:r>
        <w:rPr>
          <w:spacing w:val="-6"/>
          <w:sz w:val="24"/>
        </w:rPr>
        <w:t> </w:t>
      </w:r>
      <w:r>
        <w:rPr>
          <w:sz w:val="24"/>
        </w:rPr>
        <w:t>de</w:t>
      </w:r>
      <w:r>
        <w:rPr>
          <w:spacing w:val="-10"/>
          <w:sz w:val="24"/>
        </w:rPr>
        <w:t> </w:t>
      </w:r>
      <w:r>
        <w:rPr>
          <w:sz w:val="24"/>
        </w:rPr>
        <w:t>planta</w:t>
      </w:r>
      <w:r>
        <w:rPr>
          <w:spacing w:val="-9"/>
          <w:sz w:val="24"/>
        </w:rPr>
        <w:t> </w:t>
      </w:r>
      <w:r>
        <w:rPr>
          <w:sz w:val="24"/>
        </w:rPr>
        <w:t>de</w:t>
      </w:r>
      <w:r>
        <w:rPr>
          <w:spacing w:val="-10"/>
          <w:sz w:val="24"/>
        </w:rPr>
        <w:t> </w:t>
      </w:r>
      <w:r>
        <w:rPr>
          <w:sz w:val="24"/>
        </w:rPr>
        <w:t>los</w:t>
      </w:r>
      <w:r>
        <w:rPr>
          <w:spacing w:val="-6"/>
          <w:sz w:val="24"/>
        </w:rPr>
        <w:t> </w:t>
      </w:r>
      <w:r>
        <w:rPr>
          <w:sz w:val="24"/>
        </w:rPr>
        <w:t>rastros</w:t>
      </w:r>
      <w:r>
        <w:rPr>
          <w:spacing w:val="-8"/>
          <w:sz w:val="24"/>
        </w:rPr>
        <w:t> </w:t>
      </w:r>
      <w:r>
        <w:rPr>
          <w:sz w:val="24"/>
        </w:rPr>
        <w:t>en</w:t>
      </w:r>
      <w:r>
        <w:rPr>
          <w:spacing w:val="-7"/>
          <w:sz w:val="24"/>
        </w:rPr>
        <w:t> </w:t>
      </w:r>
      <w:r>
        <w:rPr>
          <w:sz w:val="24"/>
        </w:rPr>
        <w:t>el</w:t>
      </w:r>
      <w:r>
        <w:rPr>
          <w:spacing w:val="-8"/>
          <w:sz w:val="24"/>
        </w:rPr>
        <w:t> </w:t>
      </w:r>
      <w:r>
        <w:rPr>
          <w:sz w:val="24"/>
        </w:rPr>
        <w:t>sur</w:t>
      </w:r>
      <w:r>
        <w:rPr>
          <w:spacing w:val="-9"/>
          <w:sz w:val="24"/>
        </w:rPr>
        <w:t> </w:t>
      </w:r>
      <w:r>
        <w:rPr>
          <w:sz w:val="24"/>
        </w:rPr>
        <w:t>del</w:t>
      </w:r>
      <w:r>
        <w:rPr>
          <w:spacing w:val="-8"/>
          <w:sz w:val="24"/>
        </w:rPr>
        <w:t> </w:t>
      </w:r>
      <w:r>
        <w:rPr>
          <w:sz w:val="24"/>
        </w:rPr>
        <w:t>Estado</w:t>
      </w:r>
      <w:r>
        <w:rPr>
          <w:spacing w:val="-9"/>
          <w:sz w:val="24"/>
        </w:rPr>
        <w:t> </w:t>
      </w:r>
      <w:r>
        <w:rPr>
          <w:sz w:val="24"/>
        </w:rPr>
        <w:t>de</w:t>
      </w:r>
      <w:r>
        <w:rPr>
          <w:spacing w:val="-10"/>
          <w:sz w:val="24"/>
        </w:rPr>
        <w:t> </w:t>
      </w:r>
      <w:r>
        <w:rPr>
          <w:sz w:val="24"/>
        </w:rPr>
        <w:t>México</w:t>
      </w:r>
      <w:r>
        <w:rPr>
          <w:spacing w:val="-7"/>
          <w:sz w:val="24"/>
        </w:rPr>
        <w:t> </w:t>
      </w:r>
      <w:r>
        <w:rPr>
          <w:sz w:val="24"/>
        </w:rPr>
        <w:t>y</w:t>
      </w:r>
      <w:r>
        <w:rPr>
          <w:spacing w:val="-13"/>
          <w:sz w:val="24"/>
        </w:rPr>
        <w:t> </w:t>
      </w:r>
      <w:r>
        <w:rPr>
          <w:sz w:val="24"/>
        </w:rPr>
        <w:t>las</w:t>
      </w:r>
      <w:r>
        <w:rPr>
          <w:spacing w:val="-8"/>
          <w:sz w:val="24"/>
        </w:rPr>
        <w:t> </w:t>
      </w:r>
      <w:r>
        <w:rPr>
          <w:sz w:val="24"/>
        </w:rPr>
        <w:t>rutas de</w:t>
      </w:r>
      <w:r>
        <w:rPr>
          <w:spacing w:val="-10"/>
          <w:sz w:val="24"/>
        </w:rPr>
        <w:t> </w:t>
      </w:r>
      <w:r>
        <w:rPr>
          <w:sz w:val="24"/>
        </w:rPr>
        <w:t>distribución</w:t>
      </w:r>
      <w:r>
        <w:rPr>
          <w:spacing w:val="-8"/>
          <w:sz w:val="24"/>
        </w:rPr>
        <w:t> </w:t>
      </w:r>
      <w:r>
        <w:rPr>
          <w:sz w:val="24"/>
        </w:rPr>
        <w:t>de</w:t>
      </w:r>
      <w:r>
        <w:rPr>
          <w:spacing w:val="-5"/>
          <w:sz w:val="24"/>
        </w:rPr>
        <w:t> </w:t>
      </w:r>
      <w:r>
        <w:rPr>
          <w:sz w:val="24"/>
        </w:rPr>
        <w:t>granjas</w:t>
      </w:r>
      <w:r>
        <w:rPr>
          <w:spacing w:val="-7"/>
          <w:sz w:val="24"/>
        </w:rPr>
        <w:t> </w:t>
      </w:r>
      <w:r>
        <w:rPr>
          <w:sz w:val="24"/>
        </w:rPr>
        <w:t>a</w:t>
      </w:r>
      <w:r>
        <w:rPr>
          <w:spacing w:val="-7"/>
          <w:sz w:val="24"/>
        </w:rPr>
        <w:t> </w:t>
      </w:r>
      <w:r>
        <w:rPr>
          <w:sz w:val="24"/>
        </w:rPr>
        <w:t>rastros</w:t>
      </w:r>
      <w:r>
        <w:rPr>
          <w:spacing w:val="-4"/>
          <w:sz w:val="24"/>
        </w:rPr>
        <w:t> </w:t>
      </w:r>
      <w:r>
        <w:rPr>
          <w:sz w:val="24"/>
        </w:rPr>
        <w:t>y</w:t>
      </w:r>
      <w:r>
        <w:rPr>
          <w:spacing w:val="-11"/>
          <w:sz w:val="24"/>
        </w:rPr>
        <w:t> </w:t>
      </w:r>
      <w:r>
        <w:rPr>
          <w:sz w:val="24"/>
        </w:rPr>
        <w:t>de</w:t>
      </w:r>
      <w:r>
        <w:rPr>
          <w:spacing w:val="-7"/>
          <w:sz w:val="24"/>
        </w:rPr>
        <w:t> </w:t>
      </w:r>
      <w:r>
        <w:rPr>
          <w:sz w:val="24"/>
        </w:rPr>
        <w:t>granjas</w:t>
      </w:r>
      <w:r>
        <w:rPr>
          <w:spacing w:val="-7"/>
          <w:sz w:val="24"/>
        </w:rPr>
        <w:t> </w:t>
      </w:r>
      <w:r>
        <w:rPr>
          <w:sz w:val="24"/>
        </w:rPr>
        <w:t>a</w:t>
      </w:r>
      <w:r>
        <w:rPr>
          <w:spacing w:val="-7"/>
          <w:sz w:val="24"/>
        </w:rPr>
        <w:t> </w:t>
      </w:r>
      <w:r>
        <w:rPr>
          <w:sz w:val="24"/>
        </w:rPr>
        <w:t>centros</w:t>
      </w:r>
      <w:r>
        <w:rPr>
          <w:spacing w:val="-9"/>
          <w:sz w:val="24"/>
        </w:rPr>
        <w:t> </w:t>
      </w:r>
      <w:r>
        <w:rPr>
          <w:sz w:val="24"/>
        </w:rPr>
        <w:t>de</w:t>
      </w:r>
      <w:r>
        <w:rPr>
          <w:spacing w:val="-7"/>
          <w:sz w:val="24"/>
        </w:rPr>
        <w:t> </w:t>
      </w:r>
      <w:r>
        <w:rPr>
          <w:sz w:val="24"/>
        </w:rPr>
        <w:t>consumo</w:t>
      </w:r>
      <w:r>
        <w:rPr>
          <w:spacing w:val="-6"/>
          <w:sz w:val="24"/>
        </w:rPr>
        <w:t> </w:t>
      </w:r>
      <w:r>
        <w:rPr>
          <w:sz w:val="24"/>
        </w:rPr>
        <w:t>no</w:t>
      </w:r>
      <w:r>
        <w:rPr>
          <w:spacing w:val="-7"/>
          <w:sz w:val="24"/>
        </w:rPr>
        <w:t> </w:t>
      </w:r>
      <w:r>
        <w:rPr>
          <w:sz w:val="24"/>
        </w:rPr>
        <w:t>son</w:t>
      </w:r>
      <w:r>
        <w:rPr>
          <w:spacing w:val="-9"/>
          <w:sz w:val="24"/>
        </w:rPr>
        <w:t> </w:t>
      </w:r>
      <w:r>
        <w:rPr>
          <w:sz w:val="24"/>
        </w:rPr>
        <w:t>las</w:t>
      </w:r>
      <w:r>
        <w:rPr>
          <w:spacing w:val="-9"/>
          <w:sz w:val="24"/>
        </w:rPr>
        <w:t> </w:t>
      </w:r>
      <w:r>
        <w:rPr>
          <w:sz w:val="24"/>
        </w:rPr>
        <w:t>óptimas.</w:t>
      </w:r>
    </w:p>
    <w:p>
      <w:pPr>
        <w:pStyle w:val="BodyText"/>
      </w:pPr>
    </w:p>
    <w:p>
      <w:pPr>
        <w:pStyle w:val="ListParagraph"/>
        <w:numPr>
          <w:ilvl w:val="0"/>
          <w:numId w:val="9"/>
        </w:numPr>
        <w:tabs>
          <w:tab w:pos="839" w:val="left" w:leader="none"/>
        </w:tabs>
        <w:spacing w:line="360" w:lineRule="auto" w:before="143" w:after="0"/>
        <w:ind w:left="838" w:right="271" w:hanging="360"/>
        <w:jc w:val="both"/>
        <w:rPr>
          <w:sz w:val="24"/>
        </w:rPr>
      </w:pPr>
      <w:r>
        <w:rPr>
          <w:sz w:val="24"/>
        </w:rPr>
        <w:t>Ni la ubicación, ni el tamaño de planta de los rastros en el Estado de México ni las rutas de distribución de granja a rastro y de rastro a centros de consumo, serán los óptimos en 2030.</w:t>
      </w:r>
    </w:p>
    <w:p>
      <w:pPr>
        <w:pStyle w:val="BodyText"/>
        <w:spacing w:before="9"/>
        <w:rPr>
          <w:sz w:val="25"/>
        </w:rPr>
      </w:pPr>
    </w:p>
    <w:p>
      <w:pPr>
        <w:pStyle w:val="ListParagraph"/>
        <w:numPr>
          <w:ilvl w:val="0"/>
          <w:numId w:val="9"/>
        </w:numPr>
        <w:tabs>
          <w:tab w:pos="839" w:val="left" w:leader="none"/>
        </w:tabs>
        <w:spacing w:line="360" w:lineRule="auto" w:before="0" w:after="0"/>
        <w:ind w:left="838" w:right="265" w:hanging="360"/>
        <w:jc w:val="both"/>
        <w:rPr>
          <w:sz w:val="24"/>
        </w:rPr>
      </w:pPr>
      <w:r>
        <w:rPr>
          <w:sz w:val="24"/>
        </w:rPr>
        <w:t>El mercado de la carne de cerdo en México para el año 2015 no fue el óptimo debido a que no maximizo el valor social</w:t>
      </w:r>
      <w:r>
        <w:rPr>
          <w:spacing w:val="-6"/>
          <w:sz w:val="24"/>
        </w:rPr>
        <w:t> </w:t>
      </w:r>
      <w:r>
        <w:rPr>
          <w:sz w:val="24"/>
        </w:rPr>
        <w:t>neto.</w:t>
      </w:r>
    </w:p>
    <w:p>
      <w:pPr>
        <w:pStyle w:val="BodyText"/>
      </w:pPr>
    </w:p>
    <w:p>
      <w:pPr>
        <w:pStyle w:val="ListParagraph"/>
        <w:numPr>
          <w:ilvl w:val="0"/>
          <w:numId w:val="9"/>
        </w:numPr>
        <w:tabs>
          <w:tab w:pos="839" w:val="left" w:leader="none"/>
        </w:tabs>
        <w:spacing w:line="360" w:lineRule="auto" w:before="143" w:after="0"/>
        <w:ind w:left="838" w:right="268" w:hanging="360"/>
        <w:jc w:val="both"/>
        <w:rPr>
          <w:sz w:val="24"/>
        </w:rPr>
      </w:pPr>
      <w:r>
        <w:rPr>
          <w:sz w:val="24"/>
        </w:rPr>
        <w:t>La</w:t>
      </w:r>
      <w:r>
        <w:rPr>
          <w:spacing w:val="-13"/>
          <w:sz w:val="24"/>
        </w:rPr>
        <w:t> </w:t>
      </w:r>
      <w:r>
        <w:rPr>
          <w:sz w:val="24"/>
        </w:rPr>
        <w:t>aplicación</w:t>
      </w:r>
      <w:r>
        <w:rPr>
          <w:spacing w:val="-14"/>
          <w:sz w:val="24"/>
        </w:rPr>
        <w:t> </w:t>
      </w:r>
      <w:r>
        <w:rPr>
          <w:sz w:val="24"/>
        </w:rPr>
        <w:t>de</w:t>
      </w:r>
      <w:r>
        <w:rPr>
          <w:spacing w:val="-15"/>
          <w:sz w:val="24"/>
        </w:rPr>
        <w:t> </w:t>
      </w:r>
      <w:r>
        <w:rPr>
          <w:sz w:val="24"/>
        </w:rPr>
        <w:t>un</w:t>
      </w:r>
      <w:r>
        <w:rPr>
          <w:spacing w:val="-14"/>
          <w:sz w:val="24"/>
        </w:rPr>
        <w:t> </w:t>
      </w:r>
      <w:r>
        <w:rPr>
          <w:sz w:val="24"/>
        </w:rPr>
        <w:t>arancel</w:t>
      </w:r>
      <w:r>
        <w:rPr>
          <w:spacing w:val="-14"/>
          <w:sz w:val="24"/>
        </w:rPr>
        <w:t> </w:t>
      </w:r>
      <w:r>
        <w:rPr>
          <w:sz w:val="24"/>
        </w:rPr>
        <w:t>a</w:t>
      </w:r>
      <w:r>
        <w:rPr>
          <w:spacing w:val="-15"/>
          <w:sz w:val="24"/>
        </w:rPr>
        <w:t> </w:t>
      </w:r>
      <w:r>
        <w:rPr>
          <w:sz w:val="24"/>
        </w:rPr>
        <w:t>la</w:t>
      </w:r>
      <w:r>
        <w:rPr>
          <w:spacing w:val="-15"/>
          <w:sz w:val="24"/>
        </w:rPr>
        <w:t> </w:t>
      </w:r>
      <w:r>
        <w:rPr>
          <w:sz w:val="24"/>
        </w:rPr>
        <w:t>carne</w:t>
      </w:r>
      <w:r>
        <w:rPr>
          <w:spacing w:val="-15"/>
          <w:sz w:val="24"/>
        </w:rPr>
        <w:t> </w:t>
      </w:r>
      <w:r>
        <w:rPr>
          <w:sz w:val="24"/>
        </w:rPr>
        <w:t>de</w:t>
      </w:r>
      <w:r>
        <w:rPr>
          <w:spacing w:val="-13"/>
          <w:sz w:val="24"/>
        </w:rPr>
        <w:t> </w:t>
      </w:r>
      <w:r>
        <w:rPr>
          <w:sz w:val="24"/>
        </w:rPr>
        <w:t>cerdo</w:t>
      </w:r>
      <w:r>
        <w:rPr>
          <w:spacing w:val="-15"/>
          <w:sz w:val="24"/>
        </w:rPr>
        <w:t> </w:t>
      </w:r>
      <w:r>
        <w:rPr>
          <w:sz w:val="24"/>
        </w:rPr>
        <w:t>que</w:t>
      </w:r>
      <w:r>
        <w:rPr>
          <w:spacing w:val="-13"/>
          <w:sz w:val="24"/>
        </w:rPr>
        <w:t> </w:t>
      </w:r>
      <w:r>
        <w:rPr>
          <w:sz w:val="24"/>
        </w:rPr>
        <w:t>proviene</w:t>
      </w:r>
      <w:r>
        <w:rPr>
          <w:spacing w:val="-15"/>
          <w:sz w:val="24"/>
        </w:rPr>
        <w:t> </w:t>
      </w:r>
      <w:r>
        <w:rPr>
          <w:sz w:val="24"/>
        </w:rPr>
        <w:t>de</w:t>
      </w:r>
      <w:r>
        <w:rPr>
          <w:spacing w:val="-15"/>
          <w:sz w:val="24"/>
        </w:rPr>
        <w:t> </w:t>
      </w:r>
      <w:r>
        <w:rPr>
          <w:sz w:val="24"/>
        </w:rPr>
        <w:t>Estados</w:t>
      </w:r>
      <w:r>
        <w:rPr>
          <w:spacing w:val="-15"/>
          <w:sz w:val="24"/>
        </w:rPr>
        <w:t> </w:t>
      </w:r>
      <w:r>
        <w:rPr>
          <w:sz w:val="24"/>
        </w:rPr>
        <w:t>Unidos</w:t>
      </w:r>
      <w:r>
        <w:rPr>
          <w:spacing w:val="-14"/>
          <w:sz w:val="24"/>
        </w:rPr>
        <w:t> </w:t>
      </w:r>
      <w:r>
        <w:rPr>
          <w:sz w:val="24"/>
        </w:rPr>
        <w:t>propiciara una disminución en la importación y un aumento en la producción de cerdo en</w:t>
      </w:r>
      <w:r>
        <w:rPr>
          <w:spacing w:val="-7"/>
          <w:sz w:val="24"/>
        </w:rPr>
        <w:t> </w:t>
      </w:r>
      <w:r>
        <w:rPr>
          <w:sz w:val="24"/>
        </w:rPr>
        <w:t>México.</w:t>
      </w:r>
    </w:p>
    <w:p>
      <w:pPr>
        <w:pStyle w:val="BodyText"/>
      </w:pPr>
    </w:p>
    <w:p>
      <w:pPr>
        <w:pStyle w:val="ListParagraph"/>
        <w:numPr>
          <w:ilvl w:val="0"/>
          <w:numId w:val="9"/>
        </w:numPr>
        <w:tabs>
          <w:tab w:pos="839" w:val="left" w:leader="none"/>
        </w:tabs>
        <w:spacing w:line="362" w:lineRule="auto" w:before="143" w:after="0"/>
        <w:ind w:left="838" w:right="270" w:hanging="360"/>
        <w:jc w:val="both"/>
        <w:rPr>
          <w:sz w:val="24"/>
        </w:rPr>
      </w:pPr>
      <w:r>
        <w:rPr>
          <w:sz w:val="24"/>
        </w:rPr>
        <w:t>La aplicación de políticas económicas propiciará una disminución en consumo e importación y un aumento en la producción de cerdo en</w:t>
      </w:r>
      <w:r>
        <w:rPr>
          <w:spacing w:val="-8"/>
          <w:sz w:val="24"/>
        </w:rPr>
        <w:t> </w:t>
      </w:r>
      <w:r>
        <w:rPr>
          <w:sz w:val="24"/>
        </w:rPr>
        <w:t>México.</w:t>
      </w:r>
    </w:p>
    <w:p>
      <w:pPr>
        <w:spacing w:after="0" w:line="362" w:lineRule="auto"/>
        <w:jc w:val="both"/>
        <w:rPr>
          <w:sz w:val="24"/>
        </w:rPr>
        <w:sectPr>
          <w:pgSz w:w="12240" w:h="15840"/>
          <w:pgMar w:header="984" w:footer="986" w:top="1280" w:bottom="1180" w:left="130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7"/>
        </w:rPr>
      </w:pPr>
    </w:p>
    <w:p>
      <w:pPr>
        <w:pStyle w:val="Heading1"/>
        <w:numPr>
          <w:ilvl w:val="1"/>
          <w:numId w:val="2"/>
        </w:numPr>
        <w:tabs>
          <w:tab w:pos="2565" w:val="left" w:leader="none"/>
        </w:tabs>
        <w:spacing w:line="1080" w:lineRule="exact" w:before="0" w:after="0"/>
        <w:ind w:left="2565" w:right="0" w:hanging="1175"/>
        <w:jc w:val="left"/>
      </w:pPr>
      <w:bookmarkStart w:name="_bookmark14" w:id="21"/>
      <w:bookmarkEnd w:id="21"/>
      <w:r>
        <w:rPr>
          <w:b w:val="0"/>
        </w:rPr>
      </w:r>
      <w:bookmarkStart w:name="_bookmark14" w:id="22"/>
      <w:bookmarkEnd w:id="22"/>
      <w:r>
        <w:rPr/>
        <w:t>OBJETIVOS</w:t>
      </w:r>
    </w:p>
    <w:p>
      <w:pPr>
        <w:spacing w:after="0" w:line="1080" w:lineRule="exact"/>
        <w:jc w:val="left"/>
        <w:sectPr>
          <w:pgSz w:w="12240" w:h="15840"/>
          <w:pgMar w:header="984" w:footer="986" w:top="1280" w:bottom="1180" w:left="1300" w:right="1340"/>
        </w:sectPr>
      </w:pPr>
    </w:p>
    <w:p>
      <w:pPr>
        <w:pStyle w:val="BodyText"/>
        <w:rPr>
          <w:b/>
          <w:sz w:val="20"/>
        </w:rPr>
      </w:pPr>
    </w:p>
    <w:p>
      <w:pPr>
        <w:pStyle w:val="BodyText"/>
        <w:spacing w:before="8"/>
        <w:rPr>
          <w:b/>
          <w:sz w:val="20"/>
        </w:rPr>
      </w:pPr>
    </w:p>
    <w:p>
      <w:pPr>
        <w:pStyle w:val="BodyText"/>
        <w:spacing w:before="69"/>
        <w:ind w:left="118" w:right="410"/>
      </w:pPr>
      <w:r>
        <w:rPr/>
        <w:t>El presente trabajo se planteó objetivos de acuerdo al tipo de investigación que se realizó.</w:t>
      </w:r>
    </w:p>
    <w:p>
      <w:pPr>
        <w:pStyle w:val="BodyText"/>
      </w:pPr>
    </w:p>
    <w:p>
      <w:pPr>
        <w:pStyle w:val="BodyText"/>
      </w:pPr>
    </w:p>
    <w:p>
      <w:pPr>
        <w:pStyle w:val="ListParagraph"/>
        <w:numPr>
          <w:ilvl w:val="0"/>
          <w:numId w:val="10"/>
        </w:numPr>
        <w:tabs>
          <w:tab w:pos="839" w:val="left" w:leader="none"/>
        </w:tabs>
        <w:spacing w:line="360" w:lineRule="auto" w:before="0" w:after="0"/>
        <w:ind w:left="838" w:right="268" w:hanging="360"/>
        <w:jc w:val="both"/>
        <w:rPr>
          <w:sz w:val="24"/>
        </w:rPr>
      </w:pPr>
      <w:r>
        <w:rPr>
          <w:sz w:val="24"/>
        </w:rPr>
        <w:t>Determinar la ubicación, el tamaño de planta y rutas óptimas de transporte de granja a rastro y de rastro a centros de consumo de cerdo en el sur del Estado de México actual y proyectada para el año</w:t>
      </w:r>
      <w:r>
        <w:rPr>
          <w:spacing w:val="-6"/>
          <w:sz w:val="24"/>
        </w:rPr>
        <w:t> </w:t>
      </w:r>
      <w:r>
        <w:rPr>
          <w:sz w:val="24"/>
        </w:rPr>
        <w:t>2030.</w:t>
      </w:r>
    </w:p>
    <w:p>
      <w:pPr>
        <w:pStyle w:val="BodyText"/>
      </w:pPr>
    </w:p>
    <w:p>
      <w:pPr>
        <w:pStyle w:val="ListParagraph"/>
        <w:numPr>
          <w:ilvl w:val="0"/>
          <w:numId w:val="10"/>
        </w:numPr>
        <w:tabs>
          <w:tab w:pos="839" w:val="left" w:leader="none"/>
        </w:tabs>
        <w:spacing w:line="360" w:lineRule="auto" w:before="143" w:after="0"/>
        <w:ind w:left="838" w:right="269" w:hanging="360"/>
        <w:jc w:val="both"/>
        <w:rPr>
          <w:sz w:val="24"/>
        </w:rPr>
      </w:pPr>
      <w:r>
        <w:rPr>
          <w:sz w:val="24"/>
        </w:rPr>
        <w:t>Conocer la ubicación y el tamaño adecuado de los rastros del Estado de México para el año 2030, así como la distribución óptima (de mínimo costo) de cerdos vivos que se trasladan de las granjas a los rastros y las canales enviadas de los rastros a los centros de consumo.</w:t>
      </w:r>
    </w:p>
    <w:p>
      <w:pPr>
        <w:pStyle w:val="BodyText"/>
      </w:pPr>
    </w:p>
    <w:p>
      <w:pPr>
        <w:pStyle w:val="ListParagraph"/>
        <w:numPr>
          <w:ilvl w:val="0"/>
          <w:numId w:val="10"/>
        </w:numPr>
        <w:tabs>
          <w:tab w:pos="839" w:val="left" w:leader="none"/>
        </w:tabs>
        <w:spacing w:line="360" w:lineRule="auto" w:before="143" w:after="0"/>
        <w:ind w:left="838" w:right="266" w:hanging="360"/>
        <w:jc w:val="both"/>
        <w:rPr>
          <w:sz w:val="24"/>
        </w:rPr>
      </w:pPr>
      <w:r>
        <w:rPr>
          <w:sz w:val="24"/>
        </w:rPr>
        <w:t>Estimar bajo condiciones óptimas de forma regional, la producción, consumo y distribución de la carne de cerdo en México para el año</w:t>
      </w:r>
      <w:r>
        <w:rPr>
          <w:spacing w:val="-8"/>
          <w:sz w:val="24"/>
        </w:rPr>
        <w:t> </w:t>
      </w:r>
      <w:r>
        <w:rPr>
          <w:sz w:val="24"/>
        </w:rPr>
        <w:t>2015.</w:t>
      </w:r>
    </w:p>
    <w:p>
      <w:pPr>
        <w:pStyle w:val="BodyText"/>
        <w:rPr>
          <w:sz w:val="26"/>
        </w:rPr>
      </w:pPr>
    </w:p>
    <w:p>
      <w:pPr>
        <w:pStyle w:val="ListParagraph"/>
        <w:numPr>
          <w:ilvl w:val="0"/>
          <w:numId w:val="10"/>
        </w:numPr>
        <w:tabs>
          <w:tab w:pos="839" w:val="left" w:leader="none"/>
        </w:tabs>
        <w:spacing w:line="360" w:lineRule="auto" w:before="0" w:after="0"/>
        <w:ind w:left="838" w:right="270" w:hanging="360"/>
        <w:jc w:val="both"/>
        <w:rPr>
          <w:sz w:val="24"/>
        </w:rPr>
      </w:pPr>
      <w:r>
        <w:rPr>
          <w:sz w:val="24"/>
        </w:rPr>
        <w:t>Evaluar</w:t>
      </w:r>
      <w:r>
        <w:rPr>
          <w:spacing w:val="-7"/>
          <w:sz w:val="24"/>
        </w:rPr>
        <w:t> </w:t>
      </w:r>
      <w:r>
        <w:rPr>
          <w:sz w:val="24"/>
        </w:rPr>
        <w:t>cómo</w:t>
      </w:r>
      <w:r>
        <w:rPr>
          <w:spacing w:val="-8"/>
          <w:sz w:val="24"/>
        </w:rPr>
        <w:t> </w:t>
      </w:r>
      <w:r>
        <w:rPr>
          <w:sz w:val="24"/>
        </w:rPr>
        <w:t>se</w:t>
      </w:r>
      <w:r>
        <w:rPr>
          <w:spacing w:val="-7"/>
          <w:sz w:val="24"/>
        </w:rPr>
        <w:t> </w:t>
      </w:r>
      <w:r>
        <w:rPr>
          <w:sz w:val="24"/>
        </w:rPr>
        <w:t>afectaría</w:t>
      </w:r>
      <w:r>
        <w:rPr>
          <w:spacing w:val="-10"/>
          <w:sz w:val="24"/>
        </w:rPr>
        <w:t> </w:t>
      </w:r>
      <w:r>
        <w:rPr>
          <w:sz w:val="24"/>
        </w:rPr>
        <w:t>la</w:t>
      </w:r>
      <w:r>
        <w:rPr>
          <w:spacing w:val="-9"/>
          <w:sz w:val="24"/>
        </w:rPr>
        <w:t> </w:t>
      </w:r>
      <w:r>
        <w:rPr>
          <w:sz w:val="24"/>
        </w:rPr>
        <w:t>producción</w:t>
      </w:r>
      <w:r>
        <w:rPr>
          <w:spacing w:val="-8"/>
          <w:sz w:val="24"/>
        </w:rPr>
        <w:t> </w:t>
      </w:r>
      <w:r>
        <w:rPr>
          <w:sz w:val="24"/>
        </w:rPr>
        <w:t>nacional</w:t>
      </w:r>
      <w:r>
        <w:rPr>
          <w:spacing w:val="-6"/>
          <w:sz w:val="24"/>
        </w:rPr>
        <w:t> </w:t>
      </w:r>
      <w:r>
        <w:rPr>
          <w:sz w:val="24"/>
        </w:rPr>
        <w:t>y</w:t>
      </w:r>
      <w:r>
        <w:rPr>
          <w:spacing w:val="-11"/>
          <w:sz w:val="24"/>
        </w:rPr>
        <w:t> </w:t>
      </w:r>
      <w:r>
        <w:rPr>
          <w:sz w:val="24"/>
        </w:rPr>
        <w:t>regional</w:t>
      </w:r>
      <w:r>
        <w:rPr>
          <w:spacing w:val="-9"/>
          <w:sz w:val="24"/>
        </w:rPr>
        <w:t> </w:t>
      </w:r>
      <w:r>
        <w:rPr>
          <w:sz w:val="24"/>
        </w:rPr>
        <w:t>de</w:t>
      </w:r>
      <w:r>
        <w:rPr>
          <w:spacing w:val="-10"/>
          <w:sz w:val="24"/>
        </w:rPr>
        <w:t> </w:t>
      </w:r>
      <w:r>
        <w:rPr>
          <w:sz w:val="24"/>
        </w:rPr>
        <w:t>carne</w:t>
      </w:r>
      <w:r>
        <w:rPr>
          <w:spacing w:val="-8"/>
          <w:sz w:val="24"/>
        </w:rPr>
        <w:t> </w:t>
      </w:r>
      <w:r>
        <w:rPr>
          <w:sz w:val="24"/>
        </w:rPr>
        <w:t>de</w:t>
      </w:r>
      <w:r>
        <w:rPr>
          <w:spacing w:val="-7"/>
          <w:sz w:val="24"/>
        </w:rPr>
        <w:t> </w:t>
      </w:r>
      <w:r>
        <w:rPr>
          <w:sz w:val="24"/>
        </w:rPr>
        <w:t>cerdo</w:t>
      </w:r>
      <w:r>
        <w:rPr>
          <w:spacing w:val="-9"/>
          <w:sz w:val="24"/>
        </w:rPr>
        <w:t> </w:t>
      </w:r>
      <w:r>
        <w:rPr>
          <w:sz w:val="24"/>
        </w:rPr>
        <w:t>en</w:t>
      </w:r>
      <w:r>
        <w:rPr>
          <w:spacing w:val="-9"/>
          <w:sz w:val="24"/>
        </w:rPr>
        <w:t> </w:t>
      </w:r>
      <w:r>
        <w:rPr>
          <w:sz w:val="24"/>
        </w:rPr>
        <w:t>México si se aplicarán aranceles de 10, 20, 30% a la carne de cerdo que proviene de Estados Unidos.</w:t>
      </w:r>
    </w:p>
    <w:p>
      <w:pPr>
        <w:pStyle w:val="BodyText"/>
      </w:pPr>
    </w:p>
    <w:p>
      <w:pPr>
        <w:pStyle w:val="ListParagraph"/>
        <w:numPr>
          <w:ilvl w:val="0"/>
          <w:numId w:val="10"/>
        </w:numPr>
        <w:tabs>
          <w:tab w:pos="839" w:val="left" w:leader="none"/>
        </w:tabs>
        <w:spacing w:line="480" w:lineRule="auto" w:before="140" w:after="0"/>
        <w:ind w:left="838" w:right="268" w:hanging="360"/>
        <w:jc w:val="both"/>
        <w:rPr>
          <w:sz w:val="24"/>
        </w:rPr>
      </w:pPr>
      <w:r>
        <w:rPr>
          <w:sz w:val="24"/>
        </w:rPr>
        <w:t>Evaluar el efecto de la producción nacional y regional de carne de cerdo en México si se aplicaran aranceles a la carne de cerdo que proviene de Estados Unidos y subsidios a la producción nacional de</w:t>
      </w:r>
      <w:r>
        <w:rPr>
          <w:spacing w:val="-7"/>
          <w:sz w:val="24"/>
        </w:rPr>
        <w:t> </w:t>
      </w:r>
      <w:r>
        <w:rPr>
          <w:sz w:val="24"/>
        </w:rPr>
        <w:t>cerdo.</w:t>
      </w:r>
    </w:p>
    <w:p>
      <w:pPr>
        <w:spacing w:after="0" w:line="480" w:lineRule="auto"/>
        <w:jc w:val="both"/>
        <w:rPr>
          <w:sz w:val="24"/>
        </w:rPr>
        <w:sectPr>
          <w:footerReference w:type="default" r:id="rId39"/>
          <w:pgSz w:w="12240" w:h="15840"/>
          <w:pgMar w:footer="986" w:header="984" w:top="1280" w:bottom="1180" w:left="1300" w:right="1340"/>
          <w:pgNumType w:start="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6"/>
        </w:rPr>
      </w:pPr>
    </w:p>
    <w:p>
      <w:pPr>
        <w:pStyle w:val="Heading1"/>
        <w:numPr>
          <w:ilvl w:val="1"/>
          <w:numId w:val="2"/>
        </w:numPr>
        <w:tabs>
          <w:tab w:pos="2390" w:val="left" w:leader="none"/>
          <w:tab w:pos="2391" w:val="left" w:leader="none"/>
          <w:tab w:pos="7912" w:val="left" w:leader="none"/>
        </w:tabs>
        <w:spacing w:line="1080" w:lineRule="exact" w:before="0" w:after="0"/>
        <w:ind w:left="2390" w:right="0" w:hanging="1547"/>
        <w:jc w:val="left"/>
      </w:pPr>
      <w:bookmarkStart w:name="_bookmark15" w:id="23"/>
      <w:bookmarkEnd w:id="23"/>
      <w:r>
        <w:rPr>
          <w:b w:val="0"/>
        </w:rPr>
      </w:r>
      <w:bookmarkStart w:name="_bookmark15" w:id="24"/>
      <w:bookmarkEnd w:id="24"/>
      <w:r>
        <w:rPr/>
        <w:t>MATERI</w:t>
      </w:r>
      <w:r>
        <w:rPr/>
        <w:t>AL</w:t>
        <w:tab/>
        <w:t>Y</w:t>
      </w:r>
    </w:p>
    <w:p>
      <w:pPr>
        <w:spacing w:before="555"/>
        <w:ind w:left="2538" w:right="410" w:firstLine="0"/>
        <w:jc w:val="left"/>
        <w:rPr>
          <w:b/>
          <w:sz w:val="96"/>
        </w:rPr>
      </w:pPr>
      <w:r>
        <w:rPr>
          <w:b/>
          <w:sz w:val="96"/>
        </w:rPr>
        <w:t>MÉTODO</w:t>
      </w:r>
    </w:p>
    <w:p>
      <w:pPr>
        <w:spacing w:after="0"/>
        <w:jc w:val="left"/>
        <w:rPr>
          <w:sz w:val="96"/>
        </w:rPr>
        <w:sectPr>
          <w:pgSz w:w="12240" w:h="15840"/>
          <w:pgMar w:header="984" w:footer="986" w:top="1280" w:bottom="1180" w:left="1300" w:right="1340"/>
        </w:sectPr>
      </w:pPr>
    </w:p>
    <w:p>
      <w:pPr>
        <w:pStyle w:val="BodyText"/>
        <w:spacing w:line="360" w:lineRule="auto" w:before="125"/>
        <w:ind w:left="118" w:right="274"/>
        <w:jc w:val="both"/>
      </w:pPr>
      <w:r>
        <w:rPr/>
        <w:t>El presente trabajo utilizo diversas metodologías de acuerdo al tipo de investigación que se realizó.</w:t>
      </w:r>
    </w:p>
    <w:p>
      <w:pPr>
        <w:pStyle w:val="Heading4"/>
        <w:numPr>
          <w:ilvl w:val="1"/>
          <w:numId w:val="11"/>
        </w:numPr>
        <w:tabs>
          <w:tab w:pos="479" w:val="left" w:leader="none"/>
        </w:tabs>
        <w:spacing w:line="272" w:lineRule="exact" w:before="214" w:after="0"/>
        <w:ind w:left="478" w:right="271" w:hanging="360"/>
        <w:jc w:val="left"/>
        <w:rPr>
          <w:b w:val="0"/>
        </w:rPr>
      </w:pPr>
      <w:bookmarkStart w:name="_bookmark16" w:id="25"/>
      <w:bookmarkEnd w:id="25"/>
      <w:r>
        <w:rPr>
          <w:b w:val="0"/>
        </w:rPr>
      </w:r>
      <w:bookmarkStart w:name="_bookmark16" w:id="26"/>
      <w:bookmarkEnd w:id="26"/>
      <w:r>
        <w:rPr/>
        <w:t>D</w:t>
      </w:r>
      <w:r>
        <w:rPr/>
        <w:t>eterminación del tamaño de planta de rastros y distribución óptima de la carne de cerdo en la región sur del estado de</w:t>
      </w:r>
      <w:r>
        <w:rPr>
          <w:spacing w:val="-10"/>
        </w:rPr>
        <w:t> </w:t>
      </w:r>
      <w:r>
        <w:rPr/>
        <w:t>México</w:t>
      </w:r>
      <w:r>
        <w:rPr>
          <w:b w:val="0"/>
        </w:rPr>
        <w:t>.</w:t>
      </w:r>
    </w:p>
    <w:p>
      <w:pPr>
        <w:pStyle w:val="BodyText"/>
      </w:pPr>
    </w:p>
    <w:p>
      <w:pPr>
        <w:pStyle w:val="BodyText"/>
        <w:spacing w:line="360" w:lineRule="auto" w:before="139"/>
        <w:ind w:left="118" w:right="270"/>
        <w:jc w:val="both"/>
      </w:pPr>
      <w:r>
        <w:rPr/>
        <w:t>Para la presente investigación se formuló un modelo de programación lineal de mínimo costo, donde</w:t>
      </w:r>
      <w:r>
        <w:rPr>
          <w:spacing w:val="-17"/>
        </w:rPr>
        <w:t> </w:t>
      </w:r>
      <w:r>
        <w:rPr/>
        <w:t>la</w:t>
      </w:r>
      <w:r>
        <w:rPr>
          <w:spacing w:val="-14"/>
        </w:rPr>
        <w:t> </w:t>
      </w:r>
      <w:r>
        <w:rPr/>
        <w:t>función</w:t>
      </w:r>
      <w:r>
        <w:rPr>
          <w:spacing w:val="-13"/>
        </w:rPr>
        <w:t> </w:t>
      </w:r>
      <w:r>
        <w:rPr/>
        <w:t>objetivo</w:t>
      </w:r>
      <w:r>
        <w:rPr>
          <w:spacing w:val="-15"/>
        </w:rPr>
        <w:t> </w:t>
      </w:r>
      <w:r>
        <w:rPr/>
        <w:t>minimiza</w:t>
      </w:r>
      <w:r>
        <w:rPr>
          <w:spacing w:val="-17"/>
        </w:rPr>
        <w:t> </w:t>
      </w:r>
      <w:r>
        <w:rPr/>
        <w:t>la</w:t>
      </w:r>
      <w:r>
        <w:rPr>
          <w:spacing w:val="-16"/>
        </w:rPr>
        <w:t> </w:t>
      </w:r>
      <w:r>
        <w:rPr/>
        <w:t>suma</w:t>
      </w:r>
      <w:r>
        <w:rPr>
          <w:spacing w:val="-16"/>
        </w:rPr>
        <w:t> </w:t>
      </w:r>
      <w:r>
        <w:rPr/>
        <w:t>del</w:t>
      </w:r>
      <w:r>
        <w:rPr>
          <w:spacing w:val="-13"/>
        </w:rPr>
        <w:t> </w:t>
      </w:r>
      <w:r>
        <w:rPr/>
        <w:t>costo</w:t>
      </w:r>
      <w:r>
        <w:rPr>
          <w:spacing w:val="-15"/>
        </w:rPr>
        <w:t> </w:t>
      </w:r>
      <w:r>
        <w:rPr/>
        <w:t>de</w:t>
      </w:r>
      <w:r>
        <w:rPr>
          <w:spacing w:val="-17"/>
        </w:rPr>
        <w:t> </w:t>
      </w:r>
      <w:r>
        <w:rPr/>
        <w:t>transporte</w:t>
      </w:r>
      <w:r>
        <w:rPr>
          <w:spacing w:val="-15"/>
        </w:rPr>
        <w:t> </w:t>
      </w:r>
      <w:r>
        <w:rPr/>
        <w:t>de</w:t>
      </w:r>
      <w:r>
        <w:rPr>
          <w:spacing w:val="-14"/>
        </w:rPr>
        <w:t> </w:t>
      </w:r>
      <w:r>
        <w:rPr/>
        <w:t>cerdos</w:t>
      </w:r>
      <w:r>
        <w:rPr>
          <w:spacing w:val="-16"/>
        </w:rPr>
        <w:t> </w:t>
      </w:r>
      <w:r>
        <w:rPr/>
        <w:t>de</w:t>
      </w:r>
      <w:r>
        <w:rPr>
          <w:spacing w:val="-17"/>
        </w:rPr>
        <w:t> </w:t>
      </w:r>
      <w:r>
        <w:rPr/>
        <w:t>la</w:t>
      </w:r>
      <w:r>
        <w:rPr>
          <w:spacing w:val="-14"/>
        </w:rPr>
        <w:t> </w:t>
      </w:r>
      <w:r>
        <w:rPr/>
        <w:t>granja</w:t>
      </w:r>
      <w:r>
        <w:rPr>
          <w:spacing w:val="-14"/>
        </w:rPr>
        <w:t> </w:t>
      </w:r>
      <w:r>
        <w:rPr/>
        <w:t>a</w:t>
      </w:r>
      <w:r>
        <w:rPr>
          <w:spacing w:val="-14"/>
        </w:rPr>
        <w:t> </w:t>
      </w:r>
      <w:r>
        <w:rPr/>
        <w:t>rastro, el costo de transformación de cerdo a canal (sacrificio) y el costo de distribución de canales de rastro a centros de consumo (Takayama </w:t>
      </w:r>
      <w:r>
        <w:rPr>
          <w:i/>
        </w:rPr>
        <w:t>et. al.,</w:t>
      </w:r>
      <w:r>
        <w:rPr>
          <w:i/>
          <w:spacing w:val="-4"/>
        </w:rPr>
        <w:t> </w:t>
      </w:r>
      <w:r>
        <w:rPr/>
        <w:t>1964).</w:t>
      </w:r>
    </w:p>
    <w:p>
      <w:pPr>
        <w:pStyle w:val="BodyText"/>
        <w:spacing w:before="206"/>
        <w:ind w:left="118"/>
        <w:jc w:val="both"/>
      </w:pPr>
      <w:r>
        <w:rPr/>
        <w:t>Supuestos económicos considerados en el modelo.</w:t>
      </w:r>
    </w:p>
    <w:p>
      <w:pPr>
        <w:pStyle w:val="BodyText"/>
        <w:spacing w:before="4"/>
        <w:rPr>
          <w:sz w:val="29"/>
        </w:rPr>
      </w:pPr>
    </w:p>
    <w:p>
      <w:pPr>
        <w:pStyle w:val="ListParagraph"/>
        <w:numPr>
          <w:ilvl w:val="2"/>
          <w:numId w:val="11"/>
        </w:numPr>
        <w:tabs>
          <w:tab w:pos="838" w:val="left" w:leader="none"/>
          <w:tab w:pos="839" w:val="left" w:leader="none"/>
        </w:tabs>
        <w:spacing w:line="350" w:lineRule="auto" w:before="0" w:after="0"/>
        <w:ind w:left="838" w:right="266" w:hanging="360"/>
        <w:jc w:val="left"/>
        <w:rPr>
          <w:sz w:val="24"/>
        </w:rPr>
      </w:pPr>
      <w:r>
        <w:rPr>
          <w:sz w:val="24"/>
        </w:rPr>
        <w:t>Un área geográfica puede ser dividida en </w:t>
      </w:r>
      <w:r>
        <w:rPr>
          <w:i/>
          <w:sz w:val="24"/>
        </w:rPr>
        <w:t>n </w:t>
      </w:r>
      <w:r>
        <w:rPr>
          <w:sz w:val="24"/>
        </w:rPr>
        <w:t>municipios que pueden ser productores y consumidores.</w:t>
      </w:r>
    </w:p>
    <w:p>
      <w:pPr>
        <w:pStyle w:val="ListParagraph"/>
        <w:numPr>
          <w:ilvl w:val="2"/>
          <w:numId w:val="11"/>
        </w:numPr>
        <w:tabs>
          <w:tab w:pos="838" w:val="left" w:leader="none"/>
          <w:tab w:pos="839" w:val="left" w:leader="none"/>
        </w:tabs>
        <w:spacing w:line="240" w:lineRule="auto" w:before="16" w:after="0"/>
        <w:ind w:left="838" w:right="0" w:hanging="360"/>
        <w:jc w:val="left"/>
        <w:rPr>
          <w:sz w:val="24"/>
        </w:rPr>
      </w:pPr>
      <w:r>
        <w:rPr>
          <w:sz w:val="24"/>
        </w:rPr>
        <w:t>Los consumidores demandan cerdos y/o canales</w:t>
      </w:r>
      <w:r>
        <w:rPr>
          <w:spacing w:val="-12"/>
          <w:sz w:val="24"/>
        </w:rPr>
        <w:t> </w:t>
      </w:r>
      <w:r>
        <w:rPr>
          <w:sz w:val="24"/>
        </w:rPr>
        <w:t>homogéneos.</w:t>
      </w:r>
    </w:p>
    <w:p>
      <w:pPr>
        <w:pStyle w:val="ListParagraph"/>
        <w:numPr>
          <w:ilvl w:val="2"/>
          <w:numId w:val="11"/>
        </w:numPr>
        <w:tabs>
          <w:tab w:pos="838" w:val="left" w:leader="none"/>
          <w:tab w:pos="839" w:val="left" w:leader="none"/>
        </w:tabs>
        <w:spacing w:line="240" w:lineRule="auto" w:before="138" w:after="0"/>
        <w:ind w:left="838" w:right="0" w:hanging="360"/>
        <w:jc w:val="left"/>
        <w:rPr>
          <w:sz w:val="24"/>
        </w:rPr>
      </w:pPr>
      <w:r>
        <w:rPr>
          <w:sz w:val="24"/>
        </w:rPr>
        <w:t>Los consumidores son indiferentes al origen de los cerdos y/o</w:t>
      </w:r>
      <w:r>
        <w:rPr>
          <w:spacing w:val="-13"/>
          <w:sz w:val="24"/>
        </w:rPr>
        <w:t> </w:t>
      </w:r>
      <w:r>
        <w:rPr>
          <w:sz w:val="24"/>
        </w:rPr>
        <w:t>canales.</w:t>
      </w:r>
    </w:p>
    <w:p>
      <w:pPr>
        <w:pStyle w:val="ListParagraph"/>
        <w:numPr>
          <w:ilvl w:val="2"/>
          <w:numId w:val="11"/>
        </w:numPr>
        <w:tabs>
          <w:tab w:pos="838" w:val="left" w:leader="none"/>
          <w:tab w:pos="839" w:val="left" w:leader="none"/>
        </w:tabs>
        <w:spacing w:line="240" w:lineRule="auto" w:before="135" w:after="0"/>
        <w:ind w:left="838" w:right="0" w:hanging="360"/>
        <w:jc w:val="left"/>
        <w:rPr>
          <w:sz w:val="24"/>
        </w:rPr>
      </w:pPr>
      <w:r>
        <w:rPr>
          <w:sz w:val="24"/>
        </w:rPr>
        <w:t>Los productores de cada municipio producen </w:t>
      </w:r>
      <w:r>
        <w:rPr>
          <w:i/>
          <w:sz w:val="24"/>
        </w:rPr>
        <w:t>x </w:t>
      </w:r>
      <w:r>
        <w:rPr>
          <w:sz w:val="24"/>
        </w:rPr>
        <w:t>cantidad de</w:t>
      </w:r>
      <w:r>
        <w:rPr>
          <w:spacing w:val="-9"/>
          <w:sz w:val="24"/>
        </w:rPr>
        <w:t> </w:t>
      </w:r>
      <w:r>
        <w:rPr>
          <w:sz w:val="24"/>
        </w:rPr>
        <w:t>cerdos.</w:t>
      </w:r>
    </w:p>
    <w:p>
      <w:pPr>
        <w:pStyle w:val="ListParagraph"/>
        <w:numPr>
          <w:ilvl w:val="2"/>
          <w:numId w:val="11"/>
        </w:numPr>
        <w:tabs>
          <w:tab w:pos="838" w:val="left" w:leader="none"/>
          <w:tab w:pos="839" w:val="left" w:leader="none"/>
        </w:tabs>
        <w:spacing w:line="240" w:lineRule="auto" w:before="138" w:after="0"/>
        <w:ind w:left="838" w:right="0" w:hanging="360"/>
        <w:jc w:val="left"/>
        <w:rPr>
          <w:sz w:val="24"/>
        </w:rPr>
      </w:pPr>
      <w:r>
        <w:rPr>
          <w:sz w:val="24"/>
        </w:rPr>
        <w:t>La demanda total de canales debe ser igual a la oferta total de</w:t>
      </w:r>
      <w:r>
        <w:rPr>
          <w:spacing w:val="-11"/>
          <w:sz w:val="24"/>
        </w:rPr>
        <w:t> </w:t>
      </w:r>
      <w:r>
        <w:rPr>
          <w:sz w:val="24"/>
        </w:rPr>
        <w:t>canales.</w:t>
      </w:r>
    </w:p>
    <w:p>
      <w:pPr>
        <w:pStyle w:val="ListParagraph"/>
        <w:numPr>
          <w:ilvl w:val="2"/>
          <w:numId w:val="11"/>
        </w:numPr>
        <w:tabs>
          <w:tab w:pos="838" w:val="left" w:leader="none"/>
          <w:tab w:pos="839" w:val="left" w:leader="none"/>
        </w:tabs>
        <w:spacing w:line="240" w:lineRule="auto" w:before="136" w:after="0"/>
        <w:ind w:left="838" w:right="0" w:hanging="360"/>
        <w:jc w:val="left"/>
        <w:rPr>
          <w:sz w:val="24"/>
        </w:rPr>
      </w:pPr>
      <w:r>
        <w:rPr>
          <w:sz w:val="24"/>
        </w:rPr>
        <w:t>Los costos de transporte son independientes de la cantidad de cerdo y/o</w:t>
      </w:r>
      <w:r>
        <w:rPr>
          <w:spacing w:val="-13"/>
          <w:sz w:val="24"/>
        </w:rPr>
        <w:t> </w:t>
      </w:r>
      <w:r>
        <w:rPr>
          <w:sz w:val="24"/>
        </w:rPr>
        <w:t>canales.</w:t>
      </w:r>
    </w:p>
    <w:p>
      <w:pPr>
        <w:pStyle w:val="BodyText"/>
        <w:rPr>
          <w:sz w:val="26"/>
        </w:rPr>
      </w:pPr>
    </w:p>
    <w:p>
      <w:pPr>
        <w:pStyle w:val="BodyText"/>
        <w:ind w:left="118"/>
        <w:jc w:val="both"/>
      </w:pPr>
      <w:r>
        <w:rPr/>
        <w:t>Expresión matemática del modelo.</w:t>
      </w:r>
    </w:p>
    <w:p>
      <w:pPr>
        <w:pStyle w:val="BodyText"/>
        <w:spacing w:before="5"/>
        <w:rPr>
          <w:sz w:val="19"/>
        </w:rPr>
      </w:pPr>
    </w:p>
    <w:p>
      <w:pPr>
        <w:tabs>
          <w:tab w:pos="1721" w:val="left" w:leader="none"/>
          <w:tab w:pos="2956" w:val="left" w:leader="none"/>
          <w:tab w:pos="3313" w:val="left" w:leader="none"/>
          <w:tab w:pos="4547" w:val="left" w:leader="none"/>
        </w:tabs>
        <w:spacing w:line="173" w:lineRule="exact" w:before="76"/>
        <w:ind w:left="1364" w:right="410" w:firstLine="0"/>
        <w:jc w:val="left"/>
        <w:rPr>
          <w:rFonts w:ascii="Cambria Math" w:eastAsia="Cambria Math"/>
          <w:sz w:val="17"/>
        </w:rPr>
      </w:pPr>
      <w:r>
        <w:rPr>
          <w:rFonts w:ascii="Cambria Math" w:eastAsia="Cambria Math"/>
          <w:w w:val="115"/>
          <w:sz w:val="17"/>
        </w:rPr>
        <w:t>𝑛</w:t>
        <w:tab/>
        <w:t>𝑛</w:t>
        <w:tab/>
        <w:t>𝑛</w:t>
        <w:tab/>
        <w:t>𝑛</w:t>
        <w:tab/>
        <w:t>𝑛</w:t>
      </w:r>
    </w:p>
    <w:p>
      <w:pPr>
        <w:pStyle w:val="BodyText"/>
        <w:spacing w:line="281" w:lineRule="exact"/>
        <w:ind w:left="118" w:right="410"/>
        <w:rPr>
          <w:rFonts w:ascii="Cambria Math" w:hAnsi="Cambria Math" w:eastAsia="Cambria Math"/>
        </w:rPr>
      </w:pPr>
      <w:r>
        <w:rPr/>
        <w:pict>
          <v:shape style="position:absolute;margin-left:325.869995pt;margin-top:1.2pt;width:6.65pt;height:12pt;mso-position-horizontal-relative:page;mso-position-vertical-relative:paragraph;z-index:-146320" type="#_x0000_t202" filled="false" stroked="false">
            <v:textbox inset="0,0,0,0">
              <w:txbxContent>
                <w:p>
                  <w:pPr>
                    <w:pStyle w:val="BodyText"/>
                    <w:spacing w:line="240" w:lineRule="exact"/>
                    <w:rPr>
                      <w:rFonts w:ascii="Cambria Math" w:eastAsia="Cambria Math"/>
                    </w:rPr>
                  </w:pPr>
                  <w:r>
                    <w:rPr>
                      <w:rFonts w:ascii="Cambria Math" w:eastAsia="Cambria Math"/>
                      <w:w w:val="83"/>
                    </w:rPr>
                    <w:t>�</w:t>
                  </w:r>
                </w:p>
              </w:txbxContent>
            </v:textbox>
            <w10:wrap type="none"/>
          </v:shape>
        </w:pict>
      </w:r>
      <w:r>
        <w:rPr>
          <w:rFonts w:ascii="Cambria Math" w:hAnsi="Cambria Math" w:eastAsia="Cambria Math"/>
          <w:spacing w:val="2"/>
          <w:w w:val="115"/>
        </w:rPr>
        <w:t>�𝐼�</w:t>
      </w:r>
      <w:r>
        <w:rPr>
          <w:rFonts w:ascii="Cambria Math" w:hAnsi="Cambria Math" w:eastAsia="Cambria Math"/>
          <w:spacing w:val="2"/>
          <w:w w:val="115"/>
          <w:position w:val="1"/>
        </w:rPr>
        <w:t>(</w:t>
      </w:r>
      <w:r>
        <w:rPr>
          <w:rFonts w:ascii="Cambria Math" w:hAnsi="Cambria Math" w:eastAsia="Cambria Math"/>
          <w:spacing w:val="2"/>
          <w:w w:val="115"/>
        </w:rPr>
        <w:t>�</w:t>
      </w:r>
      <w:r>
        <w:rPr>
          <w:rFonts w:ascii="Cambria Math" w:hAnsi="Cambria Math" w:eastAsia="Cambria Math"/>
          <w:spacing w:val="2"/>
          <w:w w:val="115"/>
          <w:position w:val="1"/>
        </w:rPr>
        <w:t>) </w:t>
      </w:r>
      <w:r>
        <w:rPr>
          <w:rFonts w:ascii="Cambria Math" w:hAnsi="Cambria Math" w:eastAsia="Cambria Math"/>
          <w:w w:val="115"/>
        </w:rPr>
        <w:t>= </w:t>
      </w:r>
      <w:r>
        <w:rPr>
          <w:rFonts w:ascii="Cambria Math" w:hAnsi="Cambria Math" w:eastAsia="Cambria Math"/>
          <w:w w:val="130"/>
        </w:rPr>
        <w:t>∑</w:t>
      </w:r>
      <w:r>
        <w:rPr>
          <w:rFonts w:ascii="Cambria Math" w:hAnsi="Cambria Math" w:eastAsia="Cambria Math"/>
          <w:spacing w:val="-55"/>
          <w:w w:val="130"/>
        </w:rPr>
        <w:t> </w:t>
      </w:r>
      <w:r>
        <w:rPr>
          <w:rFonts w:ascii="Cambria Math" w:hAnsi="Cambria Math" w:eastAsia="Cambria Math"/>
          <w:w w:val="130"/>
        </w:rPr>
        <w:t>∑</w:t>
      </w:r>
      <w:r>
        <w:rPr>
          <w:rFonts w:ascii="Cambria Math" w:hAnsi="Cambria Math" w:eastAsia="Cambria Math"/>
          <w:spacing w:val="-55"/>
          <w:w w:val="130"/>
        </w:rPr>
        <w:t> </w:t>
      </w:r>
      <w:r>
        <w:rPr>
          <w:rFonts w:ascii="Cambria Math" w:hAnsi="Cambria Math" w:eastAsia="Cambria Math"/>
        </w:rPr>
        <w:t>� </w:t>
      </w:r>
      <w:r>
        <w:rPr>
          <w:rFonts w:ascii="Cambria Math" w:hAnsi="Cambria Math" w:eastAsia="Cambria Math"/>
          <w:w w:val="115"/>
          <w:position w:val="15"/>
        </w:rPr>
        <w:t>𝛿 </w:t>
      </w:r>
      <w:r>
        <w:rPr>
          <w:rFonts w:ascii="Cambria Math" w:hAnsi="Cambria Math" w:eastAsia="Cambria Math"/>
          <w:spacing w:val="8"/>
          <w:w w:val="115"/>
        </w:rPr>
        <w:t>x</w:t>
      </w:r>
      <w:r>
        <w:rPr>
          <w:rFonts w:ascii="Cambria Math" w:hAnsi="Cambria Math" w:eastAsia="Cambria Math"/>
          <w:spacing w:val="8"/>
          <w:w w:val="115"/>
          <w:position w:val="15"/>
        </w:rPr>
        <w:t>𝛿 </w:t>
      </w:r>
      <w:r>
        <w:rPr>
          <w:rFonts w:ascii="Cambria Math" w:hAnsi="Cambria Math" w:eastAsia="Cambria Math"/>
          <w:w w:val="115"/>
        </w:rPr>
        <w:t>+ </w:t>
      </w:r>
      <w:r>
        <w:rPr>
          <w:rFonts w:ascii="Cambria Math" w:hAnsi="Cambria Math" w:eastAsia="Cambria Math"/>
          <w:w w:val="130"/>
        </w:rPr>
        <w:t>∑</w:t>
      </w:r>
      <w:r>
        <w:rPr>
          <w:rFonts w:ascii="Cambria Math" w:hAnsi="Cambria Math" w:eastAsia="Cambria Math"/>
          <w:spacing w:val="-55"/>
          <w:w w:val="130"/>
        </w:rPr>
        <w:t> </w:t>
      </w:r>
      <w:r>
        <w:rPr>
          <w:rFonts w:ascii="Cambria Math" w:hAnsi="Cambria Math" w:eastAsia="Cambria Math"/>
          <w:w w:val="130"/>
        </w:rPr>
        <w:t>∑</w:t>
      </w:r>
      <w:r>
        <w:rPr>
          <w:rFonts w:ascii="Cambria Math" w:hAnsi="Cambria Math" w:eastAsia="Cambria Math"/>
          <w:spacing w:val="-54"/>
          <w:w w:val="130"/>
        </w:rPr>
        <w:t> </w:t>
      </w:r>
      <w:r>
        <w:rPr>
          <w:rFonts w:ascii="Cambria Math" w:hAnsi="Cambria Math" w:eastAsia="Cambria Math"/>
          <w:spacing w:val="9"/>
        </w:rPr>
        <w:t>�</w:t>
      </w:r>
      <w:r>
        <w:rPr>
          <w:rFonts w:ascii="Cambria Math" w:hAnsi="Cambria Math" w:eastAsia="Cambria Math"/>
          <w:spacing w:val="9"/>
          <w:position w:val="15"/>
        </w:rPr>
        <w:t>� </w:t>
      </w:r>
      <w:r>
        <w:rPr>
          <w:rFonts w:ascii="Cambria Math" w:hAnsi="Cambria Math" w:eastAsia="Cambria Math"/>
          <w:spacing w:val="6"/>
          <w:w w:val="115"/>
        </w:rPr>
        <w:t>x</w:t>
      </w:r>
      <w:r>
        <w:rPr>
          <w:rFonts w:ascii="Cambria Math" w:hAnsi="Cambria Math" w:eastAsia="Cambria Math"/>
          <w:spacing w:val="6"/>
          <w:w w:val="115"/>
          <w:position w:val="15"/>
        </w:rPr>
        <w:t>� </w:t>
      </w:r>
      <w:r>
        <w:rPr>
          <w:rFonts w:ascii="Cambria Math" w:hAnsi="Cambria Math" w:eastAsia="Cambria Math"/>
          <w:w w:val="115"/>
        </w:rPr>
        <w:t>+ </w:t>
      </w:r>
      <w:r>
        <w:rPr>
          <w:rFonts w:ascii="Cambria Math" w:hAnsi="Cambria Math" w:eastAsia="Cambria Math"/>
          <w:w w:val="130"/>
        </w:rPr>
        <w:t>∑</w:t>
      </w:r>
      <w:r>
        <w:rPr>
          <w:rFonts w:ascii="Cambria Math" w:hAnsi="Cambria Math" w:eastAsia="Cambria Math"/>
          <w:spacing w:val="-54"/>
          <w:w w:val="130"/>
        </w:rPr>
        <w:t> </w:t>
      </w:r>
      <w:r>
        <w:rPr>
          <w:rFonts w:ascii="Cambria Math" w:hAnsi="Cambria Math" w:eastAsia="Cambria Math"/>
          <w:spacing w:val="3"/>
        </w:rPr>
        <w:t>�</w:t>
      </w:r>
      <w:r>
        <w:rPr>
          <w:rFonts w:ascii="Cambria Math" w:hAnsi="Cambria Math" w:eastAsia="Cambria Math"/>
          <w:spacing w:val="3"/>
          <w:position w:val="13"/>
        </w:rPr>
        <w:t>� </w:t>
      </w:r>
      <w:r>
        <w:rPr>
          <w:rFonts w:ascii="Cambria Math" w:hAnsi="Cambria Math" w:eastAsia="Cambria Math"/>
          <w:w w:val="115"/>
        </w:rPr>
        <w:t>x</w:t>
      </w:r>
    </w:p>
    <w:p>
      <w:pPr>
        <w:spacing w:after="0" w:line="281" w:lineRule="exact"/>
        <w:rPr>
          <w:rFonts w:ascii="Cambria Math" w:hAnsi="Cambria Math" w:eastAsia="Cambria Math"/>
        </w:rPr>
        <w:sectPr>
          <w:pgSz w:w="12240" w:h="15840"/>
          <w:pgMar w:header="984" w:footer="986" w:top="1280" w:bottom="1180" w:left="1300" w:right="1340"/>
        </w:sectPr>
      </w:pPr>
    </w:p>
    <w:p>
      <w:pPr>
        <w:pStyle w:val="BodyText"/>
        <w:spacing w:line="229" w:lineRule="exact"/>
        <w:jc w:val="right"/>
        <w:rPr>
          <w:rFonts w:ascii="Cambria Math" w:eastAsia="Cambria Math"/>
        </w:rPr>
      </w:pPr>
      <w:r>
        <w:rPr>
          <w:rFonts w:ascii="Cambria Math" w:eastAsia="Cambria Math"/>
          <w:w w:val="60"/>
        </w:rPr>
        <w:t>��  ��</w:t>
      </w:r>
    </w:p>
    <w:p>
      <w:pPr>
        <w:spacing w:line="181" w:lineRule="exact" w:before="0"/>
        <w:ind w:left="1275" w:right="0" w:firstLine="0"/>
        <w:jc w:val="left"/>
        <w:rPr>
          <w:rFonts w:ascii="Cambria Math" w:eastAsia="Cambria Math"/>
          <w:sz w:val="17"/>
        </w:rPr>
      </w:pPr>
      <w:r>
        <w:rPr>
          <w:rFonts w:ascii="Cambria Math" w:eastAsia="Cambria Math"/>
          <w:w w:val="85"/>
          <w:sz w:val="17"/>
        </w:rPr>
        <w:t>�=1 �=1</w:t>
      </w:r>
    </w:p>
    <w:p>
      <w:pPr>
        <w:pStyle w:val="BodyText"/>
        <w:spacing w:line="229" w:lineRule="exact"/>
        <w:jc w:val="right"/>
        <w:rPr>
          <w:rFonts w:ascii="Cambria Math" w:eastAsia="Cambria Math"/>
        </w:rPr>
      </w:pPr>
      <w:r>
        <w:rPr/>
        <w:br w:type="column"/>
      </w:r>
      <w:r>
        <w:rPr>
          <w:rFonts w:ascii="Cambria Math" w:eastAsia="Cambria Math"/>
          <w:w w:val="60"/>
        </w:rPr>
        <w:t>��  ��</w:t>
      </w:r>
    </w:p>
    <w:p>
      <w:pPr>
        <w:spacing w:line="181" w:lineRule="exact" w:before="0"/>
        <w:ind w:left="262" w:right="0" w:firstLine="0"/>
        <w:jc w:val="left"/>
        <w:rPr>
          <w:rFonts w:ascii="Cambria Math" w:eastAsia="Cambria Math"/>
          <w:sz w:val="17"/>
        </w:rPr>
      </w:pPr>
      <w:r>
        <w:rPr>
          <w:rFonts w:ascii="Cambria Math" w:eastAsia="Cambria Math"/>
          <w:w w:val="85"/>
          <w:sz w:val="17"/>
        </w:rPr>
        <w:t>�=1 �=1</w:t>
      </w:r>
    </w:p>
    <w:p>
      <w:pPr>
        <w:tabs>
          <w:tab w:pos="1049" w:val="left" w:leader="none"/>
        </w:tabs>
        <w:spacing w:line="242" w:lineRule="exact" w:before="0"/>
        <w:ind w:left="751" w:right="0" w:firstLine="0"/>
        <w:jc w:val="left"/>
        <w:rPr>
          <w:rFonts w:ascii="Cambria Math" w:eastAsia="Cambria Math"/>
          <w:sz w:val="24"/>
        </w:rPr>
      </w:pPr>
      <w:r>
        <w:rPr/>
        <w:br w:type="column"/>
      </w:r>
      <w:r>
        <w:rPr>
          <w:rFonts w:ascii="Cambria Math" w:eastAsia="Cambria Math"/>
          <w:w w:val="60"/>
          <w:sz w:val="24"/>
        </w:rPr>
        <w:t>�</w:t>
        <w:tab/>
        <w:t>�</w:t>
      </w:r>
    </w:p>
    <w:p>
      <w:pPr>
        <w:spacing w:line="167" w:lineRule="exact" w:before="0"/>
        <w:ind w:left="261" w:right="0" w:firstLine="0"/>
        <w:jc w:val="left"/>
        <w:rPr>
          <w:rFonts w:ascii="Cambria Math" w:eastAsia="Cambria Math"/>
          <w:sz w:val="17"/>
        </w:rPr>
      </w:pPr>
      <w:r>
        <w:rPr>
          <w:rFonts w:ascii="Cambria Math" w:eastAsia="Cambria Math"/>
          <w:w w:val="95"/>
          <w:sz w:val="17"/>
        </w:rPr>
        <w:t>�=1</w:t>
      </w:r>
    </w:p>
    <w:p>
      <w:pPr>
        <w:spacing w:after="0" w:line="167" w:lineRule="exact"/>
        <w:jc w:val="left"/>
        <w:rPr>
          <w:rFonts w:ascii="Cambria Math" w:eastAsia="Cambria Math"/>
          <w:sz w:val="17"/>
        </w:rPr>
        <w:sectPr>
          <w:type w:val="continuous"/>
          <w:pgSz w:w="12240" w:h="15840"/>
          <w:pgMar w:top="3260" w:bottom="280" w:left="1300" w:right="1340"/>
          <w:cols w:num="3" w:equalWidth="0">
            <w:col w:w="2565" w:space="40"/>
            <w:col w:w="1552" w:space="40"/>
            <w:col w:w="5403"/>
          </w:cols>
        </w:sectPr>
      </w:pPr>
    </w:p>
    <w:p>
      <w:pPr>
        <w:pStyle w:val="BodyText"/>
        <w:spacing w:before="7"/>
        <w:rPr>
          <w:rFonts w:ascii="Cambria Math"/>
          <w:sz w:val="19"/>
        </w:rPr>
      </w:pPr>
    </w:p>
    <w:p>
      <w:pPr>
        <w:pStyle w:val="BodyText"/>
        <w:spacing w:before="70"/>
        <w:ind w:left="118" w:right="410"/>
      </w:pPr>
      <w:r>
        <w:rPr/>
        <w:t>Donde:</w:t>
      </w:r>
    </w:p>
    <w:p>
      <w:pPr>
        <w:pStyle w:val="BodyText"/>
        <w:spacing w:before="190"/>
        <w:ind w:left="118" w:right="410"/>
      </w:pPr>
      <w:r>
        <w:rPr>
          <w:rFonts w:ascii="Cambria Math" w:hAnsi="Cambria Math" w:eastAsia="Cambria Math"/>
        </w:rPr>
        <w:t>�𝐼�</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1"/>
        </w:rPr>
        <w:t>) </w:t>
      </w:r>
      <w:r>
        <w:rPr>
          <w:rFonts w:ascii="Cambria Math" w:hAnsi="Cambria Math" w:eastAsia="Cambria Math"/>
        </w:rPr>
        <w:t>= </w:t>
      </w:r>
      <w:r>
        <w:rPr/>
        <w:t>Mínimo costo</w:t>
      </w:r>
    </w:p>
    <w:p>
      <w:pPr>
        <w:pStyle w:val="BodyText"/>
        <w:spacing w:before="201"/>
        <w:ind w:left="118" w:right="410"/>
      </w:pPr>
      <w:r>
        <w:rPr>
          <w:rFonts w:ascii="Cambria Math" w:eastAsia="Cambria Math"/>
          <w:w w:val="90"/>
        </w:rPr>
        <w:t>�� = </w:t>
      </w:r>
      <w:r>
        <w:rPr>
          <w:w w:val="90"/>
        </w:rPr>
        <w:t>Regiones</w:t>
      </w:r>
    </w:p>
    <w:p>
      <w:pPr>
        <w:pStyle w:val="BodyText"/>
        <w:spacing w:before="198"/>
        <w:ind w:left="118" w:right="410"/>
      </w:pPr>
      <w:r>
        <w:rPr>
          <w:rFonts w:ascii="Cambria Math" w:eastAsia="Cambria Math"/>
        </w:rPr>
        <w:t>𝛿 = </w:t>
      </w:r>
      <w:r>
        <w:rPr/>
        <w:t>Cerdos</w:t>
      </w:r>
    </w:p>
    <w:p>
      <w:pPr>
        <w:pStyle w:val="BodyText"/>
        <w:spacing w:before="201"/>
        <w:ind w:left="118" w:right="410"/>
      </w:pPr>
      <w:r>
        <w:rPr>
          <w:rFonts w:ascii="Cambria Math" w:eastAsia="Cambria Math"/>
        </w:rPr>
        <w:t>� = </w:t>
      </w:r>
      <w:r>
        <w:rPr/>
        <w:t>Canales</w:t>
      </w:r>
    </w:p>
    <w:p>
      <w:pPr>
        <w:pStyle w:val="BodyText"/>
        <w:spacing w:before="198"/>
        <w:ind w:left="118" w:right="410"/>
      </w:pPr>
      <w:r>
        <w:rPr>
          <w:rFonts w:ascii="Cambria Math" w:eastAsia="Cambria Math"/>
          <w:w w:val="95"/>
        </w:rPr>
        <w:t>� = </w:t>
      </w:r>
      <w:r>
        <w:rPr>
          <w:w w:val="95"/>
        </w:rPr>
        <w:t>Transporte</w:t>
      </w:r>
    </w:p>
    <w:p>
      <w:pPr>
        <w:pStyle w:val="BodyText"/>
        <w:spacing w:before="201"/>
        <w:ind w:left="118" w:right="410"/>
      </w:pPr>
      <w:r>
        <w:rPr>
          <w:rFonts w:ascii="Cambria Math" w:eastAsia="Cambria Math"/>
        </w:rPr>
        <w:t>� = </w:t>
      </w:r>
      <w:r>
        <w:rPr/>
        <w:t>Cantidad</w:t>
      </w:r>
    </w:p>
    <w:p>
      <w:pPr>
        <w:spacing w:after="0"/>
        <w:sectPr>
          <w:type w:val="continuous"/>
          <w:pgSz w:w="12240" w:h="15840"/>
          <w:pgMar w:top="3260" w:bottom="280" w:left="1300" w:right="1340"/>
        </w:sectPr>
      </w:pPr>
    </w:p>
    <w:p>
      <w:pPr>
        <w:pStyle w:val="BodyText"/>
        <w:spacing w:before="125"/>
        <w:ind w:left="118" w:right="410"/>
      </w:pPr>
      <w:r>
        <w:rPr>
          <w:rFonts w:ascii="Cambria Math" w:eastAsia="Cambria Math"/>
        </w:rPr>
        <w:t>� = </w:t>
      </w:r>
      <w:r>
        <w:rPr/>
        <w:t>Costo</w:t>
      </w:r>
    </w:p>
    <w:p>
      <w:pPr>
        <w:pStyle w:val="BodyText"/>
        <w:spacing w:before="198"/>
        <w:ind w:left="118" w:right="410"/>
      </w:pPr>
      <w:r>
        <w:rPr/>
        <w:t>Restricciones consideradas en el modelo.</w:t>
      </w:r>
    </w:p>
    <w:p>
      <w:pPr>
        <w:pStyle w:val="BodyText"/>
        <w:spacing w:before="5"/>
        <w:rPr>
          <w:sz w:val="19"/>
        </w:rPr>
      </w:pPr>
    </w:p>
    <w:p>
      <w:pPr>
        <w:spacing w:line="170" w:lineRule="exact" w:before="76"/>
        <w:ind w:left="222" w:right="410" w:firstLine="0"/>
        <w:jc w:val="left"/>
        <w:rPr>
          <w:rFonts w:ascii="Cambria Math" w:eastAsia="Cambria Math"/>
          <w:sz w:val="17"/>
        </w:rPr>
      </w:pPr>
      <w:r>
        <w:rPr>
          <w:rFonts w:ascii="Cambria Math" w:eastAsia="Cambria Math"/>
          <w:w w:val="115"/>
          <w:sz w:val="17"/>
        </w:rPr>
        <w:t>𝑛</w:t>
      </w:r>
    </w:p>
    <w:p>
      <w:pPr>
        <w:pStyle w:val="BodyText"/>
        <w:spacing w:line="284" w:lineRule="exact"/>
        <w:ind w:left="118" w:right="410"/>
        <w:rPr>
          <w:rFonts w:ascii="Cambria Math" w:hAnsi="Cambria Math" w:eastAsia="Cambria Math"/>
        </w:rPr>
      </w:pPr>
      <w:r>
        <w:rPr>
          <w:rFonts w:ascii="Cambria Math" w:hAnsi="Cambria Math" w:eastAsia="Cambria Math"/>
          <w:w w:val="85"/>
        </w:rPr>
        <w:t>∑ �</w:t>
      </w:r>
      <w:r>
        <w:rPr>
          <w:rFonts w:ascii="Cambria Math" w:hAnsi="Cambria Math" w:eastAsia="Cambria Math"/>
          <w:w w:val="85"/>
          <w:position w:val="15"/>
        </w:rPr>
        <w:t>� </w:t>
      </w:r>
      <w:r>
        <w:rPr>
          <w:rFonts w:ascii="Cambria Math" w:hAnsi="Cambria Math" w:eastAsia="Cambria Math"/>
          <w:w w:val="85"/>
        </w:rPr>
        <w:t>≤ x</w:t>
      </w:r>
      <w:r>
        <w:rPr>
          <w:rFonts w:ascii="Cambria Math" w:hAnsi="Cambria Math" w:eastAsia="Cambria Math"/>
          <w:w w:val="85"/>
          <w:position w:val="13"/>
        </w:rPr>
        <w:t>� </w:t>
      </w:r>
      <w:r>
        <w:rPr>
          <w:rFonts w:ascii="Cambria Math" w:hAnsi="Cambria Math" w:eastAsia="Cambria Math"/>
          <w:w w:val="85"/>
        </w:rPr>
        <w:t>, �𝑎�𝑎 ���� </w:t>
      </w:r>
      <w:r>
        <w:rPr>
          <w:rFonts w:ascii="Cambria Math" w:hAnsi="Cambria Math" w:eastAsia="Cambria Math"/>
          <w:w w:val="80"/>
        </w:rPr>
        <w:t>�</w:t>
      </w:r>
    </w:p>
    <w:p>
      <w:pPr>
        <w:pStyle w:val="BodyText"/>
        <w:tabs>
          <w:tab w:pos="1234" w:val="left" w:leader="none"/>
        </w:tabs>
        <w:spacing w:line="244" w:lineRule="exact"/>
        <w:ind w:left="610" w:right="410"/>
        <w:rPr>
          <w:rFonts w:ascii="Cambria Math" w:eastAsia="Cambria Math"/>
        </w:rPr>
      </w:pPr>
      <w:r>
        <w:rPr>
          <w:rFonts w:ascii="Cambria Math" w:eastAsia="Cambria Math"/>
          <w:w w:val="60"/>
        </w:rPr>
        <w:t>��</w:t>
        <w:tab/>
      </w:r>
      <w:r>
        <w:rPr>
          <w:rFonts w:ascii="Cambria Math" w:eastAsia="Cambria Math"/>
          <w:w w:val="60"/>
          <w:position w:val="-2"/>
        </w:rPr>
        <w:t>�</w:t>
      </w:r>
    </w:p>
    <w:p>
      <w:pPr>
        <w:spacing w:line="166" w:lineRule="exact" w:before="0"/>
        <w:ind w:left="133" w:right="410" w:firstLine="0"/>
        <w:jc w:val="left"/>
        <w:rPr>
          <w:rFonts w:ascii="Cambria Math" w:eastAsia="Cambria Math"/>
          <w:sz w:val="17"/>
        </w:rPr>
      </w:pPr>
      <w:r>
        <w:rPr>
          <w:rFonts w:ascii="Cambria Math" w:eastAsia="Cambria Math"/>
          <w:w w:val="95"/>
          <w:sz w:val="17"/>
        </w:rPr>
        <w:t>�=1</w:t>
      </w:r>
    </w:p>
    <w:p>
      <w:pPr>
        <w:pStyle w:val="BodyText"/>
        <w:spacing w:before="7"/>
        <w:rPr>
          <w:rFonts w:ascii="Cambria Math"/>
          <w:sz w:val="19"/>
        </w:rPr>
      </w:pPr>
    </w:p>
    <w:p>
      <w:pPr>
        <w:pStyle w:val="BodyText"/>
        <w:spacing w:before="70"/>
        <w:ind w:left="118" w:right="410"/>
      </w:pPr>
      <w:r>
        <w:rPr/>
        <w:t>Donde:</w:t>
      </w:r>
    </w:p>
    <w:p>
      <w:pPr>
        <w:pStyle w:val="BodyText"/>
        <w:spacing w:before="7"/>
        <w:rPr>
          <w:sz w:val="27"/>
        </w:rPr>
      </w:pPr>
    </w:p>
    <w:p>
      <w:pPr>
        <w:pStyle w:val="BodyText"/>
        <w:spacing w:line="216" w:lineRule="exact"/>
        <w:ind w:left="267"/>
        <w:rPr>
          <w:rFonts w:ascii="Cambria Math" w:eastAsia="Cambria Math"/>
        </w:rPr>
      </w:pPr>
      <w:r>
        <w:rPr/>
        <w:pict>
          <v:shape style="position:absolute;margin-left:70.944pt;margin-top:9.236406pt;width:6.4pt;height:12pt;mso-position-horizontal-relative:page;mso-position-vertical-relative:paragraph;z-index:3304" type="#_x0000_t202" filled="false" stroked="false">
            <v:textbox inset="0,0,0,0">
              <w:txbxContent>
                <w:p>
                  <w:pPr>
                    <w:pStyle w:val="BodyText"/>
                    <w:spacing w:line="240" w:lineRule="exact"/>
                    <w:rPr>
                      <w:rFonts w:ascii="Cambria Math" w:eastAsia="Cambria Math"/>
                    </w:rPr>
                  </w:pPr>
                  <w:r>
                    <w:rPr>
                      <w:rFonts w:ascii="Cambria Math" w:eastAsia="Cambria Math"/>
                      <w:w w:val="80"/>
                    </w:rPr>
                    <w:t>�</w:t>
                  </w:r>
                </w:p>
              </w:txbxContent>
            </v:textbox>
            <w10:wrap type="none"/>
          </v:shape>
        </w:pict>
      </w:r>
      <w:r>
        <w:rPr>
          <w:rFonts w:ascii="Cambria Math" w:eastAsia="Cambria Math"/>
          <w:w w:val="83"/>
        </w:rPr>
        <w:t>�</w:t>
      </w:r>
    </w:p>
    <w:p>
      <w:pPr>
        <w:pStyle w:val="BodyText"/>
        <w:spacing w:line="346" w:lineRule="exact"/>
        <w:ind w:left="253" w:right="410"/>
      </w:pPr>
      <w:r>
        <w:rPr>
          <w:rFonts w:ascii="Cambria Math" w:eastAsia="Cambria Math"/>
          <w:w w:val="90"/>
          <w:position w:val="-12"/>
        </w:rPr>
        <w:t>�� </w:t>
      </w:r>
      <w:r>
        <w:rPr>
          <w:rFonts w:ascii="Cambria Math" w:eastAsia="Cambria Math"/>
        </w:rPr>
        <w:t>= </w:t>
      </w:r>
      <w:r>
        <w:rPr/>
        <w:t>Cantidad de canales enviados de rastro a centros de consumo</w:t>
      </w:r>
    </w:p>
    <w:p>
      <w:pPr>
        <w:pStyle w:val="BodyText"/>
        <w:spacing w:before="6"/>
        <w:rPr>
          <w:sz w:val="21"/>
        </w:rPr>
      </w:pPr>
    </w:p>
    <w:p>
      <w:pPr>
        <w:pStyle w:val="BodyText"/>
        <w:spacing w:line="204" w:lineRule="exact" w:before="66"/>
        <w:ind w:left="234"/>
        <w:rPr>
          <w:rFonts w:ascii="Cambria Math" w:eastAsia="Cambria Math"/>
        </w:rPr>
      </w:pPr>
      <w:r>
        <w:rPr>
          <w:rFonts w:ascii="Cambria Math" w:eastAsia="Cambria Math"/>
          <w:w w:val="83"/>
        </w:rPr>
        <w:t>�</w:t>
      </w:r>
    </w:p>
    <w:p>
      <w:pPr>
        <w:pStyle w:val="BodyText"/>
        <w:spacing w:line="364" w:lineRule="exact"/>
        <w:ind w:left="118" w:right="410"/>
      </w:pPr>
      <w:r>
        <w:rPr>
          <w:rFonts w:ascii="Cambria Math" w:eastAsia="Cambria Math"/>
          <w:spacing w:val="28"/>
          <w:w w:val="99"/>
        </w:rPr>
        <w:t>x</w:t>
      </w:r>
      <w:r>
        <w:rPr>
          <w:rFonts w:ascii="Cambria Math" w:eastAsia="Cambria Math"/>
          <w:w w:val="48"/>
          <w:position w:val="-15"/>
        </w:rPr>
        <w:t>�</w:t>
      </w:r>
      <w:r>
        <w:rPr>
          <w:rFonts w:ascii="Cambria Math" w:eastAsia="Cambria Math"/>
          <w:position w:val="-15"/>
        </w:rPr>
        <w:t> </w:t>
      </w:r>
      <w:r>
        <w:rPr>
          <w:rFonts w:ascii="Cambria Math" w:eastAsia="Cambria Math"/>
          <w:spacing w:val="-5"/>
          <w:position w:val="-15"/>
        </w:rPr>
        <w:t> </w:t>
      </w:r>
      <w:r>
        <w:rPr>
          <w:rFonts w:ascii="Cambria Math" w:eastAsia="Cambria Math"/>
        </w:rPr>
        <w:t>= </w:t>
      </w:r>
      <w:r>
        <w:rPr>
          <w:rFonts w:ascii="Cambria Math" w:eastAsia="Cambria Math"/>
          <w:spacing w:val="14"/>
        </w:rPr>
        <w:t> </w:t>
      </w:r>
      <w:r>
        <w:rPr/>
        <w:t>C</w:t>
      </w:r>
      <w:r>
        <w:rPr>
          <w:spacing w:val="-1"/>
        </w:rPr>
        <w:t>a</w:t>
      </w:r>
      <w:r>
        <w:rPr/>
        <w:t>ntid</w:t>
      </w:r>
      <w:r>
        <w:rPr>
          <w:spacing w:val="-1"/>
        </w:rPr>
        <w:t>a</w:t>
      </w:r>
      <w:r>
        <w:rPr/>
        <w:t>d de</w:t>
      </w:r>
      <w:r>
        <w:rPr>
          <w:spacing w:val="-1"/>
        </w:rPr>
        <w:t> ca</w:t>
      </w:r>
      <w:r>
        <w:rPr>
          <w:spacing w:val="2"/>
        </w:rPr>
        <w:t>n</w:t>
      </w:r>
      <w:r>
        <w:rPr>
          <w:spacing w:val="-1"/>
        </w:rPr>
        <w:t>a</w:t>
      </w:r>
      <w:r>
        <w:rPr>
          <w:w w:val="99"/>
        </w:rPr>
        <w:t>les</w:t>
      </w:r>
      <w:r>
        <w:rPr/>
        <w:t> obt</w:t>
      </w:r>
      <w:r>
        <w:rPr>
          <w:spacing w:val="1"/>
        </w:rPr>
        <w:t>e</w:t>
      </w:r>
      <w:r>
        <w:rPr/>
        <w:t>nidas </w:t>
      </w:r>
      <w:r>
        <w:rPr>
          <w:spacing w:val="-2"/>
        </w:rPr>
        <w:t>e</w:t>
      </w:r>
      <w:r>
        <w:rPr/>
        <w:t>n r</w:t>
      </w:r>
      <w:r>
        <w:rPr>
          <w:spacing w:val="-2"/>
        </w:rPr>
        <w:t>a</w:t>
      </w:r>
      <w:r>
        <w:rPr>
          <w:w w:val="99"/>
        </w:rPr>
        <w:t>stro</w:t>
      </w:r>
    </w:p>
    <w:p>
      <w:pPr>
        <w:pStyle w:val="BodyText"/>
        <w:spacing w:before="6"/>
        <w:rPr>
          <w:sz w:val="16"/>
        </w:rPr>
      </w:pPr>
    </w:p>
    <w:p>
      <w:pPr>
        <w:tabs>
          <w:tab w:pos="817" w:val="left" w:leader="none"/>
          <w:tab w:pos="1313" w:val="left" w:leader="none"/>
          <w:tab w:pos="1921" w:val="left" w:leader="none"/>
          <w:tab w:pos="2420" w:val="left" w:leader="none"/>
          <w:tab w:pos="3004" w:val="left" w:leader="none"/>
        </w:tabs>
        <w:spacing w:line="175" w:lineRule="exact" w:before="67"/>
        <w:ind w:left="222" w:right="410" w:firstLine="0"/>
        <w:jc w:val="left"/>
        <w:rPr>
          <w:rFonts w:ascii="Cambria Math" w:eastAsia="Cambria Math"/>
          <w:sz w:val="24"/>
        </w:rPr>
      </w:pPr>
      <w:r>
        <w:rPr>
          <w:rFonts w:ascii="Cambria Math" w:eastAsia="Cambria Math"/>
          <w:position w:val="-1"/>
          <w:sz w:val="24"/>
        </w:rPr>
        <w:t>𝛿</w:t>
        <w:tab/>
      </w:r>
      <w:r>
        <w:rPr>
          <w:rFonts w:ascii="Cambria Math" w:eastAsia="Cambria Math"/>
          <w:position w:val="-4"/>
          <w:sz w:val="17"/>
        </w:rPr>
        <w:t>𝑛</w:t>
        <w:tab/>
      </w:r>
      <w:r>
        <w:rPr>
          <w:rFonts w:ascii="Cambria Math" w:eastAsia="Cambria Math"/>
          <w:sz w:val="24"/>
        </w:rPr>
        <w:t>𝛿</w:t>
        <w:tab/>
      </w:r>
      <w:r>
        <w:rPr>
          <w:rFonts w:ascii="Cambria Math" w:eastAsia="Cambria Math"/>
          <w:position w:val="-4"/>
          <w:sz w:val="17"/>
        </w:rPr>
        <w:t>𝑛</w:t>
        <w:tab/>
      </w:r>
      <w:r>
        <w:rPr>
          <w:rFonts w:ascii="Cambria Math" w:eastAsia="Cambria Math"/>
          <w:sz w:val="24"/>
        </w:rPr>
        <w:t>𝛿</w:t>
        <w:tab/>
      </w:r>
      <w:r>
        <w:rPr>
          <w:rFonts w:ascii="Cambria Math" w:eastAsia="Cambria Math"/>
          <w:position w:val="-1"/>
          <w:sz w:val="24"/>
        </w:rPr>
        <w:t>�</w:t>
      </w:r>
    </w:p>
    <w:p>
      <w:pPr>
        <w:pStyle w:val="BodyText"/>
        <w:spacing w:line="417" w:lineRule="exact"/>
        <w:ind w:left="118" w:right="410"/>
        <w:rPr>
          <w:rFonts w:ascii="Cambria Math" w:hAnsi="Cambria Math" w:eastAsia="Cambria Math"/>
        </w:rPr>
      </w:pPr>
      <w:r>
        <w:rPr>
          <w:rFonts w:ascii="Cambria Math" w:hAnsi="Cambria Math" w:eastAsia="Cambria Math"/>
          <w:spacing w:val="26"/>
          <w:w w:val="100"/>
        </w:rPr>
        <w:t>s</w:t>
      </w:r>
      <w:r>
        <w:rPr>
          <w:rFonts w:ascii="Cambria Math" w:hAnsi="Cambria Math" w:eastAsia="Cambria Math"/>
          <w:w w:val="48"/>
          <w:position w:val="-15"/>
        </w:rPr>
        <w:t>�</w:t>
      </w:r>
      <w:r>
        <w:rPr>
          <w:rFonts w:ascii="Cambria Math" w:hAnsi="Cambria Math" w:eastAsia="Cambria Math"/>
          <w:position w:val="-15"/>
        </w:rPr>
        <w:t> </w:t>
      </w:r>
      <w:r>
        <w:rPr>
          <w:rFonts w:ascii="Cambria Math" w:hAnsi="Cambria Math" w:eastAsia="Cambria Math"/>
          <w:spacing w:val="-17"/>
          <w:position w:val="-15"/>
        </w:rPr>
        <w:t> </w:t>
      </w:r>
      <w:r>
        <w:rPr>
          <w:rFonts w:ascii="Cambria Math" w:hAnsi="Cambria Math" w:eastAsia="Cambria Math"/>
        </w:rPr>
        <w:t>− </w:t>
      </w:r>
      <w:r>
        <w:rPr>
          <w:rFonts w:ascii="Cambria Math" w:hAnsi="Cambria Math" w:eastAsia="Cambria Math"/>
          <w:w w:val="100"/>
          <w:position w:val="1"/>
        </w:rPr>
        <w:t>∑</w:t>
      </w:r>
      <w:r>
        <w:rPr>
          <w:rFonts w:ascii="Cambria Math" w:hAnsi="Cambria Math" w:eastAsia="Cambria Math"/>
          <w:spacing w:val="4"/>
          <w:w w:val="71"/>
          <w:position w:val="-5"/>
          <w:sz w:val="17"/>
        </w:rPr>
        <w:t>�</w:t>
      </w:r>
      <w:r>
        <w:rPr>
          <w:rFonts w:ascii="Cambria Math" w:hAnsi="Cambria Math" w:eastAsia="Cambria Math"/>
          <w:w w:val="97"/>
          <w:position w:val="-5"/>
          <w:sz w:val="17"/>
        </w:rPr>
        <w:t>=</w:t>
      </w:r>
      <w:r>
        <w:rPr>
          <w:rFonts w:ascii="Cambria Math" w:hAnsi="Cambria Math" w:eastAsia="Cambria Math"/>
          <w:w w:val="104"/>
          <w:position w:val="-5"/>
          <w:sz w:val="17"/>
        </w:rPr>
        <w:t>1</w:t>
      </w:r>
      <w:r>
        <w:rPr>
          <w:rFonts w:ascii="Cambria Math" w:hAnsi="Cambria Math" w:eastAsia="Cambria Math"/>
          <w:position w:val="-5"/>
          <w:sz w:val="17"/>
        </w:rPr>
        <w:t> </w:t>
      </w:r>
      <w:r>
        <w:rPr>
          <w:rFonts w:ascii="Cambria Math" w:hAnsi="Cambria Math" w:eastAsia="Cambria Math"/>
          <w:spacing w:val="9"/>
          <w:w w:val="80"/>
        </w:rPr>
        <w:t>�</w:t>
      </w:r>
      <w:r>
        <w:rPr>
          <w:rFonts w:ascii="Cambria Math" w:hAnsi="Cambria Math" w:eastAsia="Cambria Math"/>
          <w:w w:val="51"/>
          <w:position w:val="-12"/>
        </w:rPr>
        <w:t>��</w:t>
      </w:r>
      <w:r>
        <w:rPr>
          <w:rFonts w:ascii="Cambria Math" w:hAnsi="Cambria Math" w:eastAsia="Cambria Math"/>
          <w:spacing w:val="2"/>
          <w:position w:val="-12"/>
        </w:rPr>
        <w:t> </w:t>
      </w:r>
      <w:r>
        <w:rPr>
          <w:rFonts w:ascii="Cambria Math" w:hAnsi="Cambria Math" w:eastAsia="Cambria Math"/>
        </w:rPr>
        <w:t>+ </w:t>
      </w:r>
      <w:r>
        <w:rPr>
          <w:rFonts w:ascii="Cambria Math" w:hAnsi="Cambria Math" w:eastAsia="Cambria Math"/>
          <w:w w:val="100"/>
          <w:position w:val="1"/>
        </w:rPr>
        <w:t>∑</w:t>
      </w:r>
      <w:r>
        <w:rPr>
          <w:rFonts w:ascii="Cambria Math" w:hAnsi="Cambria Math" w:eastAsia="Cambria Math"/>
          <w:spacing w:val="6"/>
          <w:w w:val="71"/>
          <w:position w:val="-5"/>
          <w:sz w:val="17"/>
        </w:rPr>
        <w:t>�</w:t>
      </w:r>
      <w:r>
        <w:rPr>
          <w:rFonts w:ascii="Cambria Math" w:hAnsi="Cambria Math" w:eastAsia="Cambria Math"/>
          <w:w w:val="97"/>
          <w:position w:val="-5"/>
          <w:sz w:val="17"/>
        </w:rPr>
        <w:t>=</w:t>
      </w:r>
      <w:r>
        <w:rPr>
          <w:rFonts w:ascii="Cambria Math" w:hAnsi="Cambria Math" w:eastAsia="Cambria Math"/>
          <w:w w:val="104"/>
          <w:position w:val="-5"/>
          <w:sz w:val="17"/>
        </w:rPr>
        <w:t>1</w:t>
      </w:r>
      <w:r>
        <w:rPr>
          <w:rFonts w:ascii="Cambria Math" w:hAnsi="Cambria Math" w:eastAsia="Cambria Math"/>
          <w:position w:val="-5"/>
          <w:sz w:val="17"/>
        </w:rPr>
        <w:t> </w:t>
      </w:r>
      <w:r>
        <w:rPr>
          <w:rFonts w:ascii="Cambria Math" w:hAnsi="Cambria Math" w:eastAsia="Cambria Math"/>
          <w:spacing w:val="6"/>
          <w:w w:val="80"/>
        </w:rPr>
        <w:t>�</w:t>
      </w:r>
      <w:r>
        <w:rPr>
          <w:rFonts w:ascii="Cambria Math" w:hAnsi="Cambria Math" w:eastAsia="Cambria Math"/>
          <w:w w:val="51"/>
          <w:position w:val="-12"/>
        </w:rPr>
        <w:t>��</w:t>
      </w:r>
      <w:r>
        <w:rPr>
          <w:rFonts w:ascii="Cambria Math" w:hAnsi="Cambria Math" w:eastAsia="Cambria Math"/>
          <w:spacing w:val="22"/>
          <w:position w:val="-12"/>
        </w:rPr>
        <w:t> </w:t>
      </w:r>
      <w:r>
        <w:rPr>
          <w:rFonts w:ascii="Cambria Math" w:hAnsi="Cambria Math" w:eastAsia="Cambria Math"/>
        </w:rPr>
        <w:t>≥</w:t>
      </w:r>
      <w:r>
        <w:rPr>
          <w:rFonts w:ascii="Cambria Math" w:hAnsi="Cambria Math" w:eastAsia="Cambria Math"/>
          <w:spacing w:val="12"/>
        </w:rPr>
        <w:t> </w:t>
      </w:r>
      <w:r>
        <w:rPr>
          <w:rFonts w:ascii="Cambria Math" w:hAnsi="Cambria Math" w:eastAsia="Cambria Math"/>
          <w:spacing w:val="28"/>
          <w:w w:val="99"/>
        </w:rPr>
        <w:t>x</w:t>
      </w:r>
      <w:r>
        <w:rPr>
          <w:rFonts w:ascii="Cambria Math" w:hAnsi="Cambria Math" w:eastAsia="Cambria Math"/>
          <w:w w:val="48"/>
          <w:position w:val="-15"/>
        </w:rPr>
        <w:t>�</w:t>
      </w:r>
      <w:r>
        <w:rPr>
          <w:rFonts w:ascii="Cambria Math" w:hAnsi="Cambria Math" w:eastAsia="Cambria Math"/>
          <w:spacing w:val="-17"/>
          <w:position w:val="-15"/>
        </w:rPr>
        <w:t> </w:t>
      </w:r>
      <w:r>
        <w:rPr>
          <w:rFonts w:ascii="Cambria Math" w:hAnsi="Cambria Math" w:eastAsia="Cambria Math"/>
          <w:w w:val="99"/>
        </w:rPr>
        <w:t>,</w:t>
      </w:r>
      <w:r>
        <w:rPr>
          <w:rFonts w:ascii="Cambria Math" w:hAnsi="Cambria Math" w:eastAsia="Cambria Math"/>
          <w:spacing w:val="-14"/>
        </w:rPr>
        <w:t> </w:t>
      </w:r>
      <w:r>
        <w:rPr>
          <w:rFonts w:ascii="Cambria Math" w:hAnsi="Cambria Math" w:eastAsia="Cambria Math"/>
          <w:w w:val="91"/>
        </w:rPr>
        <w:t>�𝑎</w:t>
      </w:r>
      <w:r>
        <w:rPr>
          <w:rFonts w:ascii="Cambria Math" w:hAnsi="Cambria Math" w:eastAsia="Cambria Math"/>
          <w:w w:val="72"/>
        </w:rPr>
        <w:t>�</w:t>
      </w:r>
      <w:r>
        <w:rPr>
          <w:rFonts w:ascii="Cambria Math" w:hAnsi="Cambria Math" w:eastAsia="Cambria Math"/>
          <w:w w:val="99"/>
        </w:rPr>
        <w:t>𝑎</w:t>
      </w:r>
      <w:r>
        <w:rPr>
          <w:rFonts w:ascii="Cambria Math" w:hAnsi="Cambria Math" w:eastAsia="Cambria Math"/>
          <w:spacing w:val="3"/>
        </w:rPr>
        <w:t> </w:t>
      </w:r>
      <w:r>
        <w:rPr>
          <w:rFonts w:ascii="Cambria Math" w:hAnsi="Cambria Math" w:eastAsia="Cambria Math"/>
          <w:spacing w:val="-2"/>
          <w:w w:val="60"/>
        </w:rPr>
        <w:t>�</w:t>
      </w:r>
      <w:r>
        <w:rPr>
          <w:rFonts w:ascii="Cambria Math" w:hAnsi="Cambria Math" w:eastAsia="Cambria Math"/>
          <w:spacing w:val="-1"/>
          <w:w w:val="80"/>
        </w:rPr>
        <w:t>�</w:t>
      </w:r>
      <w:r>
        <w:rPr>
          <w:rFonts w:ascii="Cambria Math" w:hAnsi="Cambria Math" w:eastAsia="Cambria Math"/>
          <w:w w:val="84"/>
        </w:rPr>
        <w:t>��</w:t>
      </w:r>
      <w:r>
        <w:rPr>
          <w:rFonts w:ascii="Cambria Math" w:hAnsi="Cambria Math" w:eastAsia="Cambria Math"/>
          <w:spacing w:val="6"/>
        </w:rPr>
        <w:t> </w:t>
      </w:r>
      <w:r>
        <w:rPr>
          <w:rFonts w:ascii="Cambria Math" w:hAnsi="Cambria Math" w:eastAsia="Cambria Math"/>
          <w:w w:val="48"/>
        </w:rPr>
        <w:t>�</w:t>
      </w:r>
    </w:p>
    <w:p>
      <w:pPr>
        <w:pStyle w:val="BodyText"/>
        <w:spacing w:before="309"/>
        <w:ind w:left="118" w:right="410"/>
      </w:pPr>
      <w:r>
        <w:rPr/>
        <w:t>Donde:</w:t>
      </w:r>
    </w:p>
    <w:p>
      <w:pPr>
        <w:pStyle w:val="BodyText"/>
        <w:spacing w:before="7"/>
        <w:rPr>
          <w:sz w:val="21"/>
        </w:rPr>
      </w:pPr>
    </w:p>
    <w:p>
      <w:pPr>
        <w:pStyle w:val="BodyText"/>
        <w:spacing w:line="204" w:lineRule="exact" w:before="66"/>
        <w:ind w:left="222" w:right="410"/>
        <w:rPr>
          <w:rFonts w:ascii="Cambria Math" w:eastAsia="Cambria Math"/>
        </w:rPr>
      </w:pPr>
      <w:r>
        <w:rPr>
          <w:rFonts w:ascii="Cambria Math" w:eastAsia="Cambria Math"/>
        </w:rPr>
        <w:t>𝛿</w:t>
      </w:r>
    </w:p>
    <w:p>
      <w:pPr>
        <w:pStyle w:val="BodyText"/>
        <w:spacing w:line="364" w:lineRule="exact"/>
        <w:ind w:left="118" w:right="410"/>
      </w:pPr>
      <w:r>
        <w:rPr>
          <w:rFonts w:ascii="Cambria Math" w:hAnsi="Cambria Math" w:eastAsia="Cambria Math"/>
          <w:spacing w:val="26"/>
          <w:w w:val="100"/>
        </w:rPr>
        <w:t>s</w:t>
      </w:r>
      <w:r>
        <w:rPr>
          <w:rFonts w:ascii="Cambria Math" w:hAnsi="Cambria Math" w:eastAsia="Cambria Math"/>
          <w:w w:val="48"/>
          <w:position w:val="-15"/>
        </w:rPr>
        <w:t>�</w:t>
      </w:r>
      <w:r>
        <w:rPr>
          <w:rFonts w:ascii="Cambria Math" w:hAnsi="Cambria Math" w:eastAsia="Cambria Math"/>
          <w:position w:val="-15"/>
        </w:rPr>
        <w:t> </w:t>
      </w:r>
      <w:r>
        <w:rPr>
          <w:rFonts w:ascii="Cambria Math" w:hAnsi="Cambria Math" w:eastAsia="Cambria Math"/>
          <w:spacing w:val="-5"/>
          <w:position w:val="-15"/>
        </w:rPr>
        <w:t> </w:t>
      </w:r>
      <w:r>
        <w:rPr>
          <w:rFonts w:ascii="Cambria Math" w:hAnsi="Cambria Math" w:eastAsia="Cambria Math"/>
        </w:rPr>
        <w:t>= </w:t>
      </w:r>
      <w:r>
        <w:rPr/>
        <w:t>Núm</w:t>
      </w:r>
      <w:r>
        <w:rPr>
          <w:spacing w:val="-1"/>
        </w:rPr>
        <w:t>e</w:t>
      </w:r>
      <w:r>
        <w:rPr/>
        <w:t>ro de</w:t>
      </w:r>
      <w:r>
        <w:rPr>
          <w:spacing w:val="-2"/>
        </w:rPr>
        <w:t> </w:t>
      </w:r>
      <w:r>
        <w:rPr>
          <w:spacing w:val="1"/>
        </w:rPr>
        <w:t>c</w:t>
      </w:r>
      <w:r>
        <w:rPr>
          <w:spacing w:val="-1"/>
        </w:rPr>
        <w:t>e</w:t>
      </w:r>
      <w:r>
        <w:rPr/>
        <w:t>rdos p</w:t>
      </w:r>
      <w:r>
        <w:rPr>
          <w:spacing w:val="-2"/>
        </w:rPr>
        <w:t>r</w:t>
      </w:r>
      <w:r>
        <w:rPr/>
        <w:t>od</w:t>
      </w:r>
      <w:r>
        <w:rPr>
          <w:spacing w:val="2"/>
        </w:rPr>
        <w:t>u</w:t>
      </w:r>
      <w:r>
        <w:rPr>
          <w:spacing w:val="-1"/>
        </w:rPr>
        <w:t>c</w:t>
      </w:r>
      <w:r>
        <w:rPr/>
        <w:t>idos</w:t>
      </w:r>
      <w:r>
        <w:rPr>
          <w:spacing w:val="-1"/>
        </w:rPr>
        <w:t> </w:t>
      </w:r>
      <w:r>
        <w:rPr/>
        <w:t>en</w:t>
      </w:r>
      <w:r>
        <w:rPr>
          <w:spacing w:val="1"/>
        </w:rPr>
        <w:t> </w:t>
      </w:r>
      <w:r>
        <w:rPr>
          <w:spacing w:val="-3"/>
        </w:rPr>
        <w:t>g</w:t>
      </w:r>
      <w:r>
        <w:rPr/>
        <w:t>r</w:t>
      </w:r>
      <w:r>
        <w:rPr>
          <w:spacing w:val="-2"/>
        </w:rPr>
        <w:t>a</w:t>
      </w:r>
      <w:r>
        <w:rPr/>
        <w:t>nja</w:t>
      </w:r>
    </w:p>
    <w:p>
      <w:pPr>
        <w:pStyle w:val="BodyText"/>
        <w:spacing w:line="216" w:lineRule="exact" w:before="257"/>
        <w:ind w:left="267" w:right="410"/>
        <w:rPr>
          <w:rFonts w:ascii="Cambria Math" w:eastAsia="Cambria Math"/>
        </w:rPr>
      </w:pPr>
      <w:r>
        <w:rPr/>
        <w:pict>
          <v:shape style="position:absolute;margin-left:70.944pt;margin-top:22.086388pt;width:6.4pt;height:12pt;mso-position-horizontal-relative:page;mso-position-vertical-relative:paragraph;z-index:3328" type="#_x0000_t202" filled="false" stroked="false">
            <v:textbox inset="0,0,0,0">
              <w:txbxContent>
                <w:p>
                  <w:pPr>
                    <w:pStyle w:val="BodyText"/>
                    <w:spacing w:line="240" w:lineRule="exact"/>
                    <w:rPr>
                      <w:rFonts w:ascii="Cambria Math" w:eastAsia="Cambria Math"/>
                    </w:rPr>
                  </w:pPr>
                  <w:r>
                    <w:rPr>
                      <w:rFonts w:ascii="Cambria Math" w:eastAsia="Cambria Math"/>
                      <w:w w:val="80"/>
                    </w:rPr>
                    <w:t>�</w:t>
                  </w:r>
                </w:p>
              </w:txbxContent>
            </v:textbox>
            <w10:wrap type="none"/>
          </v:shape>
        </w:pict>
      </w:r>
      <w:r>
        <w:rPr>
          <w:rFonts w:ascii="Cambria Math" w:eastAsia="Cambria Math"/>
        </w:rPr>
        <w:t>𝛿</w:t>
      </w:r>
    </w:p>
    <w:p>
      <w:pPr>
        <w:pStyle w:val="BodyText"/>
        <w:spacing w:line="346" w:lineRule="exact"/>
        <w:ind w:left="253" w:right="410"/>
        <w:rPr>
          <w:i/>
        </w:rPr>
      </w:pPr>
      <w:r>
        <w:rPr>
          <w:rFonts w:ascii="Cambria Math" w:hAnsi="Cambria Math" w:eastAsia="Cambria Math"/>
          <w:w w:val="90"/>
          <w:position w:val="-12"/>
        </w:rPr>
        <w:t>�� </w:t>
      </w:r>
      <w:r>
        <w:rPr>
          <w:rFonts w:ascii="Cambria Math" w:hAnsi="Cambria Math" w:eastAsia="Cambria Math"/>
        </w:rPr>
        <w:t>= </w:t>
      </w:r>
      <w:r>
        <w:rPr/>
        <w:t>Cerdos enviados de la región </w:t>
      </w:r>
      <w:r>
        <w:rPr>
          <w:i/>
        </w:rPr>
        <w:t>i </w:t>
      </w:r>
      <w:r>
        <w:rPr/>
        <w:t>a la región </w:t>
      </w:r>
      <w:r>
        <w:rPr>
          <w:i/>
        </w:rPr>
        <w:t>j</w:t>
      </w:r>
    </w:p>
    <w:p>
      <w:pPr>
        <w:pStyle w:val="BodyText"/>
        <w:spacing w:line="216" w:lineRule="exact" w:before="316"/>
        <w:ind w:left="270" w:right="410"/>
        <w:rPr>
          <w:rFonts w:ascii="Cambria Math" w:eastAsia="Cambria Math"/>
        </w:rPr>
      </w:pPr>
      <w:r>
        <w:rPr/>
        <w:pict>
          <v:shape style="position:absolute;margin-left:70.944pt;margin-top:25.036406pt;width:6.4pt;height:12pt;mso-position-horizontal-relative:page;mso-position-vertical-relative:paragraph;z-index:3352" type="#_x0000_t202" filled="false" stroked="false">
            <v:textbox inset="0,0,0,0">
              <w:txbxContent>
                <w:p>
                  <w:pPr>
                    <w:pStyle w:val="BodyText"/>
                    <w:spacing w:line="240" w:lineRule="exact"/>
                    <w:rPr>
                      <w:rFonts w:ascii="Cambria Math" w:eastAsia="Cambria Math"/>
                    </w:rPr>
                  </w:pPr>
                  <w:r>
                    <w:rPr>
                      <w:rFonts w:ascii="Cambria Math" w:eastAsia="Cambria Math"/>
                      <w:w w:val="80"/>
                    </w:rPr>
                    <w:t>�</w:t>
                  </w:r>
                </w:p>
              </w:txbxContent>
            </v:textbox>
            <w10:wrap type="none"/>
          </v:shape>
        </w:pict>
      </w:r>
      <w:r>
        <w:rPr>
          <w:rFonts w:ascii="Cambria Math" w:eastAsia="Cambria Math"/>
        </w:rPr>
        <w:t>𝛿</w:t>
      </w:r>
    </w:p>
    <w:p>
      <w:pPr>
        <w:pStyle w:val="BodyText"/>
        <w:spacing w:line="346" w:lineRule="exact"/>
        <w:ind w:left="253" w:right="410"/>
        <w:rPr>
          <w:i/>
        </w:rPr>
      </w:pPr>
      <w:r>
        <w:rPr>
          <w:rFonts w:ascii="Cambria Math" w:hAnsi="Cambria Math" w:eastAsia="Cambria Math"/>
          <w:w w:val="90"/>
          <w:position w:val="-12"/>
        </w:rPr>
        <w:t>�� </w:t>
      </w:r>
      <w:r>
        <w:rPr>
          <w:rFonts w:ascii="Cambria Math" w:hAnsi="Cambria Math" w:eastAsia="Cambria Math"/>
        </w:rPr>
        <w:t>= </w:t>
      </w:r>
      <w:r>
        <w:rPr/>
        <w:t>Cerdos enviados de la región </w:t>
      </w:r>
      <w:r>
        <w:rPr>
          <w:i/>
        </w:rPr>
        <w:t>j </w:t>
      </w:r>
      <w:r>
        <w:rPr/>
        <w:t>a la región </w:t>
      </w:r>
      <w:r>
        <w:rPr>
          <w:i/>
        </w:rPr>
        <w:t>i</w:t>
      </w:r>
    </w:p>
    <w:p>
      <w:pPr>
        <w:pStyle w:val="BodyText"/>
        <w:spacing w:before="7"/>
        <w:rPr>
          <w:i/>
          <w:sz w:val="21"/>
        </w:rPr>
      </w:pPr>
    </w:p>
    <w:p>
      <w:pPr>
        <w:pStyle w:val="BodyText"/>
        <w:spacing w:line="204" w:lineRule="exact" w:before="67"/>
        <w:ind w:left="234"/>
        <w:rPr>
          <w:rFonts w:ascii="Cambria Math" w:eastAsia="Cambria Math"/>
        </w:rPr>
      </w:pPr>
      <w:r>
        <w:rPr>
          <w:rFonts w:ascii="Cambria Math" w:eastAsia="Cambria Math"/>
          <w:w w:val="83"/>
        </w:rPr>
        <w:t>�</w:t>
      </w:r>
    </w:p>
    <w:p>
      <w:pPr>
        <w:pStyle w:val="BodyText"/>
        <w:spacing w:line="364" w:lineRule="exact"/>
        <w:ind w:left="118" w:right="410"/>
      </w:pPr>
      <w:r>
        <w:rPr>
          <w:rFonts w:ascii="Cambria Math" w:eastAsia="Cambria Math"/>
          <w:spacing w:val="28"/>
          <w:w w:val="99"/>
        </w:rPr>
        <w:t>x</w:t>
      </w:r>
      <w:r>
        <w:rPr>
          <w:rFonts w:ascii="Cambria Math" w:eastAsia="Cambria Math"/>
          <w:w w:val="48"/>
          <w:position w:val="-15"/>
        </w:rPr>
        <w:t>�</w:t>
      </w:r>
      <w:r>
        <w:rPr>
          <w:rFonts w:ascii="Cambria Math" w:eastAsia="Cambria Math"/>
          <w:position w:val="-15"/>
        </w:rPr>
        <w:t> </w:t>
      </w:r>
      <w:r>
        <w:rPr>
          <w:rFonts w:ascii="Cambria Math" w:eastAsia="Cambria Math"/>
          <w:spacing w:val="-5"/>
          <w:position w:val="-15"/>
        </w:rPr>
        <w:t> </w:t>
      </w:r>
      <w:r>
        <w:rPr>
          <w:rFonts w:ascii="Cambria Math" w:eastAsia="Cambria Math"/>
        </w:rPr>
        <w:t>=</w:t>
      </w:r>
      <w:r>
        <w:rPr>
          <w:rFonts w:ascii="Cambria Math" w:eastAsia="Cambria Math"/>
          <w:spacing w:val="7"/>
        </w:rPr>
        <w:t> </w:t>
      </w:r>
      <w:r>
        <w:rPr/>
        <w:t>C</w:t>
      </w:r>
      <w:r>
        <w:rPr>
          <w:spacing w:val="-1"/>
        </w:rPr>
        <w:t>a</w:t>
      </w:r>
      <w:r>
        <w:rPr/>
        <w:t>ntid</w:t>
      </w:r>
      <w:r>
        <w:rPr>
          <w:spacing w:val="-1"/>
        </w:rPr>
        <w:t>a</w:t>
      </w:r>
      <w:r>
        <w:rPr/>
        <w:t>d de</w:t>
      </w:r>
      <w:r>
        <w:rPr>
          <w:spacing w:val="-1"/>
        </w:rPr>
        <w:t> ca</w:t>
      </w:r>
      <w:r>
        <w:rPr>
          <w:spacing w:val="2"/>
        </w:rPr>
        <w:t>n</w:t>
      </w:r>
      <w:r>
        <w:rPr>
          <w:spacing w:val="-1"/>
        </w:rPr>
        <w:t>a</w:t>
      </w:r>
      <w:r>
        <w:rPr>
          <w:w w:val="99"/>
        </w:rPr>
        <w:t>les</w:t>
      </w:r>
      <w:r>
        <w:rPr/>
        <w:t> obt</w:t>
      </w:r>
      <w:r>
        <w:rPr>
          <w:spacing w:val="1"/>
        </w:rPr>
        <w:t>e</w:t>
      </w:r>
      <w:r>
        <w:rPr/>
        <w:t>nida </w:t>
      </w:r>
      <w:r>
        <w:rPr>
          <w:spacing w:val="-2"/>
        </w:rPr>
        <w:t>e</w:t>
      </w:r>
      <w:r>
        <w:rPr/>
        <w:t>n r</w:t>
      </w:r>
      <w:r>
        <w:rPr>
          <w:spacing w:val="-2"/>
        </w:rPr>
        <w:t>a</w:t>
      </w:r>
      <w:r>
        <w:rPr>
          <w:w w:val="99"/>
        </w:rPr>
        <w:t>stro</w:t>
      </w:r>
    </w:p>
    <w:p>
      <w:pPr>
        <w:pStyle w:val="BodyText"/>
        <w:spacing w:before="3"/>
        <w:rPr>
          <w:sz w:val="14"/>
        </w:rPr>
      </w:pPr>
    </w:p>
    <w:p>
      <w:pPr>
        <w:pStyle w:val="BodyText"/>
        <w:tabs>
          <w:tab w:pos="855" w:val="left" w:leader="none"/>
        </w:tabs>
        <w:spacing w:line="187" w:lineRule="exact" w:before="66"/>
        <w:ind w:left="222" w:right="410"/>
        <w:rPr>
          <w:rFonts w:ascii="Cambria Math" w:eastAsia="Cambria Math"/>
        </w:rPr>
      </w:pPr>
      <w:r>
        <w:rPr>
          <w:rFonts w:ascii="Cambria Math" w:eastAsia="Cambria Math"/>
          <w:w w:val="110"/>
        </w:rPr>
        <w:t>�</w:t>
        <w:tab/>
      </w:r>
      <w:r>
        <w:rPr>
          <w:rFonts w:ascii="Cambria Math" w:eastAsia="Cambria Math"/>
          <w:w w:val="105"/>
          <w:position w:val="-2"/>
        </w:rPr>
        <w:t>�</w:t>
      </w:r>
    </w:p>
    <w:p>
      <w:pPr>
        <w:pStyle w:val="BodyText"/>
        <w:spacing w:line="408" w:lineRule="exact"/>
        <w:ind w:left="118" w:right="410"/>
        <w:rPr>
          <w:rFonts w:ascii="Cambria Math" w:hAnsi="Cambria Math" w:eastAsia="Cambria Math"/>
        </w:rPr>
      </w:pPr>
      <w:r>
        <w:rPr>
          <w:rFonts w:ascii="Cambria Math" w:hAnsi="Cambria Math" w:eastAsia="Cambria Math"/>
          <w:w w:val="100"/>
        </w:rPr>
        <w:t>s</w:t>
      </w:r>
      <w:r>
        <w:rPr>
          <w:rFonts w:ascii="Cambria Math" w:hAnsi="Cambria Math" w:eastAsia="Cambria Math"/>
          <w:spacing w:val="7"/>
        </w:rPr>
        <w:t> </w:t>
      </w:r>
      <w:r>
        <w:rPr>
          <w:rFonts w:ascii="Cambria Math" w:hAnsi="Cambria Math" w:eastAsia="Cambria Math"/>
          <w:w w:val="48"/>
          <w:position w:val="-12"/>
        </w:rPr>
        <w:t>�</w:t>
      </w:r>
      <w:r>
        <w:rPr>
          <w:rFonts w:ascii="Cambria Math" w:hAnsi="Cambria Math" w:eastAsia="Cambria Math"/>
          <w:position w:val="-12"/>
        </w:rPr>
        <w:t>  </w:t>
      </w:r>
      <w:r>
        <w:rPr>
          <w:rFonts w:ascii="Cambria Math" w:hAnsi="Cambria Math" w:eastAsia="Cambria Math"/>
          <w:spacing w:val="-24"/>
          <w:position w:val="-12"/>
        </w:rPr>
        <w:t> </w:t>
      </w:r>
      <w:r>
        <w:rPr>
          <w:rFonts w:ascii="Cambria Math" w:hAnsi="Cambria Math" w:eastAsia="Cambria Math"/>
        </w:rPr>
        <w:t>≥</w:t>
      </w:r>
      <w:r>
        <w:rPr>
          <w:rFonts w:ascii="Cambria Math" w:hAnsi="Cambria Math" w:eastAsia="Cambria Math"/>
          <w:spacing w:val="14"/>
        </w:rPr>
        <w:t> </w:t>
      </w:r>
      <w:r>
        <w:rPr>
          <w:rFonts w:ascii="Cambria Math" w:hAnsi="Cambria Math" w:eastAsia="Cambria Math"/>
          <w:spacing w:val="28"/>
          <w:w w:val="99"/>
        </w:rPr>
        <w:t>x</w:t>
      </w:r>
      <w:r>
        <w:rPr>
          <w:rFonts w:ascii="Cambria Math" w:hAnsi="Cambria Math" w:eastAsia="Cambria Math"/>
          <w:w w:val="48"/>
          <w:position w:val="-15"/>
        </w:rPr>
        <w:t>�</w:t>
      </w:r>
      <w:r>
        <w:rPr>
          <w:rFonts w:ascii="Cambria Math" w:hAnsi="Cambria Math" w:eastAsia="Cambria Math"/>
          <w:spacing w:val="-19"/>
          <w:position w:val="-15"/>
        </w:rPr>
        <w:t> </w:t>
      </w:r>
      <w:r>
        <w:rPr>
          <w:rFonts w:ascii="Cambria Math" w:hAnsi="Cambria Math" w:eastAsia="Cambria Math"/>
          <w:w w:val="99"/>
        </w:rPr>
        <w:t>,</w:t>
      </w:r>
      <w:r>
        <w:rPr>
          <w:rFonts w:ascii="Cambria Math" w:hAnsi="Cambria Math" w:eastAsia="Cambria Math"/>
          <w:spacing w:val="-11"/>
        </w:rPr>
        <w:t> </w:t>
      </w:r>
      <w:r>
        <w:rPr>
          <w:rFonts w:ascii="Cambria Math" w:hAnsi="Cambria Math" w:eastAsia="Cambria Math"/>
          <w:w w:val="91"/>
        </w:rPr>
        <w:t>�𝑎</w:t>
      </w:r>
      <w:r>
        <w:rPr>
          <w:rFonts w:ascii="Cambria Math" w:hAnsi="Cambria Math" w:eastAsia="Cambria Math"/>
          <w:w w:val="72"/>
        </w:rPr>
        <w:t>�</w:t>
      </w:r>
      <w:r>
        <w:rPr>
          <w:rFonts w:ascii="Cambria Math" w:hAnsi="Cambria Math" w:eastAsia="Cambria Math"/>
          <w:w w:val="99"/>
        </w:rPr>
        <w:t>𝑎</w:t>
      </w:r>
      <w:r>
        <w:rPr>
          <w:rFonts w:ascii="Cambria Math" w:hAnsi="Cambria Math" w:eastAsia="Cambria Math"/>
          <w:spacing w:val="3"/>
        </w:rPr>
        <w:t> </w:t>
      </w:r>
      <w:r>
        <w:rPr>
          <w:rFonts w:ascii="Cambria Math" w:hAnsi="Cambria Math" w:eastAsia="Cambria Math"/>
          <w:spacing w:val="-2"/>
          <w:w w:val="60"/>
        </w:rPr>
        <w:t>�</w:t>
      </w:r>
      <w:r>
        <w:rPr>
          <w:rFonts w:ascii="Cambria Math" w:hAnsi="Cambria Math" w:eastAsia="Cambria Math"/>
          <w:spacing w:val="-1"/>
          <w:w w:val="80"/>
        </w:rPr>
        <w:t>�</w:t>
      </w:r>
      <w:r>
        <w:rPr>
          <w:rFonts w:ascii="Cambria Math" w:hAnsi="Cambria Math" w:eastAsia="Cambria Math"/>
          <w:w w:val="84"/>
        </w:rPr>
        <w:t>��</w:t>
      </w:r>
      <w:r>
        <w:rPr>
          <w:rFonts w:ascii="Cambria Math" w:hAnsi="Cambria Math" w:eastAsia="Cambria Math"/>
          <w:spacing w:val="6"/>
        </w:rPr>
        <w:t> </w:t>
      </w:r>
      <w:r>
        <w:rPr>
          <w:rFonts w:ascii="Cambria Math" w:hAnsi="Cambria Math" w:eastAsia="Cambria Math"/>
          <w:w w:val="48"/>
        </w:rPr>
        <w:t>�</w:t>
      </w:r>
    </w:p>
    <w:p>
      <w:pPr>
        <w:pStyle w:val="BodyText"/>
        <w:spacing w:before="283"/>
        <w:ind w:left="118" w:right="410"/>
      </w:pPr>
      <w:r>
        <w:rPr/>
        <w:t>Donde:</w:t>
      </w:r>
    </w:p>
    <w:p>
      <w:pPr>
        <w:pStyle w:val="BodyText"/>
        <w:rPr>
          <w:sz w:val="17"/>
        </w:rPr>
      </w:pPr>
    </w:p>
    <w:p>
      <w:pPr>
        <w:pStyle w:val="BodyText"/>
        <w:spacing w:line="217" w:lineRule="exact" w:before="67"/>
        <w:ind w:left="222"/>
        <w:rPr>
          <w:rFonts w:ascii="Cambria Math" w:eastAsia="Cambria Math"/>
        </w:rPr>
      </w:pPr>
      <w:r>
        <w:rPr>
          <w:rFonts w:ascii="Cambria Math" w:eastAsia="Cambria Math"/>
          <w:w w:val="127"/>
        </w:rPr>
        <w:t>�</w:t>
      </w:r>
    </w:p>
    <w:p>
      <w:pPr>
        <w:pStyle w:val="BodyText"/>
        <w:spacing w:line="347" w:lineRule="exact"/>
        <w:ind w:left="118" w:right="410"/>
      </w:pPr>
      <w:r>
        <w:rPr>
          <w:rFonts w:ascii="Cambria Math" w:eastAsia="Cambria Math"/>
        </w:rPr>
        <w:t>s </w:t>
      </w:r>
      <w:r>
        <w:rPr>
          <w:rFonts w:ascii="Cambria Math" w:eastAsia="Cambria Math"/>
          <w:w w:val="85"/>
          <w:position w:val="-12"/>
        </w:rPr>
        <w:t>�  </w:t>
      </w:r>
      <w:r>
        <w:rPr>
          <w:rFonts w:ascii="Cambria Math" w:eastAsia="Cambria Math"/>
        </w:rPr>
        <w:t>= </w:t>
      </w:r>
      <w:r>
        <w:rPr/>
        <w:t>Capacidad de planta de cada rastro</w:t>
      </w:r>
    </w:p>
    <w:p>
      <w:pPr>
        <w:pStyle w:val="BodyText"/>
        <w:spacing w:before="10"/>
        <w:rPr>
          <w:sz w:val="16"/>
        </w:rPr>
      </w:pPr>
    </w:p>
    <w:p>
      <w:pPr>
        <w:pStyle w:val="BodyText"/>
        <w:spacing w:line="204" w:lineRule="exact" w:before="66"/>
        <w:ind w:left="234"/>
        <w:rPr>
          <w:rFonts w:ascii="Cambria Math" w:eastAsia="Cambria Math"/>
        </w:rPr>
      </w:pPr>
      <w:r>
        <w:rPr>
          <w:rFonts w:ascii="Cambria Math" w:eastAsia="Cambria Math"/>
          <w:w w:val="83"/>
        </w:rPr>
        <w:t>�</w:t>
      </w:r>
    </w:p>
    <w:p>
      <w:pPr>
        <w:pStyle w:val="BodyText"/>
        <w:spacing w:line="364" w:lineRule="exact"/>
        <w:ind w:left="118" w:right="410"/>
      </w:pPr>
      <w:r>
        <w:rPr>
          <w:rFonts w:ascii="Cambria Math" w:eastAsia="Cambria Math"/>
          <w:spacing w:val="28"/>
          <w:w w:val="99"/>
        </w:rPr>
        <w:t>x</w:t>
      </w:r>
      <w:r>
        <w:rPr>
          <w:rFonts w:ascii="Cambria Math" w:eastAsia="Cambria Math"/>
          <w:w w:val="48"/>
          <w:position w:val="-15"/>
        </w:rPr>
        <w:t>�</w:t>
      </w:r>
      <w:r>
        <w:rPr>
          <w:rFonts w:ascii="Cambria Math" w:eastAsia="Cambria Math"/>
          <w:position w:val="-15"/>
        </w:rPr>
        <w:t> </w:t>
      </w:r>
      <w:r>
        <w:rPr>
          <w:rFonts w:ascii="Cambria Math" w:eastAsia="Cambria Math"/>
          <w:spacing w:val="-5"/>
          <w:position w:val="-15"/>
        </w:rPr>
        <w:t> </w:t>
      </w:r>
      <w:r>
        <w:rPr>
          <w:rFonts w:ascii="Cambria Math" w:eastAsia="Cambria Math"/>
        </w:rPr>
        <w:t>=</w:t>
      </w:r>
      <w:r>
        <w:rPr>
          <w:rFonts w:ascii="Cambria Math" w:eastAsia="Cambria Math"/>
          <w:spacing w:val="7"/>
        </w:rPr>
        <w:t> </w:t>
      </w:r>
      <w:r>
        <w:rPr/>
        <w:t>C</w:t>
      </w:r>
      <w:r>
        <w:rPr>
          <w:spacing w:val="-1"/>
        </w:rPr>
        <w:t>a</w:t>
      </w:r>
      <w:r>
        <w:rPr/>
        <w:t>ntid</w:t>
      </w:r>
      <w:r>
        <w:rPr>
          <w:spacing w:val="-1"/>
        </w:rPr>
        <w:t>a</w:t>
      </w:r>
      <w:r>
        <w:rPr/>
        <w:t>d de</w:t>
      </w:r>
      <w:r>
        <w:rPr>
          <w:spacing w:val="-1"/>
        </w:rPr>
        <w:t> ca</w:t>
      </w:r>
      <w:r>
        <w:rPr>
          <w:spacing w:val="2"/>
        </w:rPr>
        <w:t>n</w:t>
      </w:r>
      <w:r>
        <w:rPr>
          <w:spacing w:val="-1"/>
        </w:rPr>
        <w:t>a</w:t>
      </w:r>
      <w:r>
        <w:rPr>
          <w:w w:val="99"/>
        </w:rPr>
        <w:t>les</w:t>
      </w:r>
      <w:r>
        <w:rPr/>
        <w:t> obt</w:t>
      </w:r>
      <w:r>
        <w:rPr>
          <w:spacing w:val="1"/>
        </w:rPr>
        <w:t>e</w:t>
      </w:r>
      <w:r>
        <w:rPr/>
        <w:t>nida </w:t>
      </w:r>
      <w:r>
        <w:rPr>
          <w:spacing w:val="-2"/>
        </w:rPr>
        <w:t>e</w:t>
      </w:r>
      <w:r>
        <w:rPr/>
        <w:t>n r</w:t>
      </w:r>
      <w:r>
        <w:rPr>
          <w:spacing w:val="-2"/>
        </w:rPr>
        <w:t>a</w:t>
      </w:r>
      <w:r>
        <w:rPr>
          <w:w w:val="99"/>
        </w:rPr>
        <w:t>stro</w:t>
      </w:r>
    </w:p>
    <w:p>
      <w:pPr>
        <w:spacing w:after="0" w:line="364" w:lineRule="exact"/>
        <w:sectPr>
          <w:pgSz w:w="12240" w:h="15840"/>
          <w:pgMar w:header="984" w:footer="986" w:top="1280" w:bottom="1180" w:left="1300" w:right="1340"/>
        </w:sectPr>
      </w:pPr>
    </w:p>
    <w:p>
      <w:pPr>
        <w:spacing w:line="182" w:lineRule="exact" w:before="86"/>
        <w:ind w:left="222" w:right="0" w:firstLine="0"/>
        <w:jc w:val="left"/>
        <w:rPr>
          <w:rFonts w:ascii="Cambria Math" w:eastAsia="Cambria Math"/>
          <w:sz w:val="17"/>
        </w:rPr>
      </w:pPr>
      <w:r>
        <w:rPr/>
        <w:pict>
          <v:shape style="position:absolute;margin-left:96.384003pt;margin-top:12.990725pt;width:6.65pt;height:12pt;mso-position-horizontal-relative:page;mso-position-vertical-relative:paragraph;z-index:-146224" type="#_x0000_t202" filled="false" stroked="false">
            <v:textbox inset="0,0,0,0">
              <w:txbxContent>
                <w:p>
                  <w:pPr>
                    <w:pStyle w:val="BodyText"/>
                    <w:spacing w:line="240" w:lineRule="exact"/>
                    <w:rPr>
                      <w:rFonts w:ascii="Cambria Math" w:eastAsia="Cambria Math"/>
                    </w:rPr>
                  </w:pPr>
                  <w:r>
                    <w:rPr>
                      <w:rFonts w:ascii="Cambria Math" w:eastAsia="Cambria Math"/>
                      <w:w w:val="83"/>
                    </w:rPr>
                    <w:t>�</w:t>
                  </w:r>
                </w:p>
              </w:txbxContent>
            </v:textbox>
            <w10:wrap type="none"/>
          </v:shape>
        </w:pict>
      </w:r>
      <w:r>
        <w:rPr>
          <w:rFonts w:ascii="Cambria Math" w:eastAsia="Cambria Math"/>
          <w:w w:val="115"/>
          <w:sz w:val="17"/>
        </w:rPr>
        <w:t>𝑛</w:t>
      </w:r>
    </w:p>
    <w:p>
      <w:pPr>
        <w:pStyle w:val="BodyText"/>
        <w:spacing w:line="187" w:lineRule="exact"/>
        <w:jc w:val="right"/>
        <w:rPr>
          <w:rFonts w:ascii="Cambria Math" w:eastAsia="Cambria Math"/>
        </w:rPr>
      </w:pPr>
      <w:r>
        <w:rPr>
          <w:rFonts w:ascii="Cambria Math" w:eastAsia="Cambria Math"/>
          <w:w w:val="83"/>
        </w:rPr>
        <w:t>�</w:t>
      </w:r>
    </w:p>
    <w:p>
      <w:pPr>
        <w:pStyle w:val="BodyText"/>
        <w:tabs>
          <w:tab w:pos="848" w:val="left" w:leader="none"/>
        </w:tabs>
        <w:spacing w:line="86" w:lineRule="exact"/>
        <w:ind w:left="118"/>
        <w:rPr>
          <w:rFonts w:ascii="Cambria Math" w:hAnsi="Cambria Math" w:eastAsia="Cambria Math"/>
        </w:rPr>
      </w:pPr>
      <w:r>
        <w:rPr>
          <w:rFonts w:ascii="Cambria Math" w:hAnsi="Cambria Math" w:eastAsia="Cambria Math"/>
          <w:w w:val="170"/>
        </w:rPr>
        <w:t>∑</w:t>
      </w:r>
      <w:r>
        <w:rPr>
          <w:rFonts w:ascii="Cambria Math" w:hAnsi="Cambria Math" w:eastAsia="Cambria Math"/>
          <w:spacing w:val="-55"/>
          <w:w w:val="170"/>
        </w:rPr>
        <w:t> </w:t>
      </w:r>
      <w:r>
        <w:rPr>
          <w:rFonts w:ascii="Cambria Math" w:hAnsi="Cambria Math" w:eastAsia="Cambria Math"/>
        </w:rPr>
        <w:t>�</w:t>
        <w:tab/>
        <w:t>≥</w:t>
      </w:r>
      <w:r>
        <w:rPr>
          <w:rFonts w:ascii="Cambria Math" w:hAnsi="Cambria Math" w:eastAsia="Cambria Math"/>
          <w:spacing w:val="14"/>
        </w:rPr>
        <w:t> </w:t>
      </w:r>
      <w:r>
        <w:rPr>
          <w:rFonts w:ascii="Cambria Math" w:hAnsi="Cambria Math" w:eastAsia="Cambria Math"/>
        </w:rPr>
        <w:t>y</w:t>
      </w:r>
    </w:p>
    <w:p>
      <w:pPr>
        <w:pStyle w:val="BodyText"/>
        <w:spacing w:before="2"/>
        <w:rPr>
          <w:rFonts w:ascii="Cambria Math"/>
          <w:sz w:val="32"/>
        </w:rPr>
      </w:pPr>
      <w:r>
        <w:rPr/>
        <w:br w:type="column"/>
      </w:r>
      <w:r>
        <w:rPr>
          <w:rFonts w:ascii="Cambria Math"/>
          <w:sz w:val="32"/>
        </w:rPr>
      </w:r>
    </w:p>
    <w:p>
      <w:pPr>
        <w:pStyle w:val="BodyText"/>
        <w:spacing w:line="163" w:lineRule="exact"/>
        <w:ind w:left="-34"/>
        <w:rPr>
          <w:rFonts w:ascii="Cambria Math" w:eastAsia="Cambria Math"/>
        </w:rPr>
      </w:pPr>
      <w:r>
        <w:rPr>
          <w:rFonts w:ascii="Cambria Math" w:eastAsia="Cambria Math"/>
          <w:w w:val="80"/>
        </w:rPr>
        <w:t>, �𝑎�𝑎 ���� �</w:t>
      </w:r>
    </w:p>
    <w:p>
      <w:pPr>
        <w:spacing w:after="0" w:line="163" w:lineRule="exact"/>
        <w:rPr>
          <w:rFonts w:ascii="Cambria Math" w:eastAsia="Cambria Math"/>
        </w:rPr>
        <w:sectPr>
          <w:pgSz w:w="12240" w:h="15840"/>
          <w:pgMar w:header="984" w:footer="986" w:top="1280" w:bottom="1180" w:left="1300" w:right="1340"/>
          <w:cols w:num="2" w:equalWidth="0">
            <w:col w:w="1349" w:space="40"/>
            <w:col w:w="8211"/>
          </w:cols>
        </w:sectPr>
      </w:pPr>
    </w:p>
    <w:p>
      <w:pPr>
        <w:pStyle w:val="BodyText"/>
        <w:tabs>
          <w:tab w:pos="1244" w:val="left" w:leader="none"/>
        </w:tabs>
        <w:spacing w:line="244" w:lineRule="exact"/>
        <w:ind w:left="610" w:right="410"/>
        <w:rPr>
          <w:rFonts w:ascii="Cambria Math" w:eastAsia="Cambria Math"/>
        </w:rPr>
      </w:pPr>
      <w:r>
        <w:rPr>
          <w:rFonts w:ascii="Cambria Math" w:eastAsia="Cambria Math"/>
          <w:w w:val="60"/>
        </w:rPr>
        <w:t>��</w:t>
        <w:tab/>
      </w:r>
      <w:r>
        <w:rPr>
          <w:rFonts w:ascii="Cambria Math" w:eastAsia="Cambria Math"/>
          <w:w w:val="60"/>
          <w:position w:val="-2"/>
        </w:rPr>
        <w:t>�</w:t>
      </w:r>
    </w:p>
    <w:p>
      <w:pPr>
        <w:spacing w:line="166" w:lineRule="exact" w:before="0"/>
        <w:ind w:left="123" w:right="410" w:firstLine="0"/>
        <w:jc w:val="left"/>
        <w:rPr>
          <w:rFonts w:ascii="Cambria Math" w:eastAsia="Cambria Math"/>
          <w:sz w:val="17"/>
        </w:rPr>
      </w:pPr>
      <w:r>
        <w:rPr>
          <w:rFonts w:ascii="Cambria Math" w:eastAsia="Cambria Math"/>
          <w:sz w:val="17"/>
        </w:rPr>
        <w:t>�=1</w:t>
      </w:r>
    </w:p>
    <w:p>
      <w:pPr>
        <w:pStyle w:val="BodyText"/>
        <w:spacing w:before="4"/>
        <w:rPr>
          <w:rFonts w:ascii="Cambria Math"/>
          <w:sz w:val="22"/>
        </w:rPr>
      </w:pPr>
    </w:p>
    <w:p>
      <w:pPr>
        <w:pStyle w:val="BodyText"/>
        <w:spacing w:before="69"/>
        <w:ind w:left="118" w:right="410"/>
      </w:pPr>
      <w:r>
        <w:rPr/>
        <w:t>Donde:</w:t>
      </w:r>
    </w:p>
    <w:p>
      <w:pPr>
        <w:pStyle w:val="BodyText"/>
        <w:spacing w:before="7"/>
        <w:rPr>
          <w:sz w:val="27"/>
        </w:rPr>
      </w:pPr>
    </w:p>
    <w:p>
      <w:pPr>
        <w:pStyle w:val="BodyText"/>
        <w:spacing w:line="216" w:lineRule="exact"/>
        <w:ind w:left="270"/>
        <w:rPr>
          <w:rFonts w:ascii="Cambria Math" w:eastAsia="Cambria Math"/>
        </w:rPr>
      </w:pPr>
      <w:r>
        <w:rPr/>
        <w:pict>
          <v:shape style="position:absolute;margin-left:70.944pt;margin-top:9.236379pt;width:6.4pt;height:12pt;mso-position-horizontal-relative:page;mso-position-vertical-relative:paragraph;z-index:3400" type="#_x0000_t202" filled="false" stroked="false">
            <v:textbox inset="0,0,0,0">
              <w:txbxContent>
                <w:p>
                  <w:pPr>
                    <w:pStyle w:val="BodyText"/>
                    <w:spacing w:line="240" w:lineRule="exact"/>
                    <w:rPr>
                      <w:rFonts w:ascii="Cambria Math" w:eastAsia="Cambria Math"/>
                    </w:rPr>
                  </w:pPr>
                  <w:r>
                    <w:rPr>
                      <w:rFonts w:ascii="Cambria Math" w:eastAsia="Cambria Math"/>
                      <w:w w:val="80"/>
                    </w:rPr>
                    <w:t>�</w:t>
                  </w:r>
                </w:p>
              </w:txbxContent>
            </v:textbox>
            <w10:wrap type="none"/>
          </v:shape>
        </w:pict>
      </w:r>
      <w:r>
        <w:rPr>
          <w:rFonts w:ascii="Cambria Math" w:eastAsia="Cambria Math"/>
          <w:w w:val="83"/>
        </w:rPr>
        <w:t>�</w:t>
      </w:r>
    </w:p>
    <w:p>
      <w:pPr>
        <w:pStyle w:val="BodyText"/>
        <w:spacing w:line="346" w:lineRule="exact"/>
        <w:ind w:left="253" w:right="410"/>
      </w:pPr>
      <w:r>
        <w:rPr>
          <w:rFonts w:ascii="Cambria Math" w:eastAsia="Cambria Math"/>
          <w:w w:val="90"/>
          <w:position w:val="-12"/>
        </w:rPr>
        <w:t>�� </w:t>
      </w:r>
      <w:r>
        <w:rPr>
          <w:rFonts w:ascii="Cambria Math" w:eastAsia="Cambria Math"/>
        </w:rPr>
        <w:t>= </w:t>
      </w:r>
      <w:r>
        <w:rPr/>
        <w:t>Cantidad de canales enviadas de rastros a centros de consumo</w:t>
      </w:r>
    </w:p>
    <w:p>
      <w:pPr>
        <w:pStyle w:val="BodyText"/>
        <w:spacing w:before="3"/>
        <w:rPr>
          <w:sz w:val="21"/>
        </w:rPr>
      </w:pPr>
    </w:p>
    <w:p>
      <w:pPr>
        <w:pStyle w:val="BodyText"/>
        <w:spacing w:line="204" w:lineRule="exact" w:before="66"/>
        <w:ind w:left="238"/>
        <w:rPr>
          <w:rFonts w:ascii="Cambria Math" w:eastAsia="Cambria Math"/>
        </w:rPr>
      </w:pPr>
      <w:r>
        <w:rPr>
          <w:rFonts w:ascii="Cambria Math" w:eastAsia="Cambria Math"/>
          <w:w w:val="83"/>
        </w:rPr>
        <w:t>�</w:t>
      </w:r>
    </w:p>
    <w:p>
      <w:pPr>
        <w:pStyle w:val="BodyText"/>
        <w:spacing w:line="364" w:lineRule="exact"/>
        <w:ind w:left="118" w:right="410"/>
      </w:pPr>
      <w:r>
        <w:rPr>
          <w:rFonts w:ascii="Cambria Math" w:eastAsia="Cambria Math"/>
          <w:spacing w:val="27"/>
          <w:w w:val="100"/>
        </w:rPr>
        <w:t>y</w:t>
      </w:r>
      <w:r>
        <w:rPr>
          <w:rFonts w:ascii="Cambria Math" w:eastAsia="Cambria Math"/>
          <w:w w:val="48"/>
          <w:position w:val="-15"/>
        </w:rPr>
        <w:t>�</w:t>
      </w:r>
      <w:r>
        <w:rPr>
          <w:rFonts w:ascii="Cambria Math" w:eastAsia="Cambria Math"/>
          <w:position w:val="-15"/>
        </w:rPr>
        <w:t> </w:t>
      </w:r>
      <w:r>
        <w:rPr>
          <w:rFonts w:ascii="Cambria Math" w:eastAsia="Cambria Math"/>
          <w:spacing w:val="-5"/>
          <w:position w:val="-15"/>
        </w:rPr>
        <w:t> </w:t>
      </w:r>
      <w:r>
        <w:rPr>
          <w:rFonts w:ascii="Cambria Math" w:eastAsia="Cambria Math"/>
        </w:rPr>
        <w:t>=</w:t>
      </w:r>
      <w:r>
        <w:rPr>
          <w:rFonts w:ascii="Cambria Math" w:eastAsia="Cambria Math"/>
          <w:spacing w:val="7"/>
        </w:rPr>
        <w:t> </w:t>
      </w:r>
      <w:r>
        <w:rPr/>
        <w:t>C</w:t>
      </w:r>
      <w:r>
        <w:rPr>
          <w:spacing w:val="-1"/>
        </w:rPr>
        <w:t>a</w:t>
      </w:r>
      <w:r>
        <w:rPr/>
        <w:t>ntid</w:t>
      </w:r>
      <w:r>
        <w:rPr>
          <w:spacing w:val="-1"/>
        </w:rPr>
        <w:t>a</w:t>
      </w:r>
      <w:r>
        <w:rPr/>
        <w:t>d d</w:t>
      </w:r>
      <w:r>
        <w:rPr>
          <w:spacing w:val="-1"/>
        </w:rPr>
        <w:t>e</w:t>
      </w:r>
      <w:r>
        <w:rPr/>
        <w:t>mand</w:t>
      </w:r>
      <w:r>
        <w:rPr>
          <w:spacing w:val="-2"/>
        </w:rPr>
        <w:t>a</w:t>
      </w:r>
      <w:r>
        <w:rPr/>
        <w:t>da</w:t>
      </w:r>
      <w:r>
        <w:rPr>
          <w:spacing w:val="-1"/>
        </w:rPr>
        <w:t> </w:t>
      </w:r>
      <w:r>
        <w:rPr>
          <w:spacing w:val="2"/>
        </w:rPr>
        <w:t>d</w:t>
      </w:r>
      <w:r>
        <w:rPr/>
        <w:t>e</w:t>
      </w:r>
      <w:r>
        <w:rPr>
          <w:spacing w:val="1"/>
        </w:rPr>
        <w:t> </w:t>
      </w:r>
      <w:r>
        <w:rPr>
          <w:spacing w:val="-1"/>
        </w:rPr>
        <w:t>ca</w:t>
      </w:r>
      <w:r>
        <w:rPr/>
        <w:t>n</w:t>
      </w:r>
      <w:r>
        <w:rPr>
          <w:spacing w:val="-1"/>
        </w:rPr>
        <w:t>a</w:t>
      </w:r>
      <w:r>
        <w:rPr>
          <w:w w:val="99"/>
        </w:rPr>
        <w:t>les</w:t>
      </w:r>
    </w:p>
    <w:p>
      <w:pPr>
        <w:pStyle w:val="BodyText"/>
        <w:spacing w:before="9"/>
        <w:rPr>
          <w:sz w:val="16"/>
        </w:rPr>
      </w:pPr>
    </w:p>
    <w:p>
      <w:pPr>
        <w:pStyle w:val="BodyText"/>
        <w:tabs>
          <w:tab w:pos="632" w:val="left" w:leader="none"/>
          <w:tab w:pos="1042" w:val="left" w:leader="none"/>
          <w:tab w:pos="1414" w:val="left" w:leader="none"/>
        </w:tabs>
        <w:spacing w:line="185" w:lineRule="exact" w:before="67"/>
        <w:ind w:left="234" w:right="410"/>
        <w:rPr>
          <w:rFonts w:ascii="Cambria Math" w:eastAsia="Cambria Math"/>
        </w:rPr>
      </w:pPr>
      <w:r>
        <w:rPr>
          <w:rFonts w:ascii="Cambria Math" w:eastAsia="Cambria Math"/>
        </w:rPr>
        <w:t>�</w:t>
        <w:tab/>
      </w:r>
      <w:r>
        <w:rPr>
          <w:rFonts w:ascii="Cambria Math" w:eastAsia="Cambria Math"/>
          <w:position w:val="-1"/>
        </w:rPr>
        <w:t>�</w:t>
        <w:tab/>
      </w:r>
      <w:r>
        <w:rPr>
          <w:rFonts w:ascii="Cambria Math" w:eastAsia="Cambria Math"/>
        </w:rPr>
        <w:t>�</w:t>
        <w:tab/>
        <w:t>𝛿</w:t>
      </w:r>
    </w:p>
    <w:p>
      <w:pPr>
        <w:pStyle w:val="BodyText"/>
        <w:tabs>
          <w:tab w:pos="1635" w:val="left" w:leader="none"/>
        </w:tabs>
        <w:spacing w:line="408" w:lineRule="exact"/>
        <w:ind w:left="118" w:right="410"/>
        <w:rPr>
          <w:rFonts w:ascii="Cambria Math" w:hAnsi="Cambria Math" w:eastAsia="Cambria Math"/>
        </w:rPr>
      </w:pPr>
      <w:r>
        <w:rPr/>
        <w:pict>
          <v:shape style="position:absolute;margin-left:135.020004pt;margin-top:6.48pt;width:8.2pt;height:12pt;mso-position-horizontal-relative:page;mso-position-vertical-relative:paragraph;z-index:-146176" type="#_x0000_t202" filled="false" stroked="false">
            <v:textbox inset="0,0,0,0">
              <w:txbxContent>
                <w:p>
                  <w:pPr>
                    <w:pStyle w:val="BodyText"/>
                    <w:spacing w:line="240" w:lineRule="exact"/>
                    <w:ind w:right="-103"/>
                    <w:rPr>
                      <w:rFonts w:ascii="Cambria Math" w:eastAsia="Cambria Math"/>
                    </w:rPr>
                  </w:pPr>
                  <w:r>
                    <w:rPr>
                      <w:rFonts w:ascii="Cambria Math" w:eastAsia="Cambria Math"/>
                      <w:w w:val="51"/>
                    </w:rPr>
                    <w:t>��</w:t>
                  </w:r>
                </w:p>
              </w:txbxContent>
            </v:textbox>
            <w10:wrap type="none"/>
          </v:shape>
        </w:pict>
      </w:r>
      <w:r>
        <w:rPr>
          <w:rFonts w:ascii="Cambria Math" w:hAnsi="Cambria Math" w:eastAsia="Cambria Math"/>
          <w:spacing w:val="11"/>
          <w:w w:val="99"/>
        </w:rPr>
        <w:t>x</w:t>
      </w:r>
      <w:r>
        <w:rPr>
          <w:rFonts w:ascii="Cambria Math" w:hAnsi="Cambria Math" w:eastAsia="Cambria Math"/>
          <w:w w:val="51"/>
          <w:position w:val="-12"/>
        </w:rPr>
        <w:t>�</w:t>
      </w:r>
      <w:r>
        <w:rPr>
          <w:rFonts w:ascii="Cambria Math" w:hAnsi="Cambria Math" w:eastAsia="Cambria Math"/>
          <w:spacing w:val="17"/>
          <w:w w:val="51"/>
          <w:position w:val="-12"/>
        </w:rPr>
        <w:t>�</w:t>
      </w:r>
      <w:r>
        <w:rPr>
          <w:rFonts w:ascii="Cambria Math" w:hAnsi="Cambria Math" w:eastAsia="Cambria Math"/>
          <w:w w:val="99"/>
        </w:rPr>
        <w:t>,</w:t>
      </w:r>
      <w:r>
        <w:rPr>
          <w:rFonts w:ascii="Cambria Math" w:hAnsi="Cambria Math" w:eastAsia="Cambria Math"/>
          <w:spacing w:val="-11"/>
        </w:rPr>
        <w:t> </w:t>
      </w:r>
      <w:r>
        <w:rPr>
          <w:rFonts w:ascii="Cambria Math" w:hAnsi="Cambria Math" w:eastAsia="Cambria Math"/>
          <w:spacing w:val="28"/>
          <w:w w:val="99"/>
        </w:rPr>
        <w:t>x</w:t>
      </w:r>
      <w:r>
        <w:rPr>
          <w:rFonts w:ascii="Cambria Math" w:hAnsi="Cambria Math" w:eastAsia="Cambria Math"/>
          <w:w w:val="48"/>
          <w:position w:val="-15"/>
        </w:rPr>
        <w:t>�</w:t>
      </w:r>
      <w:r>
        <w:rPr>
          <w:rFonts w:ascii="Cambria Math" w:hAnsi="Cambria Math" w:eastAsia="Cambria Math"/>
          <w:position w:val="-15"/>
        </w:rPr>
        <w:t> </w:t>
      </w:r>
      <w:r>
        <w:rPr>
          <w:rFonts w:ascii="Cambria Math" w:hAnsi="Cambria Math" w:eastAsia="Cambria Math"/>
          <w:spacing w:val="-19"/>
          <w:position w:val="-15"/>
        </w:rPr>
        <w:t> </w:t>
      </w:r>
      <w:r>
        <w:rPr>
          <w:rFonts w:ascii="Cambria Math" w:hAnsi="Cambria Math" w:eastAsia="Cambria Math"/>
          <w:w w:val="99"/>
        </w:rPr>
        <w:t>,</w:t>
      </w:r>
      <w:r>
        <w:rPr>
          <w:rFonts w:ascii="Cambria Math" w:hAnsi="Cambria Math" w:eastAsia="Cambria Math"/>
          <w:spacing w:val="-14"/>
        </w:rPr>
        <w:t> </w:t>
      </w:r>
      <w:r>
        <w:rPr>
          <w:rFonts w:ascii="Cambria Math" w:hAnsi="Cambria Math" w:eastAsia="Cambria Math"/>
          <w:spacing w:val="1"/>
          <w:w w:val="99"/>
        </w:rPr>
        <w:t>x</w:t>
      </w:r>
      <w:r>
        <w:rPr>
          <w:rFonts w:ascii="Cambria Math" w:hAnsi="Cambria Math" w:eastAsia="Cambria Math"/>
          <w:w w:val="51"/>
          <w:position w:val="-12"/>
        </w:rPr>
        <w:t>�</w:t>
      </w:r>
      <w:r>
        <w:rPr>
          <w:rFonts w:ascii="Cambria Math" w:hAnsi="Cambria Math" w:eastAsia="Cambria Math"/>
          <w:spacing w:val="5"/>
          <w:w w:val="51"/>
          <w:position w:val="-12"/>
        </w:rPr>
        <w:t>�</w:t>
      </w:r>
      <w:r>
        <w:rPr>
          <w:rFonts w:ascii="Cambria Math" w:hAnsi="Cambria Math" w:eastAsia="Cambria Math"/>
          <w:w w:val="99"/>
        </w:rPr>
        <w:t>,</w:t>
      </w:r>
      <w:r>
        <w:rPr>
          <w:rFonts w:ascii="Cambria Math" w:hAnsi="Cambria Math" w:eastAsia="Cambria Math"/>
          <w:spacing w:val="-16"/>
        </w:rPr>
        <w:t> </w:t>
      </w:r>
      <w:r>
        <w:rPr>
          <w:rFonts w:ascii="Cambria Math" w:hAnsi="Cambria Math" w:eastAsia="Cambria Math"/>
          <w:w w:val="99"/>
        </w:rPr>
        <w:t>x</w:t>
      </w:r>
      <w:r>
        <w:rPr>
          <w:rFonts w:ascii="Cambria Math" w:hAnsi="Cambria Math" w:eastAsia="Cambria Math"/>
        </w:rPr>
        <w:tab/>
        <w:t>≥</w:t>
      </w:r>
      <w:r>
        <w:rPr>
          <w:rFonts w:ascii="Cambria Math" w:hAnsi="Cambria Math" w:eastAsia="Cambria Math"/>
          <w:spacing w:val="12"/>
        </w:rPr>
        <w:t> </w:t>
      </w:r>
      <w:r>
        <w:rPr>
          <w:rFonts w:ascii="Cambria Math" w:hAnsi="Cambria Math" w:eastAsia="Cambria Math"/>
          <w:w w:val="100"/>
        </w:rPr>
        <w:t>0</w:t>
      </w:r>
    </w:p>
    <w:p>
      <w:pPr>
        <w:pStyle w:val="BodyText"/>
        <w:spacing w:before="5"/>
        <w:rPr>
          <w:rFonts w:ascii="Cambria Math"/>
          <w:sz w:val="20"/>
        </w:rPr>
      </w:pPr>
    </w:p>
    <w:p>
      <w:pPr>
        <w:pStyle w:val="BodyText"/>
        <w:spacing w:before="69"/>
        <w:ind w:left="118" w:right="410"/>
      </w:pPr>
      <w:r>
        <w:rPr/>
        <w:t>Donde:</w:t>
      </w:r>
    </w:p>
    <w:p>
      <w:pPr>
        <w:pStyle w:val="BodyText"/>
        <w:spacing w:before="9"/>
        <w:rPr>
          <w:sz w:val="26"/>
        </w:rPr>
      </w:pPr>
    </w:p>
    <w:p>
      <w:pPr>
        <w:pStyle w:val="BodyText"/>
        <w:spacing w:line="342" w:lineRule="exact" w:before="72"/>
        <w:ind w:left="234" w:right="410"/>
        <w:rPr>
          <w:i/>
        </w:rPr>
      </w:pPr>
      <w:r>
        <w:rPr/>
        <w:pict>
          <v:shape style="position:absolute;margin-left:70.944pt;margin-top:11.276389pt;width:5.8pt;height:12pt;mso-position-horizontal-relative:page;mso-position-vertical-relative:paragraph;z-index:-146104" type="#_x0000_t202" filled="false" stroked="false">
            <v:textbox inset="0,0,0,0">
              <w:txbxContent>
                <w:p>
                  <w:pPr>
                    <w:pStyle w:val="BodyText"/>
                    <w:spacing w:line="240" w:lineRule="exact"/>
                    <w:rPr>
                      <w:rFonts w:ascii="Cambria Math"/>
                    </w:rPr>
                  </w:pPr>
                  <w:r>
                    <w:rPr>
                      <w:rFonts w:ascii="Cambria Math"/>
                      <w:w w:val="99"/>
                    </w:rPr>
                    <w:t>x</w:t>
                  </w:r>
                </w:p>
              </w:txbxContent>
            </v:textbox>
            <w10:wrap type="none"/>
          </v:shape>
        </w:pict>
      </w:r>
      <w:r>
        <w:rPr>
          <w:rFonts w:ascii="Cambria Math" w:hAnsi="Cambria Math" w:eastAsia="Cambria Math"/>
          <w:position w:val="12"/>
        </w:rPr>
        <w:t>�  </w:t>
      </w:r>
      <w:r>
        <w:rPr>
          <w:rFonts w:ascii="Cambria Math" w:hAnsi="Cambria Math" w:eastAsia="Cambria Math"/>
        </w:rPr>
        <w:t>=  </w:t>
      </w:r>
      <w:r>
        <w:rPr/>
        <w:t>Cantidad de canales enviadas de la región </w:t>
      </w:r>
      <w:r>
        <w:rPr>
          <w:i/>
        </w:rPr>
        <w:t>j </w:t>
      </w:r>
      <w:r>
        <w:rPr/>
        <w:t>a la región </w:t>
      </w:r>
      <w:r>
        <w:rPr>
          <w:i/>
        </w:rPr>
        <w:t>i</w:t>
      </w:r>
    </w:p>
    <w:p>
      <w:pPr>
        <w:pStyle w:val="BodyText"/>
        <w:spacing w:line="222" w:lineRule="exact"/>
        <w:ind w:left="243" w:right="410"/>
        <w:rPr>
          <w:rFonts w:ascii="Cambria Math" w:eastAsia="Cambria Math"/>
        </w:rPr>
      </w:pPr>
      <w:r>
        <w:rPr>
          <w:rFonts w:ascii="Cambria Math" w:eastAsia="Cambria Math"/>
          <w:w w:val="60"/>
        </w:rPr>
        <w:t>��</w:t>
      </w:r>
    </w:p>
    <w:p>
      <w:pPr>
        <w:pStyle w:val="BodyText"/>
        <w:spacing w:before="1"/>
        <w:rPr>
          <w:rFonts w:ascii="Cambria Math"/>
          <w:sz w:val="21"/>
        </w:rPr>
      </w:pPr>
    </w:p>
    <w:p>
      <w:pPr>
        <w:pStyle w:val="BodyText"/>
        <w:spacing w:line="204" w:lineRule="exact" w:before="66"/>
        <w:ind w:left="234"/>
        <w:rPr>
          <w:rFonts w:ascii="Cambria Math" w:eastAsia="Cambria Math"/>
        </w:rPr>
      </w:pPr>
      <w:r>
        <w:rPr>
          <w:rFonts w:ascii="Cambria Math" w:eastAsia="Cambria Math"/>
          <w:w w:val="83"/>
        </w:rPr>
        <w:t>�</w:t>
      </w:r>
    </w:p>
    <w:p>
      <w:pPr>
        <w:pStyle w:val="BodyText"/>
        <w:spacing w:line="364" w:lineRule="exact"/>
        <w:ind w:left="118"/>
        <w:jc w:val="both"/>
      </w:pPr>
      <w:r>
        <w:rPr>
          <w:rFonts w:ascii="Cambria Math" w:eastAsia="Cambria Math"/>
          <w:spacing w:val="28"/>
          <w:w w:val="99"/>
        </w:rPr>
        <w:t>x</w:t>
      </w:r>
      <w:r>
        <w:rPr>
          <w:rFonts w:ascii="Cambria Math" w:eastAsia="Cambria Math"/>
          <w:w w:val="48"/>
          <w:position w:val="-15"/>
        </w:rPr>
        <w:t>�</w:t>
      </w:r>
      <w:r>
        <w:rPr>
          <w:rFonts w:ascii="Cambria Math" w:eastAsia="Cambria Math"/>
          <w:position w:val="-15"/>
        </w:rPr>
        <w:t> </w:t>
      </w:r>
      <w:r>
        <w:rPr>
          <w:rFonts w:ascii="Cambria Math" w:eastAsia="Cambria Math"/>
          <w:spacing w:val="-5"/>
          <w:position w:val="-15"/>
        </w:rPr>
        <w:t> </w:t>
      </w:r>
      <w:r>
        <w:rPr>
          <w:rFonts w:ascii="Cambria Math" w:eastAsia="Cambria Math"/>
        </w:rPr>
        <w:t>=</w:t>
      </w:r>
      <w:r>
        <w:rPr>
          <w:rFonts w:ascii="Cambria Math" w:eastAsia="Cambria Math"/>
          <w:spacing w:val="7"/>
        </w:rPr>
        <w:t> </w:t>
      </w:r>
      <w:r>
        <w:rPr/>
        <w:t>C</w:t>
      </w:r>
      <w:r>
        <w:rPr>
          <w:spacing w:val="-1"/>
        </w:rPr>
        <w:t>a</w:t>
      </w:r>
      <w:r>
        <w:rPr/>
        <w:t>ntid</w:t>
      </w:r>
      <w:r>
        <w:rPr>
          <w:spacing w:val="-1"/>
        </w:rPr>
        <w:t>a</w:t>
      </w:r>
      <w:r>
        <w:rPr/>
        <w:t>d de</w:t>
      </w:r>
      <w:r>
        <w:rPr>
          <w:spacing w:val="-1"/>
        </w:rPr>
        <w:t> ca</w:t>
      </w:r>
      <w:r>
        <w:rPr>
          <w:spacing w:val="2"/>
        </w:rPr>
        <w:t>n</w:t>
      </w:r>
      <w:r>
        <w:rPr>
          <w:spacing w:val="-1"/>
        </w:rPr>
        <w:t>a</w:t>
      </w:r>
      <w:r>
        <w:rPr>
          <w:w w:val="99"/>
        </w:rPr>
        <w:t>les</w:t>
      </w:r>
      <w:r>
        <w:rPr/>
        <w:t> obt</w:t>
      </w:r>
      <w:r>
        <w:rPr>
          <w:spacing w:val="1"/>
        </w:rPr>
        <w:t>e</w:t>
      </w:r>
      <w:r>
        <w:rPr/>
        <w:t>nida </w:t>
      </w:r>
      <w:r>
        <w:rPr>
          <w:spacing w:val="-2"/>
        </w:rPr>
        <w:t>e</w:t>
      </w:r>
      <w:r>
        <w:rPr/>
        <w:t>n r</w:t>
      </w:r>
      <w:r>
        <w:rPr>
          <w:spacing w:val="-2"/>
        </w:rPr>
        <w:t>a</w:t>
      </w:r>
      <w:r>
        <w:rPr>
          <w:w w:val="99"/>
        </w:rPr>
        <w:t>stro</w:t>
      </w:r>
    </w:p>
    <w:p>
      <w:pPr>
        <w:pStyle w:val="BodyText"/>
        <w:spacing w:line="216" w:lineRule="exact" w:before="260"/>
        <w:ind w:left="248"/>
        <w:rPr>
          <w:rFonts w:ascii="Cambria Math" w:eastAsia="Cambria Math"/>
        </w:rPr>
      </w:pPr>
      <w:r>
        <w:rPr/>
        <w:pict>
          <v:shape style="position:absolute;margin-left:70.944pt;margin-top:22.236393pt;width:5.8pt;height:12pt;mso-position-horizontal-relative:page;mso-position-vertical-relative:paragraph;z-index:-146152" type="#_x0000_t202" filled="false" stroked="false">
            <v:textbox inset="0,0,0,0">
              <w:txbxContent>
                <w:p>
                  <w:pPr>
                    <w:pStyle w:val="BodyText"/>
                    <w:spacing w:line="240" w:lineRule="exact"/>
                    <w:rPr>
                      <w:rFonts w:ascii="Cambria Math"/>
                    </w:rPr>
                  </w:pPr>
                  <w:r>
                    <w:rPr>
                      <w:rFonts w:ascii="Cambria Math"/>
                      <w:w w:val="99"/>
                    </w:rPr>
                    <w:t>x</w:t>
                  </w:r>
                </w:p>
              </w:txbxContent>
            </v:textbox>
            <w10:wrap type="none"/>
          </v:shape>
        </w:pict>
      </w:r>
      <w:r>
        <w:rPr>
          <w:rFonts w:ascii="Cambria Math" w:eastAsia="Cambria Math"/>
          <w:w w:val="83"/>
        </w:rPr>
        <w:t>�</w:t>
      </w:r>
    </w:p>
    <w:p>
      <w:pPr>
        <w:pStyle w:val="BodyText"/>
        <w:spacing w:line="346" w:lineRule="exact"/>
        <w:ind w:left="234" w:right="410"/>
        <w:rPr>
          <w:i/>
        </w:rPr>
      </w:pPr>
      <w:r>
        <w:rPr>
          <w:rFonts w:ascii="Cambria Math" w:hAnsi="Cambria Math" w:eastAsia="Cambria Math"/>
          <w:w w:val="90"/>
          <w:position w:val="-12"/>
        </w:rPr>
        <w:t>�� </w:t>
      </w:r>
      <w:r>
        <w:rPr>
          <w:rFonts w:ascii="Cambria Math" w:hAnsi="Cambria Math" w:eastAsia="Cambria Math"/>
        </w:rPr>
        <w:t>= </w:t>
      </w:r>
      <w:r>
        <w:rPr/>
        <w:t>Cantidad de canales enviadas de la región </w:t>
      </w:r>
      <w:r>
        <w:rPr>
          <w:i/>
        </w:rPr>
        <w:t>i </w:t>
      </w:r>
      <w:r>
        <w:rPr/>
        <w:t>a la región </w:t>
      </w:r>
      <w:r>
        <w:rPr>
          <w:i/>
        </w:rPr>
        <w:t>j</w:t>
      </w:r>
    </w:p>
    <w:p>
      <w:pPr>
        <w:pStyle w:val="BodyText"/>
        <w:spacing w:line="216" w:lineRule="exact" w:before="313"/>
        <w:ind w:left="248" w:right="410"/>
        <w:rPr>
          <w:rFonts w:ascii="Cambria Math" w:eastAsia="Cambria Math"/>
        </w:rPr>
      </w:pPr>
      <w:r>
        <w:rPr/>
        <w:pict>
          <v:shape style="position:absolute;margin-left:70.944pt;margin-top:24.886404pt;width:5.8pt;height:12pt;mso-position-horizontal-relative:page;mso-position-vertical-relative:paragraph;z-index:-146128" type="#_x0000_t202" filled="false" stroked="false">
            <v:textbox inset="0,0,0,0">
              <w:txbxContent>
                <w:p>
                  <w:pPr>
                    <w:pStyle w:val="BodyText"/>
                    <w:spacing w:line="240" w:lineRule="exact"/>
                    <w:rPr>
                      <w:rFonts w:ascii="Cambria Math"/>
                    </w:rPr>
                  </w:pPr>
                  <w:r>
                    <w:rPr>
                      <w:rFonts w:ascii="Cambria Math"/>
                      <w:w w:val="99"/>
                    </w:rPr>
                    <w:t>x</w:t>
                  </w:r>
                </w:p>
              </w:txbxContent>
            </v:textbox>
            <w10:wrap type="none"/>
          </v:shape>
        </w:pict>
      </w:r>
      <w:r>
        <w:rPr>
          <w:rFonts w:ascii="Cambria Math" w:eastAsia="Cambria Math"/>
        </w:rPr>
        <w:t>𝛿</w:t>
      </w:r>
    </w:p>
    <w:p>
      <w:pPr>
        <w:pStyle w:val="BodyText"/>
        <w:spacing w:line="346" w:lineRule="exact"/>
        <w:ind w:left="234" w:right="410"/>
        <w:rPr>
          <w:i/>
        </w:rPr>
      </w:pPr>
      <w:r>
        <w:rPr>
          <w:rFonts w:ascii="Cambria Math" w:hAnsi="Cambria Math" w:eastAsia="Cambria Math"/>
          <w:w w:val="90"/>
          <w:position w:val="-12"/>
        </w:rPr>
        <w:t>�� </w:t>
      </w:r>
      <w:r>
        <w:rPr>
          <w:rFonts w:ascii="Cambria Math" w:hAnsi="Cambria Math" w:eastAsia="Cambria Math"/>
        </w:rPr>
        <w:t>= </w:t>
      </w:r>
      <w:r>
        <w:rPr/>
        <w:t>Cerdos enviados de región </w:t>
      </w:r>
      <w:r>
        <w:rPr>
          <w:i/>
        </w:rPr>
        <w:t>i </w:t>
      </w:r>
      <w:r>
        <w:rPr/>
        <w:t>a región </w:t>
      </w:r>
      <w:r>
        <w:rPr>
          <w:i/>
        </w:rPr>
        <w:t>j</w:t>
      </w:r>
    </w:p>
    <w:p>
      <w:pPr>
        <w:pStyle w:val="BodyText"/>
        <w:spacing w:before="3"/>
        <w:rPr>
          <w:i/>
          <w:sz w:val="29"/>
        </w:rPr>
      </w:pPr>
    </w:p>
    <w:p>
      <w:pPr>
        <w:pStyle w:val="BodyText"/>
        <w:spacing w:line="360" w:lineRule="auto"/>
        <w:ind w:left="118" w:right="267"/>
        <w:jc w:val="both"/>
      </w:pPr>
      <w:r>
        <w:rPr/>
        <w:t>El</w:t>
      </w:r>
      <w:r>
        <w:rPr>
          <w:spacing w:val="-6"/>
        </w:rPr>
        <w:t> </w:t>
      </w:r>
      <w:r>
        <w:rPr/>
        <w:t>trabajo</w:t>
      </w:r>
      <w:r>
        <w:rPr>
          <w:spacing w:val="-6"/>
        </w:rPr>
        <w:t> </w:t>
      </w:r>
      <w:r>
        <w:rPr/>
        <w:t>se</w:t>
      </w:r>
      <w:r>
        <w:rPr>
          <w:spacing w:val="-7"/>
        </w:rPr>
        <w:t> </w:t>
      </w:r>
      <w:r>
        <w:rPr/>
        <w:t>desarrolló</w:t>
      </w:r>
      <w:r>
        <w:rPr>
          <w:spacing w:val="-6"/>
        </w:rPr>
        <w:t> </w:t>
      </w:r>
      <w:r>
        <w:rPr/>
        <w:t>en</w:t>
      </w:r>
      <w:r>
        <w:rPr>
          <w:spacing w:val="-6"/>
        </w:rPr>
        <w:t> </w:t>
      </w:r>
      <w:r>
        <w:rPr/>
        <w:t>la</w:t>
      </w:r>
      <w:r>
        <w:rPr>
          <w:spacing w:val="-7"/>
        </w:rPr>
        <w:t> </w:t>
      </w:r>
      <w:r>
        <w:rPr/>
        <w:t>zona</w:t>
      </w:r>
      <w:r>
        <w:rPr>
          <w:spacing w:val="-7"/>
        </w:rPr>
        <w:t> </w:t>
      </w:r>
      <w:r>
        <w:rPr/>
        <w:t>sureste</w:t>
      </w:r>
      <w:r>
        <w:rPr>
          <w:spacing w:val="-6"/>
        </w:rPr>
        <w:t> </w:t>
      </w:r>
      <w:r>
        <w:rPr/>
        <w:t>del</w:t>
      </w:r>
      <w:r>
        <w:rPr>
          <w:spacing w:val="-6"/>
        </w:rPr>
        <w:t> </w:t>
      </w:r>
      <w:r>
        <w:rPr/>
        <w:t>Estado</w:t>
      </w:r>
      <w:r>
        <w:rPr>
          <w:spacing w:val="-6"/>
        </w:rPr>
        <w:t> </w:t>
      </w:r>
      <w:r>
        <w:rPr/>
        <w:t>de</w:t>
      </w:r>
      <w:r>
        <w:rPr>
          <w:spacing w:val="-7"/>
        </w:rPr>
        <w:t> </w:t>
      </w:r>
      <w:r>
        <w:rPr/>
        <w:t>México</w:t>
      </w:r>
      <w:r>
        <w:rPr>
          <w:spacing w:val="-7"/>
        </w:rPr>
        <w:t> </w:t>
      </w:r>
      <w:r>
        <w:rPr/>
        <w:t>considerando</w:t>
      </w:r>
      <w:r>
        <w:rPr>
          <w:spacing w:val="-6"/>
        </w:rPr>
        <w:t> </w:t>
      </w:r>
      <w:r>
        <w:rPr/>
        <w:t>4</w:t>
      </w:r>
      <w:r>
        <w:rPr>
          <w:spacing w:val="-6"/>
        </w:rPr>
        <w:t> </w:t>
      </w:r>
      <w:r>
        <w:rPr/>
        <w:t>municipios</w:t>
      </w:r>
      <w:r>
        <w:rPr>
          <w:spacing w:val="-6"/>
        </w:rPr>
        <w:t> </w:t>
      </w:r>
      <w:r>
        <w:rPr/>
        <w:t>de</w:t>
      </w:r>
      <w:r>
        <w:rPr>
          <w:spacing w:val="-7"/>
        </w:rPr>
        <w:t> </w:t>
      </w:r>
      <w:r>
        <w:rPr/>
        <w:t>la región, que son Valle de Bravo, Temascaltepec, San Simón de Guerrero y Tejupilco, se calculó la producción y el consumo de carne de cerdo de cada uno de los</w:t>
      </w:r>
      <w:r>
        <w:rPr>
          <w:spacing w:val="-6"/>
        </w:rPr>
        <w:t> </w:t>
      </w:r>
      <w:r>
        <w:rPr/>
        <w:t>municipios.</w:t>
      </w:r>
    </w:p>
    <w:p>
      <w:pPr>
        <w:pStyle w:val="BodyText"/>
        <w:spacing w:line="360" w:lineRule="auto" w:before="205"/>
        <w:ind w:left="118" w:right="266"/>
        <w:jc w:val="both"/>
      </w:pPr>
      <w:r>
        <w:rPr/>
        <w:t>La producción total (oferta) de estos municipios, se obtuvo del Servicio de Información Agroalimentaria y Pesquera (SIAP, 2015). Para obtener como está estructurada la oferta se calculó la producción de granjas tecnificadas que se encuentran en la zona considerando el inventario de hembras del censo pecuario (SENASICA, 2015) con un parámetro productivo  de</w:t>
      </w:r>
    </w:p>
    <w:p>
      <w:pPr>
        <w:pStyle w:val="BodyText"/>
        <w:spacing w:line="360" w:lineRule="auto" w:before="4"/>
        <w:ind w:left="118" w:right="267"/>
        <w:jc w:val="both"/>
      </w:pPr>
      <w:r>
        <w:rPr/>
        <w:t>22.98</w:t>
      </w:r>
      <w:r>
        <w:rPr>
          <w:spacing w:val="-9"/>
        </w:rPr>
        <w:t> </w:t>
      </w:r>
      <w:r>
        <w:rPr/>
        <w:t>cerdos</w:t>
      </w:r>
      <w:r>
        <w:rPr>
          <w:spacing w:val="-9"/>
        </w:rPr>
        <w:t> </w:t>
      </w:r>
      <w:r>
        <w:rPr/>
        <w:t>destetados</w:t>
      </w:r>
      <w:r>
        <w:rPr>
          <w:spacing w:val="-8"/>
        </w:rPr>
        <w:t> </w:t>
      </w:r>
      <w:r>
        <w:rPr/>
        <w:t>(cerdos</w:t>
      </w:r>
      <w:r>
        <w:rPr>
          <w:spacing w:val="-8"/>
        </w:rPr>
        <w:t> </w:t>
      </w:r>
      <w:r>
        <w:rPr/>
        <w:t>separados</w:t>
      </w:r>
      <w:r>
        <w:rPr>
          <w:spacing w:val="-8"/>
        </w:rPr>
        <w:t> </w:t>
      </w:r>
      <w:r>
        <w:rPr/>
        <w:t>de</w:t>
      </w:r>
      <w:r>
        <w:rPr>
          <w:spacing w:val="-10"/>
        </w:rPr>
        <w:t> </w:t>
      </w:r>
      <w:r>
        <w:rPr/>
        <w:t>la</w:t>
      </w:r>
      <w:r>
        <w:rPr>
          <w:spacing w:val="-9"/>
        </w:rPr>
        <w:t> </w:t>
      </w:r>
      <w:r>
        <w:rPr/>
        <w:t>madre</w:t>
      </w:r>
      <w:r>
        <w:rPr>
          <w:spacing w:val="-10"/>
        </w:rPr>
        <w:t> </w:t>
      </w:r>
      <w:r>
        <w:rPr/>
        <w:t>entre</w:t>
      </w:r>
      <w:r>
        <w:rPr>
          <w:spacing w:val="-10"/>
        </w:rPr>
        <w:t> </w:t>
      </w:r>
      <w:r>
        <w:rPr/>
        <w:t>los</w:t>
      </w:r>
      <w:r>
        <w:rPr>
          <w:spacing w:val="-8"/>
        </w:rPr>
        <w:t> </w:t>
      </w:r>
      <w:r>
        <w:rPr/>
        <w:t>21</w:t>
      </w:r>
      <w:r>
        <w:rPr>
          <w:spacing w:val="-6"/>
        </w:rPr>
        <w:t> </w:t>
      </w:r>
      <w:r>
        <w:rPr/>
        <w:t>y</w:t>
      </w:r>
      <w:r>
        <w:rPr>
          <w:spacing w:val="-13"/>
        </w:rPr>
        <w:t> </w:t>
      </w:r>
      <w:r>
        <w:rPr/>
        <w:t>28</w:t>
      </w:r>
      <w:r>
        <w:rPr>
          <w:spacing w:val="-9"/>
        </w:rPr>
        <w:t> </w:t>
      </w:r>
      <w:r>
        <w:rPr/>
        <w:t>días</w:t>
      </w:r>
      <w:r>
        <w:rPr>
          <w:spacing w:val="-8"/>
        </w:rPr>
        <w:t> </w:t>
      </w:r>
      <w:r>
        <w:rPr/>
        <w:t>de</w:t>
      </w:r>
      <w:r>
        <w:rPr>
          <w:spacing w:val="-10"/>
        </w:rPr>
        <w:t> </w:t>
      </w:r>
      <w:r>
        <w:rPr/>
        <w:t>vida)</w:t>
      </w:r>
      <w:r>
        <w:rPr>
          <w:spacing w:val="-10"/>
        </w:rPr>
        <w:t> </w:t>
      </w:r>
      <w:r>
        <w:rPr/>
        <w:t>por</w:t>
      </w:r>
      <w:r>
        <w:rPr>
          <w:spacing w:val="-9"/>
        </w:rPr>
        <w:t> </w:t>
      </w:r>
      <w:r>
        <w:rPr/>
        <w:t>hembra por año y 4.37 de mortandad de destete a rastro (Pic Latam, 2015). La producción de traspatio se</w:t>
      </w:r>
      <w:r>
        <w:rPr>
          <w:spacing w:val="-12"/>
        </w:rPr>
        <w:t> </w:t>
      </w:r>
      <w:r>
        <w:rPr/>
        <w:t>calculó</w:t>
      </w:r>
      <w:r>
        <w:rPr>
          <w:spacing w:val="-9"/>
        </w:rPr>
        <w:t> </w:t>
      </w:r>
      <w:r>
        <w:rPr/>
        <w:t>restando</w:t>
      </w:r>
      <w:r>
        <w:rPr>
          <w:spacing w:val="-9"/>
        </w:rPr>
        <w:t> </w:t>
      </w:r>
      <w:r>
        <w:rPr/>
        <w:t>a</w:t>
      </w:r>
      <w:r>
        <w:rPr>
          <w:spacing w:val="-12"/>
        </w:rPr>
        <w:t> </w:t>
      </w:r>
      <w:r>
        <w:rPr/>
        <w:t>la</w:t>
      </w:r>
      <w:r>
        <w:rPr>
          <w:spacing w:val="-12"/>
        </w:rPr>
        <w:t> </w:t>
      </w:r>
      <w:r>
        <w:rPr/>
        <w:t>producción</w:t>
      </w:r>
      <w:r>
        <w:rPr>
          <w:spacing w:val="-11"/>
        </w:rPr>
        <w:t> </w:t>
      </w:r>
      <w:r>
        <w:rPr/>
        <w:t>por</w:t>
      </w:r>
      <w:r>
        <w:rPr>
          <w:spacing w:val="-12"/>
        </w:rPr>
        <w:t> </w:t>
      </w:r>
      <w:r>
        <w:rPr/>
        <w:t>municipio</w:t>
      </w:r>
      <w:r>
        <w:rPr>
          <w:spacing w:val="-11"/>
        </w:rPr>
        <w:t> </w:t>
      </w:r>
      <w:r>
        <w:rPr/>
        <w:t>reportada</w:t>
      </w:r>
      <w:r>
        <w:rPr>
          <w:spacing w:val="-12"/>
        </w:rPr>
        <w:t> </w:t>
      </w:r>
      <w:r>
        <w:rPr/>
        <w:t>por</w:t>
      </w:r>
      <w:r>
        <w:rPr>
          <w:spacing w:val="-12"/>
        </w:rPr>
        <w:t> </w:t>
      </w:r>
      <w:r>
        <w:rPr/>
        <w:t>el</w:t>
      </w:r>
      <w:r>
        <w:rPr>
          <w:spacing w:val="-11"/>
        </w:rPr>
        <w:t> </w:t>
      </w:r>
      <w:r>
        <w:rPr/>
        <w:t>SIAP</w:t>
      </w:r>
      <w:r>
        <w:rPr>
          <w:spacing w:val="-11"/>
        </w:rPr>
        <w:t> </w:t>
      </w:r>
      <w:r>
        <w:rPr/>
        <w:t>la</w:t>
      </w:r>
      <w:r>
        <w:rPr>
          <w:spacing w:val="-12"/>
        </w:rPr>
        <w:t> </w:t>
      </w:r>
      <w:r>
        <w:rPr/>
        <w:t>producción</w:t>
      </w:r>
      <w:r>
        <w:rPr>
          <w:spacing w:val="-11"/>
        </w:rPr>
        <w:t> </w:t>
      </w:r>
      <w:r>
        <w:rPr/>
        <w:t>de</w:t>
      </w:r>
      <w:r>
        <w:rPr>
          <w:spacing w:val="-7"/>
        </w:rPr>
        <w:t> </w:t>
      </w:r>
      <w:r>
        <w:rPr/>
        <w:t>granjas</w:t>
      </w:r>
    </w:p>
    <w:p>
      <w:pPr>
        <w:spacing w:after="0" w:line="360" w:lineRule="auto"/>
        <w:jc w:val="both"/>
        <w:sectPr>
          <w:type w:val="continuous"/>
          <w:pgSz w:w="12240" w:h="15840"/>
          <w:pgMar w:top="3260" w:bottom="280" w:left="1300" w:right="1340"/>
        </w:sectPr>
      </w:pPr>
    </w:p>
    <w:p>
      <w:pPr>
        <w:pStyle w:val="BodyText"/>
        <w:spacing w:line="360" w:lineRule="auto" w:before="125"/>
        <w:ind w:left="118" w:right="268"/>
        <w:jc w:val="both"/>
      </w:pPr>
      <w:r>
        <w:rPr/>
        <w:t>tecnificadas que se obtuvo. El total de la oferta se complementó con los cerdos vivos que entran a la región por el municipio de Toluca y que se sacrifican en los rastros de la región sur. Se consideró el municipio de Toluca debido a que es por el que tienen que pasar los cerdos que provienen de otros estados de la república.</w:t>
      </w:r>
    </w:p>
    <w:p>
      <w:pPr>
        <w:pStyle w:val="BodyText"/>
        <w:spacing w:line="360" w:lineRule="auto" w:before="205"/>
        <w:ind w:left="118" w:right="263"/>
        <w:jc w:val="both"/>
      </w:pPr>
      <w:r>
        <w:rPr/>
        <w:t>Para conocer el consumo (demanda) de cada uno de los municipios se obtuvo la información de su población del censo del 2010 (INEGI 2010) y con la tasa media de crecimiento anual del estado que es de 1.21 %, se obtuvo la información del 2014. Esta población se multiplicó por el consumo </w:t>
      </w:r>
      <w:r>
        <w:rPr>
          <w:i/>
        </w:rPr>
        <w:t>per cápita </w:t>
      </w:r>
      <w:r>
        <w:rPr/>
        <w:t>reportado para la zona por la Confederación de Porcicultores la cual estima en</w:t>
      </w:r>
      <w:r>
        <w:rPr>
          <w:spacing w:val="-8"/>
        </w:rPr>
        <w:t> </w:t>
      </w:r>
      <w:r>
        <w:rPr/>
        <w:t>16</w:t>
      </w:r>
      <w:r>
        <w:rPr>
          <w:spacing w:val="-8"/>
        </w:rPr>
        <w:t> </w:t>
      </w:r>
      <w:r>
        <w:rPr/>
        <w:t>kg</w:t>
      </w:r>
      <w:r>
        <w:rPr>
          <w:spacing w:val="-10"/>
        </w:rPr>
        <w:t> </w:t>
      </w:r>
      <w:r>
        <w:rPr/>
        <w:t>(CONFEPORC,</w:t>
      </w:r>
      <w:r>
        <w:rPr>
          <w:spacing w:val="-6"/>
        </w:rPr>
        <w:t> </w:t>
      </w:r>
      <w:r>
        <w:rPr/>
        <w:t>2015).</w:t>
      </w:r>
      <w:r>
        <w:rPr>
          <w:spacing w:val="-8"/>
        </w:rPr>
        <w:t> </w:t>
      </w:r>
      <w:r>
        <w:rPr/>
        <w:t>Esta</w:t>
      </w:r>
      <w:r>
        <w:rPr>
          <w:spacing w:val="-6"/>
        </w:rPr>
        <w:t> </w:t>
      </w:r>
      <w:r>
        <w:rPr/>
        <w:t>cantidad</w:t>
      </w:r>
      <w:r>
        <w:rPr>
          <w:spacing w:val="-8"/>
        </w:rPr>
        <w:t> </w:t>
      </w:r>
      <w:r>
        <w:rPr/>
        <w:t>se</w:t>
      </w:r>
      <w:r>
        <w:rPr>
          <w:spacing w:val="-9"/>
        </w:rPr>
        <w:t> </w:t>
      </w:r>
      <w:r>
        <w:rPr/>
        <w:t>dividió</w:t>
      </w:r>
      <w:r>
        <w:rPr>
          <w:spacing w:val="-7"/>
        </w:rPr>
        <w:t> </w:t>
      </w:r>
      <w:r>
        <w:rPr/>
        <w:t>entre</w:t>
      </w:r>
      <w:r>
        <w:rPr>
          <w:spacing w:val="-9"/>
        </w:rPr>
        <w:t> </w:t>
      </w:r>
      <w:r>
        <w:rPr/>
        <w:t>75</w:t>
      </w:r>
      <w:r>
        <w:rPr>
          <w:spacing w:val="-5"/>
        </w:rPr>
        <w:t> </w:t>
      </w:r>
      <w:r>
        <w:rPr/>
        <w:t>kg</w:t>
      </w:r>
      <w:r>
        <w:rPr>
          <w:spacing w:val="-10"/>
        </w:rPr>
        <w:t> </w:t>
      </w:r>
      <w:r>
        <w:rPr/>
        <w:t>promedio</w:t>
      </w:r>
      <w:r>
        <w:rPr>
          <w:spacing w:val="-7"/>
        </w:rPr>
        <w:t> </w:t>
      </w:r>
      <w:r>
        <w:rPr/>
        <w:t>de</w:t>
      </w:r>
      <w:r>
        <w:rPr>
          <w:spacing w:val="-9"/>
        </w:rPr>
        <w:t> </w:t>
      </w:r>
      <w:r>
        <w:rPr/>
        <w:t>una</w:t>
      </w:r>
      <w:r>
        <w:rPr>
          <w:spacing w:val="-5"/>
        </w:rPr>
        <w:t> </w:t>
      </w:r>
      <w:r>
        <w:rPr/>
        <w:t>canal</w:t>
      </w:r>
      <w:r>
        <w:rPr>
          <w:spacing w:val="-5"/>
        </w:rPr>
        <w:t> </w:t>
      </w:r>
      <w:r>
        <w:rPr/>
        <w:t>para conocer la demanda de canales por</w:t>
      </w:r>
      <w:r>
        <w:rPr>
          <w:spacing w:val="-8"/>
        </w:rPr>
        <w:t> </w:t>
      </w:r>
      <w:r>
        <w:rPr/>
        <w:t>municipio.</w:t>
      </w:r>
    </w:p>
    <w:p>
      <w:pPr>
        <w:pStyle w:val="BodyText"/>
        <w:spacing w:line="360" w:lineRule="auto" w:before="203"/>
        <w:ind w:left="118" w:right="274"/>
        <w:jc w:val="both"/>
      </w:pPr>
      <w:r>
        <w:rPr/>
        <w:t>Para la información de producción (oferta) y consumo (demanda) se consideró el valor semanal por lo que las cantidades anuales fueron divididas entre 52 semanas.</w:t>
      </w:r>
    </w:p>
    <w:p>
      <w:pPr>
        <w:pStyle w:val="BodyText"/>
        <w:spacing w:line="360" w:lineRule="auto" w:before="205"/>
        <w:ind w:left="118" w:right="266"/>
        <w:jc w:val="both"/>
      </w:pPr>
      <w:r>
        <w:rPr/>
        <w:t>La información de los centros de matanza (Rastros) como es el número de cerdos sacrificados por semana, el costo de sacrificio y la capacidad instalada se obtuvo de forma directa con entrevistas a los encargados de los 2 rastros que se encuentran en la región, el rastro ecológico de Valle de Bravo y el rastro municipal de Tejupilco.</w:t>
      </w:r>
    </w:p>
    <w:p>
      <w:pPr>
        <w:pStyle w:val="BodyText"/>
        <w:spacing w:line="360" w:lineRule="auto" w:before="205"/>
        <w:ind w:left="118" w:right="267"/>
        <w:jc w:val="both"/>
      </w:pPr>
      <w:r>
        <w:rPr/>
        <w:t>El costo de transporte de granja a rastro se determinó considerando una distancia mínima de 5 km dentro del municipio y se calculó la distancia entre los municipios con la herramienta de la Secretaría de Comunicaciones y Trasportes punto a punto (SCT 2015). El transporte empleado para el traslado de cerdos vivos y canales es especializado por lo tanto de mayor costo por km recorrido, Se consideró un costo de 28 pesos por km. para cerdos vivos. En el caso del costo de transporte de rastro a centro de consumo se utilizaron las mismas distancias, pero se modificó</w:t>
      </w:r>
      <w:r>
        <w:rPr>
          <w:spacing w:val="-25"/>
        </w:rPr>
        <w:t> </w:t>
      </w:r>
      <w:r>
        <w:rPr/>
        <w:t>el costo a 21 pesos por km. Para canales de cerdo estos costos se obtuvieron de forma directa a través de una entrevista realizada a una empresa particular que realiza servicios de transporte de carga</w:t>
      </w:r>
      <w:r>
        <w:rPr>
          <w:spacing w:val="-6"/>
        </w:rPr>
        <w:t> </w:t>
      </w:r>
      <w:r>
        <w:rPr/>
        <w:t>especializada.</w:t>
      </w:r>
    </w:p>
    <w:p>
      <w:pPr>
        <w:pStyle w:val="BodyText"/>
        <w:spacing w:line="360" w:lineRule="auto" w:before="205"/>
        <w:ind w:left="118" w:right="263"/>
        <w:jc w:val="both"/>
      </w:pPr>
      <w:r>
        <w:rPr/>
        <w:t>Una</w:t>
      </w:r>
      <w:r>
        <w:rPr>
          <w:spacing w:val="-15"/>
        </w:rPr>
        <w:t> </w:t>
      </w:r>
      <w:r>
        <w:rPr/>
        <w:t>vez</w:t>
      </w:r>
      <w:r>
        <w:rPr>
          <w:spacing w:val="-13"/>
        </w:rPr>
        <w:t> </w:t>
      </w:r>
      <w:r>
        <w:rPr/>
        <w:t>lista</w:t>
      </w:r>
      <w:r>
        <w:rPr>
          <w:spacing w:val="-14"/>
        </w:rPr>
        <w:t> </w:t>
      </w:r>
      <w:r>
        <w:rPr/>
        <w:t>la</w:t>
      </w:r>
      <w:r>
        <w:rPr>
          <w:spacing w:val="-14"/>
        </w:rPr>
        <w:t> </w:t>
      </w:r>
      <w:r>
        <w:rPr/>
        <w:t>información</w:t>
      </w:r>
      <w:r>
        <w:rPr>
          <w:spacing w:val="-13"/>
        </w:rPr>
        <w:t> </w:t>
      </w:r>
      <w:r>
        <w:rPr/>
        <w:t>se</w:t>
      </w:r>
      <w:r>
        <w:rPr>
          <w:spacing w:val="-14"/>
        </w:rPr>
        <w:t> </w:t>
      </w:r>
      <w:r>
        <w:rPr/>
        <w:t>utilizó</w:t>
      </w:r>
      <w:r>
        <w:rPr>
          <w:spacing w:val="-13"/>
        </w:rPr>
        <w:t> </w:t>
      </w:r>
      <w:r>
        <w:rPr/>
        <w:t>para</w:t>
      </w:r>
      <w:r>
        <w:rPr>
          <w:spacing w:val="-15"/>
        </w:rPr>
        <w:t> </w:t>
      </w:r>
      <w:r>
        <w:rPr/>
        <w:t>el</w:t>
      </w:r>
      <w:r>
        <w:rPr>
          <w:spacing w:val="-13"/>
        </w:rPr>
        <w:t> </w:t>
      </w:r>
      <w:r>
        <w:rPr/>
        <w:t>análisis</w:t>
      </w:r>
      <w:r>
        <w:rPr>
          <w:spacing w:val="-13"/>
        </w:rPr>
        <w:t> </w:t>
      </w:r>
      <w:r>
        <w:rPr/>
        <w:t>el</w:t>
      </w:r>
      <w:r>
        <w:rPr>
          <w:spacing w:val="-13"/>
        </w:rPr>
        <w:t> </w:t>
      </w:r>
      <w:r>
        <w:rPr/>
        <w:t>software</w:t>
      </w:r>
      <w:r>
        <w:rPr>
          <w:spacing w:val="-15"/>
        </w:rPr>
        <w:t> </w:t>
      </w:r>
      <w:r>
        <w:rPr/>
        <w:t>Solver</w:t>
      </w:r>
      <w:r>
        <w:rPr>
          <w:spacing w:val="-15"/>
        </w:rPr>
        <w:t> </w:t>
      </w:r>
      <w:r>
        <w:rPr/>
        <w:t>Premium</w:t>
      </w:r>
      <w:r>
        <w:rPr>
          <w:spacing w:val="-13"/>
        </w:rPr>
        <w:t> </w:t>
      </w:r>
      <w:r>
        <w:rPr/>
        <w:t>Platform</w:t>
      </w:r>
      <w:r>
        <w:rPr>
          <w:spacing w:val="-13"/>
        </w:rPr>
        <w:t> </w:t>
      </w:r>
      <w:r>
        <w:rPr/>
        <w:t>2014- R2 que es un programa que desarrolla modelos de programación lineal utilizado en la optimización de recursos, (maximizar ganancias o ingresos   </w:t>
      </w:r>
      <w:r>
        <w:rPr>
          <w:spacing w:val="35"/>
        </w:rPr>
        <w:t> </w:t>
      </w:r>
      <w:r>
        <w:rPr/>
        <w:t>y/o minimizar costos), a través de</w:t>
      </w:r>
    </w:p>
    <w:p>
      <w:pPr>
        <w:spacing w:after="0" w:line="360" w:lineRule="auto"/>
        <w:jc w:val="both"/>
        <w:sectPr>
          <w:pgSz w:w="12240" w:h="15840"/>
          <w:pgMar w:header="984" w:footer="986" w:top="1280" w:bottom="1180" w:left="1300" w:right="1340"/>
        </w:sectPr>
      </w:pPr>
    </w:p>
    <w:p>
      <w:pPr>
        <w:pStyle w:val="BodyText"/>
        <w:spacing w:line="360" w:lineRule="auto" w:before="125"/>
        <w:ind w:left="138" w:right="269"/>
        <w:jc w:val="both"/>
      </w:pPr>
      <w:r>
        <w:rPr/>
        <w:t>una</w:t>
      </w:r>
      <w:r>
        <w:rPr>
          <w:spacing w:val="-17"/>
        </w:rPr>
        <w:t> </w:t>
      </w:r>
      <w:r>
        <w:rPr/>
        <w:t>función</w:t>
      </w:r>
      <w:r>
        <w:rPr>
          <w:spacing w:val="-15"/>
        </w:rPr>
        <w:t> </w:t>
      </w:r>
      <w:r>
        <w:rPr/>
        <w:t>lineal</w:t>
      </w:r>
      <w:r>
        <w:rPr>
          <w:spacing w:val="-13"/>
        </w:rPr>
        <w:t> </w:t>
      </w:r>
      <w:r>
        <w:rPr/>
        <w:t>(función</w:t>
      </w:r>
      <w:r>
        <w:rPr>
          <w:spacing w:val="-16"/>
        </w:rPr>
        <w:t> </w:t>
      </w:r>
      <w:r>
        <w:rPr/>
        <w:t>objetivo),</w:t>
      </w:r>
      <w:r>
        <w:rPr>
          <w:spacing w:val="-16"/>
        </w:rPr>
        <w:t> </w:t>
      </w:r>
      <w:r>
        <w:rPr/>
        <w:t>sujeta</w:t>
      </w:r>
      <w:r>
        <w:rPr>
          <w:spacing w:val="-16"/>
        </w:rPr>
        <w:t> </w:t>
      </w:r>
      <w:r>
        <w:rPr/>
        <w:t>a</w:t>
      </w:r>
      <w:r>
        <w:rPr>
          <w:spacing w:val="-17"/>
        </w:rPr>
        <w:t> </w:t>
      </w:r>
      <w:r>
        <w:rPr/>
        <w:t>un</w:t>
      </w:r>
      <w:r>
        <w:rPr>
          <w:spacing w:val="-13"/>
        </w:rPr>
        <w:t> </w:t>
      </w:r>
      <w:r>
        <w:rPr/>
        <w:t>conjunto</w:t>
      </w:r>
      <w:r>
        <w:rPr>
          <w:spacing w:val="-16"/>
        </w:rPr>
        <w:t> </w:t>
      </w:r>
      <w:r>
        <w:rPr/>
        <w:t>de</w:t>
      </w:r>
      <w:r>
        <w:rPr>
          <w:spacing w:val="-17"/>
        </w:rPr>
        <w:t> </w:t>
      </w:r>
      <w:r>
        <w:rPr/>
        <w:t>restricciones</w:t>
      </w:r>
      <w:r>
        <w:rPr>
          <w:spacing w:val="-16"/>
        </w:rPr>
        <w:t> </w:t>
      </w:r>
      <w:r>
        <w:rPr/>
        <w:t>lineales,</w:t>
      </w:r>
      <w:r>
        <w:rPr>
          <w:spacing w:val="-16"/>
        </w:rPr>
        <w:t> </w:t>
      </w:r>
      <w:r>
        <w:rPr/>
        <w:t>que</w:t>
      </w:r>
      <w:r>
        <w:rPr>
          <w:spacing w:val="-17"/>
        </w:rPr>
        <w:t> </w:t>
      </w:r>
      <w:r>
        <w:rPr/>
        <w:t>se</w:t>
      </w:r>
      <w:r>
        <w:rPr>
          <w:spacing w:val="-17"/>
        </w:rPr>
        <w:t> </w:t>
      </w:r>
      <w:r>
        <w:rPr/>
        <w:t>pueden representar como igualdades o desigualdades. (Calderón,</w:t>
      </w:r>
      <w:r>
        <w:rPr>
          <w:spacing w:val="-9"/>
        </w:rPr>
        <w:t> </w:t>
      </w:r>
      <w:r>
        <w:rPr/>
        <w:t>1995)</w:t>
      </w:r>
    </w:p>
    <w:p>
      <w:pPr>
        <w:pStyle w:val="BodyText"/>
        <w:spacing w:line="360" w:lineRule="auto" w:before="205"/>
        <w:ind w:left="138" w:right="265"/>
        <w:jc w:val="both"/>
      </w:pPr>
      <w:r>
        <w:rPr/>
        <w:t>Se generaron tres escenarios, el primero, es un escenario de mínimo costo con datos de 2014, para</w:t>
      </w:r>
      <w:r>
        <w:rPr>
          <w:spacing w:val="-10"/>
        </w:rPr>
        <w:t> </w:t>
      </w:r>
      <w:r>
        <w:rPr/>
        <w:t>conocer</w:t>
      </w:r>
      <w:r>
        <w:rPr>
          <w:spacing w:val="-12"/>
        </w:rPr>
        <w:t> </w:t>
      </w:r>
      <w:r>
        <w:rPr/>
        <w:t>el</w:t>
      </w:r>
      <w:r>
        <w:rPr>
          <w:spacing w:val="-8"/>
        </w:rPr>
        <w:t> </w:t>
      </w:r>
      <w:r>
        <w:rPr/>
        <w:t>flujo</w:t>
      </w:r>
      <w:r>
        <w:rPr>
          <w:spacing w:val="-11"/>
        </w:rPr>
        <w:t> </w:t>
      </w:r>
      <w:r>
        <w:rPr/>
        <w:t>óptimo</w:t>
      </w:r>
      <w:r>
        <w:rPr>
          <w:spacing w:val="-11"/>
        </w:rPr>
        <w:t> </w:t>
      </w:r>
      <w:r>
        <w:rPr/>
        <w:t>de</w:t>
      </w:r>
      <w:r>
        <w:rPr>
          <w:spacing w:val="-12"/>
        </w:rPr>
        <w:t> </w:t>
      </w:r>
      <w:r>
        <w:rPr/>
        <w:t>animales,</w:t>
      </w:r>
      <w:r>
        <w:rPr>
          <w:spacing w:val="-9"/>
        </w:rPr>
        <w:t> </w:t>
      </w:r>
      <w:r>
        <w:rPr/>
        <w:t>canales</w:t>
      </w:r>
      <w:r>
        <w:rPr>
          <w:spacing w:val="-7"/>
        </w:rPr>
        <w:t> </w:t>
      </w:r>
      <w:r>
        <w:rPr/>
        <w:t>y</w:t>
      </w:r>
      <w:r>
        <w:rPr>
          <w:spacing w:val="-13"/>
        </w:rPr>
        <w:t> </w:t>
      </w:r>
      <w:r>
        <w:rPr/>
        <w:t>el</w:t>
      </w:r>
      <w:r>
        <w:rPr>
          <w:spacing w:val="-8"/>
        </w:rPr>
        <w:t> </w:t>
      </w:r>
      <w:r>
        <w:rPr/>
        <w:t>costo</w:t>
      </w:r>
      <w:r>
        <w:rPr>
          <w:spacing w:val="-10"/>
        </w:rPr>
        <w:t> </w:t>
      </w:r>
      <w:r>
        <w:rPr/>
        <w:t>mínimo</w:t>
      </w:r>
      <w:r>
        <w:rPr>
          <w:spacing w:val="-11"/>
        </w:rPr>
        <w:t> </w:t>
      </w:r>
      <w:r>
        <w:rPr/>
        <w:t>de</w:t>
      </w:r>
      <w:r>
        <w:rPr>
          <w:spacing w:val="-12"/>
        </w:rPr>
        <w:t> </w:t>
      </w:r>
      <w:r>
        <w:rPr/>
        <w:t>transportación</w:t>
      </w:r>
      <w:r>
        <w:rPr>
          <w:spacing w:val="-6"/>
        </w:rPr>
        <w:t> </w:t>
      </w:r>
      <w:r>
        <w:rPr/>
        <w:t>y</w:t>
      </w:r>
      <w:r>
        <w:rPr>
          <w:spacing w:val="-16"/>
        </w:rPr>
        <w:t> </w:t>
      </w:r>
      <w:r>
        <w:rPr/>
        <w:t>matanza. El</w:t>
      </w:r>
      <w:r>
        <w:rPr>
          <w:spacing w:val="-16"/>
        </w:rPr>
        <w:t> </w:t>
      </w:r>
      <w:r>
        <w:rPr/>
        <w:t>segundo,</w:t>
      </w:r>
      <w:r>
        <w:rPr>
          <w:spacing w:val="-13"/>
        </w:rPr>
        <w:t> </w:t>
      </w:r>
      <w:r>
        <w:rPr/>
        <w:t>es</w:t>
      </w:r>
      <w:r>
        <w:rPr>
          <w:spacing w:val="-16"/>
        </w:rPr>
        <w:t> </w:t>
      </w:r>
      <w:r>
        <w:rPr/>
        <w:t>de</w:t>
      </w:r>
      <w:r>
        <w:rPr>
          <w:spacing w:val="-17"/>
        </w:rPr>
        <w:t> </w:t>
      </w:r>
      <w:r>
        <w:rPr/>
        <w:t>máximo</w:t>
      </w:r>
      <w:r>
        <w:rPr>
          <w:spacing w:val="-16"/>
        </w:rPr>
        <w:t> </w:t>
      </w:r>
      <w:r>
        <w:rPr/>
        <w:t>costo</w:t>
      </w:r>
      <w:r>
        <w:rPr>
          <w:spacing w:val="-15"/>
        </w:rPr>
        <w:t> </w:t>
      </w:r>
      <w:r>
        <w:rPr/>
        <w:t>para</w:t>
      </w:r>
      <w:r>
        <w:rPr>
          <w:spacing w:val="-15"/>
        </w:rPr>
        <w:t> </w:t>
      </w:r>
      <w:r>
        <w:rPr/>
        <w:t>conocer</w:t>
      </w:r>
      <w:r>
        <w:rPr>
          <w:spacing w:val="-17"/>
        </w:rPr>
        <w:t> </w:t>
      </w:r>
      <w:r>
        <w:rPr/>
        <w:t>la</w:t>
      </w:r>
      <w:r>
        <w:rPr>
          <w:spacing w:val="-16"/>
        </w:rPr>
        <w:t> </w:t>
      </w:r>
      <w:r>
        <w:rPr/>
        <w:t>diferencia</w:t>
      </w:r>
      <w:r>
        <w:rPr>
          <w:spacing w:val="-16"/>
        </w:rPr>
        <w:t> </w:t>
      </w:r>
      <w:r>
        <w:rPr/>
        <w:t>económica</w:t>
      </w:r>
      <w:r>
        <w:rPr>
          <w:spacing w:val="-17"/>
        </w:rPr>
        <w:t> </w:t>
      </w:r>
      <w:r>
        <w:rPr/>
        <w:t>entre</w:t>
      </w:r>
      <w:r>
        <w:rPr>
          <w:spacing w:val="-15"/>
        </w:rPr>
        <w:t> </w:t>
      </w:r>
      <w:r>
        <w:rPr/>
        <w:t>el</w:t>
      </w:r>
      <w:r>
        <w:rPr>
          <w:spacing w:val="-15"/>
        </w:rPr>
        <w:t> </w:t>
      </w:r>
      <w:r>
        <w:rPr/>
        <w:t>menor</w:t>
      </w:r>
      <w:r>
        <w:rPr>
          <w:spacing w:val="-12"/>
        </w:rPr>
        <w:t> </w:t>
      </w:r>
      <w:r>
        <w:rPr/>
        <w:t>y</w:t>
      </w:r>
      <w:r>
        <w:rPr>
          <w:spacing w:val="-21"/>
        </w:rPr>
        <w:t> </w:t>
      </w:r>
      <w:r>
        <w:rPr/>
        <w:t>el</w:t>
      </w:r>
      <w:r>
        <w:rPr>
          <w:spacing w:val="-15"/>
        </w:rPr>
        <w:t> </w:t>
      </w:r>
      <w:r>
        <w:rPr/>
        <w:t>máximo costo. Los cuales consideraron variables de producción, costo de transporte de granjas a rastro, costo de sacrificio y costo de transporte de rastros a centros de</w:t>
      </w:r>
      <w:r>
        <w:rPr>
          <w:spacing w:val="-11"/>
        </w:rPr>
        <w:t> </w:t>
      </w:r>
      <w:r>
        <w:rPr/>
        <w:t>consumo.</w:t>
      </w:r>
    </w:p>
    <w:p>
      <w:pPr>
        <w:pStyle w:val="BodyText"/>
        <w:spacing w:line="360" w:lineRule="auto" w:before="206"/>
        <w:ind w:left="138" w:right="268"/>
        <w:jc w:val="both"/>
      </w:pPr>
      <w:r>
        <w:rPr/>
        <w:t>Para obtener la ubicación y el tamaño de óptimo </w:t>
      </w:r>
      <w:r>
        <w:rPr>
          <w:spacing w:val="2"/>
        </w:rPr>
        <w:t>de </w:t>
      </w:r>
      <w:r>
        <w:rPr/>
        <w:t>los rastros así como su distribución que minimice costos para 2030, se realizaron las proyecciones de producción, con la tasa media de crecimiento anual (TMCA) que fue de 0.017 % para los municipios del Estado de México </w:t>
      </w:r>
      <w:r>
        <w:rPr>
          <w:spacing w:val="-4"/>
        </w:rPr>
        <w:t>y,</w:t>
      </w:r>
      <w:r>
        <w:rPr>
          <w:spacing w:val="-17"/>
        </w:rPr>
        <w:t> </w:t>
      </w:r>
      <w:r>
        <w:rPr/>
        <w:t>del consumo</w:t>
      </w:r>
      <w:r>
        <w:rPr>
          <w:spacing w:val="-10"/>
        </w:rPr>
        <w:t> </w:t>
      </w:r>
      <w:r>
        <w:rPr/>
        <w:t>de</w:t>
      </w:r>
      <w:r>
        <w:rPr>
          <w:spacing w:val="-11"/>
        </w:rPr>
        <w:t> </w:t>
      </w:r>
      <w:r>
        <w:rPr/>
        <w:t>carne</w:t>
      </w:r>
      <w:r>
        <w:rPr>
          <w:spacing w:val="-12"/>
        </w:rPr>
        <w:t> </w:t>
      </w:r>
      <w:r>
        <w:rPr/>
        <w:t>de</w:t>
      </w:r>
      <w:r>
        <w:rPr>
          <w:spacing w:val="-11"/>
        </w:rPr>
        <w:t> </w:t>
      </w:r>
      <w:r>
        <w:rPr/>
        <w:t>cerdo</w:t>
      </w:r>
      <w:r>
        <w:rPr>
          <w:spacing w:val="-8"/>
        </w:rPr>
        <w:t> </w:t>
      </w:r>
      <w:r>
        <w:rPr/>
        <w:t>con</w:t>
      </w:r>
      <w:r>
        <w:rPr>
          <w:spacing w:val="-10"/>
        </w:rPr>
        <w:t> </w:t>
      </w:r>
      <w:r>
        <w:rPr/>
        <w:t>la</w:t>
      </w:r>
      <w:r>
        <w:rPr>
          <w:spacing w:val="-11"/>
        </w:rPr>
        <w:t> </w:t>
      </w:r>
      <w:r>
        <w:rPr/>
        <w:t>TMCA</w:t>
      </w:r>
      <w:r>
        <w:rPr>
          <w:spacing w:val="-11"/>
        </w:rPr>
        <w:t> </w:t>
      </w:r>
      <w:r>
        <w:rPr/>
        <w:t>de</w:t>
      </w:r>
      <w:r>
        <w:rPr>
          <w:spacing w:val="-9"/>
        </w:rPr>
        <w:t> </w:t>
      </w:r>
      <w:r>
        <w:rPr/>
        <w:t>la</w:t>
      </w:r>
      <w:r>
        <w:rPr>
          <w:spacing w:val="-11"/>
        </w:rPr>
        <w:t> </w:t>
      </w:r>
      <w:r>
        <w:rPr/>
        <w:t>población</w:t>
      </w:r>
      <w:r>
        <w:rPr>
          <w:spacing w:val="-10"/>
        </w:rPr>
        <w:t> </w:t>
      </w:r>
      <w:r>
        <w:rPr/>
        <w:t>del</w:t>
      </w:r>
      <w:r>
        <w:rPr>
          <w:spacing w:val="-10"/>
        </w:rPr>
        <w:t> </w:t>
      </w:r>
      <w:r>
        <w:rPr/>
        <w:t>estado</w:t>
      </w:r>
      <w:r>
        <w:rPr>
          <w:spacing w:val="-10"/>
        </w:rPr>
        <w:t> </w:t>
      </w:r>
      <w:r>
        <w:rPr/>
        <w:t>que</w:t>
      </w:r>
      <w:r>
        <w:rPr>
          <w:spacing w:val="-11"/>
        </w:rPr>
        <w:t> </w:t>
      </w:r>
      <w:r>
        <w:rPr/>
        <w:t>fue</w:t>
      </w:r>
      <w:r>
        <w:rPr>
          <w:spacing w:val="-9"/>
        </w:rPr>
        <w:t> </w:t>
      </w:r>
      <w:r>
        <w:rPr/>
        <w:t>1.21</w:t>
      </w:r>
      <w:r>
        <w:rPr>
          <w:spacing w:val="-10"/>
        </w:rPr>
        <w:t> </w:t>
      </w:r>
      <w:r>
        <w:rPr/>
        <w:t>%</w:t>
      </w:r>
      <w:r>
        <w:rPr>
          <w:spacing w:val="-11"/>
        </w:rPr>
        <w:t> </w:t>
      </w:r>
      <w:r>
        <w:rPr/>
        <w:t>manteniendo el mismo consumo </w:t>
      </w:r>
      <w:r>
        <w:rPr>
          <w:i/>
        </w:rPr>
        <w:t>per cápita </w:t>
      </w:r>
      <w:r>
        <w:rPr/>
        <w:t>de 16 kg. Esto permitió crear el escenario tres, el cual consideró dos restricciones: a) utilizar rastros existentes de Valle de Bravo y Tejupilco </w:t>
      </w:r>
      <w:r>
        <w:rPr>
          <w:spacing w:val="-3"/>
        </w:rPr>
        <w:t>y, </w:t>
      </w:r>
      <w:r>
        <w:rPr/>
        <w:t>b) eliminando la restricción de sacrificio actual de</w:t>
      </w:r>
      <w:r>
        <w:rPr>
          <w:spacing w:val="-11"/>
        </w:rPr>
        <w:t> </w:t>
      </w:r>
      <w:r>
        <w:rPr/>
        <w:t>rastros.</w:t>
      </w:r>
    </w:p>
    <w:p>
      <w:pPr>
        <w:pStyle w:val="Heading4"/>
        <w:numPr>
          <w:ilvl w:val="1"/>
          <w:numId w:val="12"/>
        </w:numPr>
        <w:tabs>
          <w:tab w:pos="499" w:val="left" w:leader="none"/>
        </w:tabs>
        <w:spacing w:line="360" w:lineRule="auto" w:before="210" w:after="0"/>
        <w:ind w:left="498" w:right="276" w:hanging="360"/>
        <w:jc w:val="left"/>
      </w:pPr>
      <w:bookmarkStart w:name="_bookmark17" w:id="27"/>
      <w:bookmarkEnd w:id="27"/>
      <w:r>
        <w:rPr>
          <w:b w:val="0"/>
        </w:rPr>
      </w:r>
      <w:bookmarkStart w:name="_bookmark17" w:id="28"/>
      <w:bookmarkEnd w:id="28"/>
      <w:r>
        <w:rPr/>
        <w:t>D</w:t>
      </w:r>
      <w:r>
        <w:rPr/>
        <w:t>eterminación de la ubicación, tamaño de rastros y distribución óptima de la carne de cerdo en el estado de</w:t>
      </w:r>
      <w:r>
        <w:rPr>
          <w:spacing w:val="-6"/>
        </w:rPr>
        <w:t> </w:t>
      </w:r>
      <w:r>
        <w:rPr/>
        <w:t>México.</w:t>
      </w:r>
    </w:p>
    <w:p>
      <w:pPr>
        <w:pStyle w:val="BodyText"/>
        <w:rPr>
          <w:b/>
        </w:rPr>
      </w:pPr>
    </w:p>
    <w:p>
      <w:pPr>
        <w:pStyle w:val="BodyText"/>
        <w:spacing w:line="360" w:lineRule="auto" w:before="138"/>
        <w:ind w:left="138" w:right="264"/>
        <w:jc w:val="both"/>
      </w:pPr>
      <w:r>
        <w:rPr/>
        <w:t>Se utilizó la división del Estado de México según sus distritos socioeconómicos (edomex</w:t>
      </w:r>
      <w:r>
        <w:rPr>
          <w:spacing w:val="-37"/>
        </w:rPr>
        <w:t> </w:t>
      </w:r>
      <w:r>
        <w:rPr/>
        <w:t>2015), como se muestra en el Cuadro 1, y el Distrito Federal se consideró como distrito</w:t>
      </w:r>
      <w:r>
        <w:rPr>
          <w:spacing w:val="-13"/>
        </w:rPr>
        <w:t> </w:t>
      </w:r>
      <w:r>
        <w:rPr/>
        <w:t>consumidor.</w:t>
      </w:r>
    </w:p>
    <w:p>
      <w:pPr>
        <w:pStyle w:val="BodyText"/>
        <w:spacing w:before="203"/>
        <w:ind w:left="138"/>
        <w:jc w:val="both"/>
      </w:pPr>
      <w:r>
        <w:rPr/>
        <w:t>Cuadro 1: Distritos y municipios del Estado de México</w:t>
      </w:r>
    </w:p>
    <w:p>
      <w:pPr>
        <w:pStyle w:val="BodyText"/>
        <w:spacing w:before="5"/>
        <w:rPr>
          <w:sz w:val="26"/>
        </w:rPr>
      </w:pPr>
      <w:r>
        <w:rPr/>
        <w:pict>
          <v:group style="position:absolute;margin-left:70.694pt;margin-top:17.194292pt;width:461.15pt;height:.5pt;mso-position-horizontal-relative:page;mso-position-vertical-relative:paragraph;z-index:3520;mso-wrap-distance-left:0;mso-wrap-distance-right:0" coordorigin="1414,344" coordsize="9223,10">
            <v:line style="position:absolute" from="1419,349" to="3500,349" stroked="true" strokeweight=".48004pt" strokecolor="#000000"/>
            <v:line style="position:absolute" from="3500,349" to="3509,349" stroked="true" strokeweight=".48004pt" strokecolor="#000000"/>
            <v:line style="position:absolute" from="3509,349" to="10631,349" stroked="true" strokeweight=".48004pt" strokecolor="#000000"/>
            <w10:wrap type="topAndBottom"/>
          </v:group>
        </w:pict>
      </w:r>
    </w:p>
    <w:p>
      <w:pPr>
        <w:pStyle w:val="BodyText"/>
        <w:tabs>
          <w:tab w:pos="5237" w:val="left" w:leader="none"/>
        </w:tabs>
        <w:ind w:left="770" w:right="259"/>
      </w:pPr>
      <w:r>
        <w:rPr/>
        <w:t>Distrito</w:t>
        <w:tab/>
        <w:t>Municipios</w:t>
      </w:r>
    </w:p>
    <w:p>
      <w:pPr>
        <w:pStyle w:val="BodyText"/>
        <w:spacing w:before="2"/>
        <w:rPr>
          <w:sz w:val="9"/>
        </w:rPr>
      </w:pPr>
      <w:r>
        <w:rPr/>
        <w:pict>
          <v:group style="position:absolute;margin-left:70.694pt;margin-top:7.234279pt;width:461.15pt;height:.5pt;mso-position-horizontal-relative:page;mso-position-vertical-relative:paragraph;z-index:3544;mso-wrap-distance-left:0;mso-wrap-distance-right:0" coordorigin="1414,145" coordsize="9223,10">
            <v:line style="position:absolute" from="1419,150" to="3500,150" stroked="true" strokeweight=".48004pt" strokecolor="#000000"/>
            <v:line style="position:absolute" from="3500,150" to="3509,150" stroked="true" strokeweight=".48004pt" strokecolor="#000000"/>
            <v:line style="position:absolute" from="3509,150" to="10631,150" stroked="true" strokeweight=".48004pt" strokecolor="#000000"/>
            <w10:wrap type="topAndBottom"/>
          </v:group>
        </w:pict>
      </w:r>
    </w:p>
    <w:p>
      <w:pPr>
        <w:pStyle w:val="ListParagraph"/>
        <w:numPr>
          <w:ilvl w:val="2"/>
          <w:numId w:val="12"/>
        </w:numPr>
        <w:tabs>
          <w:tab w:pos="386" w:val="left" w:leader="none"/>
          <w:tab w:pos="2325" w:val="left" w:leader="none"/>
          <w:tab w:pos="4233" w:val="left" w:leader="none"/>
          <w:tab w:pos="5734" w:val="left" w:leader="none"/>
          <w:tab w:pos="8185" w:val="left" w:leader="none"/>
        </w:tabs>
        <w:spacing w:line="360" w:lineRule="auto" w:before="0" w:after="0"/>
        <w:ind w:left="2325" w:right="372" w:hanging="2079"/>
        <w:jc w:val="both"/>
        <w:rPr>
          <w:sz w:val="24"/>
        </w:rPr>
      </w:pPr>
      <w:r>
        <w:rPr>
          <w:sz w:val="24"/>
        </w:rPr>
        <w:t>Amecameca</w:t>
        <w:tab/>
        <w:t>Amecameca,</w:t>
        <w:tab/>
        <w:t>Atlautla,</w:t>
        <w:tab/>
        <w:t>Ayapango,Chalco,</w:t>
        <w:tab/>
        <w:t>Cocotitlán, Ecatzingo, Juchitepec, Ozumba, Temamatla, Tenango del Aire Tepetlixpa, Tlalmanalco, Valle de Chalco</w:t>
      </w:r>
      <w:r>
        <w:rPr>
          <w:spacing w:val="-12"/>
          <w:sz w:val="24"/>
        </w:rPr>
        <w:t> </w:t>
      </w:r>
      <w:r>
        <w:rPr>
          <w:sz w:val="24"/>
        </w:rPr>
        <w:t>Solidaridad.</w:t>
      </w:r>
    </w:p>
    <w:p>
      <w:pPr>
        <w:pStyle w:val="ListParagraph"/>
        <w:numPr>
          <w:ilvl w:val="2"/>
          <w:numId w:val="12"/>
        </w:numPr>
        <w:tabs>
          <w:tab w:pos="466" w:val="left" w:leader="none"/>
        </w:tabs>
        <w:spacing w:line="360" w:lineRule="auto" w:before="4" w:after="12"/>
        <w:ind w:left="2325" w:right="379" w:hanging="2079"/>
        <w:jc w:val="both"/>
        <w:rPr>
          <w:sz w:val="24"/>
        </w:rPr>
      </w:pPr>
      <w:r>
        <w:rPr>
          <w:sz w:val="24"/>
        </w:rPr>
        <w:t>Atlacomulco Acambay, Aculco, Atlacomulco, Chapa de Mota, Ixtlahuaca, Jilotepec, Jiquipilco, Jocotitlán, Morelos, El Oro, Polotitlán, San Felipe del Progreso,</w:t>
      </w:r>
      <w:r>
        <w:rPr>
          <w:spacing w:val="-14"/>
          <w:sz w:val="24"/>
        </w:rPr>
        <w:t> </w:t>
      </w:r>
      <w:r>
        <w:rPr>
          <w:sz w:val="24"/>
        </w:rPr>
        <w:t>San</w:t>
      </w:r>
      <w:r>
        <w:rPr>
          <w:spacing w:val="-14"/>
          <w:sz w:val="24"/>
        </w:rPr>
        <w:t> </w:t>
      </w:r>
      <w:r>
        <w:rPr>
          <w:sz w:val="24"/>
        </w:rPr>
        <w:t>José</w:t>
      </w:r>
      <w:r>
        <w:rPr>
          <w:spacing w:val="-15"/>
          <w:sz w:val="24"/>
        </w:rPr>
        <w:t> </w:t>
      </w:r>
      <w:r>
        <w:rPr>
          <w:sz w:val="24"/>
        </w:rPr>
        <w:t>del</w:t>
      </w:r>
      <w:r>
        <w:rPr>
          <w:spacing w:val="-14"/>
          <w:sz w:val="24"/>
        </w:rPr>
        <w:t> </w:t>
      </w:r>
      <w:r>
        <w:rPr>
          <w:sz w:val="24"/>
        </w:rPr>
        <w:t>Rincón,</w:t>
      </w:r>
      <w:r>
        <w:rPr>
          <w:spacing w:val="-15"/>
          <w:sz w:val="24"/>
        </w:rPr>
        <w:t> </w:t>
      </w:r>
      <w:r>
        <w:rPr>
          <w:sz w:val="24"/>
        </w:rPr>
        <w:t>Soyaniquilpan</w:t>
      </w:r>
      <w:r>
        <w:rPr>
          <w:spacing w:val="-15"/>
          <w:sz w:val="24"/>
        </w:rPr>
        <w:t> </w:t>
      </w:r>
      <w:r>
        <w:rPr>
          <w:sz w:val="24"/>
        </w:rPr>
        <w:t>de</w:t>
      </w:r>
      <w:r>
        <w:rPr>
          <w:spacing w:val="-15"/>
          <w:sz w:val="24"/>
        </w:rPr>
        <w:t> </w:t>
      </w:r>
      <w:r>
        <w:rPr>
          <w:sz w:val="24"/>
        </w:rPr>
        <w:t>Juárez,</w:t>
      </w:r>
      <w:r>
        <w:rPr>
          <w:spacing w:val="-14"/>
          <w:sz w:val="24"/>
        </w:rPr>
        <w:t> </w:t>
      </w:r>
      <w:r>
        <w:rPr>
          <w:sz w:val="24"/>
        </w:rPr>
        <w:t>Temascalcingo, Timilpan.</w:t>
      </w:r>
    </w:p>
    <w:p>
      <w:pPr>
        <w:pStyle w:val="BodyText"/>
        <w:spacing w:line="20" w:lineRule="exact"/>
        <w:ind w:left="119"/>
        <w:rPr>
          <w:sz w:val="2"/>
        </w:rPr>
      </w:pPr>
      <w:r>
        <w:rPr>
          <w:sz w:val="2"/>
        </w:rPr>
        <w:pict>
          <v:group style="width:461.85pt;height:.5pt;mso-position-horizontal-relative:char;mso-position-vertical-relative:line" coordorigin="0,0" coordsize="9237,10">
            <v:line style="position:absolute" from="5,5" to="2100,5" stroked="true" strokeweight=".47998pt" strokecolor="#000000"/>
            <v:line style="position:absolute" from="2086,5" to="2095,5" stroked="true" strokeweight=".47998pt" strokecolor="#000000"/>
            <v:line style="position:absolute" from="2095,5" to="9232,5" stroked="true" strokeweight=".47998pt" strokecolor="#000000"/>
          </v:group>
        </w:pict>
      </w:r>
      <w:r>
        <w:rPr>
          <w:sz w:val="2"/>
        </w:rPr>
      </w:r>
    </w:p>
    <w:p>
      <w:pPr>
        <w:spacing w:after="0" w:line="20" w:lineRule="exact"/>
        <w:rPr>
          <w:sz w:val="2"/>
        </w:rPr>
        <w:sectPr>
          <w:pgSz w:w="12240" w:h="15840"/>
          <w:pgMar w:header="984" w:footer="986" w:top="1280" w:bottom="1180" w:left="1280" w:right="1340"/>
        </w:sectPr>
      </w:pPr>
    </w:p>
    <w:p>
      <w:pPr>
        <w:pStyle w:val="BodyText"/>
        <w:spacing w:before="3"/>
        <w:rPr>
          <w:sz w:val="11"/>
        </w:rPr>
      </w:pPr>
    </w:p>
    <w:p>
      <w:pPr>
        <w:pStyle w:val="BodyText"/>
        <w:spacing w:line="20" w:lineRule="exact"/>
        <w:ind w:left="133"/>
        <w:rPr>
          <w:sz w:val="2"/>
        </w:rPr>
      </w:pPr>
      <w:r>
        <w:rPr>
          <w:sz w:val="2"/>
        </w:rPr>
        <w:pict>
          <v:group style="width:461.15pt;height:.5pt;mso-position-horizontal-relative:char;mso-position-vertical-relative:line" coordorigin="0,0" coordsize="9223,10">
            <v:line style="position:absolute" from="5,5" to="2086,5" stroked="true" strokeweight=".48pt" strokecolor="#000000"/>
            <v:line style="position:absolute" from="2086,5" to="2095,5" stroked="true" strokeweight=".48pt" strokecolor="#000000"/>
            <v:line style="position:absolute" from="2095,5" to="9218,5" stroked="true" strokeweight=".48pt" strokecolor="#000000"/>
          </v:group>
        </w:pict>
      </w:r>
      <w:r>
        <w:rPr>
          <w:sz w:val="2"/>
        </w:rPr>
      </w:r>
    </w:p>
    <w:p>
      <w:pPr>
        <w:pStyle w:val="ListParagraph"/>
        <w:numPr>
          <w:ilvl w:val="2"/>
          <w:numId w:val="12"/>
        </w:numPr>
        <w:tabs>
          <w:tab w:pos="545" w:val="left" w:leader="none"/>
          <w:tab w:pos="2325" w:val="left" w:leader="none"/>
        </w:tabs>
        <w:spacing w:line="240" w:lineRule="auto" w:before="0" w:after="0"/>
        <w:ind w:left="544" w:right="0" w:hanging="298"/>
        <w:jc w:val="left"/>
        <w:rPr>
          <w:sz w:val="24"/>
        </w:rPr>
      </w:pPr>
      <w:r>
        <w:rPr>
          <w:sz w:val="24"/>
        </w:rPr>
        <w:t>Chimalhuacán</w:t>
        <w:tab/>
        <w:t>Chicoloapan, Chimalhuacán, Ixtapaluca, La</w:t>
      </w:r>
      <w:r>
        <w:rPr>
          <w:spacing w:val="-12"/>
          <w:sz w:val="24"/>
        </w:rPr>
        <w:t> </w:t>
      </w:r>
      <w:r>
        <w:rPr>
          <w:sz w:val="24"/>
        </w:rPr>
        <w:t>Paz</w:t>
      </w:r>
    </w:p>
    <w:p>
      <w:pPr>
        <w:spacing w:after="0" w:line="240" w:lineRule="auto"/>
        <w:jc w:val="left"/>
        <w:rPr>
          <w:sz w:val="24"/>
        </w:rPr>
        <w:sectPr>
          <w:pgSz w:w="12240" w:h="15840"/>
          <w:pgMar w:header="984" w:footer="986" w:top="1280" w:bottom="1180" w:left="1280" w:right="1340"/>
        </w:sectPr>
      </w:pPr>
    </w:p>
    <w:p>
      <w:pPr>
        <w:pStyle w:val="ListParagraph"/>
        <w:numPr>
          <w:ilvl w:val="2"/>
          <w:numId w:val="12"/>
        </w:numPr>
        <w:tabs>
          <w:tab w:pos="1108" w:val="left" w:leader="none"/>
          <w:tab w:pos="1109" w:val="left" w:leader="none"/>
        </w:tabs>
        <w:spacing w:line="360" w:lineRule="auto" w:before="137" w:after="0"/>
        <w:ind w:left="246" w:right="0" w:firstLine="0"/>
        <w:jc w:val="left"/>
        <w:rPr>
          <w:sz w:val="24"/>
        </w:rPr>
      </w:pPr>
      <w:r>
        <w:rPr>
          <w:sz w:val="24"/>
        </w:rPr>
        <w:t>Cuautitlán </w:t>
      </w:r>
      <w:r>
        <w:rPr>
          <w:sz w:val="24"/>
        </w:rPr>
        <w:t>Izcalli</w:t>
      </w:r>
    </w:p>
    <w:p>
      <w:pPr>
        <w:pStyle w:val="BodyText"/>
        <w:tabs>
          <w:tab w:pos="1593" w:val="left" w:leader="none"/>
          <w:tab w:pos="3684" w:val="left" w:leader="none"/>
        </w:tabs>
        <w:spacing w:line="360" w:lineRule="auto" w:before="182"/>
        <w:ind w:left="222" w:right="172"/>
      </w:pPr>
      <w:r>
        <w:rPr/>
        <w:br w:type="column"/>
      </w:r>
      <w:r>
        <w:rPr/>
        <w:t>Coyotepec,</w:t>
        <w:tab/>
        <w:t>Cuautitlán </w:t>
      </w:r>
      <w:r>
        <w:rPr>
          <w:spacing w:val="18"/>
        </w:rPr>
        <w:t> </w:t>
      </w:r>
      <w:r>
        <w:rPr/>
        <w:t>Izcalli,</w:t>
        <w:tab/>
        <w:t>Huehuetoca,  Tepotzotlán, </w:t>
      </w:r>
      <w:r>
        <w:rPr>
          <w:spacing w:val="41"/>
        </w:rPr>
        <w:t> </w:t>
      </w:r>
      <w:r>
        <w:rPr/>
        <w:t>Villa </w:t>
      </w:r>
      <w:r>
        <w:rPr>
          <w:spacing w:val="18"/>
        </w:rPr>
        <w:t> </w:t>
      </w:r>
      <w:r>
        <w:rPr/>
        <w:t>del Carbón.</w:t>
      </w:r>
    </w:p>
    <w:p>
      <w:pPr>
        <w:spacing w:after="0" w:line="360" w:lineRule="auto"/>
        <w:sectPr>
          <w:type w:val="continuous"/>
          <w:pgSz w:w="12240" w:h="15840"/>
          <w:pgMar w:top="3260" w:bottom="280" w:left="1280" w:right="1340"/>
          <w:cols w:num="2" w:equalWidth="0">
            <w:col w:w="2109" w:space="40"/>
            <w:col w:w="7471"/>
          </w:cols>
        </w:sectPr>
      </w:pPr>
    </w:p>
    <w:p>
      <w:pPr>
        <w:pStyle w:val="ListParagraph"/>
        <w:numPr>
          <w:ilvl w:val="2"/>
          <w:numId w:val="12"/>
        </w:numPr>
        <w:tabs>
          <w:tab w:pos="481" w:val="left" w:leader="none"/>
          <w:tab w:pos="2325" w:val="left" w:leader="none"/>
        </w:tabs>
        <w:spacing w:line="360" w:lineRule="auto" w:before="49" w:after="0"/>
        <w:ind w:left="2325" w:right="377" w:hanging="2079"/>
        <w:jc w:val="both"/>
        <w:rPr>
          <w:sz w:val="24"/>
        </w:rPr>
      </w:pPr>
      <w:r>
        <w:rPr>
          <w:sz w:val="24"/>
        </w:rPr>
        <w:t>Ecatepec</w:t>
        <w:tab/>
        <w:t>Acolman, Axapusco, Ecatepec de Morelos,  Nopaltepec, </w:t>
      </w:r>
      <w:r>
        <w:rPr>
          <w:spacing w:val="24"/>
          <w:sz w:val="24"/>
        </w:rPr>
        <w:t> </w:t>
      </w:r>
      <w:r>
        <w:rPr>
          <w:sz w:val="24"/>
        </w:rPr>
        <w:t>Otumba, </w:t>
      </w:r>
      <w:r>
        <w:rPr>
          <w:spacing w:val="24"/>
          <w:sz w:val="24"/>
        </w:rPr>
        <w:t> </w:t>
      </w:r>
      <w:r>
        <w:rPr>
          <w:sz w:val="24"/>
        </w:rPr>
        <w:t>San </w:t>
      </w:r>
      <w:r>
        <w:rPr>
          <w:sz w:val="24"/>
        </w:rPr>
        <w:t>Martín de las Pirámides, Tecámac, Temascalapa,</w:t>
      </w:r>
      <w:r>
        <w:rPr>
          <w:spacing w:val="-13"/>
          <w:sz w:val="24"/>
        </w:rPr>
        <w:t> </w:t>
      </w:r>
      <w:r>
        <w:rPr>
          <w:sz w:val="24"/>
        </w:rPr>
        <w:t>Teotihuacán.</w:t>
      </w:r>
    </w:p>
    <w:p>
      <w:pPr>
        <w:pStyle w:val="ListParagraph"/>
        <w:numPr>
          <w:ilvl w:val="2"/>
          <w:numId w:val="12"/>
        </w:numPr>
        <w:tabs>
          <w:tab w:pos="561" w:val="left" w:leader="none"/>
          <w:tab w:pos="2325" w:val="left" w:leader="none"/>
        </w:tabs>
        <w:spacing w:line="360" w:lineRule="auto" w:before="6" w:after="0"/>
        <w:ind w:left="2325" w:right="371" w:hanging="2079"/>
        <w:jc w:val="both"/>
        <w:rPr>
          <w:sz w:val="24"/>
        </w:rPr>
      </w:pPr>
      <w:r>
        <w:rPr>
          <w:sz w:val="24"/>
        </w:rPr>
        <w:t>Ixtapan</w:t>
        <w:tab/>
        <w:t>Almoloya   de   Alquisiras,     Coatepec   Harinas,   Ixtapan   de</w:t>
      </w:r>
      <w:r>
        <w:rPr>
          <w:spacing w:val="53"/>
          <w:sz w:val="24"/>
        </w:rPr>
        <w:t> </w:t>
      </w:r>
      <w:r>
        <w:rPr>
          <w:sz w:val="24"/>
        </w:rPr>
        <w:t>la </w:t>
      </w:r>
      <w:r>
        <w:rPr>
          <w:spacing w:val="45"/>
          <w:sz w:val="24"/>
        </w:rPr>
        <w:t> </w:t>
      </w:r>
      <w:r>
        <w:rPr>
          <w:sz w:val="24"/>
        </w:rPr>
        <w:t>Sal, </w:t>
      </w:r>
      <w:r>
        <w:rPr>
          <w:sz w:val="24"/>
        </w:rPr>
        <w:t>Joquicingo, Malinalco, Ocuilan, San Simón de Guerrero, Sultepec, Temascaltepec,  Tenancingo,  Texcaltitlán,   Tonatico,   Villa   Guerrero,  Zacualpan,</w:t>
      </w:r>
      <w:r>
        <w:rPr>
          <w:spacing w:val="-10"/>
          <w:sz w:val="24"/>
        </w:rPr>
        <w:t> </w:t>
      </w:r>
      <w:r>
        <w:rPr>
          <w:sz w:val="24"/>
        </w:rPr>
        <w:t>Zumpahuacán.</w:t>
      </w:r>
    </w:p>
    <w:p>
      <w:pPr>
        <w:pStyle w:val="ListParagraph"/>
        <w:numPr>
          <w:ilvl w:val="2"/>
          <w:numId w:val="12"/>
        </w:numPr>
        <w:tabs>
          <w:tab w:pos="640" w:val="left" w:leader="none"/>
          <w:tab w:pos="2325" w:val="left" w:leader="none"/>
        </w:tabs>
        <w:spacing w:line="360" w:lineRule="auto" w:before="6" w:after="0"/>
        <w:ind w:left="2325" w:right="381" w:hanging="2079"/>
        <w:jc w:val="both"/>
        <w:rPr>
          <w:sz w:val="24"/>
        </w:rPr>
      </w:pPr>
      <w:r>
        <w:rPr>
          <w:sz w:val="24"/>
        </w:rPr>
        <w:t>Lerma</w:t>
        <w:tab/>
        <w:t>Atizapán,    Capulhuac,    Lerma,  Ocoyacac,  Otzolotepec, </w:t>
      </w:r>
      <w:r>
        <w:rPr>
          <w:spacing w:val="36"/>
          <w:sz w:val="24"/>
        </w:rPr>
        <w:t> </w:t>
      </w:r>
      <w:r>
        <w:rPr>
          <w:sz w:val="24"/>
        </w:rPr>
        <w:t>San </w:t>
      </w:r>
      <w:r>
        <w:rPr>
          <w:spacing w:val="3"/>
          <w:sz w:val="24"/>
        </w:rPr>
        <w:t> </w:t>
      </w:r>
      <w:r>
        <w:rPr>
          <w:sz w:val="24"/>
        </w:rPr>
        <w:t>Mateo </w:t>
      </w:r>
      <w:r>
        <w:rPr>
          <w:sz w:val="24"/>
        </w:rPr>
        <w:t>Atenco, Temoaya, Tianguistenco, Xalatlaco,</w:t>
      </w:r>
      <w:r>
        <w:rPr>
          <w:spacing w:val="-7"/>
          <w:sz w:val="24"/>
        </w:rPr>
        <w:t> </w:t>
      </w:r>
      <w:r>
        <w:rPr>
          <w:sz w:val="24"/>
        </w:rPr>
        <w:t>Xonacatlán.</w:t>
      </w:r>
    </w:p>
    <w:p>
      <w:pPr>
        <w:pStyle w:val="ListParagraph"/>
        <w:numPr>
          <w:ilvl w:val="2"/>
          <w:numId w:val="12"/>
        </w:numPr>
        <w:tabs>
          <w:tab w:pos="718" w:val="left" w:leader="none"/>
        </w:tabs>
        <w:spacing w:line="360" w:lineRule="auto" w:before="6" w:after="0"/>
        <w:ind w:left="2325" w:right="382" w:hanging="2079"/>
        <w:jc w:val="both"/>
        <w:rPr>
          <w:sz w:val="24"/>
        </w:rPr>
      </w:pPr>
      <w:r>
        <w:rPr>
          <w:sz w:val="24"/>
        </w:rPr>
        <w:t>Naucalpan Huixquilucan, Isidro Fabela, Jilotzingo, Naucalpan de Juárez, Nicolás Romero.</w:t>
      </w:r>
    </w:p>
    <w:p>
      <w:pPr>
        <w:pStyle w:val="ListParagraph"/>
        <w:numPr>
          <w:ilvl w:val="2"/>
          <w:numId w:val="12"/>
        </w:numPr>
        <w:tabs>
          <w:tab w:pos="559" w:val="left" w:leader="none"/>
          <w:tab w:pos="2325" w:val="left" w:leader="none"/>
        </w:tabs>
        <w:spacing w:line="240" w:lineRule="auto" w:before="6" w:after="0"/>
        <w:ind w:left="558" w:right="0" w:hanging="312"/>
        <w:jc w:val="left"/>
        <w:rPr>
          <w:sz w:val="24"/>
        </w:rPr>
      </w:pPr>
      <w:r>
        <w:rPr>
          <w:sz w:val="24"/>
        </w:rPr>
        <w:t>Nezahualcóyotl</w:t>
        <w:tab/>
        <w:t>Nezahualcóyotl.</w:t>
      </w:r>
    </w:p>
    <w:p>
      <w:pPr>
        <w:pStyle w:val="ListParagraph"/>
        <w:numPr>
          <w:ilvl w:val="2"/>
          <w:numId w:val="12"/>
        </w:numPr>
        <w:tabs>
          <w:tab w:pos="481" w:val="left" w:leader="none"/>
          <w:tab w:pos="2325" w:val="left" w:leader="none"/>
        </w:tabs>
        <w:spacing w:line="240" w:lineRule="auto" w:before="137" w:after="0"/>
        <w:ind w:left="480" w:right="0" w:hanging="234"/>
        <w:jc w:val="left"/>
        <w:rPr>
          <w:sz w:val="24"/>
        </w:rPr>
      </w:pPr>
      <w:r>
        <w:rPr>
          <w:sz w:val="24"/>
        </w:rPr>
        <w:t>Tejupilco</w:t>
        <w:tab/>
        <w:t>Amatepec, Luvianos, Tejupilco,</w:t>
      </w:r>
      <w:r>
        <w:rPr>
          <w:spacing w:val="-8"/>
          <w:sz w:val="24"/>
        </w:rPr>
        <w:t> </w:t>
      </w:r>
      <w:r>
        <w:rPr>
          <w:sz w:val="24"/>
        </w:rPr>
        <w:t>Tlatlaya.</w:t>
      </w:r>
    </w:p>
    <w:p>
      <w:pPr>
        <w:pStyle w:val="ListParagraph"/>
        <w:numPr>
          <w:ilvl w:val="2"/>
          <w:numId w:val="12"/>
        </w:numPr>
        <w:tabs>
          <w:tab w:pos="559" w:val="left" w:leader="none"/>
          <w:tab w:pos="2325" w:val="left" w:leader="none"/>
        </w:tabs>
        <w:spacing w:line="360" w:lineRule="auto" w:before="139" w:after="0"/>
        <w:ind w:left="2325" w:right="372" w:hanging="2079"/>
        <w:jc w:val="both"/>
        <w:rPr>
          <w:sz w:val="24"/>
        </w:rPr>
      </w:pPr>
      <w:r>
        <w:rPr>
          <w:sz w:val="24"/>
        </w:rPr>
        <w:t>Texcoco</w:t>
        <w:tab/>
        <w:t>Atenco,   Chiautla,   Chiconcuac,   Papalotla,  </w:t>
      </w:r>
      <w:r>
        <w:rPr>
          <w:spacing w:val="32"/>
          <w:sz w:val="24"/>
        </w:rPr>
        <w:t> </w:t>
      </w:r>
      <w:r>
        <w:rPr>
          <w:sz w:val="24"/>
        </w:rPr>
        <w:t>Tepetlaoxtoc,  </w:t>
      </w:r>
      <w:r>
        <w:rPr>
          <w:spacing w:val="8"/>
          <w:sz w:val="24"/>
        </w:rPr>
        <w:t> </w:t>
      </w:r>
      <w:r>
        <w:rPr>
          <w:sz w:val="24"/>
        </w:rPr>
        <w:t>Texcoco, Tezoyuca.</w:t>
      </w:r>
    </w:p>
    <w:p>
      <w:pPr>
        <w:pStyle w:val="ListParagraph"/>
        <w:numPr>
          <w:ilvl w:val="2"/>
          <w:numId w:val="12"/>
        </w:numPr>
        <w:tabs>
          <w:tab w:pos="638" w:val="left" w:leader="none"/>
          <w:tab w:pos="2325" w:val="left" w:leader="none"/>
        </w:tabs>
        <w:spacing w:line="240" w:lineRule="auto" w:before="6" w:after="0"/>
        <w:ind w:left="637" w:right="0" w:hanging="391"/>
        <w:jc w:val="left"/>
        <w:rPr>
          <w:sz w:val="24"/>
        </w:rPr>
      </w:pPr>
      <w:r>
        <w:rPr>
          <w:sz w:val="24"/>
        </w:rPr>
        <w:t>Tlalnepantla</w:t>
        <w:tab/>
        <w:t>Atizapán de Zaragoza,  Tlalnepantla de</w:t>
      </w:r>
      <w:r>
        <w:rPr>
          <w:spacing w:val="-10"/>
          <w:sz w:val="24"/>
        </w:rPr>
        <w:t> </w:t>
      </w:r>
      <w:r>
        <w:rPr>
          <w:sz w:val="24"/>
        </w:rPr>
        <w:t>Baz.</w:t>
      </w:r>
    </w:p>
    <w:p>
      <w:pPr>
        <w:pStyle w:val="ListParagraph"/>
        <w:numPr>
          <w:ilvl w:val="2"/>
          <w:numId w:val="12"/>
        </w:numPr>
        <w:tabs>
          <w:tab w:pos="718" w:val="left" w:leader="none"/>
          <w:tab w:pos="2325" w:val="left" w:leader="none"/>
        </w:tabs>
        <w:spacing w:line="360" w:lineRule="auto" w:before="137" w:after="0"/>
        <w:ind w:left="2325" w:right="381" w:hanging="2079"/>
        <w:jc w:val="both"/>
        <w:rPr>
          <w:sz w:val="24"/>
        </w:rPr>
      </w:pPr>
      <w:r>
        <w:rPr>
          <w:sz w:val="24"/>
        </w:rPr>
        <w:t>Toluca</w:t>
        <w:tab/>
        <w:t>Almoloya   de   Juárez,   Almoloya   del   Río,</w:t>
      </w:r>
      <w:r>
        <w:rPr>
          <w:spacing w:val="16"/>
          <w:sz w:val="24"/>
        </w:rPr>
        <w:t> </w:t>
      </w:r>
      <w:r>
        <w:rPr>
          <w:sz w:val="24"/>
        </w:rPr>
        <w:t>Calimaya, </w:t>
      </w:r>
      <w:r>
        <w:rPr>
          <w:spacing w:val="42"/>
          <w:sz w:val="24"/>
        </w:rPr>
        <w:t> </w:t>
      </w:r>
      <w:r>
        <w:rPr>
          <w:sz w:val="24"/>
        </w:rPr>
        <w:t>Chapultepec, </w:t>
      </w:r>
      <w:r>
        <w:rPr>
          <w:sz w:val="24"/>
        </w:rPr>
        <w:t>Metepec,</w:t>
      </w:r>
      <w:r>
        <w:rPr>
          <w:spacing w:val="-12"/>
          <w:sz w:val="24"/>
        </w:rPr>
        <w:t> </w:t>
      </w:r>
      <w:r>
        <w:rPr>
          <w:sz w:val="24"/>
        </w:rPr>
        <w:t>Mexicaltzingo,</w:t>
      </w:r>
      <w:r>
        <w:rPr>
          <w:spacing w:val="-12"/>
          <w:sz w:val="24"/>
        </w:rPr>
        <w:t> </w:t>
      </w:r>
      <w:r>
        <w:rPr>
          <w:sz w:val="24"/>
        </w:rPr>
        <w:t>Rayón,</w:t>
      </w:r>
      <w:r>
        <w:rPr>
          <w:spacing w:val="-12"/>
          <w:sz w:val="24"/>
        </w:rPr>
        <w:t> </w:t>
      </w:r>
      <w:r>
        <w:rPr>
          <w:sz w:val="24"/>
        </w:rPr>
        <w:t>San</w:t>
      </w:r>
      <w:r>
        <w:rPr>
          <w:spacing w:val="-10"/>
          <w:sz w:val="24"/>
        </w:rPr>
        <w:t> </w:t>
      </w:r>
      <w:r>
        <w:rPr>
          <w:sz w:val="24"/>
        </w:rPr>
        <w:t>Antonio</w:t>
      </w:r>
      <w:r>
        <w:rPr>
          <w:spacing w:val="-12"/>
          <w:sz w:val="24"/>
        </w:rPr>
        <w:t> </w:t>
      </w:r>
      <w:r>
        <w:rPr>
          <w:sz w:val="24"/>
        </w:rPr>
        <w:t>la</w:t>
      </w:r>
      <w:r>
        <w:rPr>
          <w:spacing w:val="-10"/>
          <w:sz w:val="24"/>
        </w:rPr>
        <w:t> </w:t>
      </w:r>
      <w:r>
        <w:rPr>
          <w:sz w:val="24"/>
        </w:rPr>
        <w:t>Isla,</w:t>
      </w:r>
      <w:r>
        <w:rPr>
          <w:spacing w:val="-12"/>
          <w:sz w:val="24"/>
        </w:rPr>
        <w:t> </w:t>
      </w:r>
      <w:r>
        <w:rPr>
          <w:sz w:val="24"/>
        </w:rPr>
        <w:t>Tenango</w:t>
      </w:r>
      <w:r>
        <w:rPr>
          <w:spacing w:val="-10"/>
          <w:sz w:val="24"/>
        </w:rPr>
        <w:t> </w:t>
      </w:r>
      <w:r>
        <w:rPr>
          <w:sz w:val="24"/>
        </w:rPr>
        <w:t>del</w:t>
      </w:r>
      <w:r>
        <w:rPr>
          <w:spacing w:val="-12"/>
          <w:sz w:val="24"/>
        </w:rPr>
        <w:t> </w:t>
      </w:r>
      <w:r>
        <w:rPr>
          <w:sz w:val="24"/>
        </w:rPr>
        <w:t>Valle, Texcalyacac,  Toluca,</w:t>
      </w:r>
      <w:r>
        <w:rPr>
          <w:spacing w:val="-9"/>
          <w:sz w:val="24"/>
        </w:rPr>
        <w:t> </w:t>
      </w:r>
      <w:r>
        <w:rPr>
          <w:sz w:val="24"/>
        </w:rPr>
        <w:t>Zinacantepec.</w:t>
      </w:r>
    </w:p>
    <w:p>
      <w:pPr>
        <w:pStyle w:val="ListParagraph"/>
        <w:numPr>
          <w:ilvl w:val="2"/>
          <w:numId w:val="12"/>
        </w:numPr>
        <w:tabs>
          <w:tab w:pos="732" w:val="left" w:leader="none"/>
          <w:tab w:pos="2325" w:val="left" w:leader="none"/>
        </w:tabs>
        <w:spacing w:line="360" w:lineRule="auto" w:before="6" w:after="0"/>
        <w:ind w:left="2325" w:right="381" w:hanging="2079"/>
        <w:jc w:val="both"/>
        <w:rPr>
          <w:sz w:val="24"/>
        </w:rPr>
      </w:pPr>
      <w:r>
        <w:rPr>
          <w:sz w:val="24"/>
        </w:rPr>
        <w:t>Tultitlán</w:t>
        <w:tab/>
        <w:t>Coacalco  de  Berriozabal,    Cuautitlán,  Melchor</w:t>
      </w:r>
      <w:r>
        <w:rPr>
          <w:spacing w:val="55"/>
          <w:sz w:val="24"/>
        </w:rPr>
        <w:t> </w:t>
      </w:r>
      <w:r>
        <w:rPr>
          <w:sz w:val="24"/>
        </w:rPr>
        <w:t>Ocampo,  </w:t>
      </w:r>
      <w:r>
        <w:rPr>
          <w:spacing w:val="59"/>
          <w:sz w:val="24"/>
        </w:rPr>
        <w:t> </w:t>
      </w:r>
      <w:r>
        <w:rPr>
          <w:sz w:val="24"/>
        </w:rPr>
        <w:t>Tultepec, Tultitlán,</w:t>
      </w:r>
      <w:r>
        <w:rPr>
          <w:spacing w:val="-7"/>
          <w:sz w:val="24"/>
        </w:rPr>
        <w:t> </w:t>
      </w:r>
      <w:r>
        <w:rPr>
          <w:sz w:val="24"/>
        </w:rPr>
        <w:t>Teoloyuca.</w:t>
      </w:r>
    </w:p>
    <w:p>
      <w:pPr>
        <w:pStyle w:val="ListParagraph"/>
        <w:numPr>
          <w:ilvl w:val="2"/>
          <w:numId w:val="12"/>
        </w:numPr>
        <w:tabs>
          <w:tab w:pos="653" w:val="left" w:leader="none"/>
        </w:tabs>
        <w:spacing w:line="360" w:lineRule="auto" w:before="6" w:after="0"/>
        <w:ind w:left="2325" w:right="382" w:hanging="2079"/>
        <w:jc w:val="both"/>
        <w:rPr>
          <w:sz w:val="24"/>
        </w:rPr>
      </w:pPr>
      <w:r>
        <w:rPr>
          <w:sz w:val="24"/>
        </w:rPr>
        <w:t>Valle de Bravo Amanalco, Donato Guerra, Ixtapan del Oro, Otzoloapan, Santo Tomás, Valle de Bravo, Villa de Allende, Villa Victoria,</w:t>
      </w:r>
      <w:r>
        <w:rPr>
          <w:spacing w:val="-10"/>
          <w:sz w:val="24"/>
        </w:rPr>
        <w:t> </w:t>
      </w:r>
      <w:r>
        <w:rPr>
          <w:sz w:val="24"/>
        </w:rPr>
        <w:t>Zacazonapan.</w:t>
      </w:r>
    </w:p>
    <w:p>
      <w:pPr>
        <w:pStyle w:val="ListParagraph"/>
        <w:numPr>
          <w:ilvl w:val="2"/>
          <w:numId w:val="12"/>
        </w:numPr>
        <w:tabs>
          <w:tab w:pos="734" w:val="left" w:leader="none"/>
        </w:tabs>
        <w:spacing w:line="360" w:lineRule="auto" w:before="6" w:after="12"/>
        <w:ind w:left="2325" w:right="379" w:hanging="2079"/>
        <w:jc w:val="both"/>
        <w:rPr>
          <w:sz w:val="24"/>
        </w:rPr>
      </w:pPr>
      <w:r>
        <w:rPr>
          <w:sz w:val="24"/>
        </w:rPr>
        <w:t>Zumpango Apaxco, Hueypoxtla, Jaltenco, Nextlalpan, Tequixquiac, Tonanitla, Zumpango.</w:t>
      </w:r>
    </w:p>
    <w:p>
      <w:pPr>
        <w:pStyle w:val="BodyText"/>
        <w:spacing w:line="20" w:lineRule="exact"/>
        <w:ind w:left="119"/>
        <w:rPr>
          <w:sz w:val="2"/>
        </w:rPr>
      </w:pPr>
      <w:r>
        <w:rPr>
          <w:sz w:val="2"/>
        </w:rPr>
        <w:pict>
          <v:group style="width:461.85pt;height:.5pt;mso-position-horizontal-relative:char;mso-position-vertical-relative:line" coordorigin="0,0" coordsize="9237,10">
            <v:line style="position:absolute" from="5,5" to="2100,5" stroked="true" strokeweight=".47998pt" strokecolor="#000000"/>
            <v:line style="position:absolute" from="2086,5" to="2095,5" stroked="true" strokeweight=".47998pt" strokecolor="#000000"/>
            <v:line style="position:absolute" from="2095,5" to="9232,5" stroked="true" strokeweight=".47998pt" strokecolor="#000000"/>
          </v:group>
        </w:pict>
      </w:r>
      <w:r>
        <w:rPr>
          <w:sz w:val="2"/>
        </w:rPr>
      </w:r>
    </w:p>
    <w:p>
      <w:pPr>
        <w:pStyle w:val="BodyText"/>
        <w:ind w:left="138" w:right="259"/>
      </w:pPr>
      <w:r>
        <w:rPr/>
        <w:t>Elaboración propia</w:t>
      </w:r>
    </w:p>
    <w:p>
      <w:pPr>
        <w:pStyle w:val="BodyText"/>
        <w:spacing w:before="4"/>
        <w:rPr>
          <w:sz w:val="29"/>
        </w:rPr>
      </w:pPr>
    </w:p>
    <w:p>
      <w:pPr>
        <w:pStyle w:val="BodyText"/>
        <w:spacing w:line="360" w:lineRule="auto" w:before="1"/>
        <w:ind w:left="138" w:right="259"/>
      </w:pPr>
      <w:r>
        <w:rPr/>
        <w:t>La información utilizada se obtuvo de la siguiente manera: Para conocer como está estructurada la producción total  (oferta) de los distritos (SIAP 2014). se  calculó la producción    de  granjas</w:t>
      </w:r>
    </w:p>
    <w:p>
      <w:pPr>
        <w:spacing w:after="0" w:line="360" w:lineRule="auto"/>
        <w:sectPr>
          <w:type w:val="continuous"/>
          <w:pgSz w:w="12240" w:h="15840"/>
          <w:pgMar w:top="3260" w:bottom="280" w:left="1280" w:right="1340"/>
        </w:sectPr>
      </w:pPr>
    </w:p>
    <w:p>
      <w:pPr>
        <w:pStyle w:val="BodyText"/>
        <w:spacing w:line="360" w:lineRule="auto" w:before="125"/>
        <w:ind w:left="118" w:right="268"/>
        <w:jc w:val="both"/>
      </w:pPr>
      <w:r>
        <w:rPr/>
        <w:t>tecnificadas que se encuentran en cada distrito considerando el inventario de hembras del censo pecuario</w:t>
      </w:r>
      <w:r>
        <w:rPr>
          <w:spacing w:val="-16"/>
        </w:rPr>
        <w:t> </w:t>
      </w:r>
      <w:r>
        <w:rPr/>
        <w:t>(SENASICA</w:t>
      </w:r>
      <w:r>
        <w:rPr>
          <w:spacing w:val="-16"/>
        </w:rPr>
        <w:t> </w:t>
      </w:r>
      <w:r>
        <w:rPr/>
        <w:t>2014)</w:t>
      </w:r>
      <w:r>
        <w:rPr>
          <w:spacing w:val="-17"/>
        </w:rPr>
        <w:t> </w:t>
      </w:r>
      <w:r>
        <w:rPr/>
        <w:t>con</w:t>
      </w:r>
      <w:r>
        <w:rPr>
          <w:spacing w:val="-16"/>
        </w:rPr>
        <w:t> </w:t>
      </w:r>
      <w:r>
        <w:rPr/>
        <w:t>un</w:t>
      </w:r>
      <w:r>
        <w:rPr>
          <w:spacing w:val="-16"/>
        </w:rPr>
        <w:t> </w:t>
      </w:r>
      <w:r>
        <w:rPr/>
        <w:t>parámetro</w:t>
      </w:r>
      <w:r>
        <w:rPr>
          <w:spacing w:val="-16"/>
        </w:rPr>
        <w:t> </w:t>
      </w:r>
      <w:r>
        <w:rPr/>
        <w:t>productivo</w:t>
      </w:r>
      <w:r>
        <w:rPr>
          <w:spacing w:val="-16"/>
        </w:rPr>
        <w:t> </w:t>
      </w:r>
      <w:r>
        <w:rPr/>
        <w:t>de</w:t>
      </w:r>
      <w:r>
        <w:rPr>
          <w:spacing w:val="-17"/>
        </w:rPr>
        <w:t> </w:t>
      </w:r>
      <w:r>
        <w:rPr/>
        <w:t>22.98</w:t>
      </w:r>
      <w:r>
        <w:rPr>
          <w:spacing w:val="-16"/>
        </w:rPr>
        <w:t> </w:t>
      </w:r>
      <w:r>
        <w:rPr/>
        <w:t>cerdos</w:t>
      </w:r>
      <w:r>
        <w:rPr>
          <w:spacing w:val="-16"/>
        </w:rPr>
        <w:t> </w:t>
      </w:r>
      <w:r>
        <w:rPr/>
        <w:t>destetados</w:t>
      </w:r>
      <w:r>
        <w:rPr>
          <w:spacing w:val="-16"/>
        </w:rPr>
        <w:t> </w:t>
      </w:r>
      <w:r>
        <w:rPr/>
        <w:t>por</w:t>
      </w:r>
      <w:r>
        <w:rPr>
          <w:spacing w:val="-17"/>
        </w:rPr>
        <w:t> </w:t>
      </w:r>
      <w:r>
        <w:rPr/>
        <w:t>hembra por año y 4.37 de mortandad de destete a rastro (Pic Latam 2014). La producción de traspatio</w:t>
      </w:r>
      <w:r>
        <w:rPr>
          <w:spacing w:val="-34"/>
        </w:rPr>
        <w:t> </w:t>
      </w:r>
      <w:r>
        <w:rPr/>
        <w:t>se obtuvo restando a la producción por distrito reportada por el SIAP la producción de granjas tecnificadas. Se aumentó la oferta con los cerdos vivos que entran al Estado y que se sacrifican en los rastros del mismo y se completó con las canales importadas y las que provienen de otros estados.</w:t>
      </w:r>
    </w:p>
    <w:p>
      <w:pPr>
        <w:pStyle w:val="BodyText"/>
        <w:spacing w:line="360" w:lineRule="auto" w:before="205"/>
        <w:ind w:left="118" w:right="266"/>
        <w:jc w:val="both"/>
      </w:pPr>
      <w:r>
        <w:rPr/>
        <w:t>Para conocer el consumo (demanda) de cada uno de los distritos se obtuvo la información de su población</w:t>
      </w:r>
      <w:r>
        <w:rPr>
          <w:spacing w:val="-3"/>
        </w:rPr>
        <w:t> </w:t>
      </w:r>
      <w:r>
        <w:rPr/>
        <w:t>del</w:t>
      </w:r>
      <w:r>
        <w:rPr>
          <w:spacing w:val="-3"/>
        </w:rPr>
        <w:t> </w:t>
      </w:r>
      <w:r>
        <w:rPr/>
        <w:t>censo</w:t>
      </w:r>
      <w:r>
        <w:rPr>
          <w:spacing w:val="-4"/>
        </w:rPr>
        <w:t> </w:t>
      </w:r>
      <w:r>
        <w:rPr/>
        <w:t>del</w:t>
      </w:r>
      <w:r>
        <w:rPr>
          <w:spacing w:val="-3"/>
        </w:rPr>
        <w:t> </w:t>
      </w:r>
      <w:r>
        <w:rPr/>
        <w:t>2010</w:t>
      </w:r>
      <w:r>
        <w:rPr>
          <w:spacing w:val="-4"/>
        </w:rPr>
        <w:t> </w:t>
      </w:r>
      <w:r>
        <w:rPr/>
        <w:t>(INEGI</w:t>
      </w:r>
      <w:r>
        <w:rPr>
          <w:spacing w:val="-7"/>
        </w:rPr>
        <w:t> </w:t>
      </w:r>
      <w:r>
        <w:rPr/>
        <w:t>2010) y</w:t>
      </w:r>
      <w:r>
        <w:rPr>
          <w:spacing w:val="-6"/>
        </w:rPr>
        <w:t> </w:t>
      </w:r>
      <w:r>
        <w:rPr/>
        <w:t>con</w:t>
      </w:r>
      <w:r>
        <w:rPr>
          <w:spacing w:val="-4"/>
        </w:rPr>
        <w:t> </w:t>
      </w:r>
      <w:r>
        <w:rPr/>
        <w:t>la</w:t>
      </w:r>
      <w:r>
        <w:rPr>
          <w:spacing w:val="-4"/>
        </w:rPr>
        <w:t> </w:t>
      </w:r>
      <w:r>
        <w:rPr/>
        <w:t>tasa</w:t>
      </w:r>
      <w:r>
        <w:rPr>
          <w:spacing w:val="-5"/>
        </w:rPr>
        <w:t> </w:t>
      </w:r>
      <w:r>
        <w:rPr/>
        <w:t>media</w:t>
      </w:r>
      <w:r>
        <w:rPr>
          <w:spacing w:val="-5"/>
        </w:rPr>
        <w:t> </w:t>
      </w:r>
      <w:r>
        <w:rPr/>
        <w:t>de</w:t>
      </w:r>
      <w:r>
        <w:rPr>
          <w:spacing w:val="-5"/>
        </w:rPr>
        <w:t> </w:t>
      </w:r>
      <w:r>
        <w:rPr/>
        <w:t>crecimiento</w:t>
      </w:r>
      <w:r>
        <w:rPr>
          <w:spacing w:val="-3"/>
        </w:rPr>
        <w:t> </w:t>
      </w:r>
      <w:r>
        <w:rPr/>
        <w:t>anual</w:t>
      </w:r>
      <w:r>
        <w:rPr>
          <w:spacing w:val="-3"/>
        </w:rPr>
        <w:t> </w:t>
      </w:r>
      <w:r>
        <w:rPr/>
        <w:t>del</w:t>
      </w:r>
      <w:r>
        <w:rPr>
          <w:spacing w:val="-3"/>
        </w:rPr>
        <w:t> </w:t>
      </w:r>
      <w:r>
        <w:rPr/>
        <w:t>estado, se obtuvo la población esperada en 2014 y 2030. Esta población se multiplicó por el consumo </w:t>
      </w:r>
      <w:r>
        <w:rPr>
          <w:i/>
        </w:rPr>
        <w:t>per</w:t>
      </w:r>
      <w:r>
        <w:rPr>
          <w:i/>
          <w:spacing w:val="-13"/>
        </w:rPr>
        <w:t> </w:t>
      </w:r>
      <w:r>
        <w:rPr>
          <w:i/>
        </w:rPr>
        <w:t>cápita</w:t>
      </w:r>
      <w:r>
        <w:rPr>
          <w:i/>
          <w:spacing w:val="-13"/>
        </w:rPr>
        <w:t> </w:t>
      </w:r>
      <w:r>
        <w:rPr/>
        <w:t>de</w:t>
      </w:r>
      <w:r>
        <w:rPr>
          <w:spacing w:val="-14"/>
        </w:rPr>
        <w:t> </w:t>
      </w:r>
      <w:r>
        <w:rPr/>
        <w:t>16</w:t>
      </w:r>
      <w:r>
        <w:rPr>
          <w:spacing w:val="-13"/>
        </w:rPr>
        <w:t> </w:t>
      </w:r>
      <w:r>
        <w:rPr/>
        <w:t>kg</w:t>
      </w:r>
      <w:r>
        <w:rPr>
          <w:spacing w:val="-16"/>
        </w:rPr>
        <w:t> </w:t>
      </w:r>
      <w:r>
        <w:rPr/>
        <w:t>reportado</w:t>
      </w:r>
      <w:r>
        <w:rPr>
          <w:spacing w:val="-13"/>
        </w:rPr>
        <w:t> </w:t>
      </w:r>
      <w:r>
        <w:rPr/>
        <w:t>para</w:t>
      </w:r>
      <w:r>
        <w:rPr>
          <w:spacing w:val="-14"/>
        </w:rPr>
        <w:t> </w:t>
      </w:r>
      <w:r>
        <w:rPr/>
        <w:t>la</w:t>
      </w:r>
      <w:r>
        <w:rPr>
          <w:spacing w:val="-14"/>
        </w:rPr>
        <w:t> </w:t>
      </w:r>
      <w:r>
        <w:rPr/>
        <w:t>zona</w:t>
      </w:r>
      <w:r>
        <w:rPr>
          <w:spacing w:val="-14"/>
        </w:rPr>
        <w:t> </w:t>
      </w:r>
      <w:r>
        <w:rPr/>
        <w:t>por</w:t>
      </w:r>
      <w:r>
        <w:rPr>
          <w:spacing w:val="-14"/>
        </w:rPr>
        <w:t> </w:t>
      </w:r>
      <w:r>
        <w:rPr/>
        <w:t>la</w:t>
      </w:r>
      <w:r>
        <w:rPr>
          <w:spacing w:val="-14"/>
        </w:rPr>
        <w:t> </w:t>
      </w:r>
      <w:r>
        <w:rPr/>
        <w:t>Confederación</w:t>
      </w:r>
      <w:r>
        <w:rPr>
          <w:spacing w:val="-13"/>
        </w:rPr>
        <w:t> </w:t>
      </w:r>
      <w:r>
        <w:rPr/>
        <w:t>de</w:t>
      </w:r>
      <w:r>
        <w:rPr>
          <w:spacing w:val="-12"/>
        </w:rPr>
        <w:t> </w:t>
      </w:r>
      <w:r>
        <w:rPr/>
        <w:t>Porcicultores</w:t>
      </w:r>
      <w:r>
        <w:rPr>
          <w:spacing w:val="-13"/>
        </w:rPr>
        <w:t> </w:t>
      </w:r>
      <w:r>
        <w:rPr/>
        <w:t>(CONFEPORC, 2014). Esta cantidad se dividió entre 75 kg promedio de una canal para conocer la demanda de canales por</w:t>
      </w:r>
      <w:r>
        <w:rPr>
          <w:spacing w:val="-3"/>
        </w:rPr>
        <w:t> </w:t>
      </w:r>
      <w:r>
        <w:rPr/>
        <w:t>distrito</w:t>
      </w:r>
    </w:p>
    <w:p>
      <w:pPr>
        <w:pStyle w:val="BodyText"/>
        <w:spacing w:line="360" w:lineRule="auto" w:before="205"/>
        <w:ind w:left="118" w:right="264"/>
        <w:jc w:val="both"/>
      </w:pPr>
      <w:r>
        <w:rPr/>
        <w:t>El número de cerdos sacrificados por semana, el costo de sacrificio y la capacidad instalada se obtuvo de forma directa con los rastros que se encuentran actualmente en el Estado de México. El costo de transporte de granja a rastro se determinó calculando la distancia entre los distritos con la herramienta de la Secretaría de Comunicaciones y Trasportes punto a punto (SCT 2014), estas</w:t>
      </w:r>
      <w:r>
        <w:rPr>
          <w:spacing w:val="-16"/>
        </w:rPr>
        <w:t> </w:t>
      </w:r>
      <w:r>
        <w:rPr/>
        <w:t>distancias</w:t>
      </w:r>
      <w:r>
        <w:rPr>
          <w:spacing w:val="-16"/>
        </w:rPr>
        <w:t> </w:t>
      </w:r>
      <w:r>
        <w:rPr/>
        <w:t>fueron</w:t>
      </w:r>
      <w:r>
        <w:rPr>
          <w:spacing w:val="-17"/>
        </w:rPr>
        <w:t> </w:t>
      </w:r>
      <w:r>
        <w:rPr/>
        <w:t>multiplicadas</w:t>
      </w:r>
      <w:r>
        <w:rPr>
          <w:spacing w:val="-16"/>
        </w:rPr>
        <w:t> </w:t>
      </w:r>
      <w:r>
        <w:rPr/>
        <w:t>por</w:t>
      </w:r>
      <w:r>
        <w:rPr>
          <w:spacing w:val="-17"/>
        </w:rPr>
        <w:t> </w:t>
      </w:r>
      <w:r>
        <w:rPr/>
        <w:t>el</w:t>
      </w:r>
      <w:r>
        <w:rPr>
          <w:spacing w:val="-15"/>
        </w:rPr>
        <w:t> </w:t>
      </w:r>
      <w:r>
        <w:rPr/>
        <w:t>costo</w:t>
      </w:r>
      <w:r>
        <w:rPr>
          <w:spacing w:val="-15"/>
        </w:rPr>
        <w:t> </w:t>
      </w:r>
      <w:r>
        <w:rPr/>
        <w:t>de</w:t>
      </w:r>
      <w:r>
        <w:rPr>
          <w:spacing w:val="-17"/>
        </w:rPr>
        <w:t> </w:t>
      </w:r>
      <w:r>
        <w:rPr/>
        <w:t>$28/km</w:t>
      </w:r>
      <w:r>
        <w:rPr>
          <w:spacing w:val="-15"/>
        </w:rPr>
        <w:t> </w:t>
      </w:r>
      <w:r>
        <w:rPr/>
        <w:t>recorrido.</w:t>
      </w:r>
      <w:r>
        <w:rPr>
          <w:spacing w:val="-15"/>
        </w:rPr>
        <w:t> </w:t>
      </w:r>
      <w:r>
        <w:rPr/>
        <w:t>Para</w:t>
      </w:r>
      <w:r>
        <w:rPr>
          <w:spacing w:val="30"/>
        </w:rPr>
        <w:t> </w:t>
      </w:r>
      <w:r>
        <w:rPr/>
        <w:t>el</w:t>
      </w:r>
      <w:r>
        <w:rPr>
          <w:spacing w:val="-15"/>
        </w:rPr>
        <w:t> </w:t>
      </w:r>
      <w:r>
        <w:rPr/>
        <w:t>costo</w:t>
      </w:r>
      <w:r>
        <w:rPr>
          <w:spacing w:val="-15"/>
        </w:rPr>
        <w:t> </w:t>
      </w:r>
      <w:r>
        <w:rPr/>
        <w:t>de</w:t>
      </w:r>
      <w:r>
        <w:rPr>
          <w:spacing w:val="-17"/>
        </w:rPr>
        <w:t> </w:t>
      </w:r>
      <w:r>
        <w:rPr/>
        <w:t>transporte de rastro a centro de consumo se utilizaron las mismas distancias, pero se modificó el costo por km. de canal transportada a $21, estos costos se obtuvieron de forma directa a través de entrevistas a empresas de servicios de transporte de carga</w:t>
      </w:r>
      <w:r>
        <w:rPr>
          <w:spacing w:val="-13"/>
        </w:rPr>
        <w:t> </w:t>
      </w:r>
      <w:r>
        <w:rPr/>
        <w:t>especializada.</w:t>
      </w:r>
    </w:p>
    <w:p>
      <w:pPr>
        <w:pStyle w:val="BodyText"/>
        <w:spacing w:line="360" w:lineRule="auto" w:before="205"/>
        <w:ind w:left="118" w:right="270"/>
        <w:jc w:val="both"/>
      </w:pPr>
      <w:r>
        <w:rPr/>
        <w:t>Los datos obtenidos fueron anuales, y se dividieron entre 52 semanas para obtener los datos semanales.</w:t>
      </w:r>
    </w:p>
    <w:p>
      <w:pPr>
        <w:pStyle w:val="BodyText"/>
        <w:spacing w:line="360" w:lineRule="auto" w:before="203"/>
        <w:ind w:left="118" w:right="270"/>
        <w:jc w:val="both"/>
      </w:pPr>
      <w:r>
        <w:rPr/>
        <w:t>Se utilizó un modelo de programación lineal de mínimo costo, donde la función objetivo minimiza la suma del costo de transporte de cerdos de la granja a rastro, el costo de transformación de cerdo a canal (sacrificio) y el costo de distribución de canales de rastro a centros de consumo.</w:t>
      </w:r>
    </w:p>
    <w:p>
      <w:pPr>
        <w:pStyle w:val="BodyText"/>
        <w:spacing w:before="205"/>
        <w:ind w:left="118"/>
        <w:jc w:val="both"/>
      </w:pPr>
      <w:r>
        <w:rPr/>
        <w:t>Modelo lineal de producción y distribución (Tankayama  </w:t>
      </w:r>
      <w:r>
        <w:rPr>
          <w:i/>
        </w:rPr>
        <w:t>et. al., </w:t>
      </w:r>
      <w:r>
        <w:rPr/>
        <w:t>1964)</w:t>
      </w:r>
    </w:p>
    <w:p>
      <w:pPr>
        <w:spacing w:after="0"/>
        <w:jc w:val="both"/>
        <w:sectPr>
          <w:pgSz w:w="12240" w:h="15840"/>
          <w:pgMar w:header="984" w:footer="986" w:top="1280" w:bottom="1180" w:left="1300" w:right="1340"/>
        </w:sectPr>
      </w:pPr>
    </w:p>
    <w:p>
      <w:pPr>
        <w:tabs>
          <w:tab w:pos="1721" w:val="left" w:leader="none"/>
          <w:tab w:pos="2956" w:val="left" w:leader="none"/>
          <w:tab w:pos="3313" w:val="left" w:leader="none"/>
          <w:tab w:pos="4547" w:val="left" w:leader="none"/>
        </w:tabs>
        <w:spacing w:line="174" w:lineRule="exact" w:before="86"/>
        <w:ind w:left="1364" w:right="410" w:firstLine="0"/>
        <w:jc w:val="left"/>
        <w:rPr>
          <w:rFonts w:ascii="Cambria Math" w:eastAsia="Cambria Math"/>
          <w:sz w:val="17"/>
        </w:rPr>
      </w:pPr>
      <w:r>
        <w:rPr>
          <w:rFonts w:ascii="Cambria Math" w:eastAsia="Cambria Math"/>
          <w:w w:val="115"/>
          <w:sz w:val="17"/>
        </w:rPr>
        <w:t>𝑛</w:t>
        <w:tab/>
        <w:t>𝑛</w:t>
        <w:tab/>
        <w:t>𝑛</w:t>
        <w:tab/>
        <w:t>𝑛</w:t>
        <w:tab/>
        <w:t>𝑛</w:t>
      </w:r>
    </w:p>
    <w:p>
      <w:pPr>
        <w:pStyle w:val="BodyText"/>
        <w:spacing w:line="281" w:lineRule="exact"/>
        <w:ind w:left="118" w:right="410"/>
        <w:rPr>
          <w:rFonts w:ascii="Cambria Math" w:hAnsi="Cambria Math" w:eastAsia="Cambria Math"/>
        </w:rPr>
      </w:pPr>
      <w:r>
        <w:rPr/>
        <w:pict>
          <v:shape style="position:absolute;margin-left:325.869995pt;margin-top:1.2pt;width:6.65pt;height:12pt;mso-position-horizontal-relative:page;mso-position-vertical-relative:paragraph;z-index:-145960" type="#_x0000_t202" filled="false" stroked="false">
            <v:textbox inset="0,0,0,0">
              <w:txbxContent>
                <w:p>
                  <w:pPr>
                    <w:pStyle w:val="BodyText"/>
                    <w:spacing w:line="240" w:lineRule="exact"/>
                    <w:rPr>
                      <w:rFonts w:ascii="Cambria Math" w:eastAsia="Cambria Math"/>
                    </w:rPr>
                  </w:pPr>
                  <w:r>
                    <w:rPr>
                      <w:rFonts w:ascii="Cambria Math" w:eastAsia="Cambria Math"/>
                      <w:w w:val="83"/>
                    </w:rPr>
                    <w:t>�</w:t>
                  </w:r>
                </w:p>
              </w:txbxContent>
            </v:textbox>
            <w10:wrap type="none"/>
          </v:shape>
        </w:pict>
      </w:r>
      <w:r>
        <w:rPr>
          <w:rFonts w:ascii="Cambria Math" w:hAnsi="Cambria Math" w:eastAsia="Cambria Math"/>
          <w:spacing w:val="2"/>
          <w:w w:val="115"/>
        </w:rPr>
        <w:t>�𝐼�</w:t>
      </w:r>
      <w:r>
        <w:rPr>
          <w:rFonts w:ascii="Cambria Math" w:hAnsi="Cambria Math" w:eastAsia="Cambria Math"/>
          <w:spacing w:val="2"/>
          <w:w w:val="115"/>
          <w:position w:val="1"/>
        </w:rPr>
        <w:t>(</w:t>
      </w:r>
      <w:r>
        <w:rPr>
          <w:rFonts w:ascii="Cambria Math" w:hAnsi="Cambria Math" w:eastAsia="Cambria Math"/>
          <w:spacing w:val="2"/>
          <w:w w:val="115"/>
        </w:rPr>
        <w:t>�</w:t>
      </w:r>
      <w:r>
        <w:rPr>
          <w:rFonts w:ascii="Cambria Math" w:hAnsi="Cambria Math" w:eastAsia="Cambria Math"/>
          <w:spacing w:val="2"/>
          <w:w w:val="115"/>
          <w:position w:val="1"/>
        </w:rPr>
        <w:t>) </w:t>
      </w:r>
      <w:r>
        <w:rPr>
          <w:rFonts w:ascii="Cambria Math" w:hAnsi="Cambria Math" w:eastAsia="Cambria Math"/>
          <w:w w:val="115"/>
        </w:rPr>
        <w:t>= </w:t>
      </w:r>
      <w:r>
        <w:rPr>
          <w:rFonts w:ascii="Cambria Math" w:hAnsi="Cambria Math" w:eastAsia="Cambria Math"/>
          <w:w w:val="130"/>
        </w:rPr>
        <w:t>∑</w:t>
      </w:r>
      <w:r>
        <w:rPr>
          <w:rFonts w:ascii="Cambria Math" w:hAnsi="Cambria Math" w:eastAsia="Cambria Math"/>
          <w:spacing w:val="-55"/>
          <w:w w:val="130"/>
        </w:rPr>
        <w:t> </w:t>
      </w:r>
      <w:r>
        <w:rPr>
          <w:rFonts w:ascii="Cambria Math" w:hAnsi="Cambria Math" w:eastAsia="Cambria Math"/>
          <w:w w:val="130"/>
        </w:rPr>
        <w:t>∑</w:t>
      </w:r>
      <w:r>
        <w:rPr>
          <w:rFonts w:ascii="Cambria Math" w:hAnsi="Cambria Math" w:eastAsia="Cambria Math"/>
          <w:spacing w:val="-55"/>
          <w:w w:val="130"/>
        </w:rPr>
        <w:t> </w:t>
      </w:r>
      <w:r>
        <w:rPr>
          <w:rFonts w:ascii="Cambria Math" w:hAnsi="Cambria Math" w:eastAsia="Cambria Math"/>
        </w:rPr>
        <w:t>� </w:t>
      </w:r>
      <w:r>
        <w:rPr>
          <w:rFonts w:ascii="Cambria Math" w:hAnsi="Cambria Math" w:eastAsia="Cambria Math"/>
          <w:w w:val="115"/>
          <w:position w:val="15"/>
        </w:rPr>
        <w:t>𝛿 </w:t>
      </w:r>
      <w:r>
        <w:rPr>
          <w:rFonts w:ascii="Cambria Math" w:hAnsi="Cambria Math" w:eastAsia="Cambria Math"/>
          <w:spacing w:val="8"/>
          <w:w w:val="115"/>
        </w:rPr>
        <w:t>x</w:t>
      </w:r>
      <w:r>
        <w:rPr>
          <w:rFonts w:ascii="Cambria Math" w:hAnsi="Cambria Math" w:eastAsia="Cambria Math"/>
          <w:spacing w:val="8"/>
          <w:w w:val="115"/>
          <w:position w:val="15"/>
        </w:rPr>
        <w:t>𝛿 </w:t>
      </w:r>
      <w:r>
        <w:rPr>
          <w:rFonts w:ascii="Cambria Math" w:hAnsi="Cambria Math" w:eastAsia="Cambria Math"/>
          <w:w w:val="115"/>
        </w:rPr>
        <w:t>+ </w:t>
      </w:r>
      <w:r>
        <w:rPr>
          <w:rFonts w:ascii="Cambria Math" w:hAnsi="Cambria Math" w:eastAsia="Cambria Math"/>
          <w:w w:val="130"/>
        </w:rPr>
        <w:t>∑</w:t>
      </w:r>
      <w:r>
        <w:rPr>
          <w:rFonts w:ascii="Cambria Math" w:hAnsi="Cambria Math" w:eastAsia="Cambria Math"/>
          <w:spacing w:val="-55"/>
          <w:w w:val="130"/>
        </w:rPr>
        <w:t> </w:t>
      </w:r>
      <w:r>
        <w:rPr>
          <w:rFonts w:ascii="Cambria Math" w:hAnsi="Cambria Math" w:eastAsia="Cambria Math"/>
          <w:w w:val="130"/>
        </w:rPr>
        <w:t>∑</w:t>
      </w:r>
      <w:r>
        <w:rPr>
          <w:rFonts w:ascii="Cambria Math" w:hAnsi="Cambria Math" w:eastAsia="Cambria Math"/>
          <w:spacing w:val="-54"/>
          <w:w w:val="130"/>
        </w:rPr>
        <w:t> </w:t>
      </w:r>
      <w:r>
        <w:rPr>
          <w:rFonts w:ascii="Cambria Math" w:hAnsi="Cambria Math" w:eastAsia="Cambria Math"/>
          <w:spacing w:val="9"/>
        </w:rPr>
        <w:t>�</w:t>
      </w:r>
      <w:r>
        <w:rPr>
          <w:rFonts w:ascii="Cambria Math" w:hAnsi="Cambria Math" w:eastAsia="Cambria Math"/>
          <w:spacing w:val="9"/>
          <w:position w:val="15"/>
        </w:rPr>
        <w:t>� </w:t>
      </w:r>
      <w:r>
        <w:rPr>
          <w:rFonts w:ascii="Cambria Math" w:hAnsi="Cambria Math" w:eastAsia="Cambria Math"/>
          <w:spacing w:val="6"/>
          <w:w w:val="115"/>
        </w:rPr>
        <w:t>x</w:t>
      </w:r>
      <w:r>
        <w:rPr>
          <w:rFonts w:ascii="Cambria Math" w:hAnsi="Cambria Math" w:eastAsia="Cambria Math"/>
          <w:spacing w:val="6"/>
          <w:w w:val="115"/>
          <w:position w:val="15"/>
        </w:rPr>
        <w:t>� </w:t>
      </w:r>
      <w:r>
        <w:rPr>
          <w:rFonts w:ascii="Cambria Math" w:hAnsi="Cambria Math" w:eastAsia="Cambria Math"/>
          <w:w w:val="115"/>
        </w:rPr>
        <w:t>+ </w:t>
      </w:r>
      <w:r>
        <w:rPr>
          <w:rFonts w:ascii="Cambria Math" w:hAnsi="Cambria Math" w:eastAsia="Cambria Math"/>
          <w:w w:val="130"/>
        </w:rPr>
        <w:t>∑</w:t>
      </w:r>
      <w:r>
        <w:rPr>
          <w:rFonts w:ascii="Cambria Math" w:hAnsi="Cambria Math" w:eastAsia="Cambria Math"/>
          <w:spacing w:val="-54"/>
          <w:w w:val="130"/>
        </w:rPr>
        <w:t> </w:t>
      </w:r>
      <w:r>
        <w:rPr>
          <w:rFonts w:ascii="Cambria Math" w:hAnsi="Cambria Math" w:eastAsia="Cambria Math"/>
          <w:spacing w:val="3"/>
        </w:rPr>
        <w:t>�</w:t>
      </w:r>
      <w:r>
        <w:rPr>
          <w:rFonts w:ascii="Cambria Math" w:hAnsi="Cambria Math" w:eastAsia="Cambria Math"/>
          <w:spacing w:val="3"/>
          <w:position w:val="13"/>
        </w:rPr>
        <w:t>� </w:t>
      </w:r>
      <w:r>
        <w:rPr>
          <w:rFonts w:ascii="Cambria Math" w:hAnsi="Cambria Math" w:eastAsia="Cambria Math"/>
          <w:w w:val="115"/>
        </w:rPr>
        <w:t>x</w:t>
      </w:r>
    </w:p>
    <w:p>
      <w:pPr>
        <w:spacing w:after="0" w:line="281" w:lineRule="exact"/>
        <w:rPr>
          <w:rFonts w:ascii="Cambria Math" w:hAnsi="Cambria Math" w:eastAsia="Cambria Math"/>
        </w:rPr>
        <w:sectPr>
          <w:pgSz w:w="12240" w:h="15840"/>
          <w:pgMar w:header="984" w:footer="986" w:top="1280" w:bottom="1180" w:left="1300" w:right="1340"/>
        </w:sectPr>
      </w:pPr>
    </w:p>
    <w:p>
      <w:pPr>
        <w:pStyle w:val="BodyText"/>
        <w:spacing w:line="229" w:lineRule="exact"/>
        <w:jc w:val="right"/>
        <w:rPr>
          <w:rFonts w:ascii="Cambria Math" w:eastAsia="Cambria Math"/>
        </w:rPr>
      </w:pPr>
      <w:r>
        <w:rPr>
          <w:rFonts w:ascii="Cambria Math" w:eastAsia="Cambria Math"/>
          <w:w w:val="60"/>
        </w:rPr>
        <w:t>��  ��</w:t>
      </w:r>
    </w:p>
    <w:p>
      <w:pPr>
        <w:spacing w:line="181" w:lineRule="exact" w:before="0"/>
        <w:ind w:left="1275" w:right="0" w:firstLine="0"/>
        <w:jc w:val="left"/>
        <w:rPr>
          <w:rFonts w:ascii="Cambria Math" w:eastAsia="Cambria Math"/>
          <w:sz w:val="17"/>
        </w:rPr>
      </w:pPr>
      <w:r>
        <w:rPr>
          <w:rFonts w:ascii="Cambria Math" w:eastAsia="Cambria Math"/>
          <w:w w:val="85"/>
          <w:sz w:val="17"/>
        </w:rPr>
        <w:t>�=1 �=1</w:t>
      </w:r>
    </w:p>
    <w:p>
      <w:pPr>
        <w:pStyle w:val="BodyText"/>
        <w:spacing w:line="229" w:lineRule="exact"/>
        <w:jc w:val="right"/>
        <w:rPr>
          <w:rFonts w:ascii="Cambria Math" w:eastAsia="Cambria Math"/>
        </w:rPr>
      </w:pPr>
      <w:r>
        <w:rPr/>
        <w:br w:type="column"/>
      </w:r>
      <w:r>
        <w:rPr>
          <w:rFonts w:ascii="Cambria Math" w:eastAsia="Cambria Math"/>
          <w:w w:val="60"/>
        </w:rPr>
        <w:t>��  ��</w:t>
      </w:r>
    </w:p>
    <w:p>
      <w:pPr>
        <w:spacing w:line="181" w:lineRule="exact" w:before="0"/>
        <w:ind w:left="262" w:right="0" w:firstLine="0"/>
        <w:jc w:val="left"/>
        <w:rPr>
          <w:rFonts w:ascii="Cambria Math" w:eastAsia="Cambria Math"/>
          <w:sz w:val="17"/>
        </w:rPr>
      </w:pPr>
      <w:r>
        <w:rPr>
          <w:rFonts w:ascii="Cambria Math" w:eastAsia="Cambria Math"/>
          <w:w w:val="85"/>
          <w:sz w:val="17"/>
        </w:rPr>
        <w:t>�=1 �=1</w:t>
      </w:r>
    </w:p>
    <w:p>
      <w:pPr>
        <w:tabs>
          <w:tab w:pos="1049" w:val="left" w:leader="none"/>
        </w:tabs>
        <w:spacing w:line="242" w:lineRule="exact" w:before="0"/>
        <w:ind w:left="751" w:right="0" w:firstLine="0"/>
        <w:jc w:val="left"/>
        <w:rPr>
          <w:rFonts w:ascii="Cambria Math" w:eastAsia="Cambria Math"/>
          <w:sz w:val="24"/>
        </w:rPr>
      </w:pPr>
      <w:r>
        <w:rPr/>
        <w:br w:type="column"/>
      </w:r>
      <w:r>
        <w:rPr>
          <w:rFonts w:ascii="Cambria Math" w:eastAsia="Cambria Math"/>
          <w:w w:val="60"/>
          <w:sz w:val="24"/>
        </w:rPr>
        <w:t>�</w:t>
        <w:tab/>
        <w:t>�</w:t>
      </w:r>
    </w:p>
    <w:p>
      <w:pPr>
        <w:spacing w:line="167" w:lineRule="exact" w:before="0"/>
        <w:ind w:left="261" w:right="0" w:firstLine="0"/>
        <w:jc w:val="left"/>
        <w:rPr>
          <w:rFonts w:ascii="Cambria Math" w:eastAsia="Cambria Math"/>
          <w:sz w:val="17"/>
        </w:rPr>
      </w:pPr>
      <w:r>
        <w:rPr>
          <w:rFonts w:ascii="Cambria Math" w:eastAsia="Cambria Math"/>
          <w:w w:val="95"/>
          <w:sz w:val="17"/>
        </w:rPr>
        <w:t>�=1</w:t>
      </w:r>
    </w:p>
    <w:p>
      <w:pPr>
        <w:spacing w:after="0" w:line="167" w:lineRule="exact"/>
        <w:jc w:val="left"/>
        <w:rPr>
          <w:rFonts w:ascii="Cambria Math" w:eastAsia="Cambria Math"/>
          <w:sz w:val="17"/>
        </w:rPr>
        <w:sectPr>
          <w:type w:val="continuous"/>
          <w:pgSz w:w="12240" w:h="15840"/>
          <w:pgMar w:top="3260" w:bottom="280" w:left="1300" w:right="1340"/>
          <w:cols w:num="3" w:equalWidth="0">
            <w:col w:w="2565" w:space="40"/>
            <w:col w:w="1552" w:space="40"/>
            <w:col w:w="5403"/>
          </w:cols>
        </w:sectPr>
      </w:pPr>
    </w:p>
    <w:p>
      <w:pPr>
        <w:pStyle w:val="BodyText"/>
        <w:spacing w:before="7"/>
        <w:rPr>
          <w:rFonts w:ascii="Cambria Math"/>
          <w:sz w:val="19"/>
        </w:rPr>
      </w:pPr>
    </w:p>
    <w:p>
      <w:pPr>
        <w:pStyle w:val="BodyText"/>
        <w:spacing w:before="70"/>
        <w:ind w:left="118" w:right="410"/>
      </w:pPr>
      <w:r>
        <w:rPr/>
        <w:t>Donde:</w:t>
      </w:r>
    </w:p>
    <w:p>
      <w:pPr>
        <w:pStyle w:val="BodyText"/>
        <w:spacing w:before="7"/>
        <w:rPr>
          <w:sz w:val="28"/>
        </w:rPr>
      </w:pPr>
    </w:p>
    <w:p>
      <w:pPr>
        <w:pStyle w:val="BodyText"/>
        <w:ind w:left="118" w:right="410"/>
      </w:pPr>
      <w:r>
        <w:rPr>
          <w:rFonts w:ascii="Cambria Math" w:hAnsi="Cambria Math" w:eastAsia="Cambria Math"/>
        </w:rPr>
        <w:t>�𝐼�</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1"/>
        </w:rPr>
        <w:t>) </w:t>
      </w:r>
      <w:r>
        <w:rPr>
          <w:rFonts w:ascii="Cambria Math" w:hAnsi="Cambria Math" w:eastAsia="Cambria Math"/>
        </w:rPr>
        <w:t>= </w:t>
      </w:r>
      <w:r>
        <w:rPr/>
        <w:t>Mínimo costo</w:t>
      </w:r>
    </w:p>
    <w:p>
      <w:pPr>
        <w:pStyle w:val="BodyText"/>
        <w:spacing w:before="6"/>
        <w:rPr>
          <w:sz w:val="29"/>
        </w:rPr>
      </w:pPr>
    </w:p>
    <w:p>
      <w:pPr>
        <w:pStyle w:val="BodyText"/>
        <w:ind w:left="118" w:right="410"/>
      </w:pPr>
      <w:r>
        <w:rPr>
          <w:rFonts w:ascii="Cambria Math" w:eastAsia="Cambria Math"/>
          <w:w w:val="90"/>
        </w:rPr>
        <w:t>�� = </w:t>
      </w:r>
      <w:r>
        <w:rPr>
          <w:w w:val="90"/>
        </w:rPr>
        <w:t>Regiones</w:t>
      </w:r>
    </w:p>
    <w:p>
      <w:pPr>
        <w:pStyle w:val="BodyText"/>
        <w:spacing w:before="6"/>
        <w:rPr>
          <w:sz w:val="29"/>
        </w:rPr>
      </w:pPr>
    </w:p>
    <w:p>
      <w:pPr>
        <w:pStyle w:val="BodyText"/>
        <w:ind w:left="118" w:right="410"/>
      </w:pPr>
      <w:r>
        <w:rPr>
          <w:rFonts w:ascii="Cambria Math" w:eastAsia="Cambria Math"/>
        </w:rPr>
        <w:t>𝛿 = </w:t>
      </w:r>
      <w:r>
        <w:rPr/>
        <w:t>Cerdos</w:t>
      </w:r>
    </w:p>
    <w:p>
      <w:pPr>
        <w:pStyle w:val="BodyText"/>
        <w:spacing w:before="7"/>
        <w:rPr>
          <w:sz w:val="29"/>
        </w:rPr>
      </w:pPr>
    </w:p>
    <w:p>
      <w:pPr>
        <w:pStyle w:val="BodyText"/>
        <w:ind w:left="118" w:right="410"/>
      </w:pPr>
      <w:r>
        <w:rPr>
          <w:rFonts w:ascii="Cambria Math" w:eastAsia="Cambria Math"/>
        </w:rPr>
        <w:t>� = </w:t>
      </w:r>
      <w:r>
        <w:rPr/>
        <w:t>Canales</w:t>
      </w:r>
    </w:p>
    <w:p>
      <w:pPr>
        <w:pStyle w:val="BodyText"/>
        <w:spacing w:before="6"/>
        <w:rPr>
          <w:sz w:val="29"/>
        </w:rPr>
      </w:pPr>
    </w:p>
    <w:p>
      <w:pPr>
        <w:pStyle w:val="BodyText"/>
        <w:ind w:left="118" w:right="410"/>
      </w:pPr>
      <w:r>
        <w:rPr>
          <w:rFonts w:ascii="Cambria Math" w:eastAsia="Cambria Math"/>
          <w:w w:val="95"/>
        </w:rPr>
        <w:t>� = </w:t>
      </w:r>
      <w:r>
        <w:rPr>
          <w:w w:val="95"/>
        </w:rPr>
        <w:t>Transporte</w:t>
      </w:r>
    </w:p>
    <w:p>
      <w:pPr>
        <w:pStyle w:val="BodyText"/>
        <w:spacing w:before="9"/>
        <w:rPr>
          <w:sz w:val="29"/>
        </w:rPr>
      </w:pPr>
    </w:p>
    <w:p>
      <w:pPr>
        <w:pStyle w:val="BodyText"/>
        <w:ind w:left="118" w:right="410"/>
      </w:pPr>
      <w:r>
        <w:rPr>
          <w:rFonts w:ascii="Cambria Math" w:eastAsia="Cambria Math"/>
        </w:rPr>
        <w:t>� = </w:t>
      </w:r>
      <w:r>
        <w:rPr/>
        <w:t>Cantidad</w:t>
      </w:r>
    </w:p>
    <w:p>
      <w:pPr>
        <w:pStyle w:val="BodyText"/>
        <w:spacing w:before="6"/>
        <w:rPr>
          <w:sz w:val="29"/>
        </w:rPr>
      </w:pPr>
    </w:p>
    <w:p>
      <w:pPr>
        <w:pStyle w:val="BodyText"/>
        <w:ind w:left="118" w:right="410"/>
      </w:pPr>
      <w:r>
        <w:rPr>
          <w:rFonts w:ascii="Cambria Math" w:eastAsia="Cambria Math"/>
        </w:rPr>
        <w:t>� = </w:t>
      </w:r>
      <w:r>
        <w:rPr/>
        <w:t>Costo</w:t>
      </w:r>
    </w:p>
    <w:p>
      <w:pPr>
        <w:pStyle w:val="BodyText"/>
        <w:spacing w:before="5"/>
        <w:rPr>
          <w:sz w:val="29"/>
        </w:rPr>
      </w:pPr>
    </w:p>
    <w:p>
      <w:pPr>
        <w:pStyle w:val="BodyText"/>
        <w:spacing w:before="1"/>
        <w:ind w:left="118" w:right="410"/>
      </w:pPr>
      <w:r>
        <w:rPr/>
        <w:t>Este modelo está sujeto a las siguientes restricciones:</w:t>
      </w:r>
    </w:p>
    <w:p>
      <w:pPr>
        <w:pStyle w:val="BodyText"/>
        <w:spacing w:before="10"/>
        <w:rPr>
          <w:sz w:val="21"/>
        </w:rPr>
      </w:pPr>
    </w:p>
    <w:p>
      <w:pPr>
        <w:pStyle w:val="BodyText"/>
        <w:tabs>
          <w:tab w:pos="615" w:val="left" w:leader="none"/>
        </w:tabs>
        <w:spacing w:line="298" w:lineRule="exact" w:before="67"/>
        <w:ind w:left="118" w:right="410"/>
      </w:pPr>
      <w:r>
        <w:rPr>
          <w:rFonts w:ascii="Cambria Math" w:hAnsi="Cambria Math" w:eastAsia="Cambria Math"/>
          <w:position w:val="1"/>
        </w:rPr>
        <w:t>∑</w:t>
      </w:r>
      <w:r>
        <w:rPr>
          <w:rFonts w:ascii="Cambria Math" w:hAnsi="Cambria Math" w:eastAsia="Cambria Math"/>
          <w:position w:val="10"/>
          <w:sz w:val="17"/>
        </w:rPr>
        <w:t>𝑛</w:t>
        <w:tab/>
      </w:r>
      <w:r>
        <w:rPr>
          <w:rFonts w:ascii="Cambria Math" w:hAnsi="Cambria Math" w:eastAsia="Cambria Math"/>
          <w:spacing w:val="10"/>
          <w:w w:val="85"/>
        </w:rPr>
        <w:t>�</w:t>
      </w:r>
      <w:r>
        <w:rPr>
          <w:rFonts w:ascii="Cambria Math" w:hAnsi="Cambria Math" w:eastAsia="Cambria Math"/>
          <w:spacing w:val="10"/>
          <w:w w:val="85"/>
          <w:position w:val="15"/>
        </w:rPr>
        <w:t>�</w:t>
      </w:r>
      <w:r>
        <w:rPr>
          <w:rFonts w:ascii="Cambria Math" w:hAnsi="Cambria Math" w:eastAsia="Cambria Math"/>
          <w:spacing w:val="4"/>
          <w:w w:val="85"/>
          <w:position w:val="15"/>
        </w:rPr>
        <w:t> </w:t>
      </w:r>
      <w:r>
        <w:rPr>
          <w:rFonts w:ascii="Cambria Math" w:hAnsi="Cambria Math" w:eastAsia="Cambria Math"/>
          <w:w w:val="85"/>
        </w:rPr>
        <w:t>≤</w:t>
      </w:r>
      <w:r>
        <w:rPr>
          <w:rFonts w:ascii="Cambria Math" w:hAnsi="Cambria Math" w:eastAsia="Cambria Math"/>
          <w:spacing w:val="-9"/>
          <w:w w:val="85"/>
        </w:rPr>
        <w:t> </w:t>
      </w:r>
      <w:r>
        <w:rPr>
          <w:rFonts w:ascii="Cambria Math" w:hAnsi="Cambria Math" w:eastAsia="Cambria Math"/>
          <w:w w:val="85"/>
        </w:rPr>
        <w:t>x</w:t>
      </w:r>
      <w:r>
        <w:rPr>
          <w:rFonts w:ascii="Cambria Math" w:hAnsi="Cambria Math" w:eastAsia="Cambria Math"/>
          <w:w w:val="85"/>
          <w:position w:val="13"/>
        </w:rPr>
        <w:t>�</w:t>
      </w:r>
      <w:r>
        <w:rPr>
          <w:rFonts w:ascii="Cambria Math" w:hAnsi="Cambria Math" w:eastAsia="Cambria Math"/>
          <w:spacing w:val="-12"/>
          <w:w w:val="85"/>
          <w:position w:val="13"/>
        </w:rPr>
        <w:t> </w:t>
      </w:r>
      <w:r>
        <w:rPr>
          <w:rFonts w:ascii="Cambria Math" w:hAnsi="Cambria Math" w:eastAsia="Cambria Math"/>
          <w:w w:val="85"/>
        </w:rPr>
        <w:t>,</w:t>
      </w:r>
      <w:r>
        <w:rPr>
          <w:rFonts w:ascii="Cambria Math" w:hAnsi="Cambria Math" w:eastAsia="Cambria Math"/>
          <w:spacing w:val="-24"/>
          <w:w w:val="85"/>
        </w:rPr>
        <w:t> </w:t>
      </w:r>
      <w:r>
        <w:rPr>
          <w:rFonts w:ascii="Cambria Math" w:hAnsi="Cambria Math" w:eastAsia="Cambria Math"/>
          <w:w w:val="85"/>
        </w:rPr>
        <w:t>�𝑎�𝑎</w:t>
      </w:r>
      <w:r>
        <w:rPr>
          <w:rFonts w:ascii="Cambria Math" w:hAnsi="Cambria Math" w:eastAsia="Cambria Math"/>
          <w:spacing w:val="-14"/>
          <w:w w:val="85"/>
        </w:rPr>
        <w:t> </w:t>
      </w:r>
      <w:r>
        <w:rPr>
          <w:rFonts w:ascii="Cambria Math" w:hAnsi="Cambria Math" w:eastAsia="Cambria Math"/>
          <w:w w:val="85"/>
        </w:rPr>
        <w:t>����</w:t>
      </w:r>
      <w:r>
        <w:rPr>
          <w:rFonts w:ascii="Cambria Math" w:hAnsi="Cambria Math" w:eastAsia="Cambria Math"/>
          <w:spacing w:val="-12"/>
          <w:w w:val="85"/>
        </w:rPr>
        <w:t> </w:t>
      </w:r>
      <w:r>
        <w:rPr>
          <w:rFonts w:ascii="Cambria Math" w:hAnsi="Cambria Math" w:eastAsia="Cambria Math"/>
          <w:w w:val="85"/>
        </w:rPr>
        <w:t>�</w:t>
      </w:r>
      <w:r>
        <w:rPr>
          <w:rFonts w:ascii="Cambria Math" w:hAnsi="Cambria Math" w:eastAsia="Cambria Math"/>
          <w:spacing w:val="-12"/>
          <w:w w:val="85"/>
        </w:rPr>
        <w:t> </w:t>
      </w:r>
      <w:r>
        <w:rPr>
          <w:w w:val="85"/>
        </w:rPr>
        <w:t>Donde:</w:t>
      </w:r>
    </w:p>
    <w:p>
      <w:pPr>
        <w:tabs>
          <w:tab w:pos="1373" w:val="left" w:leader="none"/>
        </w:tabs>
        <w:spacing w:line="291" w:lineRule="exact" w:before="0"/>
        <w:ind w:left="289" w:right="410" w:firstLine="0"/>
        <w:jc w:val="left"/>
        <w:rPr>
          <w:rFonts w:ascii="Cambria Math" w:eastAsia="Cambria Math"/>
          <w:sz w:val="24"/>
        </w:rPr>
      </w:pPr>
      <w:r>
        <w:rPr>
          <w:rFonts w:ascii="Cambria Math" w:eastAsia="Cambria Math"/>
          <w:w w:val="75"/>
          <w:sz w:val="17"/>
        </w:rPr>
        <w:t>�=1   </w:t>
      </w:r>
      <w:r>
        <w:rPr>
          <w:rFonts w:ascii="Cambria Math" w:eastAsia="Cambria Math"/>
          <w:spacing w:val="16"/>
          <w:w w:val="75"/>
          <w:sz w:val="17"/>
        </w:rPr>
        <w:t> </w:t>
      </w:r>
      <w:r>
        <w:rPr>
          <w:rFonts w:ascii="Cambria Math" w:eastAsia="Cambria Math"/>
          <w:w w:val="75"/>
          <w:position w:val="-6"/>
          <w:sz w:val="24"/>
        </w:rPr>
        <w:t>��</w:t>
        <w:tab/>
      </w:r>
      <w:r>
        <w:rPr>
          <w:rFonts w:ascii="Cambria Math" w:eastAsia="Cambria Math"/>
          <w:w w:val="75"/>
          <w:position w:val="-9"/>
          <w:sz w:val="24"/>
        </w:rPr>
        <w:t>�</w:t>
      </w:r>
    </w:p>
    <w:p>
      <w:pPr>
        <w:pStyle w:val="BodyText"/>
        <w:spacing w:before="4"/>
        <w:rPr>
          <w:rFonts w:ascii="Cambria Math"/>
        </w:rPr>
      </w:pPr>
    </w:p>
    <w:p>
      <w:pPr>
        <w:pStyle w:val="BodyText"/>
        <w:spacing w:line="185" w:lineRule="exact"/>
        <w:ind w:left="118" w:right="410"/>
        <w:rPr>
          <w:rFonts w:ascii="Cambria Math" w:eastAsia="Cambria Math"/>
        </w:rPr>
      </w:pPr>
      <w:r>
        <w:rPr>
          <w:rFonts w:ascii="Cambria Math" w:eastAsia="Cambria Math"/>
          <w:w w:val="90"/>
          <w:position w:val="-14"/>
        </w:rPr>
        <w:t>�</w:t>
      </w:r>
      <w:r>
        <w:rPr>
          <w:rFonts w:ascii="Cambria Math" w:eastAsia="Cambria Math"/>
          <w:w w:val="90"/>
        </w:rPr>
        <w:t>�</w:t>
      </w:r>
    </w:p>
    <w:p>
      <w:pPr>
        <w:pStyle w:val="BodyText"/>
        <w:spacing w:line="378" w:lineRule="exact"/>
        <w:ind w:left="253" w:right="410"/>
      </w:pPr>
      <w:r>
        <w:rPr>
          <w:rFonts w:ascii="Cambria Math" w:eastAsia="Cambria Math"/>
          <w:w w:val="90"/>
          <w:position w:val="-12"/>
        </w:rPr>
        <w:t>�� </w:t>
      </w:r>
      <w:r>
        <w:rPr>
          <w:rFonts w:ascii="Cambria Math" w:eastAsia="Cambria Math"/>
        </w:rPr>
        <w:t>= </w:t>
      </w:r>
      <w:r>
        <w:rPr/>
        <w:t>Cantidad de canales enviadas de rastro a centros de consumo</w:t>
      </w:r>
    </w:p>
    <w:p>
      <w:pPr>
        <w:pStyle w:val="BodyText"/>
        <w:spacing w:before="5"/>
        <w:rPr>
          <w:sz w:val="21"/>
        </w:rPr>
      </w:pPr>
    </w:p>
    <w:p>
      <w:pPr>
        <w:pStyle w:val="BodyText"/>
        <w:spacing w:line="204" w:lineRule="exact" w:before="67"/>
        <w:ind w:left="234"/>
        <w:rPr>
          <w:rFonts w:ascii="Cambria Math" w:eastAsia="Cambria Math"/>
        </w:rPr>
      </w:pPr>
      <w:r>
        <w:rPr>
          <w:rFonts w:ascii="Cambria Math" w:eastAsia="Cambria Math"/>
          <w:w w:val="83"/>
        </w:rPr>
        <w:t>�</w:t>
      </w:r>
    </w:p>
    <w:p>
      <w:pPr>
        <w:pStyle w:val="BodyText"/>
        <w:spacing w:line="364" w:lineRule="exact"/>
        <w:ind w:left="118" w:right="410"/>
      </w:pPr>
      <w:r>
        <w:rPr>
          <w:rFonts w:ascii="Cambria Math" w:eastAsia="Cambria Math"/>
          <w:spacing w:val="28"/>
          <w:w w:val="99"/>
        </w:rPr>
        <w:t>x</w:t>
      </w:r>
      <w:r>
        <w:rPr>
          <w:rFonts w:ascii="Cambria Math" w:eastAsia="Cambria Math"/>
          <w:w w:val="48"/>
          <w:position w:val="-15"/>
        </w:rPr>
        <w:t>�</w:t>
      </w:r>
      <w:r>
        <w:rPr>
          <w:rFonts w:ascii="Cambria Math" w:eastAsia="Cambria Math"/>
          <w:position w:val="-15"/>
        </w:rPr>
        <w:t> </w:t>
      </w:r>
      <w:r>
        <w:rPr>
          <w:rFonts w:ascii="Cambria Math" w:eastAsia="Cambria Math"/>
          <w:spacing w:val="-5"/>
          <w:position w:val="-15"/>
        </w:rPr>
        <w:t> </w:t>
      </w:r>
      <w:r>
        <w:rPr>
          <w:rFonts w:ascii="Cambria Math" w:eastAsia="Cambria Math"/>
        </w:rPr>
        <w:t>= </w:t>
      </w:r>
      <w:r>
        <w:rPr>
          <w:rFonts w:ascii="Cambria Math" w:eastAsia="Cambria Math"/>
          <w:spacing w:val="14"/>
        </w:rPr>
        <w:t> </w:t>
      </w:r>
      <w:r>
        <w:rPr/>
        <w:t>C</w:t>
      </w:r>
      <w:r>
        <w:rPr>
          <w:spacing w:val="-1"/>
        </w:rPr>
        <w:t>a</w:t>
      </w:r>
      <w:r>
        <w:rPr/>
        <w:t>ntid</w:t>
      </w:r>
      <w:r>
        <w:rPr>
          <w:spacing w:val="-1"/>
        </w:rPr>
        <w:t>a</w:t>
      </w:r>
      <w:r>
        <w:rPr/>
        <w:t>d de</w:t>
      </w:r>
      <w:r>
        <w:rPr>
          <w:spacing w:val="-1"/>
        </w:rPr>
        <w:t> ca</w:t>
      </w:r>
      <w:r>
        <w:rPr>
          <w:spacing w:val="2"/>
        </w:rPr>
        <w:t>n</w:t>
      </w:r>
      <w:r>
        <w:rPr>
          <w:spacing w:val="-1"/>
        </w:rPr>
        <w:t>a</w:t>
      </w:r>
      <w:r>
        <w:rPr>
          <w:w w:val="99"/>
        </w:rPr>
        <w:t>les</w:t>
      </w:r>
      <w:r>
        <w:rPr/>
        <w:t> obt</w:t>
      </w:r>
      <w:r>
        <w:rPr>
          <w:spacing w:val="1"/>
        </w:rPr>
        <w:t>e</w:t>
      </w:r>
      <w:r>
        <w:rPr/>
        <w:t>nidas </w:t>
      </w:r>
      <w:r>
        <w:rPr>
          <w:spacing w:val="-2"/>
        </w:rPr>
        <w:t>e</w:t>
      </w:r>
      <w:r>
        <w:rPr/>
        <w:t>n r</w:t>
      </w:r>
      <w:r>
        <w:rPr>
          <w:spacing w:val="-2"/>
        </w:rPr>
        <w:t>a</w:t>
      </w:r>
      <w:r>
        <w:rPr>
          <w:w w:val="99"/>
        </w:rPr>
        <w:t>stro</w:t>
      </w:r>
    </w:p>
    <w:p>
      <w:pPr>
        <w:pStyle w:val="BodyText"/>
        <w:spacing w:before="6"/>
        <w:rPr>
          <w:sz w:val="16"/>
        </w:rPr>
      </w:pPr>
    </w:p>
    <w:p>
      <w:pPr>
        <w:tabs>
          <w:tab w:pos="817" w:val="left" w:leader="none"/>
          <w:tab w:pos="1313" w:val="left" w:leader="none"/>
          <w:tab w:pos="1921" w:val="left" w:leader="none"/>
          <w:tab w:pos="2420" w:val="left" w:leader="none"/>
          <w:tab w:pos="3004" w:val="left" w:leader="none"/>
        </w:tabs>
        <w:spacing w:line="175" w:lineRule="exact" w:before="67"/>
        <w:ind w:left="222" w:right="410" w:firstLine="0"/>
        <w:jc w:val="left"/>
        <w:rPr>
          <w:rFonts w:ascii="Cambria Math" w:eastAsia="Cambria Math"/>
          <w:sz w:val="24"/>
        </w:rPr>
      </w:pPr>
      <w:r>
        <w:rPr>
          <w:rFonts w:ascii="Cambria Math" w:eastAsia="Cambria Math"/>
          <w:position w:val="-1"/>
          <w:sz w:val="24"/>
        </w:rPr>
        <w:t>𝛿</w:t>
        <w:tab/>
      </w:r>
      <w:r>
        <w:rPr>
          <w:rFonts w:ascii="Cambria Math" w:eastAsia="Cambria Math"/>
          <w:position w:val="-4"/>
          <w:sz w:val="17"/>
        </w:rPr>
        <w:t>𝑛</w:t>
        <w:tab/>
      </w:r>
      <w:r>
        <w:rPr>
          <w:rFonts w:ascii="Cambria Math" w:eastAsia="Cambria Math"/>
          <w:sz w:val="24"/>
        </w:rPr>
        <w:t>𝛿</w:t>
        <w:tab/>
      </w:r>
      <w:r>
        <w:rPr>
          <w:rFonts w:ascii="Cambria Math" w:eastAsia="Cambria Math"/>
          <w:position w:val="-4"/>
          <w:sz w:val="17"/>
        </w:rPr>
        <w:t>𝑛</w:t>
        <w:tab/>
      </w:r>
      <w:r>
        <w:rPr>
          <w:rFonts w:ascii="Cambria Math" w:eastAsia="Cambria Math"/>
          <w:sz w:val="24"/>
        </w:rPr>
        <w:t>𝛿</w:t>
        <w:tab/>
      </w:r>
      <w:r>
        <w:rPr>
          <w:rFonts w:ascii="Cambria Math" w:eastAsia="Cambria Math"/>
          <w:position w:val="-1"/>
          <w:sz w:val="24"/>
        </w:rPr>
        <w:t>�</w:t>
      </w:r>
    </w:p>
    <w:p>
      <w:pPr>
        <w:pStyle w:val="BodyText"/>
        <w:spacing w:line="417" w:lineRule="exact"/>
        <w:ind w:left="118" w:right="410"/>
      </w:pPr>
      <w:r>
        <w:rPr>
          <w:rFonts w:ascii="Cambria Math" w:hAnsi="Cambria Math" w:eastAsia="Cambria Math"/>
          <w:spacing w:val="26"/>
          <w:w w:val="100"/>
        </w:rPr>
        <w:t>s</w:t>
      </w:r>
      <w:r>
        <w:rPr>
          <w:rFonts w:ascii="Cambria Math" w:hAnsi="Cambria Math" w:eastAsia="Cambria Math"/>
          <w:w w:val="48"/>
          <w:position w:val="-15"/>
        </w:rPr>
        <w:t>�</w:t>
      </w:r>
      <w:r>
        <w:rPr>
          <w:rFonts w:ascii="Cambria Math" w:hAnsi="Cambria Math" w:eastAsia="Cambria Math"/>
          <w:position w:val="-15"/>
        </w:rPr>
        <w:t> </w:t>
      </w:r>
      <w:r>
        <w:rPr>
          <w:rFonts w:ascii="Cambria Math" w:hAnsi="Cambria Math" w:eastAsia="Cambria Math"/>
          <w:spacing w:val="-17"/>
          <w:position w:val="-15"/>
        </w:rPr>
        <w:t> </w:t>
      </w:r>
      <w:r>
        <w:rPr>
          <w:rFonts w:ascii="Cambria Math" w:hAnsi="Cambria Math" w:eastAsia="Cambria Math"/>
        </w:rPr>
        <w:t>− </w:t>
      </w:r>
      <w:r>
        <w:rPr>
          <w:rFonts w:ascii="Cambria Math" w:hAnsi="Cambria Math" w:eastAsia="Cambria Math"/>
          <w:w w:val="100"/>
          <w:position w:val="1"/>
        </w:rPr>
        <w:t>∑</w:t>
      </w:r>
      <w:r>
        <w:rPr>
          <w:rFonts w:ascii="Cambria Math" w:hAnsi="Cambria Math" w:eastAsia="Cambria Math"/>
          <w:spacing w:val="4"/>
          <w:w w:val="71"/>
          <w:position w:val="-5"/>
          <w:sz w:val="17"/>
        </w:rPr>
        <w:t>�</w:t>
      </w:r>
      <w:r>
        <w:rPr>
          <w:rFonts w:ascii="Cambria Math" w:hAnsi="Cambria Math" w:eastAsia="Cambria Math"/>
          <w:w w:val="97"/>
          <w:position w:val="-5"/>
          <w:sz w:val="17"/>
        </w:rPr>
        <w:t>=</w:t>
      </w:r>
      <w:r>
        <w:rPr>
          <w:rFonts w:ascii="Cambria Math" w:hAnsi="Cambria Math" w:eastAsia="Cambria Math"/>
          <w:w w:val="104"/>
          <w:position w:val="-5"/>
          <w:sz w:val="17"/>
        </w:rPr>
        <w:t>1</w:t>
      </w:r>
      <w:r>
        <w:rPr>
          <w:rFonts w:ascii="Cambria Math" w:hAnsi="Cambria Math" w:eastAsia="Cambria Math"/>
          <w:position w:val="-5"/>
          <w:sz w:val="17"/>
        </w:rPr>
        <w:t> </w:t>
      </w:r>
      <w:r>
        <w:rPr>
          <w:rFonts w:ascii="Cambria Math" w:hAnsi="Cambria Math" w:eastAsia="Cambria Math"/>
          <w:spacing w:val="9"/>
          <w:w w:val="80"/>
        </w:rPr>
        <w:t>�</w:t>
      </w:r>
      <w:r>
        <w:rPr>
          <w:rFonts w:ascii="Cambria Math" w:hAnsi="Cambria Math" w:eastAsia="Cambria Math"/>
          <w:w w:val="51"/>
          <w:position w:val="-12"/>
        </w:rPr>
        <w:t>��</w:t>
      </w:r>
      <w:r>
        <w:rPr>
          <w:rFonts w:ascii="Cambria Math" w:hAnsi="Cambria Math" w:eastAsia="Cambria Math"/>
          <w:spacing w:val="2"/>
          <w:position w:val="-12"/>
        </w:rPr>
        <w:t> </w:t>
      </w:r>
      <w:r>
        <w:rPr>
          <w:rFonts w:ascii="Cambria Math" w:hAnsi="Cambria Math" w:eastAsia="Cambria Math"/>
        </w:rPr>
        <w:t>+ </w:t>
      </w:r>
      <w:r>
        <w:rPr>
          <w:rFonts w:ascii="Cambria Math" w:hAnsi="Cambria Math" w:eastAsia="Cambria Math"/>
          <w:w w:val="100"/>
          <w:position w:val="1"/>
        </w:rPr>
        <w:t>∑</w:t>
      </w:r>
      <w:r>
        <w:rPr>
          <w:rFonts w:ascii="Cambria Math" w:hAnsi="Cambria Math" w:eastAsia="Cambria Math"/>
          <w:spacing w:val="6"/>
          <w:w w:val="71"/>
          <w:position w:val="-5"/>
          <w:sz w:val="17"/>
        </w:rPr>
        <w:t>�</w:t>
      </w:r>
      <w:r>
        <w:rPr>
          <w:rFonts w:ascii="Cambria Math" w:hAnsi="Cambria Math" w:eastAsia="Cambria Math"/>
          <w:w w:val="97"/>
          <w:position w:val="-5"/>
          <w:sz w:val="17"/>
        </w:rPr>
        <w:t>=</w:t>
      </w:r>
      <w:r>
        <w:rPr>
          <w:rFonts w:ascii="Cambria Math" w:hAnsi="Cambria Math" w:eastAsia="Cambria Math"/>
          <w:w w:val="104"/>
          <w:position w:val="-5"/>
          <w:sz w:val="17"/>
        </w:rPr>
        <w:t>1</w:t>
      </w:r>
      <w:r>
        <w:rPr>
          <w:rFonts w:ascii="Cambria Math" w:hAnsi="Cambria Math" w:eastAsia="Cambria Math"/>
          <w:position w:val="-5"/>
          <w:sz w:val="17"/>
        </w:rPr>
        <w:t> </w:t>
      </w:r>
      <w:r>
        <w:rPr>
          <w:rFonts w:ascii="Cambria Math" w:hAnsi="Cambria Math" w:eastAsia="Cambria Math"/>
          <w:spacing w:val="6"/>
          <w:w w:val="80"/>
        </w:rPr>
        <w:t>�</w:t>
      </w:r>
      <w:r>
        <w:rPr>
          <w:rFonts w:ascii="Cambria Math" w:hAnsi="Cambria Math" w:eastAsia="Cambria Math"/>
          <w:w w:val="51"/>
          <w:position w:val="-12"/>
        </w:rPr>
        <w:t>��</w:t>
      </w:r>
      <w:r>
        <w:rPr>
          <w:rFonts w:ascii="Cambria Math" w:hAnsi="Cambria Math" w:eastAsia="Cambria Math"/>
          <w:spacing w:val="22"/>
          <w:position w:val="-12"/>
        </w:rPr>
        <w:t> </w:t>
      </w:r>
      <w:r>
        <w:rPr>
          <w:rFonts w:ascii="Cambria Math" w:hAnsi="Cambria Math" w:eastAsia="Cambria Math"/>
        </w:rPr>
        <w:t>≥</w:t>
      </w:r>
      <w:r>
        <w:rPr>
          <w:rFonts w:ascii="Cambria Math" w:hAnsi="Cambria Math" w:eastAsia="Cambria Math"/>
          <w:spacing w:val="12"/>
        </w:rPr>
        <w:t> </w:t>
      </w:r>
      <w:r>
        <w:rPr>
          <w:rFonts w:ascii="Cambria Math" w:hAnsi="Cambria Math" w:eastAsia="Cambria Math"/>
          <w:spacing w:val="28"/>
          <w:w w:val="99"/>
        </w:rPr>
        <w:t>x</w:t>
      </w:r>
      <w:r>
        <w:rPr>
          <w:rFonts w:ascii="Cambria Math" w:hAnsi="Cambria Math" w:eastAsia="Cambria Math"/>
          <w:w w:val="48"/>
          <w:position w:val="-15"/>
        </w:rPr>
        <w:t>�</w:t>
      </w:r>
      <w:r>
        <w:rPr>
          <w:rFonts w:ascii="Cambria Math" w:hAnsi="Cambria Math" w:eastAsia="Cambria Math"/>
          <w:spacing w:val="-17"/>
          <w:position w:val="-15"/>
        </w:rPr>
        <w:t> </w:t>
      </w:r>
      <w:r>
        <w:rPr>
          <w:rFonts w:ascii="Cambria Math" w:hAnsi="Cambria Math" w:eastAsia="Cambria Math"/>
          <w:w w:val="99"/>
        </w:rPr>
        <w:t>,</w:t>
      </w:r>
      <w:r>
        <w:rPr>
          <w:rFonts w:ascii="Cambria Math" w:hAnsi="Cambria Math" w:eastAsia="Cambria Math"/>
          <w:spacing w:val="-14"/>
        </w:rPr>
        <w:t> </w:t>
      </w:r>
      <w:r>
        <w:rPr>
          <w:rFonts w:ascii="Cambria Math" w:hAnsi="Cambria Math" w:eastAsia="Cambria Math"/>
          <w:w w:val="91"/>
        </w:rPr>
        <w:t>�𝑎</w:t>
      </w:r>
      <w:r>
        <w:rPr>
          <w:rFonts w:ascii="Cambria Math" w:hAnsi="Cambria Math" w:eastAsia="Cambria Math"/>
          <w:w w:val="72"/>
        </w:rPr>
        <w:t>�</w:t>
      </w:r>
      <w:r>
        <w:rPr>
          <w:rFonts w:ascii="Cambria Math" w:hAnsi="Cambria Math" w:eastAsia="Cambria Math"/>
          <w:w w:val="99"/>
        </w:rPr>
        <w:t>𝑎</w:t>
      </w:r>
      <w:r>
        <w:rPr>
          <w:rFonts w:ascii="Cambria Math" w:hAnsi="Cambria Math" w:eastAsia="Cambria Math"/>
          <w:spacing w:val="3"/>
        </w:rPr>
        <w:t> </w:t>
      </w:r>
      <w:r>
        <w:rPr>
          <w:rFonts w:ascii="Cambria Math" w:hAnsi="Cambria Math" w:eastAsia="Cambria Math"/>
          <w:spacing w:val="-2"/>
          <w:w w:val="60"/>
        </w:rPr>
        <w:t>�</w:t>
      </w:r>
      <w:r>
        <w:rPr>
          <w:rFonts w:ascii="Cambria Math" w:hAnsi="Cambria Math" w:eastAsia="Cambria Math"/>
          <w:spacing w:val="-1"/>
          <w:w w:val="80"/>
        </w:rPr>
        <w:t>�</w:t>
      </w:r>
      <w:r>
        <w:rPr>
          <w:rFonts w:ascii="Cambria Math" w:hAnsi="Cambria Math" w:eastAsia="Cambria Math"/>
          <w:w w:val="84"/>
        </w:rPr>
        <w:t>��</w:t>
      </w:r>
      <w:r>
        <w:rPr>
          <w:rFonts w:ascii="Cambria Math" w:hAnsi="Cambria Math" w:eastAsia="Cambria Math"/>
          <w:spacing w:val="6"/>
        </w:rPr>
        <w:t> </w:t>
      </w:r>
      <w:r>
        <w:rPr>
          <w:rFonts w:ascii="Cambria Math" w:hAnsi="Cambria Math" w:eastAsia="Cambria Math"/>
          <w:w w:val="48"/>
        </w:rPr>
        <w:t>�</w:t>
      </w:r>
      <w:r>
        <w:rPr>
          <w:rFonts w:ascii="Cambria Math" w:hAnsi="Cambria Math" w:eastAsia="Cambria Math"/>
          <w:spacing w:val="15"/>
        </w:rPr>
        <w:t> </w:t>
      </w:r>
      <w:r>
        <w:rPr/>
        <w:t>Dond</w:t>
      </w:r>
      <w:r>
        <w:rPr>
          <w:spacing w:val="-2"/>
        </w:rPr>
        <w:t>e</w:t>
      </w:r>
      <w:r>
        <w:rPr/>
        <w:t>:</w:t>
      </w:r>
    </w:p>
    <w:p>
      <w:pPr>
        <w:pStyle w:val="BodyText"/>
        <w:spacing w:before="1"/>
        <w:rPr>
          <w:sz w:val="19"/>
        </w:rPr>
      </w:pPr>
    </w:p>
    <w:p>
      <w:pPr>
        <w:pStyle w:val="BodyText"/>
        <w:spacing w:line="204" w:lineRule="exact" w:before="67"/>
        <w:ind w:left="222" w:right="410"/>
        <w:rPr>
          <w:rFonts w:ascii="Cambria Math" w:eastAsia="Cambria Math"/>
        </w:rPr>
      </w:pPr>
      <w:r>
        <w:rPr>
          <w:rFonts w:ascii="Cambria Math" w:eastAsia="Cambria Math"/>
        </w:rPr>
        <w:t>𝛿</w:t>
      </w:r>
    </w:p>
    <w:p>
      <w:pPr>
        <w:pStyle w:val="BodyText"/>
        <w:spacing w:line="364" w:lineRule="exact"/>
        <w:ind w:left="118" w:right="410"/>
      </w:pPr>
      <w:r>
        <w:rPr>
          <w:rFonts w:ascii="Cambria Math" w:hAnsi="Cambria Math" w:eastAsia="Cambria Math"/>
          <w:spacing w:val="26"/>
          <w:w w:val="100"/>
        </w:rPr>
        <w:t>s</w:t>
      </w:r>
      <w:r>
        <w:rPr>
          <w:rFonts w:ascii="Cambria Math" w:hAnsi="Cambria Math" w:eastAsia="Cambria Math"/>
          <w:w w:val="48"/>
          <w:position w:val="-15"/>
        </w:rPr>
        <w:t>�</w:t>
      </w:r>
      <w:r>
        <w:rPr>
          <w:rFonts w:ascii="Cambria Math" w:hAnsi="Cambria Math" w:eastAsia="Cambria Math"/>
          <w:position w:val="-15"/>
        </w:rPr>
        <w:t> </w:t>
      </w:r>
      <w:r>
        <w:rPr>
          <w:rFonts w:ascii="Cambria Math" w:hAnsi="Cambria Math" w:eastAsia="Cambria Math"/>
          <w:spacing w:val="-5"/>
          <w:position w:val="-15"/>
        </w:rPr>
        <w:t> </w:t>
      </w:r>
      <w:r>
        <w:rPr>
          <w:rFonts w:ascii="Cambria Math" w:hAnsi="Cambria Math" w:eastAsia="Cambria Math"/>
        </w:rPr>
        <w:t>= </w:t>
      </w:r>
      <w:r>
        <w:rPr/>
        <w:t>Núm</w:t>
      </w:r>
      <w:r>
        <w:rPr>
          <w:spacing w:val="-1"/>
        </w:rPr>
        <w:t>e</w:t>
      </w:r>
      <w:r>
        <w:rPr/>
        <w:t>ro de</w:t>
      </w:r>
      <w:r>
        <w:rPr>
          <w:spacing w:val="-2"/>
        </w:rPr>
        <w:t> </w:t>
      </w:r>
      <w:r>
        <w:rPr>
          <w:spacing w:val="1"/>
        </w:rPr>
        <w:t>c</w:t>
      </w:r>
      <w:r>
        <w:rPr>
          <w:spacing w:val="-1"/>
        </w:rPr>
        <w:t>e</w:t>
      </w:r>
      <w:r>
        <w:rPr/>
        <w:t>rdos p</w:t>
      </w:r>
      <w:r>
        <w:rPr>
          <w:spacing w:val="-2"/>
        </w:rPr>
        <w:t>r</w:t>
      </w:r>
      <w:r>
        <w:rPr/>
        <w:t>od</w:t>
      </w:r>
      <w:r>
        <w:rPr>
          <w:spacing w:val="2"/>
        </w:rPr>
        <w:t>u</w:t>
      </w:r>
      <w:r>
        <w:rPr>
          <w:spacing w:val="-1"/>
        </w:rPr>
        <w:t>c</w:t>
      </w:r>
      <w:r>
        <w:rPr/>
        <w:t>idos</w:t>
      </w:r>
      <w:r>
        <w:rPr>
          <w:spacing w:val="-1"/>
        </w:rPr>
        <w:t> </w:t>
      </w:r>
      <w:r>
        <w:rPr/>
        <w:t>en</w:t>
      </w:r>
      <w:r>
        <w:rPr>
          <w:spacing w:val="1"/>
        </w:rPr>
        <w:t> </w:t>
      </w:r>
      <w:r>
        <w:rPr>
          <w:spacing w:val="-3"/>
        </w:rPr>
        <w:t>g</w:t>
      </w:r>
      <w:r>
        <w:rPr/>
        <w:t>r</w:t>
      </w:r>
      <w:r>
        <w:rPr>
          <w:spacing w:val="-2"/>
        </w:rPr>
        <w:t>a</w:t>
      </w:r>
      <w:r>
        <w:rPr/>
        <w:t>nja</w:t>
      </w:r>
    </w:p>
    <w:p>
      <w:pPr>
        <w:pStyle w:val="BodyText"/>
        <w:spacing w:line="216" w:lineRule="exact" w:before="259"/>
        <w:ind w:left="267" w:right="410"/>
        <w:rPr>
          <w:rFonts w:ascii="Cambria Math" w:eastAsia="Cambria Math"/>
        </w:rPr>
      </w:pPr>
      <w:r>
        <w:rPr/>
        <w:pict>
          <v:shape style="position:absolute;margin-left:70.944pt;margin-top:22.186399pt;width:6.4pt;height:12pt;mso-position-horizontal-relative:page;mso-position-vertical-relative:paragraph;z-index:3664" type="#_x0000_t202" filled="false" stroked="false">
            <v:textbox inset="0,0,0,0">
              <w:txbxContent>
                <w:p>
                  <w:pPr>
                    <w:pStyle w:val="BodyText"/>
                    <w:spacing w:line="240" w:lineRule="exact"/>
                    <w:rPr>
                      <w:rFonts w:ascii="Cambria Math" w:eastAsia="Cambria Math"/>
                    </w:rPr>
                  </w:pPr>
                  <w:r>
                    <w:rPr>
                      <w:rFonts w:ascii="Cambria Math" w:eastAsia="Cambria Math"/>
                      <w:w w:val="80"/>
                    </w:rPr>
                    <w:t>�</w:t>
                  </w:r>
                </w:p>
              </w:txbxContent>
            </v:textbox>
            <w10:wrap type="none"/>
          </v:shape>
        </w:pict>
      </w:r>
      <w:r>
        <w:rPr>
          <w:rFonts w:ascii="Cambria Math" w:eastAsia="Cambria Math"/>
        </w:rPr>
        <w:t>𝛿</w:t>
      </w:r>
    </w:p>
    <w:p>
      <w:pPr>
        <w:pStyle w:val="BodyText"/>
        <w:spacing w:line="346" w:lineRule="exact"/>
        <w:ind w:left="253" w:right="410"/>
        <w:rPr>
          <w:i/>
        </w:rPr>
      </w:pPr>
      <w:r>
        <w:rPr>
          <w:rFonts w:ascii="Cambria Math" w:eastAsia="Cambria Math"/>
          <w:w w:val="90"/>
          <w:position w:val="-12"/>
        </w:rPr>
        <w:t>�� </w:t>
      </w:r>
      <w:r>
        <w:rPr>
          <w:rFonts w:ascii="Cambria Math" w:eastAsia="Cambria Math"/>
        </w:rPr>
        <w:t>= </w:t>
      </w:r>
      <w:r>
        <w:rPr/>
        <w:t>Cerdos enviados del distrito </w:t>
      </w:r>
      <w:r>
        <w:rPr>
          <w:i/>
        </w:rPr>
        <w:t>i </w:t>
      </w:r>
      <w:r>
        <w:rPr/>
        <w:t>a distrito </w:t>
      </w:r>
      <w:r>
        <w:rPr>
          <w:i/>
        </w:rPr>
        <w:t>j</w:t>
      </w:r>
    </w:p>
    <w:p>
      <w:pPr>
        <w:pStyle w:val="BodyText"/>
        <w:spacing w:line="216" w:lineRule="exact" w:before="316"/>
        <w:ind w:left="270" w:right="410"/>
        <w:rPr>
          <w:rFonts w:ascii="Cambria Math" w:eastAsia="Cambria Math"/>
        </w:rPr>
      </w:pPr>
      <w:r>
        <w:rPr/>
        <w:pict>
          <v:shape style="position:absolute;margin-left:70.944pt;margin-top:25.036394pt;width:6.4pt;height:12pt;mso-position-horizontal-relative:page;mso-position-vertical-relative:paragraph;z-index:3688" type="#_x0000_t202" filled="false" stroked="false">
            <v:textbox inset="0,0,0,0">
              <w:txbxContent>
                <w:p>
                  <w:pPr>
                    <w:pStyle w:val="BodyText"/>
                    <w:spacing w:line="240" w:lineRule="exact"/>
                    <w:rPr>
                      <w:rFonts w:ascii="Cambria Math" w:eastAsia="Cambria Math"/>
                    </w:rPr>
                  </w:pPr>
                  <w:r>
                    <w:rPr>
                      <w:rFonts w:ascii="Cambria Math" w:eastAsia="Cambria Math"/>
                      <w:w w:val="80"/>
                    </w:rPr>
                    <w:t>�</w:t>
                  </w:r>
                </w:p>
              </w:txbxContent>
            </v:textbox>
            <w10:wrap type="none"/>
          </v:shape>
        </w:pict>
      </w:r>
      <w:r>
        <w:rPr>
          <w:rFonts w:ascii="Cambria Math" w:eastAsia="Cambria Math"/>
        </w:rPr>
        <w:t>𝛿</w:t>
      </w:r>
    </w:p>
    <w:p>
      <w:pPr>
        <w:pStyle w:val="BodyText"/>
        <w:spacing w:line="346" w:lineRule="exact"/>
        <w:ind w:left="253" w:right="410"/>
        <w:rPr>
          <w:i/>
        </w:rPr>
      </w:pPr>
      <w:r>
        <w:rPr>
          <w:rFonts w:ascii="Cambria Math" w:eastAsia="Cambria Math"/>
          <w:w w:val="90"/>
          <w:position w:val="-12"/>
        </w:rPr>
        <w:t>�� </w:t>
      </w:r>
      <w:r>
        <w:rPr>
          <w:rFonts w:ascii="Cambria Math" w:eastAsia="Cambria Math"/>
        </w:rPr>
        <w:t>= </w:t>
      </w:r>
      <w:r>
        <w:rPr/>
        <w:t>Cerdos enviados del distrito </w:t>
      </w:r>
      <w:r>
        <w:rPr>
          <w:i/>
        </w:rPr>
        <w:t>j </w:t>
      </w:r>
      <w:r>
        <w:rPr/>
        <w:t>al distrito </w:t>
      </w:r>
      <w:r>
        <w:rPr>
          <w:i/>
        </w:rPr>
        <w:t>i</w:t>
      </w:r>
    </w:p>
    <w:p>
      <w:pPr>
        <w:spacing w:after="0" w:line="346" w:lineRule="exact"/>
        <w:sectPr>
          <w:type w:val="continuous"/>
          <w:pgSz w:w="12240" w:h="15840"/>
          <w:pgMar w:top="3260" w:bottom="280" w:left="1300" w:right="1340"/>
        </w:sectPr>
      </w:pPr>
    </w:p>
    <w:p>
      <w:pPr>
        <w:pStyle w:val="BodyText"/>
        <w:spacing w:line="204" w:lineRule="exact" w:before="101"/>
        <w:ind w:left="234"/>
        <w:rPr>
          <w:rFonts w:ascii="Cambria Math" w:eastAsia="Cambria Math"/>
        </w:rPr>
      </w:pPr>
      <w:r>
        <w:rPr>
          <w:rFonts w:ascii="Cambria Math" w:eastAsia="Cambria Math"/>
          <w:w w:val="83"/>
        </w:rPr>
        <w:t>�</w:t>
      </w:r>
    </w:p>
    <w:p>
      <w:pPr>
        <w:pStyle w:val="BodyText"/>
        <w:spacing w:line="364" w:lineRule="exact"/>
        <w:ind w:left="118" w:right="410"/>
      </w:pPr>
      <w:r>
        <w:rPr>
          <w:rFonts w:ascii="Cambria Math" w:eastAsia="Cambria Math"/>
          <w:spacing w:val="28"/>
          <w:w w:val="99"/>
        </w:rPr>
        <w:t>x</w:t>
      </w:r>
      <w:r>
        <w:rPr>
          <w:rFonts w:ascii="Cambria Math" w:eastAsia="Cambria Math"/>
          <w:w w:val="48"/>
          <w:position w:val="-15"/>
        </w:rPr>
        <w:t>�</w:t>
      </w:r>
      <w:r>
        <w:rPr>
          <w:rFonts w:ascii="Cambria Math" w:eastAsia="Cambria Math"/>
          <w:position w:val="-15"/>
        </w:rPr>
        <w:t> </w:t>
      </w:r>
      <w:r>
        <w:rPr>
          <w:rFonts w:ascii="Cambria Math" w:eastAsia="Cambria Math"/>
          <w:spacing w:val="-5"/>
          <w:position w:val="-15"/>
        </w:rPr>
        <w:t> </w:t>
      </w:r>
      <w:r>
        <w:rPr>
          <w:rFonts w:ascii="Cambria Math" w:eastAsia="Cambria Math"/>
        </w:rPr>
        <w:t>=</w:t>
      </w:r>
      <w:r>
        <w:rPr>
          <w:rFonts w:ascii="Cambria Math" w:eastAsia="Cambria Math"/>
          <w:spacing w:val="7"/>
        </w:rPr>
        <w:t> </w:t>
      </w:r>
      <w:r>
        <w:rPr/>
        <w:t>C</w:t>
      </w:r>
      <w:r>
        <w:rPr>
          <w:spacing w:val="-1"/>
        </w:rPr>
        <w:t>a</w:t>
      </w:r>
      <w:r>
        <w:rPr/>
        <w:t>ntid</w:t>
      </w:r>
      <w:r>
        <w:rPr>
          <w:spacing w:val="-1"/>
        </w:rPr>
        <w:t>a</w:t>
      </w:r>
      <w:r>
        <w:rPr/>
        <w:t>d de</w:t>
      </w:r>
      <w:r>
        <w:rPr>
          <w:spacing w:val="-1"/>
        </w:rPr>
        <w:t> ca</w:t>
      </w:r>
      <w:r>
        <w:rPr>
          <w:spacing w:val="2"/>
        </w:rPr>
        <w:t>n</w:t>
      </w:r>
      <w:r>
        <w:rPr>
          <w:spacing w:val="-1"/>
        </w:rPr>
        <w:t>a</w:t>
      </w:r>
      <w:r>
        <w:rPr>
          <w:w w:val="99"/>
        </w:rPr>
        <w:t>les</w:t>
      </w:r>
      <w:r>
        <w:rPr/>
        <w:t> obt</w:t>
      </w:r>
      <w:r>
        <w:rPr>
          <w:spacing w:val="1"/>
        </w:rPr>
        <w:t>e</w:t>
      </w:r>
      <w:r>
        <w:rPr/>
        <w:t>nida </w:t>
      </w:r>
      <w:r>
        <w:rPr>
          <w:spacing w:val="-2"/>
        </w:rPr>
        <w:t>e</w:t>
      </w:r>
      <w:r>
        <w:rPr/>
        <w:t>n r</w:t>
      </w:r>
      <w:r>
        <w:rPr>
          <w:spacing w:val="-2"/>
        </w:rPr>
        <w:t>a</w:t>
      </w:r>
      <w:r>
        <w:rPr>
          <w:w w:val="99"/>
        </w:rPr>
        <w:t>stro</w:t>
      </w:r>
    </w:p>
    <w:p>
      <w:pPr>
        <w:pStyle w:val="BodyText"/>
        <w:spacing w:before="3"/>
        <w:rPr>
          <w:sz w:val="14"/>
        </w:rPr>
      </w:pPr>
    </w:p>
    <w:p>
      <w:pPr>
        <w:pStyle w:val="BodyText"/>
        <w:tabs>
          <w:tab w:pos="855" w:val="left" w:leader="none"/>
        </w:tabs>
        <w:spacing w:line="187" w:lineRule="exact" w:before="66"/>
        <w:ind w:left="222" w:right="410"/>
        <w:rPr>
          <w:rFonts w:ascii="Cambria Math" w:eastAsia="Cambria Math"/>
        </w:rPr>
      </w:pPr>
      <w:r>
        <w:rPr>
          <w:rFonts w:ascii="Cambria Math" w:eastAsia="Cambria Math"/>
          <w:w w:val="110"/>
        </w:rPr>
        <w:t>�</w:t>
        <w:tab/>
      </w:r>
      <w:r>
        <w:rPr>
          <w:rFonts w:ascii="Cambria Math" w:eastAsia="Cambria Math"/>
          <w:w w:val="105"/>
          <w:position w:val="-2"/>
        </w:rPr>
        <w:t>�</w:t>
      </w:r>
    </w:p>
    <w:p>
      <w:pPr>
        <w:pStyle w:val="BodyText"/>
        <w:spacing w:line="408" w:lineRule="exact"/>
        <w:ind w:left="118" w:right="410"/>
        <w:rPr>
          <w:rFonts w:ascii="Cambria Math" w:hAnsi="Cambria Math" w:eastAsia="Cambria Math"/>
        </w:rPr>
      </w:pPr>
      <w:r>
        <w:rPr>
          <w:rFonts w:ascii="Cambria Math" w:hAnsi="Cambria Math" w:eastAsia="Cambria Math"/>
          <w:w w:val="100"/>
        </w:rPr>
        <w:t>s</w:t>
      </w:r>
      <w:r>
        <w:rPr>
          <w:rFonts w:ascii="Cambria Math" w:hAnsi="Cambria Math" w:eastAsia="Cambria Math"/>
          <w:spacing w:val="7"/>
        </w:rPr>
        <w:t> </w:t>
      </w:r>
      <w:r>
        <w:rPr>
          <w:rFonts w:ascii="Cambria Math" w:hAnsi="Cambria Math" w:eastAsia="Cambria Math"/>
          <w:w w:val="48"/>
          <w:position w:val="-12"/>
        </w:rPr>
        <w:t>�</w:t>
      </w:r>
      <w:r>
        <w:rPr>
          <w:rFonts w:ascii="Cambria Math" w:hAnsi="Cambria Math" w:eastAsia="Cambria Math"/>
          <w:position w:val="-12"/>
        </w:rPr>
        <w:t>  </w:t>
      </w:r>
      <w:r>
        <w:rPr>
          <w:rFonts w:ascii="Cambria Math" w:hAnsi="Cambria Math" w:eastAsia="Cambria Math"/>
          <w:spacing w:val="-24"/>
          <w:position w:val="-12"/>
        </w:rPr>
        <w:t> </w:t>
      </w:r>
      <w:r>
        <w:rPr>
          <w:rFonts w:ascii="Cambria Math" w:hAnsi="Cambria Math" w:eastAsia="Cambria Math"/>
        </w:rPr>
        <w:t>≥</w:t>
      </w:r>
      <w:r>
        <w:rPr>
          <w:rFonts w:ascii="Cambria Math" w:hAnsi="Cambria Math" w:eastAsia="Cambria Math"/>
          <w:spacing w:val="14"/>
        </w:rPr>
        <w:t> </w:t>
      </w:r>
      <w:r>
        <w:rPr>
          <w:rFonts w:ascii="Cambria Math" w:hAnsi="Cambria Math" w:eastAsia="Cambria Math"/>
          <w:spacing w:val="28"/>
          <w:w w:val="99"/>
        </w:rPr>
        <w:t>x</w:t>
      </w:r>
      <w:r>
        <w:rPr>
          <w:rFonts w:ascii="Cambria Math" w:hAnsi="Cambria Math" w:eastAsia="Cambria Math"/>
          <w:w w:val="48"/>
          <w:position w:val="-15"/>
        </w:rPr>
        <w:t>�</w:t>
      </w:r>
      <w:r>
        <w:rPr>
          <w:rFonts w:ascii="Cambria Math" w:hAnsi="Cambria Math" w:eastAsia="Cambria Math"/>
          <w:spacing w:val="-19"/>
          <w:position w:val="-15"/>
        </w:rPr>
        <w:t> </w:t>
      </w:r>
      <w:r>
        <w:rPr>
          <w:rFonts w:ascii="Cambria Math" w:hAnsi="Cambria Math" w:eastAsia="Cambria Math"/>
          <w:w w:val="99"/>
        </w:rPr>
        <w:t>,</w:t>
      </w:r>
      <w:r>
        <w:rPr>
          <w:rFonts w:ascii="Cambria Math" w:hAnsi="Cambria Math" w:eastAsia="Cambria Math"/>
          <w:spacing w:val="-11"/>
        </w:rPr>
        <w:t> </w:t>
      </w:r>
      <w:r>
        <w:rPr>
          <w:rFonts w:ascii="Cambria Math" w:hAnsi="Cambria Math" w:eastAsia="Cambria Math"/>
          <w:w w:val="91"/>
        </w:rPr>
        <w:t>�𝑎</w:t>
      </w:r>
      <w:r>
        <w:rPr>
          <w:rFonts w:ascii="Cambria Math" w:hAnsi="Cambria Math" w:eastAsia="Cambria Math"/>
          <w:w w:val="72"/>
        </w:rPr>
        <w:t>�</w:t>
      </w:r>
      <w:r>
        <w:rPr>
          <w:rFonts w:ascii="Cambria Math" w:hAnsi="Cambria Math" w:eastAsia="Cambria Math"/>
          <w:w w:val="99"/>
        </w:rPr>
        <w:t>𝑎</w:t>
      </w:r>
      <w:r>
        <w:rPr>
          <w:rFonts w:ascii="Cambria Math" w:hAnsi="Cambria Math" w:eastAsia="Cambria Math"/>
          <w:spacing w:val="3"/>
        </w:rPr>
        <w:t> </w:t>
      </w:r>
      <w:r>
        <w:rPr>
          <w:rFonts w:ascii="Cambria Math" w:hAnsi="Cambria Math" w:eastAsia="Cambria Math"/>
          <w:spacing w:val="-2"/>
          <w:w w:val="60"/>
        </w:rPr>
        <w:t>�</w:t>
      </w:r>
      <w:r>
        <w:rPr>
          <w:rFonts w:ascii="Cambria Math" w:hAnsi="Cambria Math" w:eastAsia="Cambria Math"/>
          <w:spacing w:val="-1"/>
          <w:w w:val="80"/>
        </w:rPr>
        <w:t>�</w:t>
      </w:r>
      <w:r>
        <w:rPr>
          <w:rFonts w:ascii="Cambria Math" w:hAnsi="Cambria Math" w:eastAsia="Cambria Math"/>
          <w:w w:val="84"/>
        </w:rPr>
        <w:t>��</w:t>
      </w:r>
      <w:r>
        <w:rPr>
          <w:rFonts w:ascii="Cambria Math" w:hAnsi="Cambria Math" w:eastAsia="Cambria Math"/>
          <w:spacing w:val="6"/>
        </w:rPr>
        <w:t> </w:t>
      </w:r>
      <w:r>
        <w:rPr>
          <w:rFonts w:ascii="Cambria Math" w:hAnsi="Cambria Math" w:eastAsia="Cambria Math"/>
          <w:w w:val="48"/>
        </w:rPr>
        <w:t>�</w:t>
      </w:r>
    </w:p>
    <w:p>
      <w:pPr>
        <w:pStyle w:val="BodyText"/>
        <w:spacing w:before="282"/>
        <w:ind w:left="118" w:right="410"/>
      </w:pPr>
      <w:r>
        <w:rPr/>
        <w:t>Donde:</w:t>
      </w:r>
    </w:p>
    <w:p>
      <w:pPr>
        <w:pStyle w:val="BodyText"/>
        <w:rPr>
          <w:sz w:val="17"/>
        </w:rPr>
      </w:pPr>
    </w:p>
    <w:p>
      <w:pPr>
        <w:pStyle w:val="BodyText"/>
        <w:spacing w:line="217" w:lineRule="exact" w:before="67"/>
        <w:ind w:left="222"/>
        <w:rPr>
          <w:rFonts w:ascii="Cambria Math" w:eastAsia="Cambria Math"/>
        </w:rPr>
      </w:pPr>
      <w:r>
        <w:rPr>
          <w:rFonts w:ascii="Cambria Math" w:eastAsia="Cambria Math"/>
          <w:w w:val="127"/>
        </w:rPr>
        <w:t>�</w:t>
      </w:r>
    </w:p>
    <w:p>
      <w:pPr>
        <w:pStyle w:val="BodyText"/>
        <w:spacing w:line="347" w:lineRule="exact"/>
        <w:ind w:left="118" w:right="410"/>
      </w:pPr>
      <w:r>
        <w:rPr>
          <w:rFonts w:ascii="Cambria Math" w:eastAsia="Cambria Math"/>
        </w:rPr>
        <w:t>s </w:t>
      </w:r>
      <w:r>
        <w:rPr>
          <w:rFonts w:ascii="Cambria Math" w:eastAsia="Cambria Math"/>
          <w:w w:val="85"/>
          <w:position w:val="-12"/>
        </w:rPr>
        <w:t>�  </w:t>
      </w:r>
      <w:r>
        <w:rPr>
          <w:rFonts w:ascii="Cambria Math" w:eastAsia="Cambria Math"/>
        </w:rPr>
        <w:t>= </w:t>
      </w:r>
      <w:r>
        <w:rPr/>
        <w:t>Capacidad de planta de cada rastro</w:t>
      </w:r>
    </w:p>
    <w:p>
      <w:pPr>
        <w:pStyle w:val="BodyText"/>
        <w:spacing w:before="10"/>
        <w:rPr>
          <w:sz w:val="16"/>
        </w:rPr>
      </w:pPr>
    </w:p>
    <w:p>
      <w:pPr>
        <w:pStyle w:val="BodyText"/>
        <w:spacing w:line="204" w:lineRule="exact" w:before="66"/>
        <w:ind w:left="234"/>
        <w:rPr>
          <w:rFonts w:ascii="Cambria Math" w:eastAsia="Cambria Math"/>
        </w:rPr>
      </w:pPr>
      <w:r>
        <w:rPr>
          <w:rFonts w:ascii="Cambria Math" w:eastAsia="Cambria Math"/>
          <w:w w:val="83"/>
        </w:rPr>
        <w:t>�</w:t>
      </w:r>
    </w:p>
    <w:p>
      <w:pPr>
        <w:pStyle w:val="BodyText"/>
        <w:spacing w:line="364" w:lineRule="exact"/>
        <w:ind w:left="118" w:right="410"/>
      </w:pPr>
      <w:r>
        <w:rPr>
          <w:rFonts w:ascii="Cambria Math" w:eastAsia="Cambria Math"/>
          <w:spacing w:val="28"/>
          <w:w w:val="99"/>
        </w:rPr>
        <w:t>x</w:t>
      </w:r>
      <w:r>
        <w:rPr>
          <w:rFonts w:ascii="Cambria Math" w:eastAsia="Cambria Math"/>
          <w:w w:val="48"/>
          <w:position w:val="-15"/>
        </w:rPr>
        <w:t>�</w:t>
      </w:r>
      <w:r>
        <w:rPr>
          <w:rFonts w:ascii="Cambria Math" w:eastAsia="Cambria Math"/>
          <w:position w:val="-15"/>
        </w:rPr>
        <w:t> </w:t>
      </w:r>
      <w:r>
        <w:rPr>
          <w:rFonts w:ascii="Cambria Math" w:eastAsia="Cambria Math"/>
          <w:spacing w:val="-5"/>
          <w:position w:val="-15"/>
        </w:rPr>
        <w:t> </w:t>
      </w:r>
      <w:r>
        <w:rPr>
          <w:rFonts w:ascii="Cambria Math" w:eastAsia="Cambria Math"/>
        </w:rPr>
        <w:t>=</w:t>
      </w:r>
      <w:r>
        <w:rPr>
          <w:rFonts w:ascii="Cambria Math" w:eastAsia="Cambria Math"/>
          <w:spacing w:val="7"/>
        </w:rPr>
        <w:t> </w:t>
      </w:r>
      <w:r>
        <w:rPr/>
        <w:t>C</w:t>
      </w:r>
      <w:r>
        <w:rPr>
          <w:spacing w:val="-1"/>
        </w:rPr>
        <w:t>a</w:t>
      </w:r>
      <w:r>
        <w:rPr/>
        <w:t>ntid</w:t>
      </w:r>
      <w:r>
        <w:rPr>
          <w:spacing w:val="-1"/>
        </w:rPr>
        <w:t>a</w:t>
      </w:r>
      <w:r>
        <w:rPr/>
        <w:t>d de</w:t>
      </w:r>
      <w:r>
        <w:rPr>
          <w:spacing w:val="-1"/>
        </w:rPr>
        <w:t> ca</w:t>
      </w:r>
      <w:r>
        <w:rPr>
          <w:spacing w:val="2"/>
        </w:rPr>
        <w:t>n</w:t>
      </w:r>
      <w:r>
        <w:rPr>
          <w:spacing w:val="-1"/>
        </w:rPr>
        <w:t>a</w:t>
      </w:r>
      <w:r>
        <w:rPr>
          <w:w w:val="99"/>
        </w:rPr>
        <w:t>les</w:t>
      </w:r>
      <w:r>
        <w:rPr/>
        <w:t> obt</w:t>
      </w:r>
      <w:r>
        <w:rPr>
          <w:spacing w:val="1"/>
        </w:rPr>
        <w:t>e</w:t>
      </w:r>
      <w:r>
        <w:rPr/>
        <w:t>nida </w:t>
      </w:r>
      <w:r>
        <w:rPr>
          <w:spacing w:val="-2"/>
        </w:rPr>
        <w:t>e</w:t>
      </w:r>
      <w:r>
        <w:rPr/>
        <w:t>n r</w:t>
      </w:r>
      <w:r>
        <w:rPr>
          <w:spacing w:val="-2"/>
        </w:rPr>
        <w:t>a</w:t>
      </w:r>
      <w:r>
        <w:rPr>
          <w:w w:val="99"/>
        </w:rPr>
        <w:t>stro</w:t>
      </w:r>
    </w:p>
    <w:p>
      <w:pPr>
        <w:pStyle w:val="BodyText"/>
        <w:spacing w:before="5"/>
        <w:rPr>
          <w:sz w:val="14"/>
        </w:rPr>
      </w:pPr>
    </w:p>
    <w:p>
      <w:pPr>
        <w:spacing w:after="0"/>
        <w:rPr>
          <w:sz w:val="14"/>
        </w:rPr>
        <w:sectPr>
          <w:pgSz w:w="12240" w:h="15840"/>
          <w:pgMar w:header="984" w:footer="986" w:top="1280" w:bottom="1180" w:left="1300" w:right="1340"/>
        </w:sectPr>
      </w:pPr>
    </w:p>
    <w:p>
      <w:pPr>
        <w:spacing w:line="182" w:lineRule="exact" w:before="76"/>
        <w:ind w:left="222" w:right="0" w:firstLine="0"/>
        <w:jc w:val="left"/>
        <w:rPr>
          <w:rFonts w:ascii="Cambria Math" w:eastAsia="Cambria Math"/>
          <w:sz w:val="17"/>
        </w:rPr>
      </w:pPr>
      <w:r>
        <w:rPr/>
        <w:pict>
          <v:shape style="position:absolute;margin-left:96.384003pt;margin-top:12.47073pt;width:6.65pt;height:12pt;mso-position-horizontal-relative:page;mso-position-vertical-relative:paragraph;z-index:-145888" type="#_x0000_t202" filled="false" stroked="false">
            <v:textbox inset="0,0,0,0">
              <w:txbxContent>
                <w:p>
                  <w:pPr>
                    <w:pStyle w:val="BodyText"/>
                    <w:spacing w:line="240" w:lineRule="exact"/>
                    <w:rPr>
                      <w:rFonts w:ascii="Cambria Math" w:eastAsia="Cambria Math"/>
                    </w:rPr>
                  </w:pPr>
                  <w:r>
                    <w:rPr>
                      <w:rFonts w:ascii="Cambria Math" w:eastAsia="Cambria Math"/>
                      <w:w w:val="83"/>
                    </w:rPr>
                    <w:t>�</w:t>
                  </w:r>
                </w:p>
              </w:txbxContent>
            </v:textbox>
            <w10:wrap type="none"/>
          </v:shape>
        </w:pict>
      </w:r>
      <w:r>
        <w:rPr>
          <w:rFonts w:ascii="Cambria Math" w:eastAsia="Cambria Math"/>
          <w:w w:val="115"/>
          <w:sz w:val="17"/>
        </w:rPr>
        <w:t>𝑛</w:t>
      </w:r>
    </w:p>
    <w:p>
      <w:pPr>
        <w:pStyle w:val="BodyText"/>
        <w:spacing w:line="187" w:lineRule="exact"/>
        <w:jc w:val="right"/>
        <w:rPr>
          <w:rFonts w:ascii="Cambria Math" w:eastAsia="Cambria Math"/>
        </w:rPr>
      </w:pPr>
      <w:r>
        <w:rPr>
          <w:rFonts w:ascii="Cambria Math" w:eastAsia="Cambria Math"/>
          <w:w w:val="83"/>
        </w:rPr>
        <w:t>�</w:t>
      </w:r>
    </w:p>
    <w:p>
      <w:pPr>
        <w:pStyle w:val="BodyText"/>
        <w:tabs>
          <w:tab w:pos="848" w:val="left" w:leader="none"/>
        </w:tabs>
        <w:spacing w:line="86" w:lineRule="exact"/>
        <w:ind w:left="118"/>
        <w:rPr>
          <w:rFonts w:ascii="Cambria Math" w:hAnsi="Cambria Math" w:eastAsia="Cambria Math"/>
        </w:rPr>
      </w:pPr>
      <w:r>
        <w:rPr>
          <w:rFonts w:ascii="Cambria Math" w:hAnsi="Cambria Math" w:eastAsia="Cambria Math"/>
          <w:w w:val="170"/>
        </w:rPr>
        <w:t>∑</w:t>
      </w:r>
      <w:r>
        <w:rPr>
          <w:rFonts w:ascii="Cambria Math" w:hAnsi="Cambria Math" w:eastAsia="Cambria Math"/>
          <w:spacing w:val="-55"/>
          <w:w w:val="170"/>
        </w:rPr>
        <w:t> </w:t>
      </w:r>
      <w:r>
        <w:rPr>
          <w:rFonts w:ascii="Cambria Math" w:hAnsi="Cambria Math" w:eastAsia="Cambria Math"/>
        </w:rPr>
        <w:t>�</w:t>
        <w:tab/>
        <w:t>≥</w:t>
      </w:r>
      <w:r>
        <w:rPr>
          <w:rFonts w:ascii="Cambria Math" w:hAnsi="Cambria Math" w:eastAsia="Cambria Math"/>
          <w:spacing w:val="14"/>
        </w:rPr>
        <w:t> </w:t>
      </w:r>
      <w:r>
        <w:rPr>
          <w:rFonts w:ascii="Cambria Math" w:hAnsi="Cambria Math" w:eastAsia="Cambria Math"/>
        </w:rPr>
        <w:t>y</w:t>
      </w:r>
    </w:p>
    <w:p>
      <w:pPr>
        <w:pStyle w:val="BodyText"/>
        <w:spacing w:before="4"/>
        <w:rPr>
          <w:rFonts w:ascii="Cambria Math"/>
          <w:sz w:val="31"/>
        </w:rPr>
      </w:pPr>
      <w:r>
        <w:rPr/>
        <w:br w:type="column"/>
      </w:r>
      <w:r>
        <w:rPr>
          <w:rFonts w:ascii="Cambria Math"/>
          <w:sz w:val="31"/>
        </w:rPr>
      </w:r>
    </w:p>
    <w:p>
      <w:pPr>
        <w:pStyle w:val="BodyText"/>
        <w:spacing w:line="163" w:lineRule="exact"/>
        <w:ind w:left="-34"/>
        <w:rPr>
          <w:rFonts w:ascii="Cambria Math" w:eastAsia="Cambria Math"/>
        </w:rPr>
      </w:pPr>
      <w:r>
        <w:rPr>
          <w:rFonts w:ascii="Cambria Math" w:eastAsia="Cambria Math"/>
          <w:w w:val="80"/>
        </w:rPr>
        <w:t>, �𝑎�𝑎 ���� �</w:t>
      </w:r>
    </w:p>
    <w:p>
      <w:pPr>
        <w:spacing w:after="0" w:line="163" w:lineRule="exact"/>
        <w:rPr>
          <w:rFonts w:ascii="Cambria Math" w:eastAsia="Cambria Math"/>
        </w:rPr>
        <w:sectPr>
          <w:type w:val="continuous"/>
          <w:pgSz w:w="12240" w:h="15840"/>
          <w:pgMar w:top="3260" w:bottom="280" w:left="1300" w:right="1340"/>
          <w:cols w:num="2" w:equalWidth="0">
            <w:col w:w="1349" w:space="40"/>
            <w:col w:w="8211"/>
          </w:cols>
        </w:sectPr>
      </w:pPr>
    </w:p>
    <w:p>
      <w:pPr>
        <w:pStyle w:val="BodyText"/>
        <w:tabs>
          <w:tab w:pos="1244" w:val="left" w:leader="none"/>
        </w:tabs>
        <w:spacing w:line="244" w:lineRule="exact"/>
        <w:ind w:left="610" w:right="410"/>
        <w:rPr>
          <w:rFonts w:ascii="Cambria Math" w:eastAsia="Cambria Math"/>
        </w:rPr>
      </w:pPr>
      <w:r>
        <w:rPr>
          <w:rFonts w:ascii="Cambria Math" w:eastAsia="Cambria Math"/>
          <w:w w:val="60"/>
        </w:rPr>
        <w:t>��</w:t>
        <w:tab/>
      </w:r>
      <w:r>
        <w:rPr>
          <w:rFonts w:ascii="Cambria Math" w:eastAsia="Cambria Math"/>
          <w:w w:val="60"/>
          <w:position w:val="-2"/>
        </w:rPr>
        <w:t>�</w:t>
      </w:r>
    </w:p>
    <w:p>
      <w:pPr>
        <w:spacing w:line="166" w:lineRule="exact" w:before="0"/>
        <w:ind w:left="123" w:right="410" w:firstLine="0"/>
        <w:jc w:val="left"/>
        <w:rPr>
          <w:rFonts w:ascii="Cambria Math" w:eastAsia="Cambria Math"/>
          <w:sz w:val="17"/>
        </w:rPr>
      </w:pPr>
      <w:r>
        <w:rPr>
          <w:rFonts w:ascii="Cambria Math" w:eastAsia="Cambria Math"/>
          <w:sz w:val="17"/>
        </w:rPr>
        <w:t>�=1</w:t>
      </w:r>
    </w:p>
    <w:p>
      <w:pPr>
        <w:pStyle w:val="BodyText"/>
        <w:spacing w:before="4"/>
        <w:rPr>
          <w:rFonts w:ascii="Cambria Math"/>
          <w:sz w:val="22"/>
        </w:rPr>
      </w:pPr>
    </w:p>
    <w:p>
      <w:pPr>
        <w:pStyle w:val="BodyText"/>
        <w:spacing w:before="69"/>
        <w:ind w:left="118" w:right="410"/>
      </w:pPr>
      <w:r>
        <w:rPr/>
        <w:t>Donde:</w:t>
      </w:r>
    </w:p>
    <w:p>
      <w:pPr>
        <w:pStyle w:val="BodyText"/>
        <w:spacing w:before="7"/>
        <w:rPr>
          <w:sz w:val="27"/>
        </w:rPr>
      </w:pPr>
    </w:p>
    <w:p>
      <w:pPr>
        <w:pStyle w:val="BodyText"/>
        <w:spacing w:line="216" w:lineRule="exact"/>
        <w:ind w:left="270"/>
        <w:rPr>
          <w:rFonts w:ascii="Cambria Math" w:eastAsia="Cambria Math"/>
        </w:rPr>
      </w:pPr>
      <w:r>
        <w:rPr/>
        <w:pict>
          <v:shape style="position:absolute;margin-left:70.944pt;margin-top:9.236403pt;width:6.4pt;height:12pt;mso-position-horizontal-relative:page;mso-position-vertical-relative:paragraph;z-index:3736" type="#_x0000_t202" filled="false" stroked="false">
            <v:textbox inset="0,0,0,0">
              <w:txbxContent>
                <w:p>
                  <w:pPr>
                    <w:pStyle w:val="BodyText"/>
                    <w:spacing w:line="240" w:lineRule="exact"/>
                    <w:rPr>
                      <w:rFonts w:ascii="Cambria Math" w:eastAsia="Cambria Math"/>
                    </w:rPr>
                  </w:pPr>
                  <w:r>
                    <w:rPr>
                      <w:rFonts w:ascii="Cambria Math" w:eastAsia="Cambria Math"/>
                      <w:w w:val="80"/>
                    </w:rPr>
                    <w:t>�</w:t>
                  </w:r>
                </w:p>
              </w:txbxContent>
            </v:textbox>
            <w10:wrap type="none"/>
          </v:shape>
        </w:pict>
      </w:r>
      <w:r>
        <w:rPr>
          <w:rFonts w:ascii="Cambria Math" w:eastAsia="Cambria Math"/>
          <w:w w:val="83"/>
        </w:rPr>
        <w:t>�</w:t>
      </w:r>
    </w:p>
    <w:p>
      <w:pPr>
        <w:pStyle w:val="BodyText"/>
        <w:spacing w:line="346" w:lineRule="exact"/>
        <w:ind w:left="253" w:right="410"/>
      </w:pPr>
      <w:r>
        <w:rPr>
          <w:rFonts w:ascii="Cambria Math" w:eastAsia="Cambria Math"/>
          <w:w w:val="90"/>
          <w:position w:val="-12"/>
        </w:rPr>
        <w:t>�� </w:t>
      </w:r>
      <w:r>
        <w:rPr>
          <w:rFonts w:ascii="Cambria Math" w:eastAsia="Cambria Math"/>
        </w:rPr>
        <w:t>= </w:t>
      </w:r>
      <w:r>
        <w:rPr/>
        <w:t>Cantidad de canales enviadas de rastros a centros de consumo</w:t>
      </w:r>
    </w:p>
    <w:p>
      <w:pPr>
        <w:pStyle w:val="BodyText"/>
        <w:spacing w:before="5"/>
        <w:rPr>
          <w:sz w:val="21"/>
        </w:rPr>
      </w:pPr>
    </w:p>
    <w:p>
      <w:pPr>
        <w:pStyle w:val="BodyText"/>
        <w:spacing w:line="204" w:lineRule="exact" w:before="67"/>
        <w:ind w:left="238"/>
        <w:rPr>
          <w:rFonts w:ascii="Cambria Math" w:eastAsia="Cambria Math"/>
        </w:rPr>
      </w:pPr>
      <w:r>
        <w:rPr>
          <w:rFonts w:ascii="Cambria Math" w:eastAsia="Cambria Math"/>
          <w:w w:val="83"/>
        </w:rPr>
        <w:t>�</w:t>
      </w:r>
    </w:p>
    <w:p>
      <w:pPr>
        <w:pStyle w:val="BodyText"/>
        <w:spacing w:line="364" w:lineRule="exact"/>
        <w:ind w:left="118" w:right="410"/>
      </w:pPr>
      <w:r>
        <w:rPr>
          <w:rFonts w:ascii="Cambria Math" w:eastAsia="Cambria Math"/>
          <w:spacing w:val="27"/>
          <w:w w:val="100"/>
        </w:rPr>
        <w:t>y</w:t>
      </w:r>
      <w:r>
        <w:rPr>
          <w:rFonts w:ascii="Cambria Math" w:eastAsia="Cambria Math"/>
          <w:w w:val="48"/>
          <w:position w:val="-15"/>
        </w:rPr>
        <w:t>�</w:t>
      </w:r>
      <w:r>
        <w:rPr>
          <w:rFonts w:ascii="Cambria Math" w:eastAsia="Cambria Math"/>
          <w:position w:val="-15"/>
        </w:rPr>
        <w:t> </w:t>
      </w:r>
      <w:r>
        <w:rPr>
          <w:rFonts w:ascii="Cambria Math" w:eastAsia="Cambria Math"/>
          <w:spacing w:val="-5"/>
          <w:position w:val="-15"/>
        </w:rPr>
        <w:t> </w:t>
      </w:r>
      <w:r>
        <w:rPr>
          <w:rFonts w:ascii="Cambria Math" w:eastAsia="Cambria Math"/>
        </w:rPr>
        <w:t>=</w:t>
      </w:r>
      <w:r>
        <w:rPr>
          <w:rFonts w:ascii="Cambria Math" w:eastAsia="Cambria Math"/>
          <w:spacing w:val="7"/>
        </w:rPr>
        <w:t> </w:t>
      </w:r>
      <w:r>
        <w:rPr/>
        <w:t>C</w:t>
      </w:r>
      <w:r>
        <w:rPr>
          <w:spacing w:val="-1"/>
        </w:rPr>
        <w:t>a</w:t>
      </w:r>
      <w:r>
        <w:rPr/>
        <w:t>ntid</w:t>
      </w:r>
      <w:r>
        <w:rPr>
          <w:spacing w:val="-1"/>
        </w:rPr>
        <w:t>a</w:t>
      </w:r>
      <w:r>
        <w:rPr/>
        <w:t>d d</w:t>
      </w:r>
      <w:r>
        <w:rPr>
          <w:spacing w:val="-1"/>
        </w:rPr>
        <w:t>e</w:t>
      </w:r>
      <w:r>
        <w:rPr/>
        <w:t>mand</w:t>
      </w:r>
      <w:r>
        <w:rPr>
          <w:spacing w:val="-2"/>
        </w:rPr>
        <w:t>a</w:t>
      </w:r>
      <w:r>
        <w:rPr/>
        <w:t>da</w:t>
      </w:r>
      <w:r>
        <w:rPr>
          <w:spacing w:val="-1"/>
        </w:rPr>
        <w:t> </w:t>
      </w:r>
      <w:r>
        <w:rPr>
          <w:spacing w:val="2"/>
        </w:rPr>
        <w:t>d</w:t>
      </w:r>
      <w:r>
        <w:rPr/>
        <w:t>e</w:t>
      </w:r>
      <w:r>
        <w:rPr>
          <w:spacing w:val="1"/>
        </w:rPr>
        <w:t> </w:t>
      </w:r>
      <w:r>
        <w:rPr>
          <w:spacing w:val="-1"/>
        </w:rPr>
        <w:t>ca</w:t>
      </w:r>
      <w:r>
        <w:rPr/>
        <w:t>n</w:t>
      </w:r>
      <w:r>
        <w:rPr>
          <w:spacing w:val="-1"/>
        </w:rPr>
        <w:t>a</w:t>
      </w:r>
      <w:r>
        <w:rPr>
          <w:w w:val="99"/>
        </w:rPr>
        <w:t>les</w:t>
      </w:r>
    </w:p>
    <w:p>
      <w:pPr>
        <w:pStyle w:val="BodyText"/>
        <w:spacing w:before="6"/>
        <w:rPr>
          <w:sz w:val="16"/>
        </w:rPr>
      </w:pPr>
    </w:p>
    <w:p>
      <w:pPr>
        <w:pStyle w:val="BodyText"/>
        <w:tabs>
          <w:tab w:pos="632" w:val="left" w:leader="none"/>
          <w:tab w:pos="1042" w:val="left" w:leader="none"/>
          <w:tab w:pos="1414" w:val="left" w:leader="none"/>
        </w:tabs>
        <w:spacing w:line="185" w:lineRule="exact" w:before="67"/>
        <w:ind w:left="234" w:right="410"/>
        <w:rPr>
          <w:rFonts w:ascii="Cambria Math" w:eastAsia="Cambria Math"/>
        </w:rPr>
      </w:pPr>
      <w:r>
        <w:rPr>
          <w:rFonts w:ascii="Cambria Math" w:eastAsia="Cambria Math"/>
        </w:rPr>
        <w:t>�</w:t>
        <w:tab/>
      </w:r>
      <w:r>
        <w:rPr>
          <w:rFonts w:ascii="Cambria Math" w:eastAsia="Cambria Math"/>
          <w:position w:val="-1"/>
        </w:rPr>
        <w:t>�</w:t>
        <w:tab/>
      </w:r>
      <w:r>
        <w:rPr>
          <w:rFonts w:ascii="Cambria Math" w:eastAsia="Cambria Math"/>
        </w:rPr>
        <w:t>�</w:t>
        <w:tab/>
        <w:t>𝛿</w:t>
      </w:r>
    </w:p>
    <w:p>
      <w:pPr>
        <w:pStyle w:val="BodyText"/>
        <w:tabs>
          <w:tab w:pos="1635" w:val="left" w:leader="none"/>
        </w:tabs>
        <w:spacing w:line="408" w:lineRule="exact"/>
        <w:ind w:left="118" w:right="410"/>
        <w:rPr>
          <w:rFonts w:ascii="Cambria Math" w:hAnsi="Cambria Math" w:eastAsia="Cambria Math"/>
        </w:rPr>
      </w:pPr>
      <w:r>
        <w:rPr/>
        <w:pict>
          <v:shape style="position:absolute;margin-left:135.020004pt;margin-top:6.48pt;width:8.2pt;height:12pt;mso-position-horizontal-relative:page;mso-position-vertical-relative:paragraph;z-index:-145840" type="#_x0000_t202" filled="false" stroked="false">
            <v:textbox inset="0,0,0,0">
              <w:txbxContent>
                <w:p>
                  <w:pPr>
                    <w:pStyle w:val="BodyText"/>
                    <w:spacing w:line="240" w:lineRule="exact"/>
                    <w:ind w:right="-103"/>
                    <w:rPr>
                      <w:rFonts w:ascii="Cambria Math" w:eastAsia="Cambria Math"/>
                    </w:rPr>
                  </w:pPr>
                  <w:r>
                    <w:rPr>
                      <w:rFonts w:ascii="Cambria Math" w:eastAsia="Cambria Math"/>
                      <w:w w:val="51"/>
                    </w:rPr>
                    <w:t>��</w:t>
                  </w:r>
                </w:p>
              </w:txbxContent>
            </v:textbox>
            <w10:wrap type="none"/>
          </v:shape>
        </w:pict>
      </w:r>
      <w:r>
        <w:rPr>
          <w:rFonts w:ascii="Cambria Math" w:hAnsi="Cambria Math" w:eastAsia="Cambria Math"/>
          <w:spacing w:val="11"/>
          <w:w w:val="99"/>
        </w:rPr>
        <w:t>x</w:t>
      </w:r>
      <w:r>
        <w:rPr>
          <w:rFonts w:ascii="Cambria Math" w:hAnsi="Cambria Math" w:eastAsia="Cambria Math"/>
          <w:w w:val="51"/>
          <w:position w:val="-12"/>
        </w:rPr>
        <w:t>�</w:t>
      </w:r>
      <w:r>
        <w:rPr>
          <w:rFonts w:ascii="Cambria Math" w:hAnsi="Cambria Math" w:eastAsia="Cambria Math"/>
          <w:spacing w:val="17"/>
          <w:w w:val="51"/>
          <w:position w:val="-12"/>
        </w:rPr>
        <w:t>�</w:t>
      </w:r>
      <w:r>
        <w:rPr>
          <w:rFonts w:ascii="Cambria Math" w:hAnsi="Cambria Math" w:eastAsia="Cambria Math"/>
          <w:w w:val="99"/>
        </w:rPr>
        <w:t>,</w:t>
      </w:r>
      <w:r>
        <w:rPr>
          <w:rFonts w:ascii="Cambria Math" w:hAnsi="Cambria Math" w:eastAsia="Cambria Math"/>
          <w:spacing w:val="-11"/>
        </w:rPr>
        <w:t> </w:t>
      </w:r>
      <w:r>
        <w:rPr>
          <w:rFonts w:ascii="Cambria Math" w:hAnsi="Cambria Math" w:eastAsia="Cambria Math"/>
          <w:spacing w:val="28"/>
          <w:w w:val="99"/>
        </w:rPr>
        <w:t>x</w:t>
      </w:r>
      <w:r>
        <w:rPr>
          <w:rFonts w:ascii="Cambria Math" w:hAnsi="Cambria Math" w:eastAsia="Cambria Math"/>
          <w:w w:val="48"/>
          <w:position w:val="-15"/>
        </w:rPr>
        <w:t>�</w:t>
      </w:r>
      <w:r>
        <w:rPr>
          <w:rFonts w:ascii="Cambria Math" w:hAnsi="Cambria Math" w:eastAsia="Cambria Math"/>
          <w:position w:val="-15"/>
        </w:rPr>
        <w:t> </w:t>
      </w:r>
      <w:r>
        <w:rPr>
          <w:rFonts w:ascii="Cambria Math" w:hAnsi="Cambria Math" w:eastAsia="Cambria Math"/>
          <w:spacing w:val="-19"/>
          <w:position w:val="-15"/>
        </w:rPr>
        <w:t> </w:t>
      </w:r>
      <w:r>
        <w:rPr>
          <w:rFonts w:ascii="Cambria Math" w:hAnsi="Cambria Math" w:eastAsia="Cambria Math"/>
          <w:w w:val="99"/>
        </w:rPr>
        <w:t>,</w:t>
      </w:r>
      <w:r>
        <w:rPr>
          <w:rFonts w:ascii="Cambria Math" w:hAnsi="Cambria Math" w:eastAsia="Cambria Math"/>
          <w:spacing w:val="-14"/>
        </w:rPr>
        <w:t> </w:t>
      </w:r>
      <w:r>
        <w:rPr>
          <w:rFonts w:ascii="Cambria Math" w:hAnsi="Cambria Math" w:eastAsia="Cambria Math"/>
          <w:spacing w:val="1"/>
          <w:w w:val="99"/>
        </w:rPr>
        <w:t>x</w:t>
      </w:r>
      <w:r>
        <w:rPr>
          <w:rFonts w:ascii="Cambria Math" w:hAnsi="Cambria Math" w:eastAsia="Cambria Math"/>
          <w:w w:val="51"/>
          <w:position w:val="-12"/>
        </w:rPr>
        <w:t>�</w:t>
      </w:r>
      <w:r>
        <w:rPr>
          <w:rFonts w:ascii="Cambria Math" w:hAnsi="Cambria Math" w:eastAsia="Cambria Math"/>
          <w:spacing w:val="5"/>
          <w:w w:val="51"/>
          <w:position w:val="-12"/>
        </w:rPr>
        <w:t>�</w:t>
      </w:r>
      <w:r>
        <w:rPr>
          <w:rFonts w:ascii="Cambria Math" w:hAnsi="Cambria Math" w:eastAsia="Cambria Math"/>
          <w:w w:val="99"/>
        </w:rPr>
        <w:t>,</w:t>
      </w:r>
      <w:r>
        <w:rPr>
          <w:rFonts w:ascii="Cambria Math" w:hAnsi="Cambria Math" w:eastAsia="Cambria Math"/>
          <w:spacing w:val="-16"/>
        </w:rPr>
        <w:t> </w:t>
      </w:r>
      <w:r>
        <w:rPr>
          <w:rFonts w:ascii="Cambria Math" w:hAnsi="Cambria Math" w:eastAsia="Cambria Math"/>
          <w:w w:val="99"/>
        </w:rPr>
        <w:t>x</w:t>
      </w:r>
      <w:r>
        <w:rPr>
          <w:rFonts w:ascii="Cambria Math" w:hAnsi="Cambria Math" w:eastAsia="Cambria Math"/>
        </w:rPr>
        <w:tab/>
        <w:t>≥</w:t>
      </w:r>
      <w:r>
        <w:rPr>
          <w:rFonts w:ascii="Cambria Math" w:hAnsi="Cambria Math" w:eastAsia="Cambria Math"/>
          <w:spacing w:val="12"/>
        </w:rPr>
        <w:t> </w:t>
      </w:r>
      <w:r>
        <w:rPr>
          <w:rFonts w:ascii="Cambria Math" w:hAnsi="Cambria Math" w:eastAsia="Cambria Math"/>
          <w:w w:val="100"/>
        </w:rPr>
        <w:t>0</w:t>
      </w:r>
    </w:p>
    <w:p>
      <w:pPr>
        <w:pStyle w:val="BodyText"/>
        <w:spacing w:before="5"/>
        <w:rPr>
          <w:rFonts w:ascii="Cambria Math"/>
          <w:sz w:val="20"/>
        </w:rPr>
      </w:pPr>
    </w:p>
    <w:p>
      <w:pPr>
        <w:pStyle w:val="BodyText"/>
        <w:spacing w:before="69"/>
        <w:ind w:left="118" w:right="410"/>
      </w:pPr>
      <w:r>
        <w:rPr/>
        <w:t>Donde:</w:t>
      </w:r>
    </w:p>
    <w:p>
      <w:pPr>
        <w:pStyle w:val="BodyText"/>
        <w:rPr>
          <w:sz w:val="27"/>
        </w:rPr>
      </w:pPr>
    </w:p>
    <w:p>
      <w:pPr>
        <w:pStyle w:val="BodyText"/>
        <w:spacing w:line="342" w:lineRule="exact" w:before="72"/>
        <w:ind w:left="234" w:right="410"/>
        <w:rPr>
          <w:i/>
        </w:rPr>
      </w:pPr>
      <w:r>
        <w:rPr/>
        <w:pict>
          <v:shape style="position:absolute;margin-left:70.944pt;margin-top:11.276398pt;width:5.8pt;height:12pt;mso-position-horizontal-relative:page;mso-position-vertical-relative:paragraph;z-index:-145768" type="#_x0000_t202" filled="false" stroked="false">
            <v:textbox inset="0,0,0,0">
              <w:txbxContent>
                <w:p>
                  <w:pPr>
                    <w:pStyle w:val="BodyText"/>
                    <w:spacing w:line="240" w:lineRule="exact"/>
                    <w:rPr>
                      <w:rFonts w:ascii="Cambria Math"/>
                    </w:rPr>
                  </w:pPr>
                  <w:r>
                    <w:rPr>
                      <w:rFonts w:ascii="Cambria Math"/>
                      <w:w w:val="99"/>
                    </w:rPr>
                    <w:t>x</w:t>
                  </w:r>
                </w:p>
              </w:txbxContent>
            </v:textbox>
            <w10:wrap type="none"/>
          </v:shape>
        </w:pict>
      </w:r>
      <w:r>
        <w:rPr>
          <w:rFonts w:ascii="Cambria Math" w:hAnsi="Cambria Math" w:eastAsia="Cambria Math"/>
          <w:position w:val="12"/>
        </w:rPr>
        <w:t>�  </w:t>
      </w:r>
      <w:r>
        <w:rPr>
          <w:rFonts w:ascii="Cambria Math" w:hAnsi="Cambria Math" w:eastAsia="Cambria Math"/>
        </w:rPr>
        <w:t>=  </w:t>
      </w:r>
      <w:r>
        <w:rPr/>
        <w:t>Cantidad de canales enviadas de la región </w:t>
      </w:r>
      <w:r>
        <w:rPr>
          <w:i/>
        </w:rPr>
        <w:t>j </w:t>
      </w:r>
      <w:r>
        <w:rPr/>
        <w:t>a la región </w:t>
      </w:r>
      <w:r>
        <w:rPr>
          <w:i/>
        </w:rPr>
        <w:t>i</w:t>
      </w:r>
    </w:p>
    <w:p>
      <w:pPr>
        <w:pStyle w:val="BodyText"/>
        <w:spacing w:line="222" w:lineRule="exact"/>
        <w:ind w:left="243" w:right="410"/>
        <w:rPr>
          <w:rFonts w:ascii="Cambria Math" w:eastAsia="Cambria Math"/>
        </w:rPr>
      </w:pPr>
      <w:r>
        <w:rPr>
          <w:rFonts w:ascii="Cambria Math" w:eastAsia="Cambria Math"/>
          <w:w w:val="60"/>
        </w:rPr>
        <w:t>��</w:t>
      </w:r>
    </w:p>
    <w:p>
      <w:pPr>
        <w:pStyle w:val="BodyText"/>
        <w:spacing w:before="10"/>
        <w:rPr>
          <w:rFonts w:ascii="Cambria Math"/>
          <w:sz w:val="20"/>
        </w:rPr>
      </w:pPr>
    </w:p>
    <w:p>
      <w:pPr>
        <w:pStyle w:val="BodyText"/>
        <w:spacing w:line="204" w:lineRule="exact" w:before="67"/>
        <w:ind w:left="234"/>
        <w:rPr>
          <w:rFonts w:ascii="Cambria Math" w:eastAsia="Cambria Math"/>
        </w:rPr>
      </w:pPr>
      <w:r>
        <w:rPr>
          <w:rFonts w:ascii="Cambria Math" w:eastAsia="Cambria Math"/>
          <w:w w:val="83"/>
        </w:rPr>
        <w:t>�</w:t>
      </w:r>
    </w:p>
    <w:p>
      <w:pPr>
        <w:pStyle w:val="BodyText"/>
        <w:spacing w:line="364" w:lineRule="exact"/>
        <w:ind w:right="5103"/>
        <w:jc w:val="center"/>
      </w:pPr>
      <w:r>
        <w:rPr>
          <w:rFonts w:ascii="Cambria Math" w:eastAsia="Cambria Math"/>
          <w:spacing w:val="28"/>
          <w:w w:val="99"/>
        </w:rPr>
        <w:t>x</w:t>
      </w:r>
      <w:r>
        <w:rPr>
          <w:rFonts w:ascii="Cambria Math" w:eastAsia="Cambria Math"/>
          <w:w w:val="48"/>
          <w:position w:val="-15"/>
        </w:rPr>
        <w:t>�</w:t>
      </w:r>
      <w:r>
        <w:rPr>
          <w:rFonts w:ascii="Cambria Math" w:eastAsia="Cambria Math"/>
          <w:position w:val="-15"/>
        </w:rPr>
        <w:t> </w:t>
      </w:r>
      <w:r>
        <w:rPr>
          <w:rFonts w:ascii="Cambria Math" w:eastAsia="Cambria Math"/>
          <w:spacing w:val="-5"/>
          <w:position w:val="-15"/>
        </w:rPr>
        <w:t> </w:t>
      </w:r>
      <w:r>
        <w:rPr>
          <w:rFonts w:ascii="Cambria Math" w:eastAsia="Cambria Math"/>
        </w:rPr>
        <w:t>=</w:t>
      </w:r>
      <w:r>
        <w:rPr>
          <w:rFonts w:ascii="Cambria Math" w:eastAsia="Cambria Math"/>
          <w:spacing w:val="7"/>
        </w:rPr>
        <w:t> </w:t>
      </w:r>
      <w:r>
        <w:rPr/>
        <w:t>C</w:t>
      </w:r>
      <w:r>
        <w:rPr>
          <w:spacing w:val="-1"/>
        </w:rPr>
        <w:t>a</w:t>
      </w:r>
      <w:r>
        <w:rPr/>
        <w:t>ntid</w:t>
      </w:r>
      <w:r>
        <w:rPr>
          <w:spacing w:val="-1"/>
        </w:rPr>
        <w:t>a</w:t>
      </w:r>
      <w:r>
        <w:rPr/>
        <w:t>d de</w:t>
      </w:r>
      <w:r>
        <w:rPr>
          <w:spacing w:val="-1"/>
        </w:rPr>
        <w:t> ca</w:t>
      </w:r>
      <w:r>
        <w:rPr>
          <w:spacing w:val="2"/>
        </w:rPr>
        <w:t>n</w:t>
      </w:r>
      <w:r>
        <w:rPr>
          <w:spacing w:val="-1"/>
        </w:rPr>
        <w:t>a</w:t>
      </w:r>
      <w:r>
        <w:rPr>
          <w:w w:val="99"/>
        </w:rPr>
        <w:t>les</w:t>
      </w:r>
      <w:r>
        <w:rPr/>
        <w:t> obt</w:t>
      </w:r>
      <w:r>
        <w:rPr>
          <w:spacing w:val="1"/>
        </w:rPr>
        <w:t>e</w:t>
      </w:r>
      <w:r>
        <w:rPr/>
        <w:t>nida </w:t>
      </w:r>
      <w:r>
        <w:rPr>
          <w:spacing w:val="-2"/>
        </w:rPr>
        <w:t>e</w:t>
      </w:r>
      <w:r>
        <w:rPr/>
        <w:t>n r</w:t>
      </w:r>
      <w:r>
        <w:rPr>
          <w:spacing w:val="-2"/>
        </w:rPr>
        <w:t>a</w:t>
      </w:r>
      <w:r>
        <w:rPr>
          <w:w w:val="99"/>
        </w:rPr>
        <w:t>stro</w:t>
      </w:r>
    </w:p>
    <w:p>
      <w:pPr>
        <w:pStyle w:val="BodyText"/>
        <w:spacing w:line="216" w:lineRule="exact" w:before="260"/>
        <w:ind w:left="248"/>
        <w:rPr>
          <w:rFonts w:ascii="Cambria Math" w:eastAsia="Cambria Math"/>
        </w:rPr>
      </w:pPr>
      <w:r>
        <w:rPr/>
        <w:pict>
          <v:shape style="position:absolute;margin-left:70.944pt;margin-top:22.236403pt;width:5.8pt;height:12pt;mso-position-horizontal-relative:page;mso-position-vertical-relative:paragraph;z-index:-145816" type="#_x0000_t202" filled="false" stroked="false">
            <v:textbox inset="0,0,0,0">
              <w:txbxContent>
                <w:p>
                  <w:pPr>
                    <w:pStyle w:val="BodyText"/>
                    <w:spacing w:line="240" w:lineRule="exact"/>
                    <w:rPr>
                      <w:rFonts w:ascii="Cambria Math"/>
                    </w:rPr>
                  </w:pPr>
                  <w:r>
                    <w:rPr>
                      <w:rFonts w:ascii="Cambria Math"/>
                      <w:w w:val="99"/>
                    </w:rPr>
                    <w:t>x</w:t>
                  </w:r>
                </w:p>
              </w:txbxContent>
            </v:textbox>
            <w10:wrap type="none"/>
          </v:shape>
        </w:pict>
      </w:r>
      <w:r>
        <w:rPr>
          <w:rFonts w:ascii="Cambria Math" w:eastAsia="Cambria Math"/>
          <w:w w:val="83"/>
        </w:rPr>
        <w:t>�</w:t>
      </w:r>
    </w:p>
    <w:p>
      <w:pPr>
        <w:pStyle w:val="BodyText"/>
        <w:spacing w:line="346" w:lineRule="exact"/>
        <w:ind w:left="234" w:right="410"/>
        <w:rPr>
          <w:i/>
        </w:rPr>
      </w:pPr>
      <w:r>
        <w:rPr>
          <w:rFonts w:ascii="Cambria Math" w:hAnsi="Cambria Math" w:eastAsia="Cambria Math"/>
          <w:w w:val="90"/>
          <w:position w:val="-12"/>
        </w:rPr>
        <w:t>�� </w:t>
      </w:r>
      <w:r>
        <w:rPr>
          <w:rFonts w:ascii="Cambria Math" w:hAnsi="Cambria Math" w:eastAsia="Cambria Math"/>
        </w:rPr>
        <w:t>= </w:t>
      </w:r>
      <w:r>
        <w:rPr/>
        <w:t>Cantidad de canales enviadas de la región </w:t>
      </w:r>
      <w:r>
        <w:rPr>
          <w:i/>
        </w:rPr>
        <w:t>i </w:t>
      </w:r>
      <w:r>
        <w:rPr/>
        <w:t>a la región </w:t>
      </w:r>
      <w:r>
        <w:rPr>
          <w:i/>
        </w:rPr>
        <w:t>j</w:t>
      </w:r>
    </w:p>
    <w:p>
      <w:pPr>
        <w:pStyle w:val="BodyText"/>
        <w:spacing w:line="216" w:lineRule="exact" w:before="313"/>
        <w:ind w:left="248" w:right="410"/>
        <w:rPr>
          <w:rFonts w:ascii="Cambria Math" w:eastAsia="Cambria Math"/>
        </w:rPr>
      </w:pPr>
      <w:r>
        <w:rPr/>
        <w:pict>
          <v:shape style="position:absolute;margin-left:70.944pt;margin-top:24.886398pt;width:5.8pt;height:12pt;mso-position-horizontal-relative:page;mso-position-vertical-relative:paragraph;z-index:-145792" type="#_x0000_t202" filled="false" stroked="false">
            <v:textbox inset="0,0,0,0">
              <w:txbxContent>
                <w:p>
                  <w:pPr>
                    <w:pStyle w:val="BodyText"/>
                    <w:spacing w:line="240" w:lineRule="exact"/>
                    <w:rPr>
                      <w:rFonts w:ascii="Cambria Math"/>
                    </w:rPr>
                  </w:pPr>
                  <w:r>
                    <w:rPr>
                      <w:rFonts w:ascii="Cambria Math"/>
                      <w:w w:val="99"/>
                    </w:rPr>
                    <w:t>x</w:t>
                  </w:r>
                </w:p>
              </w:txbxContent>
            </v:textbox>
            <w10:wrap type="none"/>
          </v:shape>
        </w:pict>
      </w:r>
      <w:r>
        <w:rPr>
          <w:rFonts w:ascii="Cambria Math" w:eastAsia="Cambria Math"/>
        </w:rPr>
        <w:t>𝛿</w:t>
      </w:r>
    </w:p>
    <w:p>
      <w:pPr>
        <w:pStyle w:val="BodyText"/>
        <w:spacing w:line="346" w:lineRule="exact"/>
        <w:ind w:left="234" w:right="410"/>
        <w:rPr>
          <w:i/>
        </w:rPr>
      </w:pPr>
      <w:r>
        <w:rPr>
          <w:rFonts w:ascii="Cambria Math" w:hAnsi="Cambria Math" w:eastAsia="Cambria Math"/>
          <w:w w:val="90"/>
          <w:position w:val="-12"/>
        </w:rPr>
        <w:t>�� </w:t>
      </w:r>
      <w:r>
        <w:rPr>
          <w:rFonts w:ascii="Cambria Math" w:hAnsi="Cambria Math" w:eastAsia="Cambria Math"/>
        </w:rPr>
        <w:t>= </w:t>
      </w:r>
      <w:r>
        <w:rPr/>
        <w:t>Cerdos enviados de región </w:t>
      </w:r>
      <w:r>
        <w:rPr>
          <w:i/>
        </w:rPr>
        <w:t>i </w:t>
      </w:r>
      <w:r>
        <w:rPr/>
        <w:t>a región </w:t>
      </w:r>
      <w:r>
        <w:rPr>
          <w:i/>
        </w:rPr>
        <w:t>j</w:t>
      </w:r>
    </w:p>
    <w:p>
      <w:pPr>
        <w:spacing w:after="0" w:line="346" w:lineRule="exact"/>
        <w:sectPr>
          <w:type w:val="continuous"/>
          <w:pgSz w:w="12240" w:h="15840"/>
          <w:pgMar w:top="3260" w:bottom="280" w:left="1300" w:right="1340"/>
        </w:sectPr>
      </w:pPr>
    </w:p>
    <w:p>
      <w:pPr>
        <w:pStyle w:val="BodyText"/>
        <w:spacing w:line="360" w:lineRule="auto" w:before="125"/>
        <w:ind w:left="118" w:right="266"/>
        <w:jc w:val="both"/>
      </w:pPr>
      <w:r>
        <w:rPr/>
        <w:t>El</w:t>
      </w:r>
      <w:r>
        <w:rPr>
          <w:spacing w:val="-16"/>
        </w:rPr>
        <w:t> </w:t>
      </w:r>
      <w:r>
        <w:rPr/>
        <w:t>modelo</w:t>
      </w:r>
      <w:r>
        <w:rPr>
          <w:spacing w:val="-16"/>
        </w:rPr>
        <w:t> </w:t>
      </w:r>
      <w:r>
        <w:rPr/>
        <w:t>supone</w:t>
      </w:r>
      <w:r>
        <w:rPr>
          <w:spacing w:val="-14"/>
        </w:rPr>
        <w:t> </w:t>
      </w:r>
      <w:r>
        <w:rPr/>
        <w:t>que</w:t>
      </w:r>
      <w:r>
        <w:rPr>
          <w:spacing w:val="-14"/>
        </w:rPr>
        <w:t> </w:t>
      </w:r>
      <w:r>
        <w:rPr/>
        <w:t>existen</w:t>
      </w:r>
      <w:r>
        <w:rPr>
          <w:spacing w:val="-16"/>
        </w:rPr>
        <w:t> </w:t>
      </w:r>
      <w:r>
        <w:rPr/>
        <w:t>regiones</w:t>
      </w:r>
      <w:r>
        <w:rPr>
          <w:spacing w:val="-14"/>
        </w:rPr>
        <w:t> </w:t>
      </w:r>
      <w:r>
        <w:rPr/>
        <w:t>productoras</w:t>
      </w:r>
      <w:r>
        <w:rPr>
          <w:spacing w:val="-11"/>
        </w:rPr>
        <w:t> </w:t>
      </w:r>
      <w:r>
        <w:rPr/>
        <w:t>y</w:t>
      </w:r>
      <w:r>
        <w:rPr>
          <w:spacing w:val="-18"/>
        </w:rPr>
        <w:t> </w:t>
      </w:r>
      <w:r>
        <w:rPr/>
        <w:t>consumidoras,</w:t>
      </w:r>
      <w:r>
        <w:rPr>
          <w:spacing w:val="-16"/>
        </w:rPr>
        <w:t> </w:t>
      </w:r>
      <w:r>
        <w:rPr/>
        <w:t>los</w:t>
      </w:r>
      <w:r>
        <w:rPr>
          <w:spacing w:val="-15"/>
        </w:rPr>
        <w:t> </w:t>
      </w:r>
      <w:r>
        <w:rPr/>
        <w:t>consumidores</w:t>
      </w:r>
      <w:r>
        <w:rPr>
          <w:spacing w:val="-16"/>
        </w:rPr>
        <w:t> </w:t>
      </w:r>
      <w:r>
        <w:rPr/>
        <w:t>demandan un producto homogéneo y son indiferentes a su origen, los productores e importadores ofertan cierta cantidad de producto la cual es igual a la demanda y finalmente los costos de distribución son independientes a los volúmenes</w:t>
      </w:r>
      <w:r>
        <w:rPr>
          <w:spacing w:val="-7"/>
        </w:rPr>
        <w:t> </w:t>
      </w:r>
      <w:r>
        <w:rPr/>
        <w:t>transportados.</w:t>
      </w:r>
    </w:p>
    <w:p>
      <w:pPr>
        <w:pStyle w:val="BodyText"/>
        <w:spacing w:line="360" w:lineRule="auto" w:before="205"/>
        <w:ind w:left="118" w:right="265"/>
        <w:jc w:val="both"/>
      </w:pPr>
      <w:r>
        <w:rPr/>
        <w:t>El análisis se realizó con el software Solver Premium Platform 2014-R2 el cual desarrolla modelos de programación lineal que se utilizan en la optimización de recursos, (maximizar ganancias o ingresos y/o minimizar costos), a través de una función lineal (función objetivo), sujeta a un conjunto de restricciones lineales, que se pueden representar como igualdades o desigualdades. (Calderón, 1995)</w:t>
      </w:r>
    </w:p>
    <w:p>
      <w:pPr>
        <w:pStyle w:val="BodyText"/>
        <w:spacing w:line="360" w:lineRule="auto" w:before="205"/>
        <w:ind w:left="118" w:right="270"/>
        <w:jc w:val="both"/>
      </w:pPr>
      <w:r>
        <w:rPr/>
        <w:t>Se creó un primer escenario de mínimo costo con los datos actuales (2014) para conocer el</w:t>
      </w:r>
      <w:r>
        <w:rPr>
          <w:spacing w:val="-26"/>
        </w:rPr>
        <w:t> </w:t>
      </w:r>
      <w:r>
        <w:rPr/>
        <w:t>flujo óptimo de animales, canales y su costo mínimo de transportación y matanza y un segundo escenario de máximo costo para conocer la diferencia económica entre</w:t>
      </w:r>
      <w:r>
        <w:rPr>
          <w:spacing w:val="-13"/>
        </w:rPr>
        <w:t> </w:t>
      </w:r>
      <w:r>
        <w:rPr/>
        <w:t>ambos.</w:t>
      </w:r>
    </w:p>
    <w:p>
      <w:pPr>
        <w:pStyle w:val="BodyText"/>
        <w:spacing w:line="360" w:lineRule="auto" w:before="205"/>
        <w:ind w:left="118" w:right="269"/>
        <w:jc w:val="both"/>
        <w:rPr>
          <w:i/>
        </w:rPr>
      </w:pPr>
      <w:r>
        <w:rPr/>
        <w:t>Para</w:t>
      </w:r>
      <w:r>
        <w:rPr>
          <w:spacing w:val="-8"/>
        </w:rPr>
        <w:t> </w:t>
      </w:r>
      <w:r>
        <w:rPr/>
        <w:t>obtener</w:t>
      </w:r>
      <w:r>
        <w:rPr>
          <w:spacing w:val="-7"/>
        </w:rPr>
        <w:t> </w:t>
      </w:r>
      <w:r>
        <w:rPr/>
        <w:t>la</w:t>
      </w:r>
      <w:r>
        <w:rPr>
          <w:spacing w:val="-5"/>
        </w:rPr>
        <w:t> </w:t>
      </w:r>
      <w:r>
        <w:rPr/>
        <w:t>ubicación</w:t>
      </w:r>
      <w:r>
        <w:rPr>
          <w:spacing w:val="-3"/>
        </w:rPr>
        <w:t> </w:t>
      </w:r>
      <w:r>
        <w:rPr/>
        <w:t>y</w:t>
      </w:r>
      <w:r>
        <w:rPr>
          <w:spacing w:val="-9"/>
        </w:rPr>
        <w:t> </w:t>
      </w:r>
      <w:r>
        <w:rPr/>
        <w:t>el</w:t>
      </w:r>
      <w:r>
        <w:rPr>
          <w:spacing w:val="-6"/>
        </w:rPr>
        <w:t> </w:t>
      </w:r>
      <w:r>
        <w:rPr/>
        <w:t>tamaño</w:t>
      </w:r>
      <w:r>
        <w:rPr>
          <w:spacing w:val="-4"/>
        </w:rPr>
        <w:t> </w:t>
      </w:r>
      <w:r>
        <w:rPr/>
        <w:t>óptimos</w:t>
      </w:r>
      <w:r>
        <w:rPr>
          <w:spacing w:val="-6"/>
        </w:rPr>
        <w:t> </w:t>
      </w:r>
      <w:r>
        <w:rPr/>
        <w:t>de</w:t>
      </w:r>
      <w:r>
        <w:rPr>
          <w:spacing w:val="-7"/>
        </w:rPr>
        <w:t> </w:t>
      </w:r>
      <w:r>
        <w:rPr/>
        <w:t>los</w:t>
      </w:r>
      <w:r>
        <w:rPr>
          <w:spacing w:val="-6"/>
        </w:rPr>
        <w:t> </w:t>
      </w:r>
      <w:r>
        <w:rPr/>
        <w:t>rastros</w:t>
      </w:r>
      <w:r>
        <w:rPr>
          <w:spacing w:val="-6"/>
        </w:rPr>
        <w:t> </w:t>
      </w:r>
      <w:r>
        <w:rPr/>
        <w:t>para</w:t>
      </w:r>
      <w:r>
        <w:rPr>
          <w:spacing w:val="-6"/>
        </w:rPr>
        <w:t> </w:t>
      </w:r>
      <w:r>
        <w:rPr/>
        <w:t>2030</w:t>
      </w:r>
      <w:r>
        <w:rPr>
          <w:spacing w:val="-6"/>
        </w:rPr>
        <w:t> </w:t>
      </w:r>
      <w:r>
        <w:rPr/>
        <w:t>se</w:t>
      </w:r>
      <w:r>
        <w:rPr>
          <w:spacing w:val="-5"/>
        </w:rPr>
        <w:t> </w:t>
      </w:r>
      <w:r>
        <w:rPr/>
        <w:t>crearon</w:t>
      </w:r>
      <w:r>
        <w:rPr>
          <w:spacing w:val="-7"/>
        </w:rPr>
        <w:t> </w:t>
      </w:r>
      <w:r>
        <w:rPr/>
        <w:t>dos</w:t>
      </w:r>
      <w:r>
        <w:rPr>
          <w:spacing w:val="-4"/>
        </w:rPr>
        <w:t> </w:t>
      </w:r>
      <w:r>
        <w:rPr/>
        <w:t>escenarios más, en el tercero se consideró el mínimo costo de distribución utilizando los rastros existentes actualmente y en el cuarto eliminando la planta actual. Para ello, se realizaron las proyecciones de producción con la tasa media de crecimiento anual de la producción porcina en el Estado de México y Distrito Federal y la proyección del consumo con la tasa media de crecimiento anual de la población manteniendo el mismo consumo </w:t>
      </w:r>
      <w:r>
        <w:rPr>
          <w:i/>
        </w:rPr>
        <w:t>per</w:t>
      </w:r>
      <w:r>
        <w:rPr>
          <w:i/>
          <w:spacing w:val="-6"/>
        </w:rPr>
        <w:t> </w:t>
      </w:r>
      <w:r>
        <w:rPr>
          <w:i/>
        </w:rPr>
        <w:t>cápita.</w:t>
      </w:r>
    </w:p>
    <w:p>
      <w:pPr>
        <w:pStyle w:val="Heading4"/>
        <w:numPr>
          <w:ilvl w:val="1"/>
          <w:numId w:val="12"/>
        </w:numPr>
        <w:tabs>
          <w:tab w:pos="479" w:val="left" w:leader="none"/>
        </w:tabs>
        <w:spacing w:line="240" w:lineRule="auto" w:before="208" w:after="0"/>
        <w:ind w:left="478" w:right="0" w:hanging="360"/>
        <w:jc w:val="both"/>
      </w:pPr>
      <w:bookmarkStart w:name="_bookmark18" w:id="29"/>
      <w:bookmarkEnd w:id="29"/>
      <w:r>
        <w:rPr>
          <w:b w:val="0"/>
        </w:rPr>
      </w:r>
      <w:bookmarkStart w:name="_bookmark18" w:id="30"/>
      <w:bookmarkEnd w:id="30"/>
      <w:r>
        <w:rPr/>
        <w:t>M</w:t>
      </w:r>
      <w:r>
        <w:rPr/>
        <w:t>ercado de la carne de cerdo en México, un modelo de</w:t>
      </w:r>
      <w:r>
        <w:rPr>
          <w:spacing w:val="-16"/>
        </w:rPr>
        <w:t> </w:t>
      </w:r>
      <w:r>
        <w:rPr/>
        <w:t>optimización.</w:t>
      </w:r>
    </w:p>
    <w:p>
      <w:pPr>
        <w:pStyle w:val="BodyText"/>
        <w:rPr>
          <w:b/>
        </w:rPr>
      </w:pPr>
    </w:p>
    <w:p>
      <w:pPr>
        <w:pStyle w:val="BodyText"/>
        <w:spacing w:before="2"/>
        <w:rPr>
          <w:b/>
          <w:sz w:val="29"/>
        </w:rPr>
      </w:pPr>
    </w:p>
    <w:p>
      <w:pPr>
        <w:pStyle w:val="BodyText"/>
        <w:ind w:left="118"/>
        <w:jc w:val="both"/>
      </w:pPr>
      <w:r>
        <w:rPr/>
        <w:t>Se formuló un modelo de programación no lineal, que maximiza el VSN</w:t>
      </w:r>
      <w:r>
        <w:rPr>
          <w:color w:val="FF0000"/>
        </w:rPr>
        <w:t>.</w:t>
      </w:r>
    </w:p>
    <w:p>
      <w:pPr>
        <w:pStyle w:val="BodyText"/>
        <w:spacing w:before="4"/>
        <w:rPr>
          <w:sz w:val="29"/>
        </w:rPr>
      </w:pPr>
    </w:p>
    <w:p>
      <w:pPr>
        <w:pStyle w:val="BodyText"/>
        <w:spacing w:line="360" w:lineRule="auto" w:before="1"/>
        <w:ind w:left="118" w:right="269"/>
        <w:jc w:val="both"/>
      </w:pPr>
      <w:r>
        <w:rPr/>
        <w:t>La función objetivo (Valor Social Neto) maximiza las áreas bajo las curvas de las demandas, menos</w:t>
      </w:r>
      <w:r>
        <w:rPr>
          <w:spacing w:val="-11"/>
        </w:rPr>
        <w:t> </w:t>
      </w:r>
      <w:r>
        <w:rPr/>
        <w:t>las</w:t>
      </w:r>
      <w:r>
        <w:rPr>
          <w:spacing w:val="-11"/>
        </w:rPr>
        <w:t> </w:t>
      </w:r>
      <w:r>
        <w:rPr/>
        <w:t>áreas</w:t>
      </w:r>
      <w:r>
        <w:rPr>
          <w:spacing w:val="-11"/>
        </w:rPr>
        <w:t> </w:t>
      </w:r>
      <w:r>
        <w:rPr/>
        <w:t>bajo</w:t>
      </w:r>
      <w:r>
        <w:rPr>
          <w:spacing w:val="-11"/>
        </w:rPr>
        <w:t> </w:t>
      </w:r>
      <w:r>
        <w:rPr/>
        <w:t>las</w:t>
      </w:r>
      <w:r>
        <w:rPr>
          <w:spacing w:val="-11"/>
        </w:rPr>
        <w:t> </w:t>
      </w:r>
      <w:r>
        <w:rPr/>
        <w:t>curvas</w:t>
      </w:r>
      <w:r>
        <w:rPr>
          <w:spacing w:val="-11"/>
        </w:rPr>
        <w:t> </w:t>
      </w:r>
      <w:r>
        <w:rPr/>
        <w:t>de</w:t>
      </w:r>
      <w:r>
        <w:rPr>
          <w:spacing w:val="-12"/>
        </w:rPr>
        <w:t> </w:t>
      </w:r>
      <w:r>
        <w:rPr/>
        <w:t>las</w:t>
      </w:r>
      <w:r>
        <w:rPr>
          <w:spacing w:val="-11"/>
        </w:rPr>
        <w:t> </w:t>
      </w:r>
      <w:r>
        <w:rPr/>
        <w:t>ofertas,</w:t>
      </w:r>
      <w:r>
        <w:rPr>
          <w:spacing w:val="-11"/>
        </w:rPr>
        <w:t> </w:t>
      </w:r>
      <w:r>
        <w:rPr/>
        <w:t>las</w:t>
      </w:r>
      <w:r>
        <w:rPr>
          <w:spacing w:val="-11"/>
        </w:rPr>
        <w:t> </w:t>
      </w:r>
      <w:r>
        <w:rPr/>
        <w:t>cuales</w:t>
      </w:r>
      <w:r>
        <w:rPr>
          <w:spacing w:val="-11"/>
        </w:rPr>
        <w:t> </w:t>
      </w:r>
      <w:r>
        <w:rPr/>
        <w:t>se</w:t>
      </w:r>
      <w:r>
        <w:rPr>
          <w:spacing w:val="-12"/>
        </w:rPr>
        <w:t> </w:t>
      </w:r>
      <w:r>
        <w:rPr/>
        <w:t>obtienen</w:t>
      </w:r>
      <w:r>
        <w:rPr>
          <w:spacing w:val="-11"/>
        </w:rPr>
        <w:t> </w:t>
      </w:r>
      <w:r>
        <w:rPr/>
        <w:t>integrando</w:t>
      </w:r>
      <w:r>
        <w:rPr>
          <w:spacing w:val="-11"/>
        </w:rPr>
        <w:t> </w:t>
      </w:r>
      <w:r>
        <w:rPr/>
        <w:t>matemáticamente la funciones inversas de demanda y de oferta, menos los costos de transporte (Figura 1) (Takayama </w:t>
      </w:r>
      <w:r>
        <w:rPr>
          <w:i/>
        </w:rPr>
        <w:t>et al</w:t>
      </w:r>
      <w:r>
        <w:rPr/>
        <w:t>.,</w:t>
      </w:r>
      <w:r>
        <w:rPr>
          <w:spacing w:val="-5"/>
        </w:rPr>
        <w:t> </w:t>
      </w:r>
      <w:r>
        <w:rPr/>
        <w:t>1964).</w:t>
      </w:r>
    </w:p>
    <w:p>
      <w:pPr>
        <w:spacing w:after="0" w:line="360" w:lineRule="auto"/>
        <w:jc w:val="both"/>
        <w:sectPr>
          <w:pgSz w:w="12240" w:h="15840"/>
          <w:pgMar w:header="984" w:footer="986" w:top="1280" w:bottom="1180" w:left="1300" w:right="1340"/>
        </w:sectPr>
      </w:pPr>
    </w:p>
    <w:p>
      <w:pPr>
        <w:pStyle w:val="BodyText"/>
        <w:spacing w:before="125"/>
        <w:ind w:left="118" w:right="410"/>
      </w:pPr>
      <w:r>
        <w:rPr/>
        <w:t>Figura 1: Representación gráfica del modelo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2"/>
        </w:rPr>
      </w:pPr>
      <w:r>
        <w:rPr/>
        <w:pict>
          <v:group style="position:absolute;margin-left:81.720001pt;margin-top:9.348218pt;width:291.850pt;height:167.9pt;mso-position-horizontal-relative:page;mso-position-vertical-relative:paragraph;z-index:4216;mso-wrap-distance-left:0;mso-wrap-distance-right:0" coordorigin="1634,187" coordsize="5837,3358">
            <v:line style="position:absolute" from="1922,545" to="1922,3093" stroked="true" strokeweight=".48pt" strokecolor="#000000"/>
            <v:line style="position:absolute" from="1922,3093" to="4476,3093" stroked="true" strokeweight=".48pt" strokecolor="#000000"/>
            <v:line style="position:absolute" from="1922,835" to="3040,3111" stroked="true" strokeweight=".48pt" strokecolor="#000000"/>
            <v:line style="position:absolute" from="2052,3194" to="3796,1068" stroked="true" strokeweight=".48pt" strokecolor="#000000"/>
            <v:shape style="position:absolute;left:1783;top:187;width:384;height:439" type="#_x0000_t75" stroked="false">
              <v:imagedata r:id="rId40" o:title=""/>
            </v:shape>
            <v:shape style="position:absolute;left:4426;top:2937;width:434;height:439" type="#_x0000_t75" stroked="false">
              <v:imagedata r:id="rId41" o:title=""/>
            </v:shape>
            <v:shape style="position:absolute;left:1783;top:511;width:4709;height:612" type="#_x0000_t75" stroked="false">
              <v:imagedata r:id="rId42" o:title=""/>
            </v:shape>
            <v:shape style="position:absolute;left:3379;top:1281;width:4092;height:612" type="#_x0000_t75" stroked="false">
              <v:imagedata r:id="rId43" o:title=""/>
            </v:shape>
            <v:shape style="position:absolute;left:2402;top:2570;width:4426;height:552" type="#_x0000_t75" stroked="false">
              <v:imagedata r:id="rId44" o:title=""/>
            </v:shape>
            <v:shape style="position:absolute;left:1634;top:3105;width:386;height:439" type="#_x0000_t75" stroked="false">
              <v:imagedata r:id="rId40" o:title=""/>
            </v:shape>
            <v:shape style="position:absolute;left:1928;top:216;width:161;height:240" type="#_x0000_t202" filled="false" stroked="false">
              <v:textbox inset="0,0,0,0">
                <w:txbxContent>
                  <w:p>
                    <w:pPr>
                      <w:spacing w:line="240" w:lineRule="exact" w:before="0"/>
                      <w:ind w:left="0" w:right="0" w:firstLine="0"/>
                      <w:jc w:val="left"/>
                      <w:rPr>
                        <w:rFonts w:ascii="Arial"/>
                        <w:i/>
                        <w:sz w:val="24"/>
                      </w:rPr>
                    </w:pPr>
                    <w:r>
                      <w:rPr>
                        <w:rFonts w:ascii="Arial"/>
                        <w:i/>
                        <w:w w:val="100"/>
                        <w:sz w:val="24"/>
                      </w:rPr>
                      <w:t>P</w:t>
                    </w:r>
                  </w:p>
                </w:txbxContent>
              </v:textbox>
              <w10:wrap type="none"/>
            </v:shape>
            <v:shape style="position:absolute;left:2568;top:588;width:3020;height:240" type="#_x0000_t202" filled="false" stroked="false">
              <v:textbox inset="0,0,0,0">
                <w:txbxContent>
                  <w:p>
                    <w:pPr>
                      <w:spacing w:line="240" w:lineRule="exact" w:before="0"/>
                      <w:ind w:left="0" w:right="0" w:firstLine="0"/>
                      <w:jc w:val="left"/>
                      <w:rPr>
                        <w:rFonts w:ascii="Cambria Math" w:hAnsi="Cambria Math" w:eastAsia="Cambria Math"/>
                        <w:sz w:val="24"/>
                      </w:rPr>
                    </w:pPr>
                    <w:r>
                      <w:rPr>
                        <w:rFonts w:ascii="Cambria Math" w:hAnsi="Cambria Math" w:eastAsia="Cambria Math"/>
                        <w:sz w:val="24"/>
                      </w:rPr>
                      <w:t>���𝑎��𝑎 = 𝜆 � + ⁄   𝜔 �</w:t>
                    </w:r>
                  </w:p>
                </w:txbxContent>
              </v:textbox>
              <w10:wrap type="none"/>
            </v:shape>
            <v:shape style="position:absolute;left:4095;top:692;width:361;height:171" type="#_x0000_t202" filled="false" stroked="false">
              <v:textbox inset="0,0,0,0">
                <w:txbxContent>
                  <w:p>
                    <w:pPr>
                      <w:spacing w:line="170" w:lineRule="exact" w:before="0"/>
                      <w:ind w:left="0" w:right="0" w:firstLine="0"/>
                      <w:jc w:val="left"/>
                      <w:rPr>
                        <w:rFonts w:ascii="Cambria Math" w:eastAsia="Cambria Math"/>
                        <w:sz w:val="17"/>
                      </w:rPr>
                    </w:pPr>
                    <w:r>
                      <w:rPr>
                        <w:rFonts w:ascii="Cambria Math" w:eastAsia="Cambria Math"/>
                        <w:w w:val="110"/>
                        <w:sz w:val="17"/>
                      </w:rPr>
                      <w:t>𝑑 𝑑</w:t>
                    </w:r>
                  </w:p>
                </w:txbxContent>
              </v:textbox>
              <w10:wrap type="none"/>
            </v:shape>
            <v:shape style="position:absolute;left:4758;top:511;width:113;height:240" type="#_x0000_t202" filled="false" stroked="false">
              <v:textbox inset="0,0,0,0">
                <w:txbxContent>
                  <w:p>
                    <w:pPr>
                      <w:spacing w:line="240" w:lineRule="exact" w:before="0"/>
                      <w:ind w:left="0" w:right="0" w:firstLine="0"/>
                      <w:jc w:val="left"/>
                      <w:rPr>
                        <w:rFonts w:ascii="Cambria Math"/>
                        <w:sz w:val="24"/>
                      </w:rPr>
                    </w:pPr>
                    <w:r>
                      <w:rPr>
                        <w:rFonts w:ascii="Cambria Math"/>
                        <w:spacing w:val="-21"/>
                        <w:w w:val="100"/>
                        <w:sz w:val="24"/>
                      </w:rPr>
                      <w:t>1</w:t>
                    </w:r>
                  </w:p>
                </w:txbxContent>
              </v:textbox>
              <w10:wrap type="none"/>
            </v:shape>
            <v:shape style="position:absolute;left:5600;top:551;width:99;height:171" type="#_x0000_t202" filled="false" stroked="false">
              <v:textbox inset="0,0,0,0">
                <w:txbxContent>
                  <w:p>
                    <w:pPr>
                      <w:spacing w:line="170" w:lineRule="exact" w:before="0"/>
                      <w:ind w:left="0" w:right="0" w:firstLine="0"/>
                      <w:jc w:val="left"/>
                      <w:rPr>
                        <w:rFonts w:ascii="Cambria Math"/>
                        <w:sz w:val="17"/>
                      </w:rPr>
                    </w:pPr>
                    <w:r>
                      <w:rPr>
                        <w:rFonts w:ascii="Cambria Math"/>
                        <w:w w:val="104"/>
                        <w:sz w:val="17"/>
                      </w:rPr>
                      <w:t>2</w:t>
                    </w:r>
                  </w:p>
                </w:txbxContent>
              </v:textbox>
              <w10:wrap type="none"/>
            </v:shape>
            <v:shape style="position:absolute;left:4983;top:686;width:133;height:240" type="#_x0000_t202" filled="false" stroked="false">
              <v:textbox inset="0,0,0,0">
                <w:txbxContent>
                  <w:p>
                    <w:pPr>
                      <w:spacing w:line="240" w:lineRule="exact" w:before="0"/>
                      <w:ind w:left="0" w:right="0" w:firstLine="0"/>
                      <w:jc w:val="left"/>
                      <w:rPr>
                        <w:rFonts w:ascii="Cambria Math"/>
                        <w:sz w:val="24"/>
                      </w:rPr>
                    </w:pPr>
                    <w:r>
                      <w:rPr>
                        <w:rFonts w:ascii="Cambria Math"/>
                        <w:w w:val="100"/>
                        <w:sz w:val="24"/>
                      </w:rPr>
                      <w:t>2</w:t>
                    </w:r>
                  </w:p>
                </w:txbxContent>
              </v:textbox>
              <w10:wrap type="none"/>
            </v:shape>
            <v:shape style="position:absolute;left:5331;top:692;width:359;height:178" type="#_x0000_t202" filled="false" stroked="false">
              <v:textbox inset="0,0,0,0">
                <w:txbxContent>
                  <w:p>
                    <w:pPr>
                      <w:spacing w:line="178" w:lineRule="exact" w:before="0"/>
                      <w:ind w:left="0" w:right="0" w:firstLine="0"/>
                      <w:jc w:val="left"/>
                      <w:rPr>
                        <w:rFonts w:ascii="Cambria Math" w:eastAsia="Cambria Math"/>
                        <w:sz w:val="17"/>
                      </w:rPr>
                    </w:pPr>
                    <w:r>
                      <w:rPr>
                        <w:rFonts w:ascii="Cambria Math" w:eastAsia="Cambria Math"/>
                        <w:w w:val="110"/>
                        <w:position w:val="1"/>
                        <w:sz w:val="17"/>
                      </w:rPr>
                      <w:t>𝑑 </w:t>
                    </w:r>
                    <w:r>
                      <w:rPr>
                        <w:rFonts w:ascii="Cambria Math" w:eastAsia="Cambria Math"/>
                        <w:w w:val="110"/>
                        <w:sz w:val="17"/>
                      </w:rPr>
                      <w:t>𝑑</w:t>
                    </w:r>
                  </w:p>
                </w:txbxContent>
              </v:textbox>
              <w10:wrap type="none"/>
            </v:shape>
            <v:shape style="position:absolute;left:4069;top:1358;width:2593;height:240" type="#_x0000_t202" filled="false" stroked="false">
              <v:textbox inset="0,0,0,0">
                <w:txbxContent>
                  <w:p>
                    <w:pPr>
                      <w:spacing w:line="240" w:lineRule="exact" w:before="0"/>
                      <w:ind w:left="0" w:right="0" w:firstLine="0"/>
                      <w:jc w:val="left"/>
                      <w:rPr>
                        <w:rFonts w:ascii="Cambria Math" w:hAnsi="Cambria Math" w:eastAsia="Cambria Math"/>
                        <w:sz w:val="24"/>
                      </w:rPr>
                    </w:pPr>
                    <w:r>
                      <w:rPr>
                        <w:rFonts w:ascii="Cambria Math" w:hAnsi="Cambria Math" w:eastAsia="Cambria Math"/>
                        <w:sz w:val="24"/>
                      </w:rPr>
                      <w:t>�����𝑎 = 𝜈 � + ⁄  𝜂 �</w:t>
                    </w:r>
                  </w:p>
                </w:txbxContent>
              </v:textbox>
              <w10:wrap type="none"/>
            </v:shape>
            <v:shape style="position:absolute;left:5912;top:1282;width:113;height:240" type="#_x0000_t202" filled="false" stroked="false">
              <v:textbox inset="0,0,0,0">
                <w:txbxContent>
                  <w:p>
                    <w:pPr>
                      <w:spacing w:line="240" w:lineRule="exact" w:before="0"/>
                      <w:ind w:left="0" w:right="0" w:firstLine="0"/>
                      <w:jc w:val="left"/>
                      <w:rPr>
                        <w:rFonts w:ascii="Cambria Math"/>
                        <w:sz w:val="24"/>
                      </w:rPr>
                    </w:pPr>
                    <w:r>
                      <w:rPr>
                        <w:rFonts w:ascii="Cambria Math"/>
                        <w:spacing w:val="-21"/>
                        <w:w w:val="100"/>
                        <w:sz w:val="24"/>
                      </w:rPr>
                      <w:t>1</w:t>
                    </w:r>
                  </w:p>
                </w:txbxContent>
              </v:textbox>
              <w10:wrap type="none"/>
            </v:shape>
            <v:shape style="position:absolute;left:6673;top:1326;width:99;height:171" type="#_x0000_t202" filled="false" stroked="false">
              <v:textbox inset="0,0,0,0">
                <w:txbxContent>
                  <w:p>
                    <w:pPr>
                      <w:spacing w:line="170" w:lineRule="exact" w:before="0"/>
                      <w:ind w:left="0" w:right="0" w:firstLine="0"/>
                      <w:jc w:val="left"/>
                      <w:rPr>
                        <w:rFonts w:ascii="Cambria Math"/>
                        <w:sz w:val="17"/>
                      </w:rPr>
                    </w:pPr>
                    <w:r>
                      <w:rPr>
                        <w:rFonts w:ascii="Cambria Math"/>
                        <w:w w:val="104"/>
                        <w:sz w:val="17"/>
                      </w:rPr>
                      <w:t>2</w:t>
                    </w:r>
                  </w:p>
                </w:txbxContent>
              </v:textbox>
              <w10:wrap type="none"/>
            </v:shape>
            <v:shape style="position:absolute;left:5310;top:1463;width:304;height:171" type="#_x0000_t202" filled="false" stroked="false">
              <v:textbox inset="0,0,0,0">
                <w:txbxContent>
                  <w:p>
                    <w:pPr>
                      <w:spacing w:line="170" w:lineRule="exact" w:before="0"/>
                      <w:ind w:left="0" w:right="0" w:firstLine="0"/>
                      <w:jc w:val="left"/>
                      <w:rPr>
                        <w:rFonts w:ascii="Cambria Math" w:eastAsia="Cambria Math"/>
                        <w:sz w:val="17"/>
                      </w:rPr>
                    </w:pPr>
                    <w:r>
                      <w:rPr>
                        <w:rFonts w:ascii="Cambria Math" w:eastAsia="Cambria Math"/>
                        <w:w w:val="105"/>
                        <w:sz w:val="17"/>
                      </w:rPr>
                      <w:t>𝑠 𝑠</w:t>
                    </w:r>
                  </w:p>
                </w:txbxContent>
              </v:textbox>
              <w10:wrap type="none"/>
            </v:shape>
            <v:shape style="position:absolute;left:6138;top:1457;width:133;height:240" type="#_x0000_t202" filled="false" stroked="false">
              <v:textbox inset="0,0,0,0">
                <w:txbxContent>
                  <w:p>
                    <w:pPr>
                      <w:spacing w:line="240" w:lineRule="exact" w:before="0"/>
                      <w:ind w:left="0" w:right="0" w:firstLine="0"/>
                      <w:jc w:val="left"/>
                      <w:rPr>
                        <w:rFonts w:ascii="Cambria Math"/>
                        <w:sz w:val="24"/>
                      </w:rPr>
                    </w:pPr>
                    <w:r>
                      <w:rPr>
                        <w:rFonts w:ascii="Cambria Math"/>
                        <w:w w:val="100"/>
                        <w:sz w:val="24"/>
                      </w:rPr>
                      <w:t>2</w:t>
                    </w:r>
                  </w:p>
                </w:txbxContent>
              </v:textbox>
              <w10:wrap type="none"/>
            </v:shape>
            <v:shape style="position:absolute;left:6436;top:1463;width:306;height:171" type="#_x0000_t202" filled="false" stroked="false">
              <v:textbox inset="0,0,0,0">
                <w:txbxContent>
                  <w:p>
                    <w:pPr>
                      <w:spacing w:line="170" w:lineRule="exact" w:before="0"/>
                      <w:ind w:left="0" w:right="-19" w:firstLine="0"/>
                      <w:jc w:val="left"/>
                      <w:rPr>
                        <w:rFonts w:ascii="Cambria Math" w:eastAsia="Cambria Math"/>
                        <w:sz w:val="17"/>
                      </w:rPr>
                    </w:pPr>
                    <w:r>
                      <w:rPr>
                        <w:rFonts w:ascii="Cambria Math" w:eastAsia="Cambria Math"/>
                        <w:w w:val="105"/>
                        <w:sz w:val="17"/>
                      </w:rPr>
                      <w:t>𝑠 𝑠</w:t>
                    </w:r>
                  </w:p>
                </w:txbxContent>
              </v:textbox>
              <w10:wrap type="none"/>
            </v:shape>
            <v:shape style="position:absolute;left:1779;top:3133;width:134;height:240" type="#_x0000_t202" filled="false" stroked="false">
              <v:textbox inset="0,0,0,0">
                <w:txbxContent>
                  <w:p>
                    <w:pPr>
                      <w:spacing w:line="240" w:lineRule="exact" w:before="0"/>
                      <w:ind w:left="0" w:right="0" w:firstLine="0"/>
                      <w:jc w:val="left"/>
                      <w:rPr>
                        <w:rFonts w:ascii="Arial"/>
                        <w:i/>
                        <w:sz w:val="24"/>
                      </w:rPr>
                    </w:pPr>
                    <w:r>
                      <w:rPr>
                        <w:rFonts w:ascii="Arial"/>
                        <w:i/>
                        <w:w w:val="99"/>
                        <w:sz w:val="24"/>
                      </w:rPr>
                      <w:t>0</w:t>
                    </w:r>
                  </w:p>
                </w:txbxContent>
              </v:textbox>
              <w10:wrap type="none"/>
            </v:shape>
            <v:shape style="position:absolute;left:3144;top:2638;width:2943;height:567" type="#_x0000_t202" filled="false" stroked="false">
              <v:textbox inset="0,0,0,0">
                <w:txbxContent>
                  <w:p>
                    <w:pPr>
                      <w:spacing w:line="282" w:lineRule="exact" w:before="0"/>
                      <w:ind w:left="155" w:right="156" w:firstLine="0"/>
                      <w:jc w:val="center"/>
                      <w:rPr>
                        <w:rFonts w:ascii="Cambria Math" w:eastAsia="Cambria Math"/>
                        <w:sz w:val="24"/>
                      </w:rPr>
                    </w:pPr>
                    <w:r>
                      <w:rPr>
                        <w:rFonts w:ascii="Cambria Math" w:eastAsia="Cambria Math"/>
                        <w:spacing w:val="-9"/>
                        <w:w w:val="75"/>
                        <w:sz w:val="24"/>
                      </w:rPr>
                      <w:t>����� </w:t>
                    </w:r>
                    <w:r>
                      <w:rPr>
                        <w:rFonts w:ascii="Cambria Math" w:eastAsia="Cambria Math"/>
                        <w:spacing w:val="-8"/>
                        <w:w w:val="75"/>
                        <w:sz w:val="24"/>
                      </w:rPr>
                      <w:t>��𝑎������ = </w:t>
                    </w:r>
                    <w:r>
                      <w:rPr>
                        <w:rFonts w:ascii="Cambria Math" w:eastAsia="Cambria Math"/>
                        <w:spacing w:val="-46"/>
                        <w:sz w:val="24"/>
                      </w:rPr>
                      <w:t>[�</w:t>
                    </w:r>
                    <w:r>
                      <w:rPr>
                        <w:rFonts w:ascii="Cambria Math" w:eastAsia="Cambria Math"/>
                        <w:spacing w:val="-46"/>
                        <w:position w:val="-4"/>
                        <w:sz w:val="17"/>
                      </w:rPr>
                      <w:t>𝑠𝑑</w:t>
                    </w:r>
                    <w:r>
                      <w:rPr>
                        <w:rFonts w:ascii="Cambria Math" w:eastAsia="Cambria Math"/>
                        <w:spacing w:val="24"/>
                        <w:position w:val="-4"/>
                        <w:sz w:val="17"/>
                      </w:rPr>
                      <w:t> </w:t>
                    </w:r>
                    <w:r>
                      <w:rPr>
                        <w:rFonts w:ascii="Cambria Math" w:eastAsia="Cambria Math"/>
                        <w:spacing w:val="-45"/>
                        <w:sz w:val="24"/>
                      </w:rPr>
                      <w:t>�</w:t>
                    </w:r>
                    <w:r>
                      <w:rPr>
                        <w:rFonts w:ascii="Cambria Math" w:eastAsia="Cambria Math"/>
                        <w:spacing w:val="-45"/>
                        <w:position w:val="-4"/>
                        <w:sz w:val="17"/>
                      </w:rPr>
                      <w:t>𝑠𝑑</w:t>
                    </w:r>
                    <w:r>
                      <w:rPr>
                        <w:rFonts w:ascii="Cambria Math" w:eastAsia="Cambria Math"/>
                        <w:spacing w:val="-45"/>
                        <w:sz w:val="24"/>
                      </w:rPr>
                      <w:t>]</w:t>
                    </w:r>
                  </w:p>
                  <w:p>
                    <w:pPr>
                      <w:spacing w:line="271" w:lineRule="exact" w:before="13"/>
                      <w:ind w:left="97" w:right="0" w:firstLine="0"/>
                      <w:jc w:val="center"/>
                      <w:rPr>
                        <w:rFonts w:ascii="Arial"/>
                        <w:i/>
                        <w:sz w:val="24"/>
                      </w:rPr>
                    </w:pPr>
                    <w:r>
                      <w:rPr>
                        <w:rFonts w:ascii="Arial"/>
                        <w:i/>
                        <w:w w:val="100"/>
                        <w:sz w:val="24"/>
                      </w:rPr>
                      <w:t>Q</w:t>
                    </w:r>
                  </w:p>
                </w:txbxContent>
              </v:textbox>
              <w10:wrap type="none"/>
            </v:shape>
            <w10:wrap type="topAndBottom"/>
          </v:group>
        </w:pict>
      </w:r>
    </w:p>
    <w:p>
      <w:pPr>
        <w:pStyle w:val="BodyText"/>
        <w:rPr>
          <w:sz w:val="20"/>
        </w:rPr>
      </w:pPr>
    </w:p>
    <w:p>
      <w:pPr>
        <w:pStyle w:val="BodyText"/>
        <w:rPr>
          <w:sz w:val="20"/>
        </w:rPr>
      </w:pPr>
    </w:p>
    <w:p>
      <w:pPr>
        <w:pStyle w:val="BodyText"/>
        <w:spacing w:before="3"/>
        <w:rPr>
          <w:sz w:val="17"/>
        </w:rPr>
      </w:pPr>
    </w:p>
    <w:p>
      <w:pPr>
        <w:spacing w:after="0"/>
        <w:rPr>
          <w:sz w:val="17"/>
        </w:rPr>
        <w:sectPr>
          <w:pgSz w:w="12240" w:h="15840"/>
          <w:pgMar w:header="984" w:footer="986" w:top="1280" w:bottom="1180" w:left="1300" w:right="1340"/>
        </w:sectPr>
      </w:pPr>
    </w:p>
    <w:p>
      <w:pPr>
        <w:pStyle w:val="BodyText"/>
        <w:tabs>
          <w:tab w:pos="1913" w:val="left" w:leader="none"/>
        </w:tabs>
        <w:spacing w:line="225" w:lineRule="exact" w:before="64"/>
        <w:ind w:left="118"/>
        <w:rPr>
          <w:rFonts w:ascii="Cambria Math" w:hAnsi="Cambria Math" w:eastAsia="Cambria Math"/>
        </w:rPr>
      </w:pPr>
      <w:r>
        <w:rPr>
          <w:rFonts w:ascii="Cambria Math" w:hAnsi="Cambria Math" w:eastAsia="Cambria Math"/>
          <w:spacing w:val="-46"/>
        </w:rPr>
        <w:t>�𝑎�      𝑉𝑆�      </w:t>
      </w:r>
      <w:r>
        <w:rPr>
          <w:rFonts w:ascii="Cambria Math" w:hAnsi="Cambria Math" w:eastAsia="Cambria Math"/>
          <w:spacing w:val="-42"/>
        </w:rPr>
        <w:t> </w:t>
      </w:r>
      <w:r>
        <w:rPr>
          <w:rFonts w:ascii="Cambria Math" w:hAnsi="Cambria Math" w:eastAsia="Cambria Math"/>
          <w:spacing w:val="-46"/>
        </w:rPr>
        <w:t>=      </w:t>
      </w:r>
      <w:r>
        <w:rPr>
          <w:rFonts w:ascii="Cambria Math" w:hAnsi="Cambria Math" w:eastAsia="Cambria Math"/>
          <w:spacing w:val="-45"/>
        </w:rPr>
        <w:t> </w:t>
      </w:r>
      <w:r>
        <w:rPr>
          <w:rFonts w:ascii="Cambria Math" w:hAnsi="Cambria Math" w:eastAsia="Cambria Math"/>
          <w:spacing w:val="-46"/>
          <w:position w:val="1"/>
        </w:rPr>
        <w:t>∑</w:t>
      </w:r>
      <w:r>
        <w:rPr>
          <w:rFonts w:ascii="Cambria Math" w:hAnsi="Cambria Math" w:eastAsia="Cambria Math"/>
          <w:spacing w:val="-46"/>
          <w:position w:val="10"/>
          <w:sz w:val="17"/>
        </w:rPr>
        <w:t>8</w:t>
        <w:tab/>
      </w:r>
      <w:r>
        <w:rPr>
          <w:rFonts w:ascii="Cambria Math" w:hAnsi="Cambria Math" w:eastAsia="Cambria Math"/>
          <w:spacing w:val="-45"/>
        </w:rPr>
        <w:t>[𝜆</w:t>
      </w:r>
      <w:r>
        <w:rPr>
          <w:rFonts w:ascii="Cambria Math" w:hAnsi="Cambria Math" w:eastAsia="Cambria Math"/>
          <w:spacing w:val="-45"/>
          <w:position w:val="-4"/>
          <w:sz w:val="17"/>
        </w:rPr>
        <w:t>𝑑</w:t>
      </w:r>
      <w:r>
        <w:rPr>
          <w:rFonts w:ascii="Cambria Math" w:hAnsi="Cambria Math" w:eastAsia="Cambria Math"/>
          <w:spacing w:val="-45"/>
        </w:rPr>
        <w:t>�</w:t>
      </w:r>
      <w:r>
        <w:rPr>
          <w:rFonts w:ascii="Cambria Math" w:hAnsi="Cambria Math" w:eastAsia="Cambria Math"/>
          <w:spacing w:val="-45"/>
          <w:position w:val="-4"/>
          <w:sz w:val="17"/>
        </w:rPr>
        <w:t>𝑑</w:t>
      </w:r>
      <w:r>
        <w:rPr>
          <w:rFonts w:ascii="Cambria Math" w:hAnsi="Cambria Math" w:eastAsia="Cambria Math"/>
          <w:spacing w:val="14"/>
          <w:position w:val="-4"/>
          <w:sz w:val="17"/>
        </w:rPr>
        <w:t> </w:t>
      </w:r>
      <w:r>
        <w:rPr>
          <w:rFonts w:ascii="Cambria Math" w:hAnsi="Cambria Math" w:eastAsia="Cambria Math"/>
          <w:spacing w:val="-45"/>
        </w:rPr>
        <w:t>+     </w:t>
      </w:r>
      <w:r>
        <w:rPr>
          <w:rFonts w:ascii="Cambria Math" w:hAnsi="Cambria Math" w:eastAsia="Cambria Math"/>
          <w:spacing w:val="-45"/>
          <w:position w:val="8"/>
        </w:rPr>
        <w:t>1</w:t>
      </w:r>
      <w:r>
        <w:rPr>
          <w:rFonts w:ascii="Cambria Math" w:hAnsi="Cambria Math" w:eastAsia="Cambria Math"/>
          <w:spacing w:val="-45"/>
        </w:rPr>
        <w:t>⁄</w:t>
      </w:r>
      <w:r>
        <w:rPr>
          <w:rFonts w:ascii="Cambria Math" w:hAnsi="Cambria Math" w:eastAsia="Cambria Math"/>
          <w:spacing w:val="-45"/>
          <w:position w:val="-9"/>
        </w:rPr>
        <w:t>2</w:t>
      </w:r>
      <w:r>
        <w:rPr>
          <w:rFonts w:ascii="Cambria Math" w:hAnsi="Cambria Math" w:eastAsia="Cambria Math"/>
          <w:spacing w:val="-11"/>
          <w:position w:val="-9"/>
        </w:rPr>
        <w:t> </w:t>
      </w:r>
      <w:r>
        <w:rPr>
          <w:rFonts w:ascii="Cambria Math" w:hAnsi="Cambria Math" w:eastAsia="Cambria Math"/>
          <w:spacing w:val="6"/>
        </w:rPr>
        <w:t>𝜛</w:t>
      </w:r>
      <w:r>
        <w:rPr>
          <w:rFonts w:ascii="Cambria Math" w:hAnsi="Cambria Math" w:eastAsia="Cambria Math"/>
          <w:spacing w:val="6"/>
          <w:position w:val="-4"/>
          <w:sz w:val="17"/>
        </w:rPr>
        <w:t>𝑑</w:t>
      </w:r>
      <w:r>
        <w:rPr>
          <w:rFonts w:ascii="Cambria Math" w:hAnsi="Cambria Math" w:eastAsia="Cambria Math"/>
          <w:spacing w:val="6"/>
        </w:rPr>
        <w:t>�</w:t>
      </w:r>
      <w:r>
        <w:rPr>
          <w:rFonts w:ascii="Cambria Math" w:hAnsi="Cambria Math" w:eastAsia="Cambria Math"/>
          <w:spacing w:val="6"/>
          <w:position w:val="9"/>
          <w:sz w:val="17"/>
        </w:rPr>
        <w:t>2</w:t>
      </w:r>
      <w:r>
        <w:rPr>
          <w:rFonts w:ascii="Cambria Math" w:hAnsi="Cambria Math" w:eastAsia="Cambria Math"/>
          <w:spacing w:val="6"/>
          <w:position w:val="-4"/>
          <w:sz w:val="17"/>
        </w:rPr>
        <w:t>𝑑</w:t>
      </w:r>
      <w:r>
        <w:rPr>
          <w:rFonts w:ascii="Cambria Math" w:hAnsi="Cambria Math" w:eastAsia="Cambria Math"/>
          <w:spacing w:val="6"/>
        </w:rPr>
        <w:t>]</w:t>
      </w:r>
    </w:p>
    <w:p>
      <w:pPr>
        <w:pStyle w:val="BodyText"/>
        <w:spacing w:line="141" w:lineRule="exact" w:before="148"/>
        <w:ind w:left="118"/>
      </w:pPr>
      <w:r>
        <w:rPr/>
        <w:br w:type="column"/>
      </w:r>
      <w:r>
        <w:rPr/>
        <w:t>Área bajo la curva de la demanda</w:t>
      </w:r>
    </w:p>
    <w:p>
      <w:pPr>
        <w:spacing w:after="0" w:line="141" w:lineRule="exact"/>
        <w:sectPr>
          <w:type w:val="continuous"/>
          <w:pgSz w:w="12240" w:h="15840"/>
          <w:pgMar w:top="3260" w:bottom="280" w:left="1300" w:right="1340"/>
          <w:cols w:num="2" w:equalWidth="0">
            <w:col w:w="3945" w:space="779"/>
            <w:col w:w="4876"/>
          </w:cols>
        </w:sectPr>
      </w:pPr>
    </w:p>
    <w:p>
      <w:pPr>
        <w:spacing w:line="176" w:lineRule="exact" w:before="0"/>
        <w:ind w:left="1578" w:right="410" w:firstLine="0"/>
        <w:jc w:val="left"/>
        <w:rPr>
          <w:rFonts w:ascii="Cambria Math" w:eastAsia="Cambria Math"/>
          <w:sz w:val="17"/>
        </w:rPr>
      </w:pPr>
      <w:r>
        <w:rPr>
          <w:rFonts w:ascii="Cambria Math" w:eastAsia="Cambria Math"/>
          <w:w w:val="105"/>
          <w:sz w:val="17"/>
        </w:rPr>
        <w:t>𝑑=1</w:t>
      </w:r>
    </w:p>
    <w:p>
      <w:pPr>
        <w:pStyle w:val="BodyText"/>
        <w:rPr>
          <w:rFonts w:ascii="Cambria Math"/>
          <w:sz w:val="20"/>
        </w:rPr>
      </w:pPr>
    </w:p>
    <w:p>
      <w:pPr>
        <w:pStyle w:val="BodyText"/>
        <w:rPr>
          <w:rFonts w:ascii="Cambria Math"/>
          <w:sz w:val="20"/>
        </w:rPr>
      </w:pPr>
    </w:p>
    <w:p>
      <w:pPr>
        <w:pStyle w:val="BodyText"/>
        <w:spacing w:before="9"/>
        <w:rPr>
          <w:rFonts w:ascii="Cambria Math"/>
          <w:sz w:val="16"/>
        </w:rPr>
      </w:pPr>
    </w:p>
    <w:p>
      <w:pPr>
        <w:spacing w:after="0"/>
        <w:rPr>
          <w:rFonts w:ascii="Cambria Math"/>
          <w:sz w:val="16"/>
        </w:rPr>
        <w:sectPr>
          <w:type w:val="continuous"/>
          <w:pgSz w:w="12240" w:h="15840"/>
          <w:pgMar w:top="3260" w:bottom="280" w:left="1300" w:right="1340"/>
        </w:sectPr>
      </w:pPr>
    </w:p>
    <w:p>
      <w:pPr>
        <w:spacing w:line="175" w:lineRule="exact" w:before="114"/>
        <w:ind w:left="0" w:right="0" w:firstLine="0"/>
        <w:jc w:val="right"/>
        <w:rPr>
          <w:rFonts w:ascii="Cambria Math" w:hAnsi="Cambria Math"/>
          <w:sz w:val="17"/>
        </w:rPr>
      </w:pPr>
      <w:r>
        <w:rPr>
          <w:rFonts w:ascii="Cambria Math" w:hAnsi="Cambria Math"/>
          <w:position w:val="-9"/>
          <w:sz w:val="24"/>
        </w:rPr>
        <w:t>− </w:t>
      </w:r>
      <w:r>
        <w:rPr>
          <w:rFonts w:ascii="Cambria Math" w:hAnsi="Cambria Math"/>
          <w:position w:val="-8"/>
          <w:sz w:val="24"/>
        </w:rPr>
        <w:t>∑</w:t>
      </w:r>
      <w:r>
        <w:rPr>
          <w:rFonts w:ascii="Cambria Math" w:hAnsi="Cambria Math"/>
          <w:sz w:val="17"/>
        </w:rPr>
        <w:t>10</w:t>
      </w:r>
    </w:p>
    <w:p>
      <w:pPr>
        <w:spacing w:line="225" w:lineRule="exact" w:before="64"/>
        <w:ind w:left="98" w:right="0" w:firstLine="0"/>
        <w:jc w:val="left"/>
        <w:rPr>
          <w:rFonts w:ascii="Cambria Math" w:hAnsi="Cambria Math" w:eastAsia="Cambria Math"/>
          <w:sz w:val="24"/>
        </w:rPr>
      </w:pPr>
      <w:r>
        <w:rPr/>
        <w:br w:type="column"/>
      </w:r>
      <w:r>
        <w:rPr>
          <w:rFonts w:ascii="Cambria Math" w:hAnsi="Cambria Math" w:eastAsia="Cambria Math"/>
          <w:w w:val="101"/>
          <w:sz w:val="24"/>
        </w:rPr>
        <w:t>[</w:t>
      </w:r>
      <w:r>
        <w:rPr>
          <w:rFonts w:ascii="Cambria Math" w:hAnsi="Cambria Math" w:eastAsia="Cambria Math"/>
          <w:spacing w:val="-57"/>
          <w:w w:val="99"/>
          <w:sz w:val="24"/>
        </w:rPr>
        <w:t>𝑉</w:t>
      </w:r>
      <w:r>
        <w:rPr>
          <w:rFonts w:ascii="Cambria Math" w:hAnsi="Cambria Math" w:eastAsia="Cambria Math"/>
          <w:spacing w:val="11"/>
          <w:w w:val="105"/>
          <w:position w:val="-4"/>
          <w:sz w:val="17"/>
        </w:rPr>
        <w:t>𝑠</w:t>
      </w:r>
      <w:r>
        <w:rPr>
          <w:rFonts w:ascii="Cambria Math" w:hAnsi="Cambria Math" w:eastAsia="Cambria Math"/>
          <w:spacing w:val="-8"/>
          <w:w w:val="97"/>
          <w:sz w:val="24"/>
        </w:rPr>
        <w:t>�</w:t>
      </w:r>
      <w:r>
        <w:rPr>
          <w:rFonts w:ascii="Cambria Math" w:hAnsi="Cambria Math" w:eastAsia="Cambria Math"/>
          <w:w w:val="105"/>
          <w:position w:val="-4"/>
          <w:sz w:val="17"/>
        </w:rPr>
        <w:t>𝑠</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spacing w:val="-21"/>
          <w:w w:val="100"/>
          <w:position w:val="8"/>
          <w:sz w:val="24"/>
        </w:rPr>
        <w:t>1</w:t>
      </w:r>
      <w:r>
        <w:rPr>
          <w:rFonts w:ascii="Cambria Math" w:hAnsi="Cambria Math" w:eastAsia="Cambria Math"/>
          <w:spacing w:val="-20"/>
          <w:w w:val="99"/>
          <w:sz w:val="24"/>
        </w:rPr>
        <w:t>⁄</w:t>
      </w:r>
      <w:r>
        <w:rPr>
          <w:rFonts w:ascii="Cambria Math" w:hAnsi="Cambria Math" w:eastAsia="Cambria Math"/>
          <w:w w:val="100"/>
          <w:position w:val="-9"/>
          <w:sz w:val="24"/>
        </w:rPr>
        <w:t>2</w:t>
      </w:r>
      <w:r>
        <w:rPr>
          <w:rFonts w:ascii="Cambria Math" w:hAnsi="Cambria Math" w:eastAsia="Cambria Math"/>
          <w:spacing w:val="-13"/>
          <w:position w:val="-9"/>
          <w:sz w:val="24"/>
        </w:rPr>
        <w:t> </w:t>
      </w:r>
      <w:r>
        <w:rPr>
          <w:rFonts w:ascii="Cambria Math" w:hAnsi="Cambria Math" w:eastAsia="Cambria Math"/>
          <w:spacing w:val="7"/>
          <w:sz w:val="24"/>
        </w:rPr>
        <w:t>𝜂</w:t>
      </w:r>
      <w:r>
        <w:rPr>
          <w:rFonts w:ascii="Cambria Math" w:hAnsi="Cambria Math" w:eastAsia="Cambria Math"/>
          <w:spacing w:val="7"/>
          <w:position w:val="-4"/>
          <w:sz w:val="17"/>
        </w:rPr>
        <w:t>𝑠</w:t>
      </w:r>
      <w:r>
        <w:rPr>
          <w:rFonts w:ascii="Cambria Math" w:hAnsi="Cambria Math" w:eastAsia="Cambria Math"/>
          <w:spacing w:val="7"/>
          <w:sz w:val="24"/>
        </w:rPr>
        <w:t>�</w:t>
      </w:r>
      <w:r>
        <w:rPr>
          <w:rFonts w:ascii="Cambria Math" w:hAnsi="Cambria Math" w:eastAsia="Cambria Math"/>
          <w:spacing w:val="7"/>
          <w:position w:val="9"/>
          <w:sz w:val="17"/>
        </w:rPr>
        <w:t>2</w:t>
      </w:r>
      <w:r>
        <w:rPr>
          <w:rFonts w:ascii="Cambria Math" w:hAnsi="Cambria Math" w:eastAsia="Cambria Math"/>
          <w:spacing w:val="7"/>
          <w:position w:val="-4"/>
          <w:sz w:val="17"/>
        </w:rPr>
        <w:t>𝑠</w:t>
      </w:r>
      <w:r>
        <w:rPr>
          <w:rFonts w:ascii="Cambria Math" w:hAnsi="Cambria Math" w:eastAsia="Cambria Math"/>
          <w:spacing w:val="7"/>
          <w:sz w:val="24"/>
        </w:rPr>
        <w:t>]</w:t>
      </w:r>
    </w:p>
    <w:p>
      <w:pPr>
        <w:pStyle w:val="BodyText"/>
        <w:spacing w:line="141" w:lineRule="exact" w:before="148"/>
        <w:ind w:left="738"/>
      </w:pPr>
      <w:r>
        <w:rPr/>
        <w:br w:type="column"/>
      </w:r>
      <w:r>
        <w:rPr/>
        <w:t>Área bajo la curva de la oferta</w:t>
      </w:r>
    </w:p>
    <w:p>
      <w:pPr>
        <w:spacing w:after="0" w:line="141" w:lineRule="exact"/>
        <w:sectPr>
          <w:type w:val="continuous"/>
          <w:pgSz w:w="12240" w:h="15840"/>
          <w:pgMar w:top="3260" w:bottom="280" w:left="1300" w:right="1340"/>
          <w:cols w:num="3" w:equalWidth="0">
            <w:col w:w="1975" w:space="40"/>
            <w:col w:w="1978" w:space="40"/>
            <w:col w:w="5567"/>
          </w:cols>
        </w:sectPr>
      </w:pPr>
    </w:p>
    <w:p>
      <w:pPr>
        <w:spacing w:line="176" w:lineRule="exact" w:before="0"/>
        <w:ind w:left="1777" w:right="410" w:firstLine="0"/>
        <w:jc w:val="left"/>
        <w:rPr>
          <w:rFonts w:ascii="Cambria Math" w:eastAsia="Cambria Math"/>
          <w:sz w:val="17"/>
        </w:rPr>
      </w:pPr>
      <w:r>
        <w:rPr>
          <w:rFonts w:ascii="Cambria Math" w:eastAsia="Cambria Math"/>
          <w:w w:val="105"/>
          <w:sz w:val="17"/>
        </w:rPr>
        <w:t>𝑑=1</w:t>
      </w:r>
    </w:p>
    <w:p>
      <w:pPr>
        <w:pStyle w:val="BodyText"/>
        <w:rPr>
          <w:rFonts w:ascii="Cambria Math"/>
          <w:sz w:val="20"/>
        </w:rPr>
      </w:pPr>
    </w:p>
    <w:p>
      <w:pPr>
        <w:pStyle w:val="BodyText"/>
        <w:rPr>
          <w:rFonts w:ascii="Cambria Math"/>
          <w:sz w:val="20"/>
        </w:rPr>
      </w:pPr>
    </w:p>
    <w:p>
      <w:pPr>
        <w:pStyle w:val="BodyText"/>
        <w:spacing w:before="2"/>
        <w:rPr>
          <w:rFonts w:ascii="Cambria Math"/>
          <w:sz w:val="19"/>
        </w:rPr>
      </w:pPr>
    </w:p>
    <w:p>
      <w:pPr>
        <w:spacing w:after="0"/>
        <w:rPr>
          <w:rFonts w:ascii="Cambria Math"/>
          <w:sz w:val="19"/>
        </w:rPr>
        <w:sectPr>
          <w:type w:val="continuous"/>
          <w:pgSz w:w="12240" w:h="15840"/>
          <w:pgMar w:top="3260" w:bottom="280" w:left="1300" w:right="1340"/>
        </w:sectPr>
      </w:pPr>
    </w:p>
    <w:p>
      <w:pPr>
        <w:spacing w:line="175" w:lineRule="exact" w:before="76"/>
        <w:ind w:left="0" w:right="0" w:firstLine="0"/>
        <w:jc w:val="right"/>
        <w:rPr>
          <w:rFonts w:ascii="Cambria Math" w:hAnsi="Cambria Math"/>
          <w:sz w:val="17"/>
        </w:rPr>
      </w:pPr>
      <w:r>
        <w:rPr>
          <w:rFonts w:ascii="Cambria Math" w:hAnsi="Cambria Math"/>
          <w:position w:val="-9"/>
          <w:sz w:val="24"/>
        </w:rPr>
        <w:t>− </w:t>
      </w:r>
      <w:r>
        <w:rPr>
          <w:rFonts w:ascii="Cambria Math" w:hAnsi="Cambria Math"/>
          <w:position w:val="-8"/>
          <w:sz w:val="24"/>
        </w:rPr>
        <w:t>∑</w:t>
      </w:r>
      <w:r>
        <w:rPr>
          <w:rFonts w:ascii="Cambria Math" w:hAnsi="Cambria Math"/>
          <w:sz w:val="17"/>
        </w:rPr>
        <w:t>10</w:t>
      </w:r>
    </w:p>
    <w:p>
      <w:pPr>
        <w:spacing w:line="145" w:lineRule="exact" w:before="106"/>
        <w:ind w:left="98" w:right="0" w:firstLine="0"/>
        <w:jc w:val="left"/>
        <w:rPr>
          <w:rFonts w:ascii="Cambria Math" w:eastAsia="Cambria Math"/>
          <w:sz w:val="24"/>
        </w:rPr>
      </w:pPr>
      <w:r>
        <w:rPr/>
        <w:br w:type="column"/>
      </w:r>
      <w:r>
        <w:rPr>
          <w:rFonts w:ascii="Cambria Math" w:eastAsia="Cambria Math"/>
          <w:w w:val="95"/>
          <w:sz w:val="24"/>
        </w:rPr>
        <w:t>[�</w:t>
      </w:r>
      <w:r>
        <w:rPr>
          <w:rFonts w:ascii="Cambria Math" w:eastAsia="Cambria Math"/>
          <w:w w:val="95"/>
          <w:position w:val="-4"/>
          <w:sz w:val="17"/>
        </w:rPr>
        <w:t>𝑠𝑑 </w:t>
      </w:r>
      <w:r>
        <w:rPr>
          <w:rFonts w:ascii="Cambria Math" w:eastAsia="Cambria Math"/>
          <w:sz w:val="24"/>
        </w:rPr>
        <w:t>�</w:t>
      </w:r>
      <w:r>
        <w:rPr>
          <w:rFonts w:ascii="Cambria Math" w:eastAsia="Cambria Math"/>
          <w:position w:val="-4"/>
          <w:sz w:val="17"/>
        </w:rPr>
        <w:t>𝑠𝑑</w:t>
      </w:r>
      <w:r>
        <w:rPr>
          <w:rFonts w:ascii="Cambria Math" w:eastAsia="Cambria Math"/>
          <w:sz w:val="24"/>
        </w:rPr>
        <w:t>]</w:t>
      </w:r>
    </w:p>
    <w:p>
      <w:pPr>
        <w:pStyle w:val="BodyText"/>
        <w:spacing w:line="141" w:lineRule="exact" w:before="110"/>
        <w:ind w:left="1493"/>
      </w:pPr>
      <w:r>
        <w:rPr/>
        <w:br w:type="column"/>
      </w:r>
      <w:r>
        <w:rPr/>
        <w:t>Costo de transporte</w:t>
      </w:r>
    </w:p>
    <w:p>
      <w:pPr>
        <w:spacing w:after="0" w:line="141" w:lineRule="exact"/>
        <w:sectPr>
          <w:type w:val="continuous"/>
          <w:pgSz w:w="12240" w:h="15840"/>
          <w:pgMar w:top="3260" w:bottom="280" w:left="1300" w:right="1340"/>
          <w:cols w:num="3" w:equalWidth="0">
            <w:col w:w="2080" w:space="40"/>
            <w:col w:w="1023" w:space="66"/>
            <w:col w:w="6391"/>
          </w:cols>
        </w:sectPr>
      </w:pPr>
    </w:p>
    <w:p>
      <w:pPr>
        <w:spacing w:line="176" w:lineRule="exact" w:before="0"/>
        <w:ind w:left="1882" w:right="410" w:firstLine="0"/>
        <w:jc w:val="left"/>
        <w:rPr>
          <w:rFonts w:ascii="Cambria Math" w:eastAsia="Cambria Math"/>
          <w:sz w:val="17"/>
        </w:rPr>
      </w:pPr>
      <w:r>
        <w:rPr>
          <w:rFonts w:ascii="Cambria Math" w:eastAsia="Cambria Math"/>
          <w:w w:val="105"/>
          <w:sz w:val="17"/>
        </w:rPr>
        <w:t>𝑑=1</w:t>
      </w:r>
    </w:p>
    <w:p>
      <w:pPr>
        <w:pStyle w:val="BodyText"/>
        <w:rPr>
          <w:rFonts w:ascii="Cambria Math"/>
          <w:sz w:val="20"/>
        </w:rPr>
      </w:pPr>
    </w:p>
    <w:p>
      <w:pPr>
        <w:pStyle w:val="BodyText"/>
        <w:rPr>
          <w:rFonts w:ascii="Cambria Math"/>
          <w:sz w:val="20"/>
        </w:rPr>
      </w:pPr>
    </w:p>
    <w:p>
      <w:pPr>
        <w:pStyle w:val="BodyText"/>
        <w:spacing w:before="8"/>
        <w:rPr>
          <w:rFonts w:ascii="Cambria Math"/>
          <w:sz w:val="16"/>
        </w:rPr>
      </w:pPr>
    </w:p>
    <w:p>
      <w:pPr>
        <w:pStyle w:val="BodyText"/>
        <w:spacing w:before="69"/>
        <w:ind w:left="118" w:right="410"/>
      </w:pPr>
      <w:r>
        <w:rPr/>
        <w:t>Donde:</w:t>
      </w:r>
    </w:p>
    <w:p>
      <w:pPr>
        <w:pStyle w:val="BodyText"/>
        <w:spacing w:before="5"/>
        <w:rPr>
          <w:sz w:val="29"/>
        </w:rPr>
      </w:pPr>
    </w:p>
    <w:p>
      <w:pPr>
        <w:pStyle w:val="BodyText"/>
        <w:ind w:left="118" w:right="410"/>
      </w:pPr>
      <w:r>
        <w:rPr>
          <w:rFonts w:ascii="Cambria Math" w:eastAsia="Cambria Math"/>
        </w:rPr>
        <w:t>�   = </w:t>
      </w:r>
      <w:r>
        <w:rPr/>
        <w:t>Regiones consumidoras</w:t>
      </w:r>
    </w:p>
    <w:p>
      <w:pPr>
        <w:pStyle w:val="BodyText"/>
        <w:spacing w:before="7"/>
        <w:rPr>
          <w:sz w:val="29"/>
        </w:rPr>
      </w:pPr>
    </w:p>
    <w:p>
      <w:pPr>
        <w:pStyle w:val="BodyText"/>
        <w:tabs>
          <w:tab w:pos="438" w:val="left" w:leader="none"/>
        </w:tabs>
        <w:ind w:left="118" w:right="410"/>
      </w:pPr>
      <w:r>
        <w:rPr>
          <w:rFonts w:ascii="Cambria Math" w:eastAsia="Cambria Math"/>
        </w:rPr>
        <w:t>�</w:t>
        <w:tab/>
        <w:t>= </w:t>
      </w:r>
      <w:r>
        <w:rPr/>
        <w:t>Regiones</w:t>
      </w:r>
      <w:r>
        <w:rPr>
          <w:spacing w:val="-1"/>
        </w:rPr>
        <w:t> </w:t>
      </w:r>
      <w:r>
        <w:rPr/>
        <w:t>productoras</w:t>
      </w:r>
    </w:p>
    <w:p>
      <w:pPr>
        <w:pStyle w:val="BodyText"/>
        <w:spacing w:before="6"/>
        <w:rPr>
          <w:sz w:val="29"/>
        </w:rPr>
      </w:pPr>
    </w:p>
    <w:p>
      <w:pPr>
        <w:pStyle w:val="BodyText"/>
        <w:ind w:left="118" w:right="410"/>
      </w:pPr>
      <w:r>
        <w:rPr>
          <w:rFonts w:ascii="Cambria Math" w:hAnsi="Cambria Math" w:eastAsia="Cambria Math"/>
        </w:rPr>
        <w:t>𝜆</w:t>
      </w:r>
      <w:r>
        <w:rPr>
          <w:rFonts w:ascii="Cambria Math" w:hAnsi="Cambria Math" w:eastAsia="Cambria Math"/>
          <w:position w:val="-4"/>
          <w:sz w:val="17"/>
        </w:rPr>
        <w:t>𝑑  </w:t>
      </w:r>
      <w:r>
        <w:rPr>
          <w:rFonts w:ascii="Cambria Math" w:hAnsi="Cambria Math" w:eastAsia="Cambria Math"/>
        </w:rPr>
        <w:t>= </w:t>
      </w:r>
      <w:r>
        <w:rPr/>
        <w:t>Intercepto de función inversa de la demanda</w:t>
      </w:r>
    </w:p>
    <w:p>
      <w:pPr>
        <w:pStyle w:val="BodyText"/>
        <w:spacing w:before="6"/>
        <w:rPr>
          <w:sz w:val="26"/>
        </w:rPr>
      </w:pPr>
    </w:p>
    <w:p>
      <w:pPr>
        <w:pStyle w:val="BodyText"/>
        <w:spacing w:before="1"/>
        <w:ind w:left="118" w:right="410"/>
      </w:pPr>
      <w:r>
        <w:rPr>
          <w:rFonts w:ascii="Cambria Math" w:hAnsi="Cambria Math" w:eastAsia="Cambria Math"/>
        </w:rPr>
        <w:t>𝜛</w:t>
      </w:r>
      <w:r>
        <w:rPr>
          <w:rFonts w:ascii="Cambria Math" w:hAnsi="Cambria Math" w:eastAsia="Cambria Math"/>
          <w:position w:val="-4"/>
          <w:sz w:val="17"/>
        </w:rPr>
        <w:t>𝑑  </w:t>
      </w:r>
      <w:r>
        <w:rPr>
          <w:rFonts w:ascii="Cambria Math" w:hAnsi="Cambria Math" w:eastAsia="Cambria Math"/>
        </w:rPr>
        <w:t>= </w:t>
      </w:r>
      <w:r>
        <w:rPr/>
        <w:t>Pendiente de la función inversa de la demanda</w:t>
      </w:r>
    </w:p>
    <w:p>
      <w:pPr>
        <w:pStyle w:val="BodyText"/>
        <w:spacing w:before="9"/>
        <w:rPr>
          <w:sz w:val="26"/>
        </w:rPr>
      </w:pPr>
    </w:p>
    <w:p>
      <w:pPr>
        <w:spacing w:before="0"/>
        <w:ind w:left="118" w:right="410" w:firstLine="0"/>
        <w:jc w:val="left"/>
        <w:rPr>
          <w:i/>
          <w:sz w:val="24"/>
        </w:rPr>
      </w:pPr>
      <w:r>
        <w:rPr>
          <w:rFonts w:ascii="Cambria Math" w:hAnsi="Cambria Math" w:eastAsia="Cambria Math"/>
          <w:sz w:val="24"/>
        </w:rPr>
        <w:t>�</w:t>
      </w:r>
      <w:r>
        <w:rPr>
          <w:rFonts w:ascii="Cambria Math" w:hAnsi="Cambria Math" w:eastAsia="Cambria Math"/>
          <w:position w:val="-4"/>
          <w:sz w:val="17"/>
        </w:rPr>
        <w:t>𝑑           </w:t>
      </w:r>
      <w:r>
        <w:rPr>
          <w:rFonts w:ascii="Cambria Math" w:hAnsi="Cambria Math" w:eastAsia="Cambria Math"/>
          <w:sz w:val="24"/>
        </w:rPr>
        <w:t>= </w:t>
      </w:r>
      <w:r>
        <w:rPr>
          <w:sz w:val="24"/>
        </w:rPr>
        <w:t>Cantidad demandada de carne en la región </w:t>
      </w:r>
      <w:r>
        <w:rPr>
          <w:i/>
          <w:sz w:val="24"/>
        </w:rPr>
        <w:t>d</w:t>
      </w:r>
    </w:p>
    <w:p>
      <w:pPr>
        <w:pStyle w:val="BodyText"/>
        <w:spacing w:before="6"/>
        <w:rPr>
          <w:i/>
          <w:sz w:val="26"/>
        </w:rPr>
      </w:pPr>
    </w:p>
    <w:p>
      <w:pPr>
        <w:spacing w:before="0"/>
        <w:ind w:left="118" w:right="410" w:firstLine="0"/>
        <w:jc w:val="left"/>
        <w:rPr>
          <w:sz w:val="24"/>
        </w:rPr>
      </w:pPr>
      <w:r>
        <w:rPr>
          <w:rFonts w:ascii="Cambria Math" w:hAnsi="Cambria Math" w:eastAsia="Cambria Math"/>
          <w:sz w:val="24"/>
        </w:rPr>
        <w:t>𝑉</w:t>
      </w:r>
      <w:r>
        <w:rPr>
          <w:rFonts w:ascii="Cambria Math" w:hAnsi="Cambria Math" w:eastAsia="Cambria Math"/>
          <w:position w:val="-4"/>
          <w:sz w:val="17"/>
        </w:rPr>
        <w:t>𝑠                                                                                            </w:t>
      </w:r>
      <w:r>
        <w:rPr>
          <w:rFonts w:ascii="Cambria Math" w:hAnsi="Cambria Math" w:eastAsia="Cambria Math"/>
          <w:sz w:val="24"/>
        </w:rPr>
        <w:t>= </w:t>
      </w:r>
      <w:r>
        <w:rPr>
          <w:sz w:val="24"/>
        </w:rPr>
        <w:t>Intercepto de función inversa de la oferta</w:t>
      </w:r>
    </w:p>
    <w:p>
      <w:pPr>
        <w:spacing w:after="0"/>
        <w:jc w:val="left"/>
        <w:rPr>
          <w:sz w:val="24"/>
        </w:rPr>
        <w:sectPr>
          <w:type w:val="continuous"/>
          <w:pgSz w:w="12240" w:h="15840"/>
          <w:pgMar w:top="3260" w:bottom="280" w:left="1300" w:right="1340"/>
        </w:sectPr>
      </w:pPr>
    </w:p>
    <w:p>
      <w:pPr>
        <w:pStyle w:val="BodyText"/>
        <w:spacing w:before="125"/>
        <w:ind w:left="118" w:right="410"/>
      </w:pPr>
      <w:r>
        <w:rPr>
          <w:rFonts w:ascii="Cambria Math" w:hAnsi="Cambria Math" w:eastAsia="Cambria Math"/>
        </w:rPr>
        <w:t>𝜂</w:t>
      </w:r>
      <w:r>
        <w:rPr>
          <w:rFonts w:ascii="Cambria Math" w:hAnsi="Cambria Math" w:eastAsia="Cambria Math"/>
          <w:position w:val="-4"/>
          <w:sz w:val="17"/>
        </w:rPr>
        <w:t>𝑠   </w:t>
      </w:r>
      <w:r>
        <w:rPr>
          <w:rFonts w:ascii="Cambria Math" w:hAnsi="Cambria Math" w:eastAsia="Cambria Math"/>
        </w:rPr>
        <w:t>= </w:t>
      </w:r>
      <w:r>
        <w:rPr/>
        <w:t>Pendiente de la función inversa de la oferta</w:t>
      </w:r>
    </w:p>
    <w:p>
      <w:pPr>
        <w:pStyle w:val="BodyText"/>
        <w:spacing w:before="6"/>
        <w:rPr>
          <w:sz w:val="26"/>
        </w:rPr>
      </w:pPr>
    </w:p>
    <w:p>
      <w:pPr>
        <w:pStyle w:val="BodyText"/>
        <w:spacing w:before="1"/>
        <w:ind w:left="118" w:right="410"/>
        <w:rPr>
          <w:i/>
        </w:rPr>
      </w:pPr>
      <w:r>
        <w:rPr>
          <w:rFonts w:ascii="Cambria Math" w:hAnsi="Cambria Math" w:eastAsia="Cambria Math"/>
        </w:rPr>
        <w:t>�</w:t>
      </w:r>
      <w:r>
        <w:rPr>
          <w:rFonts w:ascii="Cambria Math" w:hAnsi="Cambria Math" w:eastAsia="Cambria Math"/>
          <w:position w:val="-4"/>
          <w:sz w:val="17"/>
        </w:rPr>
        <w:t>𝑠      </w:t>
      </w:r>
      <w:r>
        <w:rPr>
          <w:rFonts w:ascii="Cambria Math" w:hAnsi="Cambria Math" w:eastAsia="Cambria Math"/>
        </w:rPr>
        <w:t>= </w:t>
      </w:r>
      <w:r>
        <w:rPr/>
        <w:t>Cantidad ofertada de carne en la región </w:t>
      </w:r>
      <w:r>
        <w:rPr>
          <w:i/>
        </w:rPr>
        <w:t>s</w:t>
      </w:r>
    </w:p>
    <w:p>
      <w:pPr>
        <w:pStyle w:val="BodyText"/>
        <w:spacing w:before="6"/>
        <w:rPr>
          <w:i/>
          <w:sz w:val="26"/>
        </w:rPr>
      </w:pPr>
    </w:p>
    <w:p>
      <w:pPr>
        <w:spacing w:before="1"/>
        <w:ind w:left="118" w:right="410" w:firstLine="0"/>
        <w:jc w:val="left"/>
        <w:rPr>
          <w:i/>
          <w:sz w:val="24"/>
        </w:rPr>
      </w:pPr>
      <w:r>
        <w:rPr>
          <w:rFonts w:ascii="Cambria Math" w:eastAsia="Cambria Math"/>
          <w:sz w:val="24"/>
        </w:rPr>
        <w:t>�</w:t>
      </w:r>
      <w:r>
        <w:rPr>
          <w:rFonts w:ascii="Cambria Math" w:eastAsia="Cambria Math"/>
          <w:position w:val="-4"/>
          <w:sz w:val="17"/>
        </w:rPr>
        <w:t>𝑠𝑑  </w:t>
      </w:r>
      <w:r>
        <w:rPr>
          <w:rFonts w:ascii="Cambria Math" w:eastAsia="Cambria Math"/>
          <w:sz w:val="24"/>
        </w:rPr>
        <w:t>= </w:t>
      </w:r>
      <w:r>
        <w:rPr>
          <w:sz w:val="24"/>
        </w:rPr>
        <w:t>Costo de transporte de </w:t>
      </w:r>
      <w:r>
        <w:rPr>
          <w:i/>
          <w:sz w:val="24"/>
        </w:rPr>
        <w:t>s </w:t>
      </w:r>
      <w:r>
        <w:rPr>
          <w:sz w:val="24"/>
        </w:rPr>
        <w:t>a </w:t>
      </w:r>
      <w:r>
        <w:rPr>
          <w:i/>
          <w:sz w:val="24"/>
        </w:rPr>
        <w:t>d</w:t>
      </w:r>
    </w:p>
    <w:p>
      <w:pPr>
        <w:pStyle w:val="BodyText"/>
        <w:spacing w:before="6"/>
        <w:rPr>
          <w:i/>
          <w:sz w:val="26"/>
        </w:rPr>
      </w:pPr>
    </w:p>
    <w:p>
      <w:pPr>
        <w:spacing w:before="1"/>
        <w:ind w:left="118" w:right="410" w:firstLine="0"/>
        <w:jc w:val="left"/>
        <w:rPr>
          <w:i/>
          <w:sz w:val="24"/>
        </w:rPr>
      </w:pPr>
      <w:r>
        <w:rPr>
          <w:rFonts w:ascii="Cambria Math" w:hAnsi="Cambria Math" w:eastAsia="Cambria Math"/>
          <w:sz w:val="24"/>
        </w:rPr>
        <w:t>�</w:t>
      </w:r>
      <w:r>
        <w:rPr>
          <w:rFonts w:ascii="Cambria Math" w:hAnsi="Cambria Math" w:eastAsia="Cambria Math"/>
          <w:position w:val="-4"/>
          <w:sz w:val="17"/>
        </w:rPr>
        <w:t>𝑠𝑑  </w:t>
      </w:r>
      <w:r>
        <w:rPr>
          <w:rFonts w:ascii="Cambria Math" w:hAnsi="Cambria Math" w:eastAsia="Cambria Math"/>
          <w:sz w:val="24"/>
        </w:rPr>
        <w:t>= </w:t>
      </w:r>
      <w:r>
        <w:rPr>
          <w:sz w:val="24"/>
        </w:rPr>
        <w:t>Cantidad de envíos de </w:t>
      </w:r>
      <w:r>
        <w:rPr>
          <w:i/>
          <w:sz w:val="24"/>
        </w:rPr>
        <w:t>s </w:t>
      </w:r>
      <w:r>
        <w:rPr>
          <w:sz w:val="24"/>
        </w:rPr>
        <w:t>a </w:t>
      </w:r>
      <w:r>
        <w:rPr>
          <w:i/>
          <w:sz w:val="24"/>
        </w:rPr>
        <w:t>d</w:t>
      </w:r>
    </w:p>
    <w:p>
      <w:pPr>
        <w:pStyle w:val="BodyText"/>
        <w:spacing w:before="8"/>
        <w:rPr>
          <w:i/>
          <w:sz w:val="26"/>
        </w:rPr>
      </w:pPr>
    </w:p>
    <w:p>
      <w:pPr>
        <w:pStyle w:val="BodyText"/>
        <w:ind w:left="118" w:right="410"/>
      </w:pPr>
      <w:r>
        <w:rPr/>
        <w:t>Este modelo está sujeto a las siguientes restricciones:</w:t>
      </w:r>
    </w:p>
    <w:p>
      <w:pPr>
        <w:pStyle w:val="BodyText"/>
        <w:spacing w:before="2"/>
        <w:rPr>
          <w:sz w:val="29"/>
        </w:rPr>
      </w:pPr>
    </w:p>
    <w:p>
      <w:pPr>
        <w:pStyle w:val="ListParagraph"/>
        <w:numPr>
          <w:ilvl w:val="0"/>
          <w:numId w:val="13"/>
        </w:numPr>
        <w:tabs>
          <w:tab w:pos="839" w:val="left" w:leader="none"/>
        </w:tabs>
        <w:spacing w:line="360" w:lineRule="auto" w:before="0" w:after="0"/>
        <w:ind w:left="838" w:right="266" w:hanging="360"/>
        <w:jc w:val="both"/>
        <w:rPr>
          <w:sz w:val="24"/>
        </w:rPr>
      </w:pPr>
      <w:r>
        <w:rPr>
          <w:sz w:val="24"/>
        </w:rPr>
        <w:t>La</w:t>
      </w:r>
      <w:r>
        <w:rPr>
          <w:spacing w:val="-7"/>
          <w:sz w:val="24"/>
        </w:rPr>
        <w:t> </w:t>
      </w:r>
      <w:r>
        <w:rPr>
          <w:sz w:val="24"/>
        </w:rPr>
        <w:t>cantidad</w:t>
      </w:r>
      <w:r>
        <w:rPr>
          <w:spacing w:val="-9"/>
          <w:sz w:val="24"/>
        </w:rPr>
        <w:t> </w:t>
      </w:r>
      <w:r>
        <w:rPr>
          <w:sz w:val="24"/>
        </w:rPr>
        <w:t>demandada</w:t>
      </w:r>
      <w:r>
        <w:rPr>
          <w:spacing w:val="-10"/>
          <w:sz w:val="24"/>
        </w:rPr>
        <w:t> </w:t>
      </w:r>
      <w:r>
        <w:rPr>
          <w:sz w:val="24"/>
        </w:rPr>
        <w:t>de</w:t>
      </w:r>
      <w:r>
        <w:rPr>
          <w:spacing w:val="-10"/>
          <w:sz w:val="24"/>
        </w:rPr>
        <w:t> </w:t>
      </w:r>
      <w:r>
        <w:rPr>
          <w:sz w:val="24"/>
        </w:rPr>
        <w:t>producto</w:t>
      </w:r>
      <w:r>
        <w:rPr>
          <w:spacing w:val="-8"/>
          <w:sz w:val="24"/>
        </w:rPr>
        <w:t> </w:t>
      </w:r>
      <w:r>
        <w:rPr>
          <w:sz w:val="24"/>
        </w:rPr>
        <w:t>(toneladas</w:t>
      </w:r>
      <w:r>
        <w:rPr>
          <w:spacing w:val="-8"/>
          <w:sz w:val="24"/>
        </w:rPr>
        <w:t> </w:t>
      </w:r>
      <w:r>
        <w:rPr>
          <w:sz w:val="24"/>
        </w:rPr>
        <w:t>de</w:t>
      </w:r>
      <w:r>
        <w:rPr>
          <w:spacing w:val="-7"/>
          <w:sz w:val="24"/>
        </w:rPr>
        <w:t> </w:t>
      </w:r>
      <w:r>
        <w:rPr>
          <w:sz w:val="24"/>
        </w:rPr>
        <w:t>carne</w:t>
      </w:r>
      <w:r>
        <w:rPr>
          <w:spacing w:val="-10"/>
          <w:sz w:val="24"/>
        </w:rPr>
        <w:t> </w:t>
      </w:r>
      <w:r>
        <w:rPr>
          <w:sz w:val="24"/>
        </w:rPr>
        <w:t>de</w:t>
      </w:r>
      <w:r>
        <w:rPr>
          <w:spacing w:val="-10"/>
          <w:sz w:val="24"/>
        </w:rPr>
        <w:t> </w:t>
      </w:r>
      <w:r>
        <w:rPr>
          <w:sz w:val="24"/>
        </w:rPr>
        <w:t>cerdo)</w:t>
      </w:r>
      <w:r>
        <w:rPr>
          <w:spacing w:val="-10"/>
          <w:sz w:val="24"/>
        </w:rPr>
        <w:t> </w:t>
      </w:r>
      <w:r>
        <w:rPr>
          <w:sz w:val="24"/>
        </w:rPr>
        <w:t>debe</w:t>
      </w:r>
      <w:r>
        <w:rPr>
          <w:spacing w:val="-6"/>
          <w:sz w:val="24"/>
        </w:rPr>
        <w:t> </w:t>
      </w:r>
      <w:r>
        <w:rPr>
          <w:sz w:val="24"/>
        </w:rPr>
        <w:t>ser</w:t>
      </w:r>
      <w:r>
        <w:rPr>
          <w:spacing w:val="-7"/>
          <w:sz w:val="24"/>
        </w:rPr>
        <w:t> </w:t>
      </w:r>
      <w:r>
        <w:rPr>
          <w:sz w:val="24"/>
        </w:rPr>
        <w:t>menor</w:t>
      </w:r>
      <w:r>
        <w:rPr>
          <w:spacing w:val="-10"/>
          <w:sz w:val="24"/>
        </w:rPr>
        <w:t> </w:t>
      </w:r>
      <w:r>
        <w:rPr>
          <w:sz w:val="24"/>
        </w:rPr>
        <w:t>o</w:t>
      </w:r>
      <w:r>
        <w:rPr>
          <w:spacing w:val="-9"/>
          <w:sz w:val="24"/>
        </w:rPr>
        <w:t> </w:t>
      </w:r>
      <w:r>
        <w:rPr>
          <w:sz w:val="24"/>
        </w:rPr>
        <w:t>igual que</w:t>
      </w:r>
      <w:r>
        <w:rPr>
          <w:spacing w:val="-5"/>
          <w:sz w:val="24"/>
        </w:rPr>
        <w:t> </w:t>
      </w:r>
      <w:r>
        <w:rPr>
          <w:sz w:val="24"/>
        </w:rPr>
        <w:t>la</w:t>
      </w:r>
      <w:r>
        <w:rPr>
          <w:spacing w:val="-4"/>
          <w:sz w:val="24"/>
        </w:rPr>
        <w:t> </w:t>
      </w:r>
      <w:r>
        <w:rPr>
          <w:sz w:val="24"/>
        </w:rPr>
        <w:t>sumatoria</w:t>
      </w:r>
      <w:r>
        <w:rPr>
          <w:spacing w:val="-5"/>
          <w:sz w:val="24"/>
        </w:rPr>
        <w:t> </w:t>
      </w:r>
      <w:r>
        <w:rPr>
          <w:sz w:val="24"/>
        </w:rPr>
        <w:t>de</w:t>
      </w:r>
      <w:r>
        <w:rPr>
          <w:spacing w:val="-5"/>
          <w:sz w:val="24"/>
        </w:rPr>
        <w:t> </w:t>
      </w:r>
      <w:r>
        <w:rPr>
          <w:sz w:val="24"/>
        </w:rPr>
        <w:t>las</w:t>
      </w:r>
      <w:r>
        <w:rPr>
          <w:spacing w:val="-4"/>
          <w:sz w:val="24"/>
        </w:rPr>
        <w:t> </w:t>
      </w:r>
      <w:r>
        <w:rPr>
          <w:sz w:val="24"/>
        </w:rPr>
        <w:t>cantidades</w:t>
      </w:r>
      <w:r>
        <w:rPr>
          <w:spacing w:val="-4"/>
          <w:sz w:val="24"/>
        </w:rPr>
        <w:t> </w:t>
      </w:r>
      <w:r>
        <w:rPr>
          <w:sz w:val="24"/>
        </w:rPr>
        <w:t>enviadas</w:t>
      </w:r>
      <w:r>
        <w:rPr>
          <w:spacing w:val="-4"/>
          <w:sz w:val="24"/>
        </w:rPr>
        <w:t> </w:t>
      </w:r>
      <w:r>
        <w:rPr>
          <w:sz w:val="24"/>
        </w:rPr>
        <w:t>de</w:t>
      </w:r>
      <w:r>
        <w:rPr>
          <w:spacing w:val="-5"/>
          <w:sz w:val="24"/>
        </w:rPr>
        <w:t> </w:t>
      </w:r>
      <w:r>
        <w:rPr>
          <w:sz w:val="24"/>
        </w:rPr>
        <w:t>las</w:t>
      </w:r>
      <w:r>
        <w:rPr>
          <w:spacing w:val="-2"/>
          <w:sz w:val="24"/>
        </w:rPr>
        <w:t> </w:t>
      </w:r>
      <w:r>
        <w:rPr>
          <w:sz w:val="24"/>
        </w:rPr>
        <w:t>regiones</w:t>
      </w:r>
      <w:r>
        <w:rPr>
          <w:spacing w:val="-4"/>
          <w:sz w:val="24"/>
        </w:rPr>
        <w:t> </w:t>
      </w:r>
      <w:r>
        <w:rPr>
          <w:sz w:val="24"/>
        </w:rPr>
        <w:t>productoras</w:t>
      </w:r>
      <w:r>
        <w:rPr>
          <w:spacing w:val="-4"/>
          <w:sz w:val="24"/>
        </w:rPr>
        <w:t> </w:t>
      </w:r>
      <w:r>
        <w:rPr>
          <w:sz w:val="24"/>
        </w:rPr>
        <w:t>(</w:t>
      </w:r>
      <w:r>
        <w:rPr>
          <w:i/>
          <w:sz w:val="24"/>
        </w:rPr>
        <w:t>s</w:t>
      </w:r>
      <w:r>
        <w:rPr>
          <w:sz w:val="24"/>
        </w:rPr>
        <w:t>)</w:t>
      </w:r>
      <w:r>
        <w:rPr>
          <w:spacing w:val="-1"/>
          <w:sz w:val="24"/>
        </w:rPr>
        <w:t> </w:t>
      </w:r>
      <w:r>
        <w:rPr>
          <w:sz w:val="24"/>
        </w:rPr>
        <w:t>a</w:t>
      </w:r>
      <w:r>
        <w:rPr>
          <w:spacing w:val="-6"/>
          <w:sz w:val="24"/>
        </w:rPr>
        <w:t> </w:t>
      </w:r>
      <w:r>
        <w:rPr>
          <w:sz w:val="24"/>
        </w:rPr>
        <w:t>las</w:t>
      </w:r>
      <w:r>
        <w:rPr>
          <w:spacing w:val="-4"/>
          <w:sz w:val="24"/>
        </w:rPr>
        <w:t> </w:t>
      </w:r>
      <w:r>
        <w:rPr>
          <w:sz w:val="24"/>
        </w:rPr>
        <w:t>regiones demandantes</w:t>
      </w:r>
      <w:r>
        <w:rPr>
          <w:spacing w:val="-4"/>
          <w:sz w:val="24"/>
        </w:rPr>
        <w:t> </w:t>
      </w:r>
      <w:r>
        <w:rPr>
          <w:sz w:val="24"/>
        </w:rPr>
        <w:t>(</w:t>
      </w:r>
      <w:r>
        <w:rPr>
          <w:i/>
          <w:sz w:val="24"/>
        </w:rPr>
        <w:t>d</w:t>
      </w:r>
      <w:r>
        <w:rPr>
          <w:sz w:val="24"/>
        </w:rPr>
        <w:t>).</w:t>
      </w:r>
    </w:p>
    <w:p>
      <w:pPr>
        <w:spacing w:after="0" w:line="360" w:lineRule="auto"/>
        <w:jc w:val="both"/>
        <w:rPr>
          <w:sz w:val="24"/>
        </w:rPr>
        <w:sectPr>
          <w:pgSz w:w="12240" w:h="15840"/>
          <w:pgMar w:header="984" w:footer="986" w:top="1280" w:bottom="1180" w:left="1300" w:right="1340"/>
        </w:sectPr>
      </w:pPr>
    </w:p>
    <w:p>
      <w:pPr>
        <w:spacing w:line="189" w:lineRule="exact" w:before="0"/>
        <w:ind w:left="0" w:right="494" w:firstLine="0"/>
        <w:jc w:val="right"/>
        <w:rPr>
          <w:rFonts w:ascii="Cambria Math"/>
          <w:sz w:val="17"/>
        </w:rPr>
      </w:pPr>
      <w:r>
        <w:rPr>
          <w:rFonts w:ascii="Cambria Math"/>
          <w:w w:val="104"/>
          <w:sz w:val="17"/>
        </w:rPr>
        <w:t>8</w:t>
      </w:r>
    </w:p>
    <w:p>
      <w:pPr>
        <w:spacing w:before="91"/>
        <w:ind w:left="0" w:right="0" w:firstLine="0"/>
        <w:jc w:val="right"/>
        <w:rPr>
          <w:rFonts w:ascii="Cambria Math" w:hAnsi="Cambria Math" w:eastAsia="Cambria Math"/>
          <w:sz w:val="17"/>
        </w:rPr>
      </w:pPr>
      <w:r>
        <w:rPr>
          <w:rFonts w:ascii="Cambria Math" w:hAnsi="Cambria Math" w:eastAsia="Cambria Math"/>
          <w:w w:val="110"/>
          <w:sz w:val="24"/>
        </w:rPr>
        <w:t>�</w:t>
      </w:r>
      <w:r>
        <w:rPr>
          <w:rFonts w:ascii="Cambria Math" w:hAnsi="Cambria Math" w:eastAsia="Cambria Math"/>
          <w:w w:val="110"/>
          <w:position w:val="-4"/>
          <w:sz w:val="17"/>
        </w:rPr>
        <w:t>𝑑    </w:t>
      </w:r>
      <w:r>
        <w:rPr>
          <w:rFonts w:ascii="Cambria Math" w:hAnsi="Cambria Math" w:eastAsia="Cambria Math"/>
          <w:w w:val="110"/>
          <w:sz w:val="24"/>
        </w:rPr>
        <w:t>≤ ∑ �</w:t>
      </w:r>
      <w:r>
        <w:rPr>
          <w:rFonts w:ascii="Cambria Math" w:hAnsi="Cambria Math" w:eastAsia="Cambria Math"/>
          <w:w w:val="110"/>
          <w:position w:val="-4"/>
          <w:sz w:val="17"/>
        </w:rPr>
        <w:t>𝑠𝑑</w:t>
      </w:r>
    </w:p>
    <w:p>
      <w:pPr>
        <w:spacing w:before="58"/>
        <w:ind w:left="0" w:right="372" w:firstLine="0"/>
        <w:jc w:val="right"/>
        <w:rPr>
          <w:rFonts w:ascii="Cambria Math" w:eastAsia="Cambria Math"/>
          <w:sz w:val="17"/>
        </w:rPr>
      </w:pPr>
      <w:r>
        <w:rPr>
          <w:rFonts w:ascii="Cambria Math" w:eastAsia="Cambria Math"/>
          <w:w w:val="105"/>
          <w:sz w:val="17"/>
        </w:rPr>
        <w:t>𝑑=1</w:t>
      </w:r>
    </w:p>
    <w:p>
      <w:pPr>
        <w:pStyle w:val="BodyText"/>
        <w:spacing w:before="11"/>
        <w:rPr>
          <w:rFonts w:ascii="Cambria Math"/>
          <w:sz w:val="23"/>
        </w:rPr>
      </w:pPr>
      <w:r>
        <w:rPr/>
        <w:br w:type="column"/>
      </w:r>
      <w:r>
        <w:rPr>
          <w:rFonts w:ascii="Cambria Math"/>
          <w:sz w:val="23"/>
        </w:rPr>
      </w:r>
    </w:p>
    <w:p>
      <w:pPr>
        <w:pStyle w:val="BodyText"/>
        <w:ind w:left="226"/>
        <w:rPr>
          <w:rFonts w:ascii="Cambria Math" w:hAnsi="Cambria Math" w:eastAsia="Cambria Math"/>
        </w:rPr>
      </w:pPr>
      <w:r>
        <w:rPr>
          <w:rFonts w:ascii="Cambria Math" w:hAnsi="Cambria Math" w:eastAsia="Cambria Math"/>
        </w:rPr>
        <w:t>� = 1, 2,3 … … … … 8</w:t>
      </w:r>
    </w:p>
    <w:p>
      <w:pPr>
        <w:spacing w:after="0"/>
        <w:rPr>
          <w:rFonts w:ascii="Cambria Math" w:hAnsi="Cambria Math" w:eastAsia="Cambria Math"/>
        </w:rPr>
        <w:sectPr>
          <w:type w:val="continuous"/>
          <w:pgSz w:w="12240" w:h="15840"/>
          <w:pgMar w:top="3260" w:bottom="280" w:left="1300" w:right="1340"/>
          <w:cols w:num="2" w:equalWidth="0">
            <w:col w:w="4248" w:space="40"/>
            <w:col w:w="5312"/>
          </w:cols>
        </w:sectPr>
      </w:pPr>
    </w:p>
    <w:p>
      <w:pPr>
        <w:pStyle w:val="BodyText"/>
        <w:spacing w:before="10"/>
        <w:rPr>
          <w:rFonts w:ascii="Cambria Math"/>
          <w:sz w:val="19"/>
        </w:rPr>
      </w:pPr>
    </w:p>
    <w:p>
      <w:pPr>
        <w:pStyle w:val="ListParagraph"/>
        <w:numPr>
          <w:ilvl w:val="0"/>
          <w:numId w:val="13"/>
        </w:numPr>
        <w:tabs>
          <w:tab w:pos="839" w:val="left" w:leader="none"/>
        </w:tabs>
        <w:spacing w:line="360" w:lineRule="auto" w:before="69" w:after="0"/>
        <w:ind w:left="838" w:right="266" w:hanging="360"/>
        <w:jc w:val="both"/>
        <w:rPr>
          <w:sz w:val="24"/>
        </w:rPr>
      </w:pPr>
      <w:r>
        <w:rPr>
          <w:sz w:val="24"/>
        </w:rPr>
        <w:t>La cantidad ofertada de producto (toneladas de carne de cerdo) debe ser mayor o igual que</w:t>
      </w:r>
      <w:r>
        <w:rPr>
          <w:spacing w:val="-5"/>
          <w:sz w:val="24"/>
        </w:rPr>
        <w:t> </w:t>
      </w:r>
      <w:r>
        <w:rPr>
          <w:sz w:val="24"/>
        </w:rPr>
        <w:t>la</w:t>
      </w:r>
      <w:r>
        <w:rPr>
          <w:spacing w:val="-4"/>
          <w:sz w:val="24"/>
        </w:rPr>
        <w:t> </w:t>
      </w:r>
      <w:r>
        <w:rPr>
          <w:sz w:val="24"/>
        </w:rPr>
        <w:t>sumatoria</w:t>
      </w:r>
      <w:r>
        <w:rPr>
          <w:spacing w:val="-5"/>
          <w:sz w:val="24"/>
        </w:rPr>
        <w:t> </w:t>
      </w:r>
      <w:r>
        <w:rPr>
          <w:sz w:val="24"/>
        </w:rPr>
        <w:t>de</w:t>
      </w:r>
      <w:r>
        <w:rPr>
          <w:spacing w:val="-5"/>
          <w:sz w:val="24"/>
        </w:rPr>
        <w:t> </w:t>
      </w:r>
      <w:r>
        <w:rPr>
          <w:sz w:val="24"/>
        </w:rPr>
        <w:t>las</w:t>
      </w:r>
      <w:r>
        <w:rPr>
          <w:spacing w:val="-4"/>
          <w:sz w:val="24"/>
        </w:rPr>
        <w:t> </w:t>
      </w:r>
      <w:r>
        <w:rPr>
          <w:sz w:val="24"/>
        </w:rPr>
        <w:t>cantidades</w:t>
      </w:r>
      <w:r>
        <w:rPr>
          <w:spacing w:val="-4"/>
          <w:sz w:val="24"/>
        </w:rPr>
        <w:t> </w:t>
      </w:r>
      <w:r>
        <w:rPr>
          <w:sz w:val="24"/>
        </w:rPr>
        <w:t>enviadas</w:t>
      </w:r>
      <w:r>
        <w:rPr>
          <w:spacing w:val="-4"/>
          <w:sz w:val="24"/>
        </w:rPr>
        <w:t> </w:t>
      </w:r>
      <w:r>
        <w:rPr>
          <w:sz w:val="24"/>
        </w:rPr>
        <w:t>de</w:t>
      </w:r>
      <w:r>
        <w:rPr>
          <w:spacing w:val="-5"/>
          <w:sz w:val="24"/>
        </w:rPr>
        <w:t> </w:t>
      </w:r>
      <w:r>
        <w:rPr>
          <w:sz w:val="24"/>
        </w:rPr>
        <w:t>las</w:t>
      </w:r>
      <w:r>
        <w:rPr>
          <w:spacing w:val="-2"/>
          <w:sz w:val="24"/>
        </w:rPr>
        <w:t> </w:t>
      </w:r>
      <w:r>
        <w:rPr>
          <w:sz w:val="24"/>
        </w:rPr>
        <w:t>regiones</w:t>
      </w:r>
      <w:r>
        <w:rPr>
          <w:spacing w:val="-4"/>
          <w:sz w:val="24"/>
        </w:rPr>
        <w:t> </w:t>
      </w:r>
      <w:r>
        <w:rPr>
          <w:sz w:val="24"/>
        </w:rPr>
        <w:t>productoras</w:t>
      </w:r>
      <w:r>
        <w:rPr>
          <w:spacing w:val="-4"/>
          <w:sz w:val="24"/>
        </w:rPr>
        <w:t> </w:t>
      </w:r>
      <w:r>
        <w:rPr>
          <w:sz w:val="24"/>
        </w:rPr>
        <w:t>(</w:t>
      </w:r>
      <w:r>
        <w:rPr>
          <w:i/>
          <w:sz w:val="24"/>
        </w:rPr>
        <w:t>s</w:t>
      </w:r>
      <w:r>
        <w:rPr>
          <w:sz w:val="24"/>
        </w:rPr>
        <w:t>)</w:t>
      </w:r>
      <w:r>
        <w:rPr>
          <w:spacing w:val="-1"/>
          <w:sz w:val="24"/>
        </w:rPr>
        <w:t> </w:t>
      </w:r>
      <w:r>
        <w:rPr>
          <w:sz w:val="24"/>
        </w:rPr>
        <w:t>a</w:t>
      </w:r>
      <w:r>
        <w:rPr>
          <w:spacing w:val="-6"/>
          <w:sz w:val="24"/>
        </w:rPr>
        <w:t> </w:t>
      </w:r>
      <w:r>
        <w:rPr>
          <w:sz w:val="24"/>
        </w:rPr>
        <w:t>las</w:t>
      </w:r>
      <w:r>
        <w:rPr>
          <w:spacing w:val="-4"/>
          <w:sz w:val="24"/>
        </w:rPr>
        <w:t> </w:t>
      </w:r>
      <w:r>
        <w:rPr>
          <w:sz w:val="24"/>
        </w:rPr>
        <w:t>regiones demandantes</w:t>
      </w:r>
      <w:r>
        <w:rPr>
          <w:spacing w:val="-4"/>
          <w:sz w:val="24"/>
        </w:rPr>
        <w:t> </w:t>
      </w:r>
      <w:r>
        <w:rPr>
          <w:sz w:val="24"/>
        </w:rPr>
        <w:t>(</w:t>
      </w:r>
      <w:r>
        <w:rPr>
          <w:i/>
          <w:sz w:val="24"/>
        </w:rPr>
        <w:t>d</w:t>
      </w:r>
      <w:r>
        <w:rPr>
          <w:sz w:val="24"/>
        </w:rPr>
        <w:t>).</w:t>
      </w:r>
    </w:p>
    <w:p>
      <w:pPr>
        <w:spacing w:after="0" w:line="360" w:lineRule="auto"/>
        <w:jc w:val="both"/>
        <w:rPr>
          <w:sz w:val="24"/>
        </w:rPr>
        <w:sectPr>
          <w:type w:val="continuous"/>
          <w:pgSz w:w="12240" w:h="15840"/>
          <w:pgMar w:top="3260" w:bottom="280" w:left="1300" w:right="1340"/>
        </w:sectPr>
      </w:pPr>
    </w:p>
    <w:p>
      <w:pPr>
        <w:spacing w:line="187" w:lineRule="exact" w:before="0"/>
        <w:ind w:left="0" w:right="446" w:firstLine="0"/>
        <w:jc w:val="right"/>
        <w:rPr>
          <w:rFonts w:ascii="Cambria Math"/>
          <w:sz w:val="17"/>
        </w:rPr>
      </w:pPr>
      <w:r>
        <w:rPr>
          <w:rFonts w:ascii="Cambria Math"/>
          <w:w w:val="105"/>
          <w:sz w:val="17"/>
        </w:rPr>
        <w:t>10</w:t>
      </w:r>
    </w:p>
    <w:p>
      <w:pPr>
        <w:spacing w:before="91"/>
        <w:ind w:left="0" w:right="0" w:firstLine="0"/>
        <w:jc w:val="right"/>
        <w:rPr>
          <w:rFonts w:ascii="Cambria Math" w:hAnsi="Cambria Math" w:eastAsia="Cambria Math"/>
          <w:sz w:val="17"/>
        </w:rPr>
      </w:pPr>
      <w:r>
        <w:rPr>
          <w:rFonts w:ascii="Cambria Math" w:hAnsi="Cambria Math" w:eastAsia="Cambria Math"/>
          <w:w w:val="110"/>
          <w:sz w:val="24"/>
        </w:rPr>
        <w:t>�</w:t>
      </w:r>
      <w:r>
        <w:rPr>
          <w:rFonts w:ascii="Cambria Math" w:hAnsi="Cambria Math" w:eastAsia="Cambria Math"/>
          <w:w w:val="110"/>
          <w:position w:val="-4"/>
          <w:sz w:val="17"/>
        </w:rPr>
        <w:t>𝑠  </w:t>
      </w:r>
      <w:r>
        <w:rPr>
          <w:rFonts w:ascii="Cambria Math" w:hAnsi="Cambria Math" w:eastAsia="Cambria Math"/>
          <w:w w:val="110"/>
          <w:sz w:val="24"/>
        </w:rPr>
        <w:t>≥ ∑ �</w:t>
      </w:r>
      <w:r>
        <w:rPr>
          <w:rFonts w:ascii="Cambria Math" w:hAnsi="Cambria Math" w:eastAsia="Cambria Math"/>
          <w:w w:val="110"/>
          <w:position w:val="-4"/>
          <w:sz w:val="17"/>
        </w:rPr>
        <w:t>𝑠𝑑</w:t>
      </w:r>
    </w:p>
    <w:p>
      <w:pPr>
        <w:spacing w:before="58"/>
        <w:ind w:left="0" w:right="372" w:firstLine="0"/>
        <w:jc w:val="right"/>
        <w:rPr>
          <w:rFonts w:ascii="Cambria Math" w:eastAsia="Cambria Math"/>
          <w:sz w:val="17"/>
        </w:rPr>
      </w:pPr>
      <w:r>
        <w:rPr>
          <w:rFonts w:ascii="Cambria Math" w:eastAsia="Cambria Math"/>
          <w:w w:val="105"/>
          <w:sz w:val="17"/>
        </w:rPr>
        <w:t>𝑑=1</w:t>
      </w:r>
    </w:p>
    <w:p>
      <w:pPr>
        <w:pStyle w:val="BodyText"/>
        <w:spacing w:before="9"/>
        <w:rPr>
          <w:rFonts w:ascii="Cambria Math"/>
          <w:sz w:val="23"/>
        </w:rPr>
      </w:pPr>
      <w:r>
        <w:rPr/>
        <w:br w:type="column"/>
      </w:r>
      <w:r>
        <w:rPr>
          <w:rFonts w:ascii="Cambria Math"/>
          <w:sz w:val="23"/>
        </w:rPr>
      </w:r>
    </w:p>
    <w:p>
      <w:pPr>
        <w:pStyle w:val="BodyText"/>
        <w:ind w:left="331"/>
        <w:rPr>
          <w:rFonts w:ascii="Cambria Math" w:hAnsi="Cambria Math" w:eastAsia="Cambria Math"/>
        </w:rPr>
      </w:pPr>
      <w:r>
        <w:rPr>
          <w:rFonts w:ascii="Cambria Math" w:hAnsi="Cambria Math" w:eastAsia="Cambria Math"/>
        </w:rPr>
        <w:t>� = 1, 2,3 … … … … 10</w:t>
      </w:r>
    </w:p>
    <w:p>
      <w:pPr>
        <w:spacing w:after="0"/>
        <w:rPr>
          <w:rFonts w:ascii="Cambria Math" w:hAnsi="Cambria Math" w:eastAsia="Cambria Math"/>
        </w:rPr>
        <w:sectPr>
          <w:type w:val="continuous"/>
          <w:pgSz w:w="12240" w:h="15840"/>
          <w:pgMar w:top="3260" w:bottom="280" w:left="1300" w:right="1340"/>
          <w:cols w:num="2" w:equalWidth="0">
            <w:col w:w="4150" w:space="40"/>
            <w:col w:w="5410"/>
          </w:cols>
        </w:sectPr>
      </w:pPr>
    </w:p>
    <w:p>
      <w:pPr>
        <w:pStyle w:val="BodyText"/>
        <w:spacing w:before="10"/>
        <w:rPr>
          <w:rFonts w:ascii="Cambria Math"/>
          <w:sz w:val="19"/>
        </w:rPr>
      </w:pPr>
    </w:p>
    <w:p>
      <w:pPr>
        <w:pStyle w:val="ListParagraph"/>
        <w:numPr>
          <w:ilvl w:val="0"/>
          <w:numId w:val="13"/>
        </w:numPr>
        <w:tabs>
          <w:tab w:pos="839" w:val="left" w:leader="none"/>
        </w:tabs>
        <w:spacing w:line="360" w:lineRule="auto" w:before="69" w:after="0"/>
        <w:ind w:left="838" w:right="268" w:hanging="360"/>
        <w:jc w:val="left"/>
        <w:rPr>
          <w:sz w:val="24"/>
        </w:rPr>
      </w:pPr>
      <w:r>
        <w:rPr>
          <w:sz w:val="24"/>
        </w:rPr>
        <w:t>La cantidad demandada, la cantidad ofertada y los envíos de las regiones productoras (</w:t>
      </w:r>
      <w:r>
        <w:rPr>
          <w:i/>
          <w:sz w:val="24"/>
        </w:rPr>
        <w:t>s</w:t>
      </w:r>
      <w:r>
        <w:rPr>
          <w:sz w:val="24"/>
        </w:rPr>
        <w:t>) a las regiones demandantes (</w:t>
      </w:r>
      <w:r>
        <w:rPr>
          <w:i/>
          <w:sz w:val="24"/>
        </w:rPr>
        <w:t>d</w:t>
      </w:r>
      <w:r>
        <w:rPr>
          <w:sz w:val="24"/>
        </w:rPr>
        <w:t>), debe ser mayor o igual a</w:t>
      </w:r>
      <w:r>
        <w:rPr>
          <w:spacing w:val="-9"/>
          <w:sz w:val="24"/>
        </w:rPr>
        <w:t> </w:t>
      </w:r>
      <w:r>
        <w:rPr>
          <w:sz w:val="24"/>
        </w:rPr>
        <w:t>cero.</w:t>
      </w:r>
    </w:p>
    <w:p>
      <w:pPr>
        <w:spacing w:before="12"/>
        <w:ind w:left="0" w:right="410"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𝑑  </w:t>
      </w:r>
      <w:r>
        <w:rPr>
          <w:rFonts w:ascii="Cambria Math" w:hAnsi="Cambria Math" w:eastAsia="Cambria Math"/>
          <w:sz w:val="24"/>
        </w:rPr>
        <w:t>, �</w:t>
      </w:r>
      <w:r>
        <w:rPr>
          <w:rFonts w:ascii="Cambria Math" w:hAnsi="Cambria Math" w:eastAsia="Cambria Math"/>
          <w:position w:val="-4"/>
          <w:sz w:val="17"/>
        </w:rPr>
        <w:t>𝑠 </w:t>
      </w:r>
      <w:r>
        <w:rPr>
          <w:rFonts w:ascii="Cambria Math" w:hAnsi="Cambria Math" w:eastAsia="Cambria Math"/>
          <w:sz w:val="24"/>
        </w:rPr>
        <w:t>, �</w:t>
      </w:r>
      <w:r>
        <w:rPr>
          <w:rFonts w:ascii="Cambria Math" w:hAnsi="Cambria Math" w:eastAsia="Cambria Math"/>
          <w:position w:val="-4"/>
          <w:sz w:val="17"/>
        </w:rPr>
        <w:t>𝑠𝑑  </w:t>
      </w:r>
      <w:r>
        <w:rPr>
          <w:rFonts w:ascii="Cambria Math" w:hAnsi="Cambria Math" w:eastAsia="Cambria Math"/>
          <w:sz w:val="24"/>
        </w:rPr>
        <w:t>≥ 0</w:t>
      </w:r>
    </w:p>
    <w:p>
      <w:pPr>
        <w:pStyle w:val="BodyText"/>
        <w:rPr>
          <w:rFonts w:ascii="Cambria Math"/>
          <w:sz w:val="26"/>
        </w:rPr>
      </w:pPr>
    </w:p>
    <w:p>
      <w:pPr>
        <w:pStyle w:val="BodyText"/>
        <w:rPr>
          <w:rFonts w:ascii="Cambria Math"/>
          <w:sz w:val="26"/>
        </w:rPr>
      </w:pPr>
    </w:p>
    <w:p>
      <w:pPr>
        <w:pStyle w:val="BodyText"/>
        <w:rPr>
          <w:rFonts w:ascii="Cambria Math"/>
          <w:sz w:val="26"/>
        </w:rPr>
      </w:pPr>
    </w:p>
    <w:p>
      <w:pPr>
        <w:pStyle w:val="BodyText"/>
        <w:ind w:left="118" w:right="410"/>
      </w:pPr>
      <w:r>
        <w:rPr/>
        <w:t>Los supuestos económicos considerados en el modelo fueron:</w:t>
      </w:r>
    </w:p>
    <w:p>
      <w:pPr>
        <w:pStyle w:val="BodyText"/>
        <w:spacing w:before="2"/>
        <w:rPr>
          <w:sz w:val="29"/>
        </w:rPr>
      </w:pPr>
    </w:p>
    <w:p>
      <w:pPr>
        <w:pStyle w:val="ListParagraph"/>
        <w:numPr>
          <w:ilvl w:val="0"/>
          <w:numId w:val="14"/>
        </w:numPr>
        <w:tabs>
          <w:tab w:pos="838" w:val="left" w:leader="none"/>
          <w:tab w:pos="839" w:val="left" w:leader="none"/>
        </w:tabs>
        <w:spacing w:line="240" w:lineRule="auto" w:before="0" w:after="0"/>
        <w:ind w:left="838" w:right="0" w:hanging="360"/>
        <w:jc w:val="left"/>
        <w:rPr>
          <w:sz w:val="24"/>
        </w:rPr>
      </w:pPr>
      <w:r>
        <w:rPr>
          <w:sz w:val="24"/>
        </w:rPr>
        <w:t>Hay 2 o más regiones que comercian un bien</w:t>
      </w:r>
      <w:r>
        <w:rPr>
          <w:spacing w:val="-7"/>
          <w:sz w:val="24"/>
        </w:rPr>
        <w:t> </w:t>
      </w:r>
      <w:r>
        <w:rPr>
          <w:sz w:val="24"/>
        </w:rPr>
        <w:t>homogéneo</w:t>
      </w:r>
    </w:p>
    <w:p>
      <w:pPr>
        <w:pStyle w:val="ListParagraph"/>
        <w:numPr>
          <w:ilvl w:val="0"/>
          <w:numId w:val="14"/>
        </w:numPr>
        <w:tabs>
          <w:tab w:pos="838" w:val="left" w:leader="none"/>
          <w:tab w:pos="839" w:val="left" w:leader="none"/>
        </w:tabs>
        <w:spacing w:line="240" w:lineRule="auto" w:before="138" w:after="0"/>
        <w:ind w:left="838" w:right="0" w:hanging="360"/>
        <w:jc w:val="left"/>
        <w:rPr>
          <w:sz w:val="24"/>
        </w:rPr>
      </w:pPr>
      <w:r>
        <w:rPr>
          <w:sz w:val="24"/>
        </w:rPr>
        <w:t>Cada región constituye un solo y distinto</w:t>
      </w:r>
      <w:r>
        <w:rPr>
          <w:spacing w:val="-12"/>
          <w:sz w:val="24"/>
        </w:rPr>
        <w:t> </w:t>
      </w:r>
      <w:r>
        <w:rPr>
          <w:sz w:val="24"/>
        </w:rPr>
        <w:t>mercado</w:t>
      </w:r>
    </w:p>
    <w:p>
      <w:pPr>
        <w:pStyle w:val="ListParagraph"/>
        <w:numPr>
          <w:ilvl w:val="0"/>
          <w:numId w:val="14"/>
        </w:numPr>
        <w:tabs>
          <w:tab w:pos="838" w:val="left" w:leader="none"/>
          <w:tab w:pos="839" w:val="left" w:leader="none"/>
        </w:tabs>
        <w:spacing w:line="350" w:lineRule="auto" w:before="138" w:after="0"/>
        <w:ind w:left="838" w:right="272" w:hanging="360"/>
        <w:jc w:val="left"/>
        <w:rPr>
          <w:sz w:val="24"/>
        </w:rPr>
      </w:pPr>
      <w:r>
        <w:rPr>
          <w:sz w:val="24"/>
        </w:rPr>
        <w:t>Las regiones están separadas pero no aisladas por los costos de transporte por unidad física, lo cual es independiente del</w:t>
      </w:r>
      <w:r>
        <w:rPr>
          <w:spacing w:val="-5"/>
          <w:sz w:val="24"/>
        </w:rPr>
        <w:t> </w:t>
      </w:r>
      <w:r>
        <w:rPr>
          <w:sz w:val="24"/>
        </w:rPr>
        <w:t>volumen</w:t>
      </w:r>
    </w:p>
    <w:p>
      <w:pPr>
        <w:pStyle w:val="ListParagraph"/>
        <w:numPr>
          <w:ilvl w:val="0"/>
          <w:numId w:val="14"/>
        </w:numPr>
        <w:tabs>
          <w:tab w:pos="838" w:val="left" w:leader="none"/>
          <w:tab w:pos="839" w:val="left" w:leader="none"/>
        </w:tabs>
        <w:spacing w:line="240" w:lineRule="auto" w:before="16" w:after="0"/>
        <w:ind w:left="838" w:right="0" w:hanging="360"/>
        <w:jc w:val="left"/>
        <w:rPr>
          <w:sz w:val="24"/>
        </w:rPr>
      </w:pPr>
      <w:r>
        <w:rPr>
          <w:sz w:val="24"/>
        </w:rPr>
        <w:t>Para cada región las funciones de oferta y demanda son</w:t>
      </w:r>
      <w:r>
        <w:rPr>
          <w:spacing w:val="-17"/>
          <w:sz w:val="24"/>
        </w:rPr>
        <w:t> </w:t>
      </w:r>
      <w:r>
        <w:rPr>
          <w:sz w:val="24"/>
        </w:rPr>
        <w:t>conocidas</w:t>
      </w:r>
    </w:p>
    <w:p>
      <w:pPr>
        <w:spacing w:after="0" w:line="240" w:lineRule="auto"/>
        <w:jc w:val="left"/>
        <w:rPr>
          <w:sz w:val="24"/>
        </w:rPr>
        <w:sectPr>
          <w:type w:val="continuous"/>
          <w:pgSz w:w="12240" w:h="15840"/>
          <w:pgMar w:top="3260" w:bottom="280" w:left="1300" w:right="1340"/>
        </w:sectPr>
      </w:pPr>
    </w:p>
    <w:p>
      <w:pPr>
        <w:pStyle w:val="ListParagraph"/>
        <w:numPr>
          <w:ilvl w:val="0"/>
          <w:numId w:val="14"/>
        </w:numPr>
        <w:tabs>
          <w:tab w:pos="858" w:val="left" w:leader="none"/>
          <w:tab w:pos="859" w:val="left" w:leader="none"/>
        </w:tabs>
        <w:spacing w:line="240" w:lineRule="auto" w:before="124" w:after="0"/>
        <w:ind w:left="858" w:right="0" w:hanging="360"/>
        <w:jc w:val="left"/>
        <w:rPr>
          <w:sz w:val="24"/>
        </w:rPr>
      </w:pPr>
      <w:r>
        <w:rPr>
          <w:sz w:val="24"/>
        </w:rPr>
        <w:t>considerando 10 regiones productoras y 8 regiones</w:t>
      </w:r>
      <w:r>
        <w:rPr>
          <w:spacing w:val="-10"/>
          <w:sz w:val="24"/>
        </w:rPr>
        <w:t> </w:t>
      </w:r>
      <w:r>
        <w:rPr>
          <w:sz w:val="24"/>
        </w:rPr>
        <w:t>consumidoras.</w:t>
      </w:r>
    </w:p>
    <w:p>
      <w:pPr>
        <w:pStyle w:val="BodyText"/>
        <w:spacing w:line="360" w:lineRule="auto" w:before="136"/>
        <w:ind w:left="138" w:right="272"/>
        <w:jc w:val="both"/>
      </w:pPr>
      <w:r>
        <w:rPr/>
        <w:t>Se utilizó la regionalización económica y geográfica propuesta por Bassols (1995), como se muestra en el Cuadro 1.</w:t>
      </w:r>
    </w:p>
    <w:p>
      <w:pPr>
        <w:pStyle w:val="BodyText"/>
      </w:pPr>
    </w:p>
    <w:p>
      <w:pPr>
        <w:pStyle w:val="BodyText"/>
      </w:pPr>
    </w:p>
    <w:p>
      <w:pPr>
        <w:pStyle w:val="BodyText"/>
        <w:spacing w:before="3"/>
        <w:rPr>
          <w:sz w:val="23"/>
        </w:rPr>
      </w:pPr>
    </w:p>
    <w:p>
      <w:pPr>
        <w:pStyle w:val="BodyText"/>
        <w:ind w:left="138"/>
        <w:jc w:val="both"/>
      </w:pPr>
      <w:r>
        <w:rPr/>
        <w:t>Cuadro 1: Regiones y entidades de México</w:t>
      </w:r>
    </w:p>
    <w:p>
      <w:pPr>
        <w:pStyle w:val="BodyText"/>
        <w:spacing w:before="3"/>
        <w:rPr>
          <w:sz w:val="26"/>
        </w:rPr>
      </w:pPr>
      <w:r>
        <w:rPr/>
        <w:pict>
          <v:group style="position:absolute;margin-left:70.694pt;margin-top:17.074318pt;width:447.7pt;height:1.5pt;mso-position-horizontal-relative:page;mso-position-vertical-relative:paragraph;z-index:4240;mso-wrap-distance-left:0;mso-wrap-distance-right:0" coordorigin="1414,341" coordsize="8954,30">
            <v:line style="position:absolute" from="1419,346" to="4316,346" stroked="true" strokeweight=".48pt" strokecolor="#000000"/>
            <v:line style="position:absolute" from="1419,366" to="4316,366" stroked="true" strokeweight=".48pt" strokecolor="#000000"/>
            <v:line style="position:absolute" from="4316,346" to="4345,346" stroked="true" strokeweight=".48pt" strokecolor="#000000"/>
            <v:line style="position:absolute" from="4316,366" to="4345,366" stroked="true" strokeweight=".48pt" strokecolor="#000000"/>
            <v:line style="position:absolute" from="4345,346" to="10363,346" stroked="true" strokeweight=".48pt" strokecolor="#000000"/>
            <v:line style="position:absolute" from="4345,366" to="10363,366" stroked="true" strokeweight=".48pt" strokecolor="#000000"/>
            <w10:wrap type="topAndBottom"/>
          </v:group>
        </w:pict>
      </w:r>
    </w:p>
    <w:p>
      <w:pPr>
        <w:tabs>
          <w:tab w:pos="4505" w:val="left" w:leader="none"/>
        </w:tabs>
        <w:spacing w:before="0" w:after="137"/>
        <w:ind w:left="0" w:right="2006" w:firstLine="0"/>
        <w:jc w:val="center"/>
        <w:rPr>
          <w:sz w:val="24"/>
        </w:rPr>
      </w:pPr>
      <w:r>
        <w:rPr>
          <w:b/>
          <w:sz w:val="24"/>
        </w:rPr>
        <w:t>Región</w:t>
        <w:tab/>
      </w:r>
      <w:r>
        <w:rPr>
          <w:sz w:val="24"/>
        </w:rPr>
        <w:t>Estado</w:t>
      </w:r>
    </w:p>
    <w:p>
      <w:pPr>
        <w:pStyle w:val="BodyText"/>
        <w:spacing w:line="29" w:lineRule="exact"/>
        <w:ind w:left="133"/>
        <w:rPr>
          <w:sz w:val="2"/>
        </w:rPr>
      </w:pPr>
      <w:r>
        <w:rPr>
          <w:position w:val="0"/>
          <w:sz w:val="2"/>
        </w:rPr>
        <w:pict>
          <v:group style="width:447.7pt;height:1.5pt;mso-position-horizontal-relative:char;mso-position-vertical-relative:line" coordorigin="0,0" coordsize="8954,30">
            <v:line style="position:absolute" from="5,5" to="2902,5" stroked="true" strokeweight=".48001pt" strokecolor="#000000"/>
            <v:line style="position:absolute" from="5,24" to="2902,24" stroked="true" strokeweight=".48pt" strokecolor="#000000"/>
            <v:line style="position:absolute" from="2902,5" to="2931,5" stroked="true" strokeweight=".48001pt" strokecolor="#000000"/>
            <v:line style="position:absolute" from="2902,24" to="2931,24" stroked="true" strokeweight=".48pt" strokecolor="#000000"/>
            <v:line style="position:absolute" from="2931,5" to="3171,5" stroked="true" strokeweight=".48001pt" strokecolor="#000000"/>
            <v:line style="position:absolute" from="2931,24" to="3171,24" stroked="true" strokeweight=".48pt" strokecolor="#000000"/>
            <v:line style="position:absolute" from="3171,5" to="3200,5" stroked="true" strokeweight=".48001pt" strokecolor="#000000"/>
            <v:line style="position:absolute" from="3171,24" to="3200,24" stroked="true" strokeweight=".48pt" strokecolor="#000000"/>
            <v:line style="position:absolute" from="3200,5" to="8949,5" stroked="true" strokeweight=".48001pt" strokecolor="#000000"/>
            <v:line style="position:absolute" from="3200,24" to="8949,24" stroked="true" strokeweight=".48pt" strokecolor="#000000"/>
          </v:group>
        </w:pict>
      </w:r>
      <w:r>
        <w:rPr>
          <w:position w:val="0"/>
          <w:sz w:val="2"/>
        </w:rPr>
      </w:r>
    </w:p>
    <w:p>
      <w:pPr>
        <w:pStyle w:val="BodyText"/>
        <w:tabs>
          <w:tab w:pos="3412" w:val="left" w:leader="none"/>
        </w:tabs>
        <w:spacing w:before="1"/>
        <w:ind w:left="246" w:right="259"/>
      </w:pPr>
      <w:r>
        <w:rPr>
          <w:b/>
        </w:rPr>
        <w:t>Noroeste</w:t>
      </w:r>
      <w:r>
        <w:rPr>
          <w:b/>
          <w:spacing w:val="-3"/>
        </w:rPr>
        <w:t> </w:t>
      </w:r>
      <w:r>
        <w:rPr>
          <w:b/>
        </w:rPr>
        <w:t>(NO)</w:t>
        <w:tab/>
      </w:r>
      <w:r>
        <w:rPr/>
        <w:t>Baja  California,  Baja  California  Sur,  Sonora,  Sinaloa  </w:t>
      </w:r>
      <w:r>
        <w:rPr>
          <w:spacing w:val="58"/>
        </w:rPr>
        <w:t> </w:t>
      </w:r>
      <w:r>
        <w:rPr/>
        <w:t>y</w:t>
      </w:r>
    </w:p>
    <w:p>
      <w:pPr>
        <w:pStyle w:val="BodyText"/>
        <w:spacing w:before="132"/>
        <w:ind w:right="2014"/>
        <w:jc w:val="center"/>
      </w:pPr>
      <w:r>
        <w:rPr/>
        <w:t>Nayarit.</w:t>
      </w:r>
    </w:p>
    <w:p>
      <w:pPr>
        <w:pStyle w:val="BodyText"/>
        <w:tabs>
          <w:tab w:pos="3412" w:val="left" w:leader="none"/>
        </w:tabs>
        <w:spacing w:before="144"/>
        <w:ind w:left="246" w:right="259"/>
      </w:pPr>
      <w:r>
        <w:rPr>
          <w:b/>
        </w:rPr>
        <w:t>Norte</w:t>
      </w:r>
      <w:r>
        <w:rPr>
          <w:b/>
          <w:spacing w:val="-2"/>
        </w:rPr>
        <w:t> </w:t>
      </w:r>
      <w:r>
        <w:rPr>
          <w:b/>
        </w:rPr>
        <w:t>(NR)</w:t>
        <w:tab/>
      </w:r>
      <w:r>
        <w:rPr/>
        <w:t>Chihuahua, Coahuila, Durango, San Luis potosí y</w:t>
      </w:r>
      <w:r>
        <w:rPr>
          <w:spacing w:val="-14"/>
        </w:rPr>
        <w:t> </w:t>
      </w:r>
      <w:r>
        <w:rPr/>
        <w:t>Zacatecas</w:t>
      </w:r>
    </w:p>
    <w:p>
      <w:pPr>
        <w:tabs>
          <w:tab w:pos="3412" w:val="left" w:leader="none"/>
        </w:tabs>
        <w:spacing w:before="137"/>
        <w:ind w:left="246" w:right="259" w:firstLine="0"/>
        <w:jc w:val="left"/>
        <w:rPr>
          <w:sz w:val="24"/>
        </w:rPr>
      </w:pPr>
      <w:r>
        <w:rPr>
          <w:b/>
          <w:sz w:val="24"/>
        </w:rPr>
        <w:t>Noreste</w:t>
      </w:r>
      <w:r>
        <w:rPr>
          <w:b/>
          <w:spacing w:val="-3"/>
          <w:sz w:val="24"/>
        </w:rPr>
        <w:t> </w:t>
      </w:r>
      <w:r>
        <w:rPr>
          <w:b/>
          <w:sz w:val="24"/>
        </w:rPr>
        <w:t>(NE)</w:t>
        <w:tab/>
      </w:r>
      <w:r>
        <w:rPr>
          <w:sz w:val="24"/>
        </w:rPr>
        <w:t>Nuevo León y</w:t>
      </w:r>
      <w:r>
        <w:rPr>
          <w:spacing w:val="-6"/>
          <w:sz w:val="24"/>
        </w:rPr>
        <w:t> </w:t>
      </w:r>
      <w:r>
        <w:rPr>
          <w:sz w:val="24"/>
        </w:rPr>
        <w:t>Tamaulipas.</w:t>
      </w:r>
    </w:p>
    <w:p>
      <w:pPr>
        <w:tabs>
          <w:tab w:pos="3412" w:val="left" w:leader="none"/>
        </w:tabs>
        <w:spacing w:before="139"/>
        <w:ind w:left="246" w:right="259" w:firstLine="0"/>
        <w:jc w:val="left"/>
        <w:rPr>
          <w:sz w:val="24"/>
        </w:rPr>
      </w:pPr>
      <w:r>
        <w:rPr>
          <w:b/>
          <w:sz w:val="24"/>
        </w:rPr>
        <w:t>Centro-Occidente</w:t>
      </w:r>
      <w:r>
        <w:rPr>
          <w:b/>
          <w:spacing w:val="-4"/>
          <w:sz w:val="24"/>
        </w:rPr>
        <w:t> </w:t>
      </w:r>
      <w:r>
        <w:rPr>
          <w:b/>
          <w:sz w:val="24"/>
        </w:rPr>
        <w:t>(CO)</w:t>
        <w:tab/>
      </w:r>
      <w:r>
        <w:rPr>
          <w:sz w:val="24"/>
        </w:rPr>
        <w:t>Aguascalientes , Colima, Guanajuato, Jalisco y</w:t>
      </w:r>
      <w:r>
        <w:rPr>
          <w:spacing w:val="-14"/>
          <w:sz w:val="24"/>
        </w:rPr>
        <w:t> </w:t>
      </w:r>
      <w:r>
        <w:rPr>
          <w:sz w:val="24"/>
        </w:rPr>
        <w:t>Michoacán</w:t>
      </w:r>
    </w:p>
    <w:p>
      <w:pPr>
        <w:pStyle w:val="BodyText"/>
        <w:tabs>
          <w:tab w:pos="3412" w:val="left" w:leader="none"/>
        </w:tabs>
        <w:spacing w:line="357" w:lineRule="auto" w:before="137"/>
        <w:ind w:left="3413" w:right="375" w:hanging="3167"/>
      </w:pPr>
      <w:r>
        <w:rPr>
          <w:b/>
        </w:rPr>
        <w:t>Centro-Este</w:t>
      </w:r>
      <w:r>
        <w:rPr>
          <w:b/>
          <w:spacing w:val="-3"/>
        </w:rPr>
        <w:t> </w:t>
      </w:r>
      <w:r>
        <w:rPr>
          <w:b/>
        </w:rPr>
        <w:t>(CE)</w:t>
        <w:tab/>
      </w:r>
      <w:r>
        <w:rPr/>
        <w:t>Distrito   Federal,   Hidalgo,   Estado   de</w:t>
      </w:r>
      <w:r>
        <w:rPr>
          <w:spacing w:val="3"/>
        </w:rPr>
        <w:t> </w:t>
      </w:r>
      <w:r>
        <w:rPr/>
        <w:t>México, </w:t>
      </w:r>
      <w:r>
        <w:rPr>
          <w:spacing w:val="40"/>
        </w:rPr>
        <w:t> </w:t>
      </w:r>
      <w:r>
        <w:rPr/>
        <w:t>Morelos,</w:t>
      </w:r>
      <w:r>
        <w:rPr>
          <w:w w:val="99"/>
        </w:rPr>
        <w:t> </w:t>
      </w:r>
      <w:r>
        <w:rPr/>
        <w:t>Puebla, Querétaro y</w:t>
      </w:r>
      <w:r>
        <w:rPr>
          <w:spacing w:val="-8"/>
        </w:rPr>
        <w:t> </w:t>
      </w:r>
      <w:r>
        <w:rPr/>
        <w:t>Tlaxcala.</w:t>
      </w:r>
    </w:p>
    <w:p>
      <w:pPr>
        <w:tabs>
          <w:tab w:pos="3412" w:val="left" w:leader="none"/>
        </w:tabs>
        <w:spacing w:before="11"/>
        <w:ind w:left="246" w:right="259" w:firstLine="0"/>
        <w:jc w:val="left"/>
        <w:rPr>
          <w:sz w:val="24"/>
        </w:rPr>
      </w:pPr>
      <w:r>
        <w:rPr>
          <w:b/>
          <w:sz w:val="24"/>
        </w:rPr>
        <w:t>Sur</w:t>
      </w:r>
      <w:r>
        <w:rPr>
          <w:b/>
          <w:spacing w:val="-2"/>
          <w:sz w:val="24"/>
        </w:rPr>
        <w:t> </w:t>
      </w:r>
      <w:r>
        <w:rPr>
          <w:b/>
          <w:sz w:val="24"/>
        </w:rPr>
        <w:t>(SU)</w:t>
        <w:tab/>
      </w:r>
      <w:r>
        <w:rPr>
          <w:sz w:val="24"/>
        </w:rPr>
        <w:t>Chiapas, Guerrero y</w:t>
      </w:r>
      <w:r>
        <w:rPr>
          <w:spacing w:val="-9"/>
          <w:sz w:val="24"/>
        </w:rPr>
        <w:t> </w:t>
      </w:r>
      <w:r>
        <w:rPr>
          <w:sz w:val="24"/>
        </w:rPr>
        <w:t>Oaxaca.</w:t>
      </w:r>
    </w:p>
    <w:p>
      <w:pPr>
        <w:tabs>
          <w:tab w:pos="3412" w:val="left" w:leader="none"/>
        </w:tabs>
        <w:spacing w:before="139"/>
        <w:ind w:left="246" w:right="259" w:firstLine="0"/>
        <w:jc w:val="left"/>
        <w:rPr>
          <w:sz w:val="24"/>
        </w:rPr>
      </w:pPr>
      <w:r>
        <w:rPr>
          <w:b/>
          <w:sz w:val="24"/>
        </w:rPr>
        <w:t>Oriente</w:t>
      </w:r>
      <w:r>
        <w:rPr>
          <w:b/>
          <w:spacing w:val="-3"/>
          <w:sz w:val="24"/>
        </w:rPr>
        <w:t> </w:t>
      </w:r>
      <w:r>
        <w:rPr>
          <w:b/>
          <w:sz w:val="24"/>
        </w:rPr>
        <w:t>(OR)</w:t>
        <w:tab/>
      </w:r>
      <w:r>
        <w:rPr>
          <w:sz w:val="24"/>
        </w:rPr>
        <w:t>Tabasco y</w:t>
      </w:r>
      <w:r>
        <w:rPr>
          <w:spacing w:val="-7"/>
          <w:sz w:val="24"/>
        </w:rPr>
        <w:t> </w:t>
      </w:r>
      <w:r>
        <w:rPr>
          <w:sz w:val="24"/>
        </w:rPr>
        <w:t>Veracruz</w:t>
      </w:r>
    </w:p>
    <w:p>
      <w:pPr>
        <w:tabs>
          <w:tab w:pos="3412" w:val="left" w:leader="none"/>
        </w:tabs>
        <w:spacing w:line="381" w:lineRule="auto" w:before="137"/>
        <w:ind w:left="138" w:right="2636" w:firstLine="108"/>
        <w:jc w:val="left"/>
        <w:rPr>
          <w:sz w:val="24"/>
        </w:rPr>
      </w:pPr>
      <w:r>
        <w:rPr/>
        <w:pict>
          <v:group style="position:absolute;margin-left:69.973999pt;margin-top:27.643143pt;width:461.9pt;height:1.5pt;mso-position-horizontal-relative:page;mso-position-vertical-relative:paragraph;z-index:-145312" coordorigin="1399,553" coordsize="9238,30">
            <v:line style="position:absolute" from="1404,577" to="4585,577" stroked="true" strokeweight=".48001pt" strokecolor="#000000"/>
            <v:line style="position:absolute" from="1404,558" to="4585,558" stroked="true" strokeweight=".47998pt" strokecolor="#000000"/>
            <v:line style="position:absolute" from="4571,558" to="4599,558" stroked="true" strokeweight=".47998pt" strokecolor="#000000"/>
            <v:line style="position:absolute" from="4571,577" to="4599,577" stroked="true" strokeweight=".48001pt" strokecolor="#000000"/>
            <v:line style="position:absolute" from="4599,577" to="10632,577" stroked="true" strokeweight=".48001pt" strokecolor="#000000"/>
            <v:line style="position:absolute" from="4599,558" to="10632,558" stroked="true" strokeweight=".47998pt" strokecolor="#000000"/>
            <w10:wrap type="none"/>
          </v:group>
        </w:pict>
      </w:r>
      <w:r>
        <w:rPr>
          <w:b/>
          <w:sz w:val="24"/>
        </w:rPr>
        <w:t>Península de</w:t>
      </w:r>
      <w:r>
        <w:rPr>
          <w:b/>
          <w:spacing w:val="-5"/>
          <w:sz w:val="24"/>
        </w:rPr>
        <w:t> </w:t>
      </w:r>
      <w:r>
        <w:rPr>
          <w:b/>
          <w:sz w:val="24"/>
        </w:rPr>
        <w:t>Yucatán</w:t>
      </w:r>
      <w:r>
        <w:rPr>
          <w:b/>
          <w:spacing w:val="-2"/>
          <w:sz w:val="24"/>
        </w:rPr>
        <w:t> </w:t>
      </w:r>
      <w:r>
        <w:rPr>
          <w:b/>
          <w:sz w:val="24"/>
        </w:rPr>
        <w:t>(PE)</w:t>
        <w:tab/>
      </w:r>
      <w:r>
        <w:rPr>
          <w:sz w:val="24"/>
        </w:rPr>
        <w:t>Campeche, Quintana Roo</w:t>
      </w:r>
      <w:r>
        <w:rPr>
          <w:spacing w:val="-3"/>
          <w:sz w:val="24"/>
        </w:rPr>
        <w:t> </w:t>
      </w:r>
      <w:r>
        <w:rPr>
          <w:sz w:val="24"/>
        </w:rPr>
        <w:t>y</w:t>
      </w:r>
      <w:r>
        <w:rPr>
          <w:spacing w:val="-6"/>
          <w:sz w:val="24"/>
        </w:rPr>
        <w:t> </w:t>
      </w:r>
      <w:r>
        <w:rPr>
          <w:sz w:val="24"/>
        </w:rPr>
        <w:t>Yucatán. Fuente: Bassols,</w:t>
      </w:r>
      <w:r>
        <w:rPr>
          <w:spacing w:val="-5"/>
          <w:sz w:val="24"/>
        </w:rPr>
        <w:t> </w:t>
      </w:r>
      <w:r>
        <w:rPr>
          <w:sz w:val="24"/>
        </w:rPr>
        <w:t>1995.</w:t>
      </w:r>
    </w:p>
    <w:p>
      <w:pPr>
        <w:pStyle w:val="BodyText"/>
        <w:spacing w:before="181"/>
        <w:ind w:left="138"/>
        <w:jc w:val="both"/>
      </w:pPr>
      <w:r>
        <w:rPr/>
        <w:t>La información utilizada se obtuvo de la siguiente manera:</w:t>
      </w:r>
    </w:p>
    <w:p>
      <w:pPr>
        <w:pStyle w:val="BodyText"/>
        <w:spacing w:before="4"/>
        <w:rPr>
          <w:sz w:val="29"/>
        </w:rPr>
      </w:pPr>
    </w:p>
    <w:p>
      <w:pPr>
        <w:pStyle w:val="BodyText"/>
        <w:spacing w:line="360" w:lineRule="auto" w:before="1"/>
        <w:ind w:left="138" w:right="267"/>
        <w:jc w:val="both"/>
      </w:pPr>
      <w:r>
        <w:rPr/>
        <w:t>La producción y las exportaciones se obtuvieron por estado del Servicio de Información Agroalimentaria y Pesquera (SIAP, 2016), se restó la exportación a la producción de los</w:t>
      </w:r>
      <w:r>
        <w:rPr>
          <w:spacing w:val="-26"/>
        </w:rPr>
        <w:t> </w:t>
      </w:r>
      <w:r>
        <w:rPr/>
        <w:t>estados que reportaron, y se sumó la producción de los estados que integran cada una de las regiones para obtener la producción</w:t>
      </w:r>
      <w:r>
        <w:rPr>
          <w:spacing w:val="-7"/>
        </w:rPr>
        <w:t> </w:t>
      </w:r>
      <w:r>
        <w:rPr/>
        <w:t>regional.</w:t>
      </w:r>
    </w:p>
    <w:p>
      <w:pPr>
        <w:pStyle w:val="BodyText"/>
        <w:spacing w:line="360" w:lineRule="auto" w:before="206"/>
        <w:ind w:left="138" w:right="267"/>
        <w:jc w:val="both"/>
      </w:pPr>
      <w:r>
        <w:rPr/>
        <w:t>La</w:t>
      </w:r>
      <w:r>
        <w:rPr>
          <w:spacing w:val="-15"/>
        </w:rPr>
        <w:t> </w:t>
      </w:r>
      <w:r>
        <w:rPr/>
        <w:t>importación</w:t>
      </w:r>
      <w:r>
        <w:rPr>
          <w:spacing w:val="-15"/>
        </w:rPr>
        <w:t> </w:t>
      </w:r>
      <w:r>
        <w:rPr/>
        <w:t>se</w:t>
      </w:r>
      <w:r>
        <w:rPr>
          <w:spacing w:val="-17"/>
        </w:rPr>
        <w:t> </w:t>
      </w:r>
      <w:r>
        <w:rPr/>
        <w:t>obtuvo</w:t>
      </w:r>
      <w:r>
        <w:rPr>
          <w:spacing w:val="31"/>
        </w:rPr>
        <w:t> </w:t>
      </w:r>
      <w:r>
        <w:rPr/>
        <w:t>del</w:t>
      </w:r>
      <w:r>
        <w:rPr>
          <w:spacing w:val="29"/>
        </w:rPr>
        <w:t> </w:t>
      </w:r>
      <w:r>
        <w:rPr/>
        <w:t>Servicio</w:t>
      </w:r>
      <w:r>
        <w:rPr>
          <w:spacing w:val="-15"/>
        </w:rPr>
        <w:t> </w:t>
      </w:r>
      <w:r>
        <w:rPr/>
        <w:t>de</w:t>
      </w:r>
      <w:r>
        <w:rPr>
          <w:spacing w:val="-13"/>
        </w:rPr>
        <w:t> </w:t>
      </w:r>
      <w:r>
        <w:rPr/>
        <w:t>Información</w:t>
      </w:r>
      <w:r>
        <w:rPr>
          <w:spacing w:val="-15"/>
        </w:rPr>
        <w:t> </w:t>
      </w:r>
      <w:r>
        <w:rPr/>
        <w:t>Agroalimentaria</w:t>
      </w:r>
      <w:r>
        <w:rPr>
          <w:spacing w:val="-13"/>
        </w:rPr>
        <w:t> </w:t>
      </w:r>
      <w:r>
        <w:rPr/>
        <w:t>y</w:t>
      </w:r>
      <w:r>
        <w:rPr>
          <w:spacing w:val="-21"/>
        </w:rPr>
        <w:t> </w:t>
      </w:r>
      <w:r>
        <w:rPr/>
        <w:t>Pesquera</w:t>
      </w:r>
      <w:r>
        <w:rPr>
          <w:spacing w:val="-15"/>
        </w:rPr>
        <w:t> </w:t>
      </w:r>
      <w:r>
        <w:rPr/>
        <w:t>(SIAP,</w:t>
      </w:r>
      <w:r>
        <w:rPr>
          <w:spacing w:val="-15"/>
        </w:rPr>
        <w:t> </w:t>
      </w:r>
      <w:r>
        <w:rPr/>
        <w:t>2016) según las claves arancelarias y puntos de acceso (aduanas). Se establecieron 2 puntos de internación de carne importada, el primero lo componen las aduanas de Colombia en Nuevo León,</w:t>
      </w:r>
      <w:r>
        <w:rPr>
          <w:spacing w:val="-5"/>
        </w:rPr>
        <w:t> </w:t>
      </w:r>
      <w:r>
        <w:rPr/>
        <w:t>Nuevo</w:t>
      </w:r>
      <w:r>
        <w:rPr>
          <w:spacing w:val="-5"/>
        </w:rPr>
        <w:t> </w:t>
      </w:r>
      <w:r>
        <w:rPr/>
        <w:t>Laredo y</w:t>
      </w:r>
      <w:r>
        <w:rPr>
          <w:spacing w:val="-11"/>
        </w:rPr>
        <w:t> </w:t>
      </w:r>
      <w:r>
        <w:rPr/>
        <w:t>Reynosa</w:t>
      </w:r>
      <w:r>
        <w:rPr>
          <w:spacing w:val="-6"/>
        </w:rPr>
        <w:t> </w:t>
      </w:r>
      <w:r>
        <w:rPr/>
        <w:t>en</w:t>
      </w:r>
      <w:r>
        <w:rPr>
          <w:spacing w:val="-7"/>
        </w:rPr>
        <w:t> </w:t>
      </w:r>
      <w:r>
        <w:rPr/>
        <w:t>Tamaulipas</w:t>
      </w:r>
      <w:r>
        <w:rPr>
          <w:spacing w:val="-2"/>
        </w:rPr>
        <w:t> </w:t>
      </w:r>
      <w:r>
        <w:rPr/>
        <w:t>y</w:t>
      </w:r>
      <w:r>
        <w:rPr>
          <w:spacing w:val="-9"/>
        </w:rPr>
        <w:t> </w:t>
      </w:r>
      <w:r>
        <w:rPr/>
        <w:t>Piedras</w:t>
      </w:r>
      <w:r>
        <w:rPr>
          <w:spacing w:val="-7"/>
        </w:rPr>
        <w:t> </w:t>
      </w:r>
      <w:r>
        <w:rPr/>
        <w:t>Negras</w:t>
      </w:r>
      <w:r>
        <w:rPr>
          <w:spacing w:val="-5"/>
        </w:rPr>
        <w:t> </w:t>
      </w:r>
      <w:r>
        <w:rPr/>
        <w:t>en</w:t>
      </w:r>
      <w:r>
        <w:rPr>
          <w:spacing w:val="-7"/>
        </w:rPr>
        <w:t> </w:t>
      </w:r>
      <w:r>
        <w:rPr/>
        <w:t>Coahuila.</w:t>
      </w:r>
      <w:r>
        <w:rPr>
          <w:spacing w:val="-7"/>
        </w:rPr>
        <w:t> </w:t>
      </w:r>
      <w:r>
        <w:rPr/>
        <w:t>Este</w:t>
      </w:r>
      <w:r>
        <w:rPr>
          <w:spacing w:val="-8"/>
        </w:rPr>
        <w:t> </w:t>
      </w:r>
      <w:r>
        <w:rPr/>
        <w:t>primer</w:t>
      </w:r>
      <w:r>
        <w:rPr>
          <w:spacing w:val="-8"/>
        </w:rPr>
        <w:t> </w:t>
      </w:r>
      <w:r>
        <w:rPr/>
        <w:t>punto registra</w:t>
      </w:r>
      <w:r>
        <w:rPr>
          <w:spacing w:val="-15"/>
        </w:rPr>
        <w:t> </w:t>
      </w:r>
      <w:r>
        <w:rPr/>
        <w:t>el</w:t>
      </w:r>
      <w:r>
        <w:rPr>
          <w:spacing w:val="-13"/>
        </w:rPr>
        <w:t> </w:t>
      </w:r>
      <w:r>
        <w:rPr/>
        <w:t>ingreso</w:t>
      </w:r>
      <w:r>
        <w:rPr>
          <w:spacing w:val="-13"/>
        </w:rPr>
        <w:t> </w:t>
      </w:r>
      <w:r>
        <w:rPr/>
        <w:t>del</w:t>
      </w:r>
      <w:r>
        <w:rPr>
          <w:spacing w:val="-13"/>
        </w:rPr>
        <w:t> </w:t>
      </w:r>
      <w:r>
        <w:rPr/>
        <w:t>90.1%</w:t>
      </w:r>
      <w:r>
        <w:rPr>
          <w:spacing w:val="-14"/>
        </w:rPr>
        <w:t> </w:t>
      </w:r>
      <w:r>
        <w:rPr/>
        <w:t>de</w:t>
      </w:r>
      <w:r>
        <w:rPr>
          <w:spacing w:val="-14"/>
        </w:rPr>
        <w:t> </w:t>
      </w:r>
      <w:r>
        <w:rPr/>
        <w:t>la</w:t>
      </w:r>
      <w:r>
        <w:rPr>
          <w:spacing w:val="-14"/>
        </w:rPr>
        <w:t> </w:t>
      </w:r>
      <w:r>
        <w:rPr/>
        <w:t>carne</w:t>
      </w:r>
      <w:r>
        <w:rPr>
          <w:spacing w:val="-13"/>
        </w:rPr>
        <w:t> </w:t>
      </w:r>
      <w:r>
        <w:rPr/>
        <w:t>importada.</w:t>
      </w:r>
      <w:r>
        <w:rPr>
          <w:spacing w:val="-13"/>
        </w:rPr>
        <w:t> </w:t>
      </w:r>
      <w:r>
        <w:rPr/>
        <w:t>El</w:t>
      </w:r>
      <w:r>
        <w:rPr>
          <w:spacing w:val="-13"/>
        </w:rPr>
        <w:t> </w:t>
      </w:r>
      <w:r>
        <w:rPr/>
        <w:t>segundo</w:t>
      </w:r>
      <w:r>
        <w:rPr>
          <w:spacing w:val="-13"/>
        </w:rPr>
        <w:t> </w:t>
      </w:r>
      <w:r>
        <w:rPr/>
        <w:t>punto</w:t>
      </w:r>
      <w:r>
        <w:rPr>
          <w:spacing w:val="-13"/>
        </w:rPr>
        <w:t> </w:t>
      </w:r>
      <w:r>
        <w:rPr/>
        <w:t>de</w:t>
      </w:r>
      <w:r>
        <w:rPr>
          <w:spacing w:val="-14"/>
        </w:rPr>
        <w:t> </w:t>
      </w:r>
      <w:r>
        <w:rPr/>
        <w:t>internación</w:t>
      </w:r>
      <w:r>
        <w:rPr>
          <w:spacing w:val="-13"/>
        </w:rPr>
        <w:t> </w:t>
      </w:r>
      <w:r>
        <w:rPr/>
        <w:t>los</w:t>
      </w:r>
      <w:r>
        <w:rPr>
          <w:spacing w:val="-8"/>
        </w:rPr>
        <w:t> </w:t>
      </w:r>
      <w:r>
        <w:rPr/>
        <w:t>compone</w:t>
      </w:r>
    </w:p>
    <w:p>
      <w:pPr>
        <w:spacing w:after="0" w:line="360" w:lineRule="auto"/>
        <w:jc w:val="both"/>
        <w:sectPr>
          <w:pgSz w:w="12240" w:h="15840"/>
          <w:pgMar w:header="984" w:footer="986" w:top="1280" w:bottom="1180" w:left="1280" w:right="1340"/>
        </w:sectPr>
      </w:pPr>
    </w:p>
    <w:p>
      <w:pPr>
        <w:pStyle w:val="BodyText"/>
        <w:spacing w:line="360" w:lineRule="auto" w:before="125"/>
        <w:ind w:left="118" w:right="274"/>
        <w:jc w:val="both"/>
      </w:pPr>
      <w:r>
        <w:rPr/>
        <w:t>las aduanas de Mexicali y Tijuana en Baja California, Nogales y San Luis Rio Colorado en Sonora y Ciudad Juárez en Chihuahua por este punto ingresa el 9.9% de la importación.</w:t>
      </w:r>
    </w:p>
    <w:p>
      <w:pPr>
        <w:pStyle w:val="BodyText"/>
        <w:spacing w:line="360" w:lineRule="auto" w:before="205"/>
        <w:ind w:left="118" w:right="266"/>
        <w:jc w:val="both"/>
      </w:pPr>
      <w:r>
        <w:rPr/>
        <w:t>De esta manera se establecieron 10 regiones productoras 8 en el interior del país y 2 puntos fronterizos de internación de carne de cerdo.</w:t>
      </w:r>
    </w:p>
    <w:p>
      <w:pPr>
        <w:pStyle w:val="BodyText"/>
        <w:spacing w:line="360" w:lineRule="auto" w:before="203"/>
        <w:ind w:left="118" w:right="264"/>
        <w:jc w:val="both"/>
      </w:pPr>
      <w:r>
        <w:rPr/>
        <w:t>Para</w:t>
      </w:r>
      <w:r>
        <w:rPr>
          <w:spacing w:val="-15"/>
        </w:rPr>
        <w:t> </w:t>
      </w:r>
      <w:r>
        <w:rPr/>
        <w:t>conocer</w:t>
      </w:r>
      <w:r>
        <w:rPr>
          <w:spacing w:val="-14"/>
        </w:rPr>
        <w:t> </w:t>
      </w:r>
      <w:r>
        <w:rPr/>
        <w:t>el</w:t>
      </w:r>
      <w:r>
        <w:rPr>
          <w:spacing w:val="-13"/>
        </w:rPr>
        <w:t> </w:t>
      </w:r>
      <w:r>
        <w:rPr/>
        <w:t>consumo</w:t>
      </w:r>
      <w:r>
        <w:rPr>
          <w:spacing w:val="-11"/>
        </w:rPr>
        <w:t> </w:t>
      </w:r>
      <w:r>
        <w:rPr/>
        <w:t>(demanda)</w:t>
      </w:r>
      <w:r>
        <w:rPr>
          <w:spacing w:val="33"/>
        </w:rPr>
        <w:t> </w:t>
      </w:r>
      <w:r>
        <w:rPr/>
        <w:t>de</w:t>
      </w:r>
      <w:r>
        <w:rPr>
          <w:spacing w:val="-14"/>
        </w:rPr>
        <w:t> </w:t>
      </w:r>
      <w:r>
        <w:rPr/>
        <w:t>cada</w:t>
      </w:r>
      <w:r>
        <w:rPr>
          <w:spacing w:val="-14"/>
        </w:rPr>
        <w:t> </w:t>
      </w:r>
      <w:r>
        <w:rPr/>
        <w:t>una</w:t>
      </w:r>
      <w:r>
        <w:rPr>
          <w:spacing w:val="-14"/>
        </w:rPr>
        <w:t> </w:t>
      </w:r>
      <w:r>
        <w:rPr/>
        <w:t>de</w:t>
      </w:r>
      <w:r>
        <w:rPr>
          <w:spacing w:val="-14"/>
        </w:rPr>
        <w:t> </w:t>
      </w:r>
      <w:r>
        <w:rPr/>
        <w:t>las</w:t>
      </w:r>
      <w:r>
        <w:rPr>
          <w:spacing w:val="-14"/>
        </w:rPr>
        <w:t> </w:t>
      </w:r>
      <w:r>
        <w:rPr/>
        <w:t>8</w:t>
      </w:r>
      <w:r>
        <w:rPr>
          <w:spacing w:val="-13"/>
        </w:rPr>
        <w:t> </w:t>
      </w:r>
      <w:r>
        <w:rPr/>
        <w:t>regiones</w:t>
      </w:r>
      <w:r>
        <w:rPr>
          <w:spacing w:val="-14"/>
        </w:rPr>
        <w:t> </w:t>
      </w:r>
      <w:r>
        <w:rPr/>
        <w:t>del</w:t>
      </w:r>
      <w:r>
        <w:rPr>
          <w:spacing w:val="-13"/>
        </w:rPr>
        <w:t> </w:t>
      </w:r>
      <w:r>
        <w:rPr/>
        <w:t>país</w:t>
      </w:r>
      <w:r>
        <w:rPr>
          <w:spacing w:val="-13"/>
        </w:rPr>
        <w:t> </w:t>
      </w:r>
      <w:r>
        <w:rPr/>
        <w:t>se</w:t>
      </w:r>
      <w:r>
        <w:rPr>
          <w:spacing w:val="-14"/>
        </w:rPr>
        <w:t> </w:t>
      </w:r>
      <w:r>
        <w:rPr/>
        <w:t>obtuvo</w:t>
      </w:r>
      <w:r>
        <w:rPr>
          <w:spacing w:val="-10"/>
        </w:rPr>
        <w:t> </w:t>
      </w:r>
      <w:r>
        <w:rPr/>
        <w:t>la</w:t>
      </w:r>
      <w:r>
        <w:rPr>
          <w:spacing w:val="-14"/>
        </w:rPr>
        <w:t> </w:t>
      </w:r>
      <w:r>
        <w:rPr/>
        <w:t>población de</w:t>
      </w:r>
      <w:r>
        <w:rPr>
          <w:spacing w:val="-17"/>
        </w:rPr>
        <w:t> </w:t>
      </w:r>
      <w:r>
        <w:rPr/>
        <w:t>cada</w:t>
      </w:r>
      <w:r>
        <w:rPr>
          <w:spacing w:val="-14"/>
        </w:rPr>
        <w:t> </w:t>
      </w:r>
      <w:r>
        <w:rPr/>
        <w:t>estado</w:t>
      </w:r>
      <w:r>
        <w:rPr>
          <w:spacing w:val="-16"/>
        </w:rPr>
        <w:t> </w:t>
      </w:r>
      <w:r>
        <w:rPr/>
        <w:t>del</w:t>
      </w:r>
      <w:r>
        <w:rPr>
          <w:spacing w:val="-15"/>
        </w:rPr>
        <w:t> </w:t>
      </w:r>
      <w:r>
        <w:rPr/>
        <w:t>año</w:t>
      </w:r>
      <w:r>
        <w:rPr>
          <w:spacing w:val="-16"/>
        </w:rPr>
        <w:t> </w:t>
      </w:r>
      <w:r>
        <w:rPr/>
        <w:t>2015</w:t>
      </w:r>
      <w:r>
        <w:rPr>
          <w:spacing w:val="-16"/>
        </w:rPr>
        <w:t> </w:t>
      </w:r>
      <w:r>
        <w:rPr/>
        <w:t>del</w:t>
      </w:r>
      <w:r>
        <w:rPr>
          <w:spacing w:val="-15"/>
        </w:rPr>
        <w:t> </w:t>
      </w:r>
      <w:r>
        <w:rPr/>
        <w:t>Consejo</w:t>
      </w:r>
      <w:r>
        <w:rPr>
          <w:spacing w:val="-15"/>
        </w:rPr>
        <w:t> </w:t>
      </w:r>
      <w:r>
        <w:rPr/>
        <w:t>Nacional</w:t>
      </w:r>
      <w:r>
        <w:rPr>
          <w:spacing w:val="-16"/>
        </w:rPr>
        <w:t> </w:t>
      </w:r>
      <w:r>
        <w:rPr/>
        <w:t>de</w:t>
      </w:r>
      <w:r>
        <w:rPr>
          <w:spacing w:val="-17"/>
        </w:rPr>
        <w:t> </w:t>
      </w:r>
      <w:r>
        <w:rPr/>
        <w:t>Población</w:t>
      </w:r>
      <w:r>
        <w:rPr>
          <w:spacing w:val="-15"/>
        </w:rPr>
        <w:t> </w:t>
      </w:r>
      <w:r>
        <w:rPr/>
        <w:t>(CONAPO</w:t>
      </w:r>
      <w:r>
        <w:rPr>
          <w:spacing w:val="-14"/>
        </w:rPr>
        <w:t> </w:t>
      </w:r>
      <w:r>
        <w:rPr/>
        <w:t>2016).</w:t>
      </w:r>
      <w:r>
        <w:rPr>
          <w:spacing w:val="-16"/>
        </w:rPr>
        <w:t> </w:t>
      </w:r>
      <w:r>
        <w:rPr/>
        <w:t>Esta</w:t>
      </w:r>
      <w:r>
        <w:rPr>
          <w:spacing w:val="-16"/>
        </w:rPr>
        <w:t> </w:t>
      </w:r>
      <w:r>
        <w:rPr/>
        <w:t>población se multiplicó por el consumo </w:t>
      </w:r>
      <w:r>
        <w:rPr>
          <w:i/>
        </w:rPr>
        <w:t>per cápita </w:t>
      </w:r>
      <w:r>
        <w:rPr/>
        <w:t>reportado para la zona por la Confederación de Porcicultores Norte 5.8 kg., Centro 17.4 kg., y sur 29.5 kg. (CONFEPORC, 2016), y se sumó el consumo de cada uno de los estados que integran cada</w:t>
      </w:r>
      <w:r>
        <w:rPr>
          <w:spacing w:val="-12"/>
        </w:rPr>
        <w:t> </w:t>
      </w:r>
      <w:r>
        <w:rPr/>
        <w:t>región.</w:t>
      </w:r>
    </w:p>
    <w:p>
      <w:pPr>
        <w:pStyle w:val="BodyText"/>
        <w:spacing w:line="360" w:lineRule="auto" w:before="205"/>
        <w:ind w:left="118" w:right="265"/>
        <w:jc w:val="both"/>
      </w:pPr>
      <w:r>
        <w:rPr/>
        <w:t>El precio regional de cerdo en canal se obtuvo conociendo el precio de cada estado que integra la región, el cual fue ponderado con la producción (SIAP, 2016), el precio de los puntos de internación se obtuvo del Sistema Nacional de Información e Integración de Mercados (SNIIM, 2016)</w:t>
      </w:r>
    </w:p>
    <w:p>
      <w:pPr>
        <w:pStyle w:val="BodyText"/>
        <w:spacing w:line="360" w:lineRule="auto" w:before="203"/>
        <w:ind w:left="118" w:right="266"/>
        <w:jc w:val="both"/>
      </w:pPr>
      <w:r>
        <w:rPr/>
        <w:t>El costo de transporte dentro y entre regiones se calculó multiplicando la distancia por el costo por</w:t>
      </w:r>
      <w:r>
        <w:rPr>
          <w:spacing w:val="-17"/>
        </w:rPr>
        <w:t> </w:t>
      </w:r>
      <w:r>
        <w:rPr/>
        <w:t>kilómetro;</w:t>
      </w:r>
      <w:r>
        <w:rPr>
          <w:spacing w:val="-15"/>
        </w:rPr>
        <w:t> </w:t>
      </w:r>
      <w:r>
        <w:rPr/>
        <w:t>las</w:t>
      </w:r>
      <w:r>
        <w:rPr>
          <w:spacing w:val="-16"/>
        </w:rPr>
        <w:t> </w:t>
      </w:r>
      <w:r>
        <w:rPr/>
        <w:t>distancias</w:t>
      </w:r>
      <w:r>
        <w:rPr>
          <w:spacing w:val="-16"/>
        </w:rPr>
        <w:t> </w:t>
      </w:r>
      <w:r>
        <w:rPr/>
        <w:t>se</w:t>
      </w:r>
      <w:r>
        <w:rPr>
          <w:spacing w:val="-17"/>
        </w:rPr>
        <w:t> </w:t>
      </w:r>
      <w:r>
        <w:rPr/>
        <w:t>obtuvieron</w:t>
      </w:r>
      <w:r>
        <w:rPr>
          <w:spacing w:val="-17"/>
        </w:rPr>
        <w:t> </w:t>
      </w:r>
      <w:r>
        <w:rPr/>
        <w:t>con</w:t>
      </w:r>
      <w:r>
        <w:rPr>
          <w:spacing w:val="-16"/>
        </w:rPr>
        <w:t> </w:t>
      </w:r>
      <w:r>
        <w:rPr/>
        <w:t>la</w:t>
      </w:r>
      <w:r>
        <w:rPr>
          <w:spacing w:val="-16"/>
        </w:rPr>
        <w:t> </w:t>
      </w:r>
      <w:r>
        <w:rPr/>
        <w:t>herramienta</w:t>
      </w:r>
      <w:r>
        <w:rPr>
          <w:spacing w:val="-17"/>
        </w:rPr>
        <w:t> </w:t>
      </w:r>
      <w:r>
        <w:rPr/>
        <w:t>de</w:t>
      </w:r>
      <w:r>
        <w:rPr>
          <w:spacing w:val="-17"/>
        </w:rPr>
        <w:t> </w:t>
      </w:r>
      <w:r>
        <w:rPr/>
        <w:t>la</w:t>
      </w:r>
      <w:r>
        <w:rPr>
          <w:spacing w:val="-16"/>
        </w:rPr>
        <w:t> </w:t>
      </w:r>
      <w:r>
        <w:rPr/>
        <w:t>Secretaría</w:t>
      </w:r>
      <w:r>
        <w:rPr>
          <w:spacing w:val="-17"/>
        </w:rPr>
        <w:t> </w:t>
      </w:r>
      <w:r>
        <w:rPr/>
        <w:t>de</w:t>
      </w:r>
      <w:r>
        <w:rPr>
          <w:spacing w:val="-17"/>
        </w:rPr>
        <w:t> </w:t>
      </w:r>
      <w:r>
        <w:rPr/>
        <w:t>Comunicaciones y Trasportes punto a punto (SCT 2016), se consideró cada capital del estado como punto de referencia y se ponderaron las distancias en cada región. El transporte de canales de cerdo es especializado y tiene un costo por km de 2 dólares el equivalente a 35 pesos en el momento de la investigación. Este costo se obtuvo de forma directa a través de una entrevista realizada a</w:t>
      </w:r>
      <w:r>
        <w:rPr>
          <w:spacing w:val="-24"/>
        </w:rPr>
        <w:t> </w:t>
      </w:r>
      <w:r>
        <w:rPr/>
        <w:t>una empresa particular que realiza servicios de transporte de carga</w:t>
      </w:r>
      <w:r>
        <w:rPr>
          <w:spacing w:val="-18"/>
        </w:rPr>
        <w:t> </w:t>
      </w:r>
      <w:r>
        <w:rPr/>
        <w:t>especializada.</w:t>
      </w:r>
    </w:p>
    <w:p>
      <w:pPr>
        <w:pStyle w:val="BodyText"/>
        <w:spacing w:line="360" w:lineRule="auto" w:before="205"/>
        <w:ind w:left="118" w:right="268"/>
        <w:jc w:val="both"/>
      </w:pPr>
      <w:r>
        <w:rPr/>
        <w:t>Las elasticidades regionales se obtuvieron de Rebollar </w:t>
      </w:r>
      <w:r>
        <w:rPr>
          <w:i/>
        </w:rPr>
        <w:t>et. al</w:t>
      </w:r>
      <w:r>
        <w:rPr/>
        <w:t>. (2014) y para los puntos de internación se consideraron las elasticidades nacionales reportadas por Pérez, 2010).</w:t>
      </w:r>
    </w:p>
    <w:p>
      <w:pPr>
        <w:pStyle w:val="BodyText"/>
        <w:spacing w:before="206"/>
        <w:ind w:left="118"/>
        <w:jc w:val="both"/>
      </w:pPr>
      <w:r>
        <w:rPr/>
        <w:t>Las funciones precio-cantidad se calcularon como lo indican Alston, </w:t>
      </w:r>
      <w:r>
        <w:rPr>
          <w:i/>
        </w:rPr>
        <w:t>et. al</w:t>
      </w:r>
      <w:r>
        <w:rPr/>
        <w:t>., (1995) y Kawaguchi,</w:t>
      </w:r>
    </w:p>
    <w:p>
      <w:pPr>
        <w:spacing w:before="137"/>
        <w:ind w:left="118" w:right="0" w:firstLine="0"/>
        <w:jc w:val="both"/>
        <w:rPr>
          <w:sz w:val="24"/>
        </w:rPr>
      </w:pPr>
      <w:r>
        <w:rPr>
          <w:i/>
          <w:sz w:val="24"/>
        </w:rPr>
        <w:t>et. al</w:t>
      </w:r>
      <w:r>
        <w:rPr>
          <w:sz w:val="24"/>
        </w:rPr>
        <w:t>., (1997).</w:t>
      </w:r>
    </w:p>
    <w:p>
      <w:pPr>
        <w:pStyle w:val="BodyText"/>
        <w:spacing w:before="4"/>
        <w:rPr>
          <w:sz w:val="29"/>
        </w:rPr>
      </w:pPr>
    </w:p>
    <w:p>
      <w:pPr>
        <w:pStyle w:val="BodyText"/>
        <w:spacing w:line="360" w:lineRule="auto" w:before="1"/>
        <w:ind w:left="118" w:right="264"/>
        <w:jc w:val="both"/>
      </w:pPr>
      <w:r>
        <w:rPr/>
        <w:t>Para</w:t>
      </w:r>
      <w:r>
        <w:rPr>
          <w:spacing w:val="-13"/>
        </w:rPr>
        <w:t> </w:t>
      </w:r>
      <w:r>
        <w:rPr/>
        <w:t>el</w:t>
      </w:r>
      <w:r>
        <w:rPr>
          <w:spacing w:val="-11"/>
        </w:rPr>
        <w:t> </w:t>
      </w:r>
      <w:r>
        <w:rPr/>
        <w:t>análisis</w:t>
      </w:r>
      <w:r>
        <w:rPr>
          <w:spacing w:val="-10"/>
        </w:rPr>
        <w:t> </w:t>
      </w:r>
      <w:r>
        <w:rPr/>
        <w:t>de</w:t>
      </w:r>
      <w:r>
        <w:rPr>
          <w:spacing w:val="-12"/>
        </w:rPr>
        <w:t> </w:t>
      </w:r>
      <w:r>
        <w:rPr/>
        <w:t>la</w:t>
      </w:r>
      <w:r>
        <w:rPr>
          <w:spacing w:val="-12"/>
        </w:rPr>
        <w:t> </w:t>
      </w:r>
      <w:r>
        <w:rPr/>
        <w:t>información</w:t>
      </w:r>
      <w:r>
        <w:rPr>
          <w:spacing w:val="-11"/>
        </w:rPr>
        <w:t> </w:t>
      </w:r>
      <w:r>
        <w:rPr/>
        <w:t>se</w:t>
      </w:r>
      <w:r>
        <w:rPr>
          <w:spacing w:val="-12"/>
        </w:rPr>
        <w:t> </w:t>
      </w:r>
      <w:r>
        <w:rPr/>
        <w:t>utilizó</w:t>
      </w:r>
      <w:r>
        <w:rPr>
          <w:spacing w:val="-11"/>
        </w:rPr>
        <w:t> </w:t>
      </w:r>
      <w:r>
        <w:rPr/>
        <w:t>el</w:t>
      </w:r>
      <w:r>
        <w:rPr>
          <w:spacing w:val="-13"/>
        </w:rPr>
        <w:t> </w:t>
      </w:r>
      <w:r>
        <w:rPr/>
        <w:t>software</w:t>
      </w:r>
      <w:r>
        <w:rPr>
          <w:spacing w:val="-10"/>
        </w:rPr>
        <w:t> </w:t>
      </w:r>
      <w:r>
        <w:rPr/>
        <w:t>Solver</w:t>
      </w:r>
      <w:r>
        <w:rPr>
          <w:spacing w:val="-12"/>
        </w:rPr>
        <w:t> </w:t>
      </w:r>
      <w:r>
        <w:rPr/>
        <w:t>Premium</w:t>
      </w:r>
      <w:r>
        <w:rPr>
          <w:spacing w:val="-11"/>
        </w:rPr>
        <w:t> </w:t>
      </w:r>
      <w:r>
        <w:rPr/>
        <w:t>Platform</w:t>
      </w:r>
      <w:r>
        <w:rPr>
          <w:spacing w:val="-11"/>
        </w:rPr>
        <w:t> </w:t>
      </w:r>
      <w:r>
        <w:rPr/>
        <w:t>2014-R2</w:t>
      </w:r>
      <w:r>
        <w:rPr>
          <w:spacing w:val="-11"/>
        </w:rPr>
        <w:t> </w:t>
      </w:r>
      <w:r>
        <w:rPr/>
        <w:t>el</w:t>
      </w:r>
      <w:r>
        <w:rPr>
          <w:spacing w:val="-11"/>
        </w:rPr>
        <w:t> </w:t>
      </w:r>
      <w:r>
        <w:rPr/>
        <w:t>cual desarrolla modelos de programación lineal y no lineal (cuadrática) que se utilizan en la optimización de</w:t>
      </w:r>
      <w:r>
        <w:rPr>
          <w:spacing w:val="-6"/>
        </w:rPr>
        <w:t> </w:t>
      </w:r>
      <w:r>
        <w:rPr/>
        <w:t>recursos.</w:t>
      </w:r>
    </w:p>
    <w:p>
      <w:pPr>
        <w:spacing w:after="0" w:line="360" w:lineRule="auto"/>
        <w:jc w:val="both"/>
        <w:sectPr>
          <w:pgSz w:w="12240" w:h="15840"/>
          <w:pgMar w:header="984" w:footer="986" w:top="1280" w:bottom="1180" w:left="1300" w:right="1340"/>
        </w:sectPr>
      </w:pPr>
    </w:p>
    <w:p>
      <w:pPr>
        <w:pStyle w:val="Heading4"/>
        <w:numPr>
          <w:ilvl w:val="1"/>
          <w:numId w:val="12"/>
        </w:numPr>
        <w:tabs>
          <w:tab w:pos="479" w:val="left" w:leader="none"/>
        </w:tabs>
        <w:spacing w:line="240" w:lineRule="auto" w:before="127" w:after="0"/>
        <w:ind w:left="478" w:right="271" w:hanging="360"/>
        <w:jc w:val="left"/>
      </w:pPr>
      <w:bookmarkStart w:name="_bookmark19" w:id="31"/>
      <w:bookmarkEnd w:id="31"/>
      <w:r>
        <w:rPr>
          <w:b w:val="0"/>
        </w:rPr>
      </w:r>
      <w:bookmarkStart w:name="_bookmark19" w:id="32"/>
      <w:bookmarkEnd w:id="32"/>
      <w:r>
        <w:rPr/>
        <w:t>E</w:t>
      </w:r>
      <w:r>
        <w:rPr/>
        <w:t>fectos regionales y nacionales sobre la producción y consumo de carne de carne de cerdo con la aplicación de aranceles a la carne</w:t>
      </w:r>
      <w:r>
        <w:rPr>
          <w:spacing w:val="-14"/>
        </w:rPr>
        <w:t> </w:t>
      </w:r>
      <w:r>
        <w:rPr/>
        <w:t>importada.</w:t>
      </w:r>
    </w:p>
    <w:p>
      <w:pPr>
        <w:pStyle w:val="BodyText"/>
        <w:rPr>
          <w:b/>
        </w:rPr>
      </w:pPr>
    </w:p>
    <w:p>
      <w:pPr>
        <w:pStyle w:val="BodyText"/>
        <w:spacing w:before="1"/>
        <w:rPr>
          <w:b/>
          <w:sz w:val="26"/>
        </w:rPr>
      </w:pPr>
    </w:p>
    <w:p>
      <w:pPr>
        <w:pStyle w:val="BodyText"/>
        <w:spacing w:line="360" w:lineRule="auto"/>
        <w:ind w:left="118" w:right="275"/>
        <w:jc w:val="both"/>
      </w:pPr>
      <w:r>
        <w:rPr/>
        <w:t>Se formuló un modelo de programación no lineal, que maximiza el VSN (Takayama, Judge., 1964:67).</w:t>
      </w:r>
    </w:p>
    <w:p>
      <w:pPr>
        <w:pStyle w:val="BodyText"/>
        <w:spacing w:line="360" w:lineRule="auto" w:before="4"/>
        <w:ind w:left="118" w:right="269"/>
        <w:jc w:val="both"/>
      </w:pPr>
      <w:r>
        <w:rPr/>
        <w:t>La función objetivo (Valor Social Neto) maximiza las áreas bajo las curvas de las demandas, menos</w:t>
      </w:r>
      <w:r>
        <w:rPr>
          <w:spacing w:val="-11"/>
        </w:rPr>
        <w:t> </w:t>
      </w:r>
      <w:r>
        <w:rPr/>
        <w:t>las</w:t>
      </w:r>
      <w:r>
        <w:rPr>
          <w:spacing w:val="-11"/>
        </w:rPr>
        <w:t> </w:t>
      </w:r>
      <w:r>
        <w:rPr/>
        <w:t>áreas</w:t>
      </w:r>
      <w:r>
        <w:rPr>
          <w:spacing w:val="-11"/>
        </w:rPr>
        <w:t> </w:t>
      </w:r>
      <w:r>
        <w:rPr/>
        <w:t>bajo</w:t>
      </w:r>
      <w:r>
        <w:rPr>
          <w:spacing w:val="-11"/>
        </w:rPr>
        <w:t> </w:t>
      </w:r>
      <w:r>
        <w:rPr/>
        <w:t>las</w:t>
      </w:r>
      <w:r>
        <w:rPr>
          <w:spacing w:val="-11"/>
        </w:rPr>
        <w:t> </w:t>
      </w:r>
      <w:r>
        <w:rPr/>
        <w:t>curvas</w:t>
      </w:r>
      <w:r>
        <w:rPr>
          <w:spacing w:val="-11"/>
        </w:rPr>
        <w:t> </w:t>
      </w:r>
      <w:r>
        <w:rPr/>
        <w:t>de</w:t>
      </w:r>
      <w:r>
        <w:rPr>
          <w:spacing w:val="-12"/>
        </w:rPr>
        <w:t> </w:t>
      </w:r>
      <w:r>
        <w:rPr/>
        <w:t>las</w:t>
      </w:r>
      <w:r>
        <w:rPr>
          <w:spacing w:val="-11"/>
        </w:rPr>
        <w:t> </w:t>
      </w:r>
      <w:r>
        <w:rPr/>
        <w:t>ofertas,</w:t>
      </w:r>
      <w:r>
        <w:rPr>
          <w:spacing w:val="-11"/>
        </w:rPr>
        <w:t> </w:t>
      </w:r>
      <w:r>
        <w:rPr/>
        <w:t>las</w:t>
      </w:r>
      <w:r>
        <w:rPr>
          <w:spacing w:val="-11"/>
        </w:rPr>
        <w:t> </w:t>
      </w:r>
      <w:r>
        <w:rPr/>
        <w:t>cuales</w:t>
      </w:r>
      <w:r>
        <w:rPr>
          <w:spacing w:val="-11"/>
        </w:rPr>
        <w:t> </w:t>
      </w:r>
      <w:r>
        <w:rPr/>
        <w:t>se</w:t>
      </w:r>
      <w:r>
        <w:rPr>
          <w:spacing w:val="-12"/>
        </w:rPr>
        <w:t> </w:t>
      </w:r>
      <w:r>
        <w:rPr/>
        <w:t>obtienen</w:t>
      </w:r>
      <w:r>
        <w:rPr>
          <w:spacing w:val="-11"/>
        </w:rPr>
        <w:t> </w:t>
      </w:r>
      <w:r>
        <w:rPr/>
        <w:t>integrando</w:t>
      </w:r>
      <w:r>
        <w:rPr>
          <w:spacing w:val="-11"/>
        </w:rPr>
        <w:t> </w:t>
      </w:r>
      <w:r>
        <w:rPr/>
        <w:t>matemáticamente la funciones inversas de demanda y de oferta, menos los costos de transporte (Figura 1) (Calderón,</w:t>
      </w:r>
      <w:r>
        <w:rPr>
          <w:spacing w:val="-3"/>
        </w:rPr>
        <w:t> </w:t>
      </w:r>
      <w:r>
        <w:rPr/>
        <w:t>1995:315).</w:t>
      </w:r>
    </w:p>
    <w:p>
      <w:pPr>
        <w:pStyle w:val="BodyText"/>
      </w:pPr>
    </w:p>
    <w:p>
      <w:pPr>
        <w:pStyle w:val="BodyText"/>
        <w:spacing w:before="143"/>
        <w:ind w:left="118"/>
        <w:jc w:val="both"/>
      </w:pPr>
      <w:r>
        <w:rPr/>
        <w:t>Figura 1: Representación gráfica del modelo.</w:t>
      </w:r>
    </w:p>
    <w:p>
      <w:pPr>
        <w:pStyle w:val="BodyText"/>
        <w:spacing w:before="3"/>
        <w:rPr>
          <w:sz w:val="23"/>
        </w:rPr>
      </w:pPr>
      <w:r>
        <w:rPr/>
        <w:pict>
          <v:group style="position:absolute;margin-left:81.959999pt;margin-top:15.354301pt;width:307.45pt;height:167.9pt;mso-position-horizontal-relative:page;mso-position-vertical-relative:paragraph;z-index:4696;mso-wrap-distance-left:0;mso-wrap-distance-right:0" coordorigin="1639,307" coordsize="6149,3358">
            <v:line style="position:absolute" from="1930,665" to="1930,3213" stroked="true" strokeweight=".48pt" strokecolor="#000000"/>
            <v:line style="position:absolute" from="1930,3213" to="4483,3213" stroked="true" strokeweight=".48pt" strokecolor="#000000"/>
            <v:line style="position:absolute" from="1930,955" to="3047,3231" stroked="true" strokeweight=".48pt" strokecolor="#000000"/>
            <v:line style="position:absolute" from="2119,3214" to="3799,1188" stroked="true" strokeweight=".48pt" strokecolor="#000000"/>
            <v:shape style="position:absolute;left:1788;top:307;width:384;height:439" type="#_x0000_t75" stroked="false">
              <v:imagedata r:id="rId40" o:title=""/>
            </v:shape>
            <v:shape style="position:absolute;left:4430;top:3057;width:437;height:439" type="#_x0000_t75" stroked="false">
              <v:imagedata r:id="rId41" o:title=""/>
            </v:shape>
            <v:shape style="position:absolute;left:1891;top:691;width:4706;height:612" type="#_x0000_t75" stroked="false">
              <v:imagedata r:id="rId42" o:title=""/>
            </v:shape>
            <v:shape style="position:absolute;left:3698;top:1404;width:4090;height:610" type="#_x0000_t75" stroked="false">
              <v:imagedata r:id="rId45" o:title=""/>
            </v:shape>
            <v:shape style="position:absolute;left:2724;top:2376;width:4423;height:552" type="#_x0000_t75" stroked="false">
              <v:imagedata r:id="rId44" o:title=""/>
            </v:shape>
            <v:shape style="position:absolute;left:1639;top:3228;width:386;height:437" type="#_x0000_t75" stroked="false">
              <v:imagedata r:id="rId46" o:title=""/>
            </v:shape>
            <v:shape style="position:absolute;left:1932;top:334;width:161;height:240" type="#_x0000_t202" filled="false" stroked="false">
              <v:textbox inset="0,0,0,0">
                <w:txbxContent>
                  <w:p>
                    <w:pPr>
                      <w:spacing w:line="240" w:lineRule="exact" w:before="0"/>
                      <w:ind w:left="0" w:right="0" w:firstLine="0"/>
                      <w:jc w:val="left"/>
                      <w:rPr>
                        <w:rFonts w:ascii="Arial"/>
                        <w:i/>
                        <w:sz w:val="24"/>
                      </w:rPr>
                    </w:pPr>
                    <w:r>
                      <w:rPr>
                        <w:rFonts w:ascii="Arial"/>
                        <w:i/>
                        <w:w w:val="100"/>
                        <w:sz w:val="24"/>
                      </w:rPr>
                      <w:t>P</w:t>
                    </w:r>
                  </w:p>
                </w:txbxContent>
              </v:textbox>
              <w10:wrap type="none"/>
            </v:shape>
            <v:shape style="position:absolute;left:2674;top:769;width:3020;height:240" type="#_x0000_t202" filled="false" stroked="false">
              <v:textbox inset="0,0,0,0">
                <w:txbxContent>
                  <w:p>
                    <w:pPr>
                      <w:spacing w:line="240" w:lineRule="exact" w:before="0"/>
                      <w:ind w:left="0" w:right="0" w:firstLine="0"/>
                      <w:jc w:val="left"/>
                      <w:rPr>
                        <w:rFonts w:ascii="Cambria Math" w:hAnsi="Cambria Math" w:eastAsia="Cambria Math"/>
                        <w:sz w:val="24"/>
                      </w:rPr>
                    </w:pPr>
                    <w:r>
                      <w:rPr>
                        <w:rFonts w:ascii="Cambria Math" w:hAnsi="Cambria Math" w:eastAsia="Cambria Math"/>
                        <w:sz w:val="24"/>
                      </w:rPr>
                      <w:t>���𝑎��𝑎 = 𝜆 � + ⁄   𝜔 �</w:t>
                    </w:r>
                  </w:p>
                </w:txbxContent>
              </v:textbox>
              <w10:wrap type="none"/>
            </v:shape>
            <v:shape style="position:absolute;left:4201;top:873;width:359;height:171" type="#_x0000_t202" filled="false" stroked="false">
              <v:textbox inset="0,0,0,0">
                <w:txbxContent>
                  <w:p>
                    <w:pPr>
                      <w:spacing w:line="170" w:lineRule="exact" w:before="0"/>
                      <w:ind w:left="0" w:right="0" w:firstLine="0"/>
                      <w:jc w:val="left"/>
                      <w:rPr>
                        <w:rFonts w:ascii="Cambria Math" w:eastAsia="Cambria Math"/>
                        <w:sz w:val="17"/>
                      </w:rPr>
                    </w:pPr>
                    <w:r>
                      <w:rPr>
                        <w:rFonts w:ascii="Cambria Math" w:eastAsia="Cambria Math"/>
                        <w:w w:val="110"/>
                        <w:sz w:val="17"/>
                      </w:rPr>
                      <w:t>𝑑 𝑑</w:t>
                    </w:r>
                  </w:p>
                </w:txbxContent>
              </v:textbox>
              <w10:wrap type="none"/>
            </v:shape>
            <v:shape style="position:absolute;left:4861;top:692;width:113;height:240" type="#_x0000_t202" filled="false" stroked="false">
              <v:textbox inset="0,0,0,0">
                <w:txbxContent>
                  <w:p>
                    <w:pPr>
                      <w:spacing w:line="240" w:lineRule="exact" w:before="0"/>
                      <w:ind w:left="0" w:right="0" w:firstLine="0"/>
                      <w:jc w:val="left"/>
                      <w:rPr>
                        <w:rFonts w:ascii="Cambria Math"/>
                        <w:sz w:val="24"/>
                      </w:rPr>
                    </w:pPr>
                    <w:r>
                      <w:rPr>
                        <w:rFonts w:ascii="Cambria Math"/>
                        <w:spacing w:val="-21"/>
                        <w:w w:val="100"/>
                        <w:sz w:val="24"/>
                      </w:rPr>
                      <w:t>1</w:t>
                    </w:r>
                  </w:p>
                </w:txbxContent>
              </v:textbox>
              <w10:wrap type="none"/>
            </v:shape>
            <v:shape style="position:absolute;left:5706;top:732;width:99;height:171" type="#_x0000_t202" filled="false" stroked="false">
              <v:textbox inset="0,0,0,0">
                <w:txbxContent>
                  <w:p>
                    <w:pPr>
                      <w:spacing w:line="170" w:lineRule="exact" w:before="0"/>
                      <w:ind w:left="0" w:right="0" w:firstLine="0"/>
                      <w:jc w:val="left"/>
                      <w:rPr>
                        <w:rFonts w:ascii="Cambria Math"/>
                        <w:sz w:val="17"/>
                      </w:rPr>
                    </w:pPr>
                    <w:r>
                      <w:rPr>
                        <w:rFonts w:ascii="Cambria Math"/>
                        <w:w w:val="104"/>
                        <w:sz w:val="17"/>
                      </w:rPr>
                      <w:t>2</w:t>
                    </w:r>
                  </w:p>
                </w:txbxContent>
              </v:textbox>
              <w10:wrap type="none"/>
            </v:shape>
            <v:shape style="position:absolute;left:5087;top:867;width:133;height:240" type="#_x0000_t202" filled="false" stroked="false">
              <v:textbox inset="0,0,0,0">
                <w:txbxContent>
                  <w:p>
                    <w:pPr>
                      <w:spacing w:line="240" w:lineRule="exact" w:before="0"/>
                      <w:ind w:left="0" w:right="0" w:firstLine="0"/>
                      <w:jc w:val="left"/>
                      <w:rPr>
                        <w:rFonts w:ascii="Cambria Math"/>
                        <w:sz w:val="24"/>
                      </w:rPr>
                    </w:pPr>
                    <w:r>
                      <w:rPr>
                        <w:rFonts w:ascii="Cambria Math"/>
                        <w:w w:val="100"/>
                        <w:sz w:val="24"/>
                      </w:rPr>
                      <w:t>2</w:t>
                    </w:r>
                  </w:p>
                </w:txbxContent>
              </v:textbox>
              <w10:wrap type="none"/>
            </v:shape>
            <v:shape style="position:absolute;left:5437;top:873;width:359;height:178" type="#_x0000_t202" filled="false" stroked="false">
              <v:textbox inset="0,0,0,0">
                <w:txbxContent>
                  <w:p>
                    <w:pPr>
                      <w:spacing w:line="178" w:lineRule="exact" w:before="0"/>
                      <w:ind w:left="0" w:right="0" w:firstLine="0"/>
                      <w:jc w:val="left"/>
                      <w:rPr>
                        <w:rFonts w:ascii="Cambria Math" w:eastAsia="Cambria Math"/>
                        <w:sz w:val="17"/>
                      </w:rPr>
                    </w:pPr>
                    <w:r>
                      <w:rPr>
                        <w:rFonts w:ascii="Cambria Math" w:eastAsia="Cambria Math"/>
                        <w:w w:val="110"/>
                        <w:position w:val="1"/>
                        <w:sz w:val="17"/>
                      </w:rPr>
                      <w:t>𝑑 </w:t>
                    </w:r>
                    <w:r>
                      <w:rPr>
                        <w:rFonts w:ascii="Cambria Math" w:eastAsia="Cambria Math"/>
                        <w:w w:val="110"/>
                        <w:sz w:val="17"/>
                      </w:rPr>
                      <w:t>𝑑</w:t>
                    </w:r>
                  </w:p>
                </w:txbxContent>
              </v:textbox>
              <w10:wrap type="none"/>
            </v:shape>
            <v:shape style="position:absolute;left:4388;top:1484;width:2591;height:240" type="#_x0000_t202" filled="false" stroked="false">
              <v:textbox inset="0,0,0,0">
                <w:txbxContent>
                  <w:p>
                    <w:pPr>
                      <w:spacing w:line="240" w:lineRule="exact" w:before="0"/>
                      <w:ind w:left="0" w:right="0" w:firstLine="0"/>
                      <w:jc w:val="left"/>
                      <w:rPr>
                        <w:rFonts w:ascii="Cambria Math" w:hAnsi="Cambria Math" w:eastAsia="Cambria Math"/>
                        <w:sz w:val="24"/>
                      </w:rPr>
                    </w:pPr>
                    <w:r>
                      <w:rPr>
                        <w:rFonts w:ascii="Cambria Math" w:hAnsi="Cambria Math" w:eastAsia="Cambria Math"/>
                        <w:sz w:val="24"/>
                      </w:rPr>
                      <w:t>�����𝑎 = 𝜈 � + ⁄  𝜂 �</w:t>
                    </w:r>
                  </w:p>
                </w:txbxContent>
              </v:textbox>
              <w10:wrap type="none"/>
            </v:shape>
            <v:shape style="position:absolute;left:6231;top:1407;width:133;height:240" type="#_x0000_t202" filled="false" stroked="false">
              <v:textbox inset="0,0,0,0">
                <w:txbxContent>
                  <w:p>
                    <w:pPr>
                      <w:spacing w:line="240" w:lineRule="exact" w:before="0"/>
                      <w:ind w:left="0" w:right="0" w:firstLine="0"/>
                      <w:jc w:val="left"/>
                      <w:rPr>
                        <w:rFonts w:ascii="Cambria Math"/>
                        <w:sz w:val="24"/>
                      </w:rPr>
                    </w:pPr>
                    <w:r>
                      <w:rPr>
                        <w:rFonts w:ascii="Cambria Math"/>
                        <w:w w:val="100"/>
                        <w:sz w:val="24"/>
                      </w:rPr>
                      <w:t>1</w:t>
                    </w:r>
                  </w:p>
                </w:txbxContent>
              </v:textbox>
              <w10:wrap type="none"/>
            </v:shape>
            <v:shape style="position:absolute;left:6990;top:1452;width:99;height:171" type="#_x0000_t202" filled="false" stroked="false">
              <v:textbox inset="0,0,0,0">
                <w:txbxContent>
                  <w:p>
                    <w:pPr>
                      <w:spacing w:line="170" w:lineRule="exact" w:before="0"/>
                      <w:ind w:left="0" w:right="0" w:firstLine="0"/>
                      <w:jc w:val="left"/>
                      <w:rPr>
                        <w:rFonts w:ascii="Cambria Math"/>
                        <w:sz w:val="17"/>
                      </w:rPr>
                    </w:pPr>
                    <w:r>
                      <w:rPr>
                        <w:rFonts w:ascii="Cambria Math"/>
                        <w:w w:val="104"/>
                        <w:sz w:val="17"/>
                      </w:rPr>
                      <w:t>2</w:t>
                    </w:r>
                  </w:p>
                </w:txbxContent>
              </v:textbox>
              <w10:wrap type="none"/>
            </v:shape>
            <v:shape style="position:absolute;left:5629;top:1588;width:301;height:171" type="#_x0000_t202" filled="false" stroked="false">
              <v:textbox inset="0,0,0,0">
                <w:txbxContent>
                  <w:p>
                    <w:pPr>
                      <w:spacing w:line="170" w:lineRule="exact" w:before="0"/>
                      <w:ind w:left="0" w:right="0" w:firstLine="0"/>
                      <w:jc w:val="left"/>
                      <w:rPr>
                        <w:rFonts w:ascii="Cambria Math" w:eastAsia="Cambria Math"/>
                        <w:sz w:val="17"/>
                      </w:rPr>
                    </w:pPr>
                    <w:r>
                      <w:rPr>
                        <w:rFonts w:ascii="Cambria Math" w:eastAsia="Cambria Math"/>
                        <w:w w:val="105"/>
                        <w:sz w:val="17"/>
                      </w:rPr>
                      <w:t>𝑠 𝑠</w:t>
                    </w:r>
                  </w:p>
                </w:txbxContent>
              </v:textbox>
              <w10:wrap type="none"/>
            </v:shape>
            <v:shape style="position:absolute;left:6457;top:1582;width:133;height:240" type="#_x0000_t202" filled="false" stroked="false">
              <v:textbox inset="0,0,0,0">
                <w:txbxContent>
                  <w:p>
                    <w:pPr>
                      <w:spacing w:line="240" w:lineRule="exact" w:before="0"/>
                      <w:ind w:left="0" w:right="0" w:firstLine="0"/>
                      <w:jc w:val="left"/>
                      <w:rPr>
                        <w:rFonts w:ascii="Cambria Math"/>
                        <w:sz w:val="24"/>
                      </w:rPr>
                    </w:pPr>
                    <w:r>
                      <w:rPr>
                        <w:rFonts w:ascii="Cambria Math"/>
                        <w:w w:val="100"/>
                        <w:sz w:val="24"/>
                      </w:rPr>
                      <w:t>2</w:t>
                    </w:r>
                  </w:p>
                </w:txbxContent>
              </v:textbox>
              <w10:wrap type="none"/>
            </v:shape>
            <v:shape style="position:absolute;left:6755;top:1588;width:304;height:171" type="#_x0000_t202" filled="false" stroked="false">
              <v:textbox inset="0,0,0,0">
                <w:txbxContent>
                  <w:p>
                    <w:pPr>
                      <w:spacing w:line="170" w:lineRule="exact" w:before="0"/>
                      <w:ind w:left="0" w:right="0" w:firstLine="0"/>
                      <w:jc w:val="left"/>
                      <w:rPr>
                        <w:rFonts w:ascii="Cambria Math" w:eastAsia="Cambria Math"/>
                        <w:sz w:val="17"/>
                      </w:rPr>
                    </w:pPr>
                    <w:r>
                      <w:rPr>
                        <w:rFonts w:ascii="Cambria Math" w:eastAsia="Cambria Math"/>
                        <w:w w:val="105"/>
                        <w:sz w:val="17"/>
                      </w:rPr>
                      <w:t>𝑠 𝑠</w:t>
                    </w:r>
                  </w:p>
                </w:txbxContent>
              </v:textbox>
              <w10:wrap type="none"/>
            </v:shape>
            <v:shape style="position:absolute;left:3466;top:2444;width:2943;height:275" type="#_x0000_t202" filled="false" stroked="false">
              <v:textbox inset="0,0,0,0">
                <w:txbxContent>
                  <w:p>
                    <w:pPr>
                      <w:spacing w:line="275" w:lineRule="exact" w:before="0"/>
                      <w:ind w:left="0" w:right="0" w:firstLine="0"/>
                      <w:jc w:val="left"/>
                      <w:rPr>
                        <w:rFonts w:ascii="Cambria Math" w:eastAsia="Cambria Math"/>
                        <w:sz w:val="24"/>
                      </w:rPr>
                    </w:pPr>
                    <w:r>
                      <w:rPr>
                        <w:rFonts w:ascii="Cambria Math" w:eastAsia="Cambria Math"/>
                        <w:spacing w:val="-6"/>
                        <w:w w:val="75"/>
                        <w:sz w:val="24"/>
                      </w:rPr>
                      <w:t>����� ��𝑎������ </w:t>
                    </w:r>
                    <w:r>
                      <w:rPr>
                        <w:rFonts w:ascii="Cambria Math" w:eastAsia="Cambria Math"/>
                        <w:spacing w:val="-5"/>
                        <w:w w:val="75"/>
                        <w:sz w:val="24"/>
                      </w:rPr>
                      <w:t>= </w:t>
                    </w:r>
                    <w:r>
                      <w:rPr>
                        <w:rFonts w:ascii="Cambria Math" w:eastAsia="Cambria Math"/>
                        <w:spacing w:val="-46"/>
                        <w:sz w:val="24"/>
                      </w:rPr>
                      <w:t>[�</w:t>
                    </w:r>
                    <w:r>
                      <w:rPr>
                        <w:rFonts w:ascii="Cambria Math" w:eastAsia="Cambria Math"/>
                        <w:spacing w:val="-46"/>
                        <w:position w:val="-4"/>
                        <w:sz w:val="17"/>
                      </w:rPr>
                      <w:t>𝑠𝑑</w:t>
                    </w:r>
                    <w:r>
                      <w:rPr>
                        <w:rFonts w:ascii="Cambria Math" w:eastAsia="Cambria Math"/>
                        <w:spacing w:val="25"/>
                        <w:position w:val="-4"/>
                        <w:sz w:val="17"/>
                      </w:rPr>
                      <w:t> </w:t>
                    </w:r>
                    <w:r>
                      <w:rPr>
                        <w:rFonts w:ascii="Cambria Math" w:eastAsia="Cambria Math"/>
                        <w:spacing w:val="-45"/>
                        <w:sz w:val="24"/>
                      </w:rPr>
                      <w:t>�</w:t>
                    </w:r>
                    <w:r>
                      <w:rPr>
                        <w:rFonts w:ascii="Cambria Math" w:eastAsia="Cambria Math"/>
                        <w:spacing w:val="-45"/>
                        <w:position w:val="-4"/>
                        <w:sz w:val="17"/>
                      </w:rPr>
                      <w:t>𝑠𝑑</w:t>
                    </w:r>
                    <w:r>
                      <w:rPr>
                        <w:rFonts w:ascii="Cambria Math" w:eastAsia="Cambria Math"/>
                        <w:spacing w:val="-45"/>
                        <w:sz w:val="24"/>
                      </w:rPr>
                      <w:t>]</w:t>
                    </w:r>
                  </w:p>
                </w:txbxContent>
              </v:textbox>
              <w10:wrap type="none"/>
            </v:shape>
            <v:shape style="position:absolute;left:1784;top:3258;width:134;height:240" type="#_x0000_t202" filled="false" stroked="false">
              <v:textbox inset="0,0,0,0">
                <w:txbxContent>
                  <w:p>
                    <w:pPr>
                      <w:spacing w:line="240" w:lineRule="exact" w:before="0"/>
                      <w:ind w:left="0" w:right="0" w:firstLine="0"/>
                      <w:jc w:val="left"/>
                      <w:rPr>
                        <w:rFonts w:ascii="Arial"/>
                        <w:i/>
                        <w:sz w:val="24"/>
                      </w:rPr>
                    </w:pPr>
                    <w:r>
                      <w:rPr>
                        <w:rFonts w:ascii="Arial"/>
                        <w:i/>
                        <w:w w:val="99"/>
                        <w:sz w:val="24"/>
                      </w:rPr>
                      <w:t>0</w:t>
                    </w:r>
                  </w:p>
                </w:txbxContent>
              </v:textbox>
              <w10:wrap type="none"/>
            </v:shape>
            <v:shape style="position:absolute;left:4575;top:3085;width:187;height:240" type="#_x0000_t202" filled="false" stroked="false">
              <v:textbox inset="0,0,0,0">
                <w:txbxContent>
                  <w:p>
                    <w:pPr>
                      <w:spacing w:line="240" w:lineRule="exact" w:before="0"/>
                      <w:ind w:left="0" w:right="0" w:firstLine="0"/>
                      <w:jc w:val="left"/>
                      <w:rPr>
                        <w:rFonts w:ascii="Arial"/>
                        <w:i/>
                        <w:sz w:val="24"/>
                      </w:rPr>
                    </w:pPr>
                    <w:r>
                      <w:rPr>
                        <w:rFonts w:ascii="Arial"/>
                        <w:i/>
                        <w:w w:val="100"/>
                        <w:sz w:val="24"/>
                      </w:rPr>
                      <w:t>Q</w:t>
                    </w:r>
                  </w:p>
                </w:txbxContent>
              </v:textbox>
              <w10:wrap type="none"/>
            </v:shape>
            <w10:wrap type="topAndBottom"/>
          </v:group>
        </w:pict>
      </w:r>
    </w:p>
    <w:p>
      <w:pPr>
        <w:pStyle w:val="BodyText"/>
        <w:spacing w:before="170"/>
        <w:ind w:left="118"/>
        <w:jc w:val="both"/>
      </w:pPr>
      <w:r>
        <w:rPr/>
        <w:t>Representación matemática del modelo</w:t>
      </w:r>
    </w:p>
    <w:p>
      <w:pPr>
        <w:pStyle w:val="BodyText"/>
        <w:rPr>
          <w:sz w:val="20"/>
        </w:rPr>
      </w:pPr>
    </w:p>
    <w:p>
      <w:pPr>
        <w:pStyle w:val="BodyText"/>
        <w:spacing w:before="4"/>
        <w:rPr>
          <w:sz w:val="19"/>
        </w:rPr>
      </w:pPr>
    </w:p>
    <w:p>
      <w:pPr>
        <w:spacing w:after="0"/>
        <w:rPr>
          <w:sz w:val="19"/>
        </w:rPr>
        <w:sectPr>
          <w:pgSz w:w="12240" w:h="15840"/>
          <w:pgMar w:header="984" w:footer="986" w:top="1280" w:bottom="1180" w:left="1300" w:right="1340"/>
        </w:sectPr>
      </w:pPr>
    </w:p>
    <w:p>
      <w:pPr>
        <w:pStyle w:val="BodyText"/>
        <w:tabs>
          <w:tab w:pos="1913" w:val="left" w:leader="none"/>
        </w:tabs>
        <w:spacing w:line="225" w:lineRule="exact" w:before="63"/>
        <w:ind w:left="118"/>
        <w:rPr>
          <w:rFonts w:ascii="Cambria Math" w:hAnsi="Cambria Math" w:eastAsia="Cambria Math"/>
        </w:rPr>
      </w:pPr>
      <w:r>
        <w:rPr>
          <w:rFonts w:ascii="Cambria Math" w:hAnsi="Cambria Math" w:eastAsia="Cambria Math"/>
          <w:spacing w:val="-46"/>
        </w:rPr>
        <w:t>�𝑎�      𝑉𝑆�      </w:t>
      </w:r>
      <w:r>
        <w:rPr>
          <w:rFonts w:ascii="Cambria Math" w:hAnsi="Cambria Math" w:eastAsia="Cambria Math"/>
          <w:spacing w:val="-42"/>
        </w:rPr>
        <w:t> </w:t>
      </w:r>
      <w:r>
        <w:rPr>
          <w:rFonts w:ascii="Cambria Math" w:hAnsi="Cambria Math" w:eastAsia="Cambria Math"/>
          <w:spacing w:val="-46"/>
        </w:rPr>
        <w:t>=      </w:t>
      </w:r>
      <w:r>
        <w:rPr>
          <w:rFonts w:ascii="Cambria Math" w:hAnsi="Cambria Math" w:eastAsia="Cambria Math"/>
          <w:spacing w:val="-45"/>
        </w:rPr>
        <w:t> </w:t>
      </w:r>
      <w:r>
        <w:rPr>
          <w:rFonts w:ascii="Cambria Math" w:hAnsi="Cambria Math" w:eastAsia="Cambria Math"/>
          <w:spacing w:val="-46"/>
          <w:position w:val="1"/>
        </w:rPr>
        <w:t>∑</w:t>
      </w:r>
      <w:r>
        <w:rPr>
          <w:rFonts w:ascii="Cambria Math" w:hAnsi="Cambria Math" w:eastAsia="Cambria Math"/>
          <w:spacing w:val="-46"/>
          <w:position w:val="10"/>
          <w:sz w:val="17"/>
        </w:rPr>
        <w:t>8</w:t>
        <w:tab/>
      </w:r>
      <w:r>
        <w:rPr>
          <w:rFonts w:ascii="Cambria Math" w:hAnsi="Cambria Math" w:eastAsia="Cambria Math"/>
          <w:spacing w:val="-45"/>
        </w:rPr>
        <w:t>[𝜆</w:t>
      </w:r>
      <w:r>
        <w:rPr>
          <w:rFonts w:ascii="Cambria Math" w:hAnsi="Cambria Math" w:eastAsia="Cambria Math"/>
          <w:spacing w:val="-45"/>
          <w:position w:val="-4"/>
          <w:sz w:val="17"/>
        </w:rPr>
        <w:t>𝑑</w:t>
      </w:r>
      <w:r>
        <w:rPr>
          <w:rFonts w:ascii="Cambria Math" w:hAnsi="Cambria Math" w:eastAsia="Cambria Math"/>
          <w:spacing w:val="-45"/>
        </w:rPr>
        <w:t>�</w:t>
      </w:r>
      <w:r>
        <w:rPr>
          <w:rFonts w:ascii="Cambria Math" w:hAnsi="Cambria Math" w:eastAsia="Cambria Math"/>
          <w:spacing w:val="-45"/>
          <w:position w:val="-4"/>
          <w:sz w:val="17"/>
        </w:rPr>
        <w:t>𝑑</w:t>
      </w:r>
      <w:r>
        <w:rPr>
          <w:rFonts w:ascii="Cambria Math" w:hAnsi="Cambria Math" w:eastAsia="Cambria Math"/>
          <w:spacing w:val="14"/>
          <w:position w:val="-4"/>
          <w:sz w:val="17"/>
        </w:rPr>
        <w:t> </w:t>
      </w:r>
      <w:r>
        <w:rPr>
          <w:rFonts w:ascii="Cambria Math" w:hAnsi="Cambria Math" w:eastAsia="Cambria Math"/>
          <w:spacing w:val="-45"/>
        </w:rPr>
        <w:t>+     </w:t>
      </w:r>
      <w:r>
        <w:rPr>
          <w:rFonts w:ascii="Cambria Math" w:hAnsi="Cambria Math" w:eastAsia="Cambria Math"/>
          <w:spacing w:val="-45"/>
          <w:position w:val="8"/>
        </w:rPr>
        <w:t>1</w:t>
      </w:r>
      <w:r>
        <w:rPr>
          <w:rFonts w:ascii="Cambria Math" w:hAnsi="Cambria Math" w:eastAsia="Cambria Math"/>
          <w:spacing w:val="-45"/>
        </w:rPr>
        <w:t>⁄</w:t>
      </w:r>
      <w:r>
        <w:rPr>
          <w:rFonts w:ascii="Cambria Math" w:hAnsi="Cambria Math" w:eastAsia="Cambria Math"/>
          <w:spacing w:val="-45"/>
          <w:position w:val="-9"/>
        </w:rPr>
        <w:t>2</w:t>
      </w:r>
      <w:r>
        <w:rPr>
          <w:rFonts w:ascii="Cambria Math" w:hAnsi="Cambria Math" w:eastAsia="Cambria Math"/>
          <w:spacing w:val="-11"/>
          <w:position w:val="-9"/>
        </w:rPr>
        <w:t> </w:t>
      </w:r>
      <w:r>
        <w:rPr>
          <w:rFonts w:ascii="Cambria Math" w:hAnsi="Cambria Math" w:eastAsia="Cambria Math"/>
          <w:spacing w:val="6"/>
        </w:rPr>
        <w:t>𝜛</w:t>
      </w:r>
      <w:r>
        <w:rPr>
          <w:rFonts w:ascii="Cambria Math" w:hAnsi="Cambria Math" w:eastAsia="Cambria Math"/>
          <w:spacing w:val="6"/>
          <w:position w:val="-4"/>
          <w:sz w:val="17"/>
        </w:rPr>
        <w:t>𝑑</w:t>
      </w:r>
      <w:r>
        <w:rPr>
          <w:rFonts w:ascii="Cambria Math" w:hAnsi="Cambria Math" w:eastAsia="Cambria Math"/>
          <w:spacing w:val="6"/>
        </w:rPr>
        <w:t>�</w:t>
      </w:r>
      <w:r>
        <w:rPr>
          <w:rFonts w:ascii="Cambria Math" w:hAnsi="Cambria Math" w:eastAsia="Cambria Math"/>
          <w:spacing w:val="6"/>
          <w:position w:val="9"/>
          <w:sz w:val="17"/>
        </w:rPr>
        <w:t>2</w:t>
      </w:r>
      <w:r>
        <w:rPr>
          <w:rFonts w:ascii="Cambria Math" w:hAnsi="Cambria Math" w:eastAsia="Cambria Math"/>
          <w:spacing w:val="6"/>
          <w:position w:val="-4"/>
          <w:sz w:val="17"/>
        </w:rPr>
        <w:t>𝑑</w:t>
      </w:r>
      <w:r>
        <w:rPr>
          <w:rFonts w:ascii="Cambria Math" w:hAnsi="Cambria Math" w:eastAsia="Cambria Math"/>
          <w:spacing w:val="6"/>
        </w:rPr>
        <w:t>]</w:t>
      </w:r>
    </w:p>
    <w:p>
      <w:pPr>
        <w:pStyle w:val="BodyText"/>
        <w:spacing w:line="141" w:lineRule="exact" w:before="147"/>
        <w:ind w:left="118"/>
      </w:pPr>
      <w:r>
        <w:rPr/>
        <w:br w:type="column"/>
      </w:r>
      <w:r>
        <w:rPr/>
        <w:t>Área bajo la curva de la demanda</w:t>
      </w:r>
    </w:p>
    <w:p>
      <w:pPr>
        <w:spacing w:after="0" w:line="141" w:lineRule="exact"/>
        <w:sectPr>
          <w:type w:val="continuous"/>
          <w:pgSz w:w="12240" w:h="15840"/>
          <w:pgMar w:top="3260" w:bottom="280" w:left="1300" w:right="1340"/>
          <w:cols w:num="2" w:equalWidth="0">
            <w:col w:w="3945" w:space="779"/>
            <w:col w:w="4876"/>
          </w:cols>
        </w:sectPr>
      </w:pPr>
    </w:p>
    <w:p>
      <w:pPr>
        <w:spacing w:line="176" w:lineRule="exact" w:before="0"/>
        <w:ind w:left="1578" w:right="410" w:firstLine="0"/>
        <w:jc w:val="left"/>
        <w:rPr>
          <w:rFonts w:ascii="Cambria Math" w:eastAsia="Cambria Math"/>
          <w:sz w:val="17"/>
        </w:rPr>
      </w:pPr>
      <w:r>
        <w:rPr>
          <w:rFonts w:ascii="Cambria Math" w:eastAsia="Cambria Math"/>
          <w:w w:val="105"/>
          <w:sz w:val="17"/>
        </w:rPr>
        <w:t>𝑑=1</w:t>
      </w:r>
    </w:p>
    <w:p>
      <w:pPr>
        <w:pStyle w:val="BodyText"/>
        <w:rPr>
          <w:rFonts w:ascii="Cambria Math"/>
          <w:sz w:val="20"/>
        </w:rPr>
      </w:pPr>
    </w:p>
    <w:p>
      <w:pPr>
        <w:pStyle w:val="BodyText"/>
        <w:spacing w:before="9"/>
        <w:rPr>
          <w:rFonts w:ascii="Cambria Math"/>
          <w:sz w:val="19"/>
        </w:rPr>
      </w:pPr>
    </w:p>
    <w:p>
      <w:pPr>
        <w:spacing w:after="0"/>
        <w:rPr>
          <w:rFonts w:ascii="Cambria Math"/>
          <w:sz w:val="19"/>
        </w:rPr>
        <w:sectPr>
          <w:type w:val="continuous"/>
          <w:pgSz w:w="12240" w:h="15840"/>
          <w:pgMar w:top="3260" w:bottom="280" w:left="1300" w:right="1340"/>
        </w:sectPr>
      </w:pPr>
    </w:p>
    <w:p>
      <w:pPr>
        <w:spacing w:line="175" w:lineRule="exact" w:before="114"/>
        <w:ind w:left="0" w:right="0" w:firstLine="0"/>
        <w:jc w:val="right"/>
        <w:rPr>
          <w:rFonts w:ascii="Cambria Math" w:hAnsi="Cambria Math"/>
          <w:sz w:val="17"/>
        </w:rPr>
      </w:pPr>
      <w:r>
        <w:rPr>
          <w:rFonts w:ascii="Cambria Math" w:hAnsi="Cambria Math"/>
          <w:position w:val="-9"/>
          <w:sz w:val="24"/>
        </w:rPr>
        <w:t>− </w:t>
      </w:r>
      <w:r>
        <w:rPr>
          <w:rFonts w:ascii="Cambria Math" w:hAnsi="Cambria Math"/>
          <w:position w:val="-8"/>
          <w:sz w:val="24"/>
        </w:rPr>
        <w:t>∑</w:t>
      </w:r>
      <w:r>
        <w:rPr>
          <w:rFonts w:ascii="Cambria Math" w:hAnsi="Cambria Math"/>
          <w:sz w:val="17"/>
        </w:rPr>
        <w:t>10</w:t>
      </w:r>
    </w:p>
    <w:p>
      <w:pPr>
        <w:spacing w:line="226" w:lineRule="exact" w:before="64"/>
        <w:ind w:left="98" w:right="0" w:firstLine="0"/>
        <w:jc w:val="left"/>
        <w:rPr>
          <w:rFonts w:ascii="Cambria Math" w:hAnsi="Cambria Math" w:eastAsia="Cambria Math"/>
          <w:sz w:val="24"/>
        </w:rPr>
      </w:pPr>
      <w:r>
        <w:rPr/>
        <w:br w:type="column"/>
      </w:r>
      <w:r>
        <w:rPr>
          <w:rFonts w:ascii="Cambria Math" w:hAnsi="Cambria Math" w:eastAsia="Cambria Math"/>
          <w:w w:val="101"/>
          <w:sz w:val="24"/>
        </w:rPr>
        <w:t>[</w:t>
      </w:r>
      <w:r>
        <w:rPr>
          <w:rFonts w:ascii="Cambria Math" w:hAnsi="Cambria Math" w:eastAsia="Cambria Math"/>
          <w:spacing w:val="-57"/>
          <w:w w:val="99"/>
          <w:sz w:val="24"/>
        </w:rPr>
        <w:t>𝑉</w:t>
      </w:r>
      <w:r>
        <w:rPr>
          <w:rFonts w:ascii="Cambria Math" w:hAnsi="Cambria Math" w:eastAsia="Cambria Math"/>
          <w:spacing w:val="11"/>
          <w:w w:val="105"/>
          <w:position w:val="-4"/>
          <w:sz w:val="17"/>
        </w:rPr>
        <w:t>𝑠</w:t>
      </w:r>
      <w:r>
        <w:rPr>
          <w:rFonts w:ascii="Cambria Math" w:hAnsi="Cambria Math" w:eastAsia="Cambria Math"/>
          <w:spacing w:val="-8"/>
          <w:w w:val="97"/>
          <w:sz w:val="24"/>
        </w:rPr>
        <w:t>�</w:t>
      </w:r>
      <w:r>
        <w:rPr>
          <w:rFonts w:ascii="Cambria Math" w:hAnsi="Cambria Math" w:eastAsia="Cambria Math"/>
          <w:w w:val="105"/>
          <w:position w:val="-4"/>
          <w:sz w:val="17"/>
        </w:rPr>
        <w:t>𝑠</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spacing w:val="-21"/>
          <w:w w:val="100"/>
          <w:position w:val="8"/>
          <w:sz w:val="24"/>
        </w:rPr>
        <w:t>1</w:t>
      </w:r>
      <w:r>
        <w:rPr>
          <w:rFonts w:ascii="Cambria Math" w:hAnsi="Cambria Math" w:eastAsia="Cambria Math"/>
          <w:spacing w:val="-20"/>
          <w:w w:val="99"/>
          <w:sz w:val="24"/>
        </w:rPr>
        <w:t>⁄</w:t>
      </w:r>
      <w:r>
        <w:rPr>
          <w:rFonts w:ascii="Cambria Math" w:hAnsi="Cambria Math" w:eastAsia="Cambria Math"/>
          <w:w w:val="100"/>
          <w:position w:val="-9"/>
          <w:sz w:val="24"/>
        </w:rPr>
        <w:t>2</w:t>
      </w:r>
      <w:r>
        <w:rPr>
          <w:rFonts w:ascii="Cambria Math" w:hAnsi="Cambria Math" w:eastAsia="Cambria Math"/>
          <w:spacing w:val="-13"/>
          <w:position w:val="-9"/>
          <w:sz w:val="24"/>
        </w:rPr>
        <w:t> </w:t>
      </w:r>
      <w:r>
        <w:rPr>
          <w:rFonts w:ascii="Cambria Math" w:hAnsi="Cambria Math" w:eastAsia="Cambria Math"/>
          <w:spacing w:val="7"/>
          <w:sz w:val="24"/>
        </w:rPr>
        <w:t>𝜂</w:t>
      </w:r>
      <w:r>
        <w:rPr>
          <w:rFonts w:ascii="Cambria Math" w:hAnsi="Cambria Math" w:eastAsia="Cambria Math"/>
          <w:spacing w:val="7"/>
          <w:position w:val="-4"/>
          <w:sz w:val="17"/>
        </w:rPr>
        <w:t>𝑠</w:t>
      </w:r>
      <w:r>
        <w:rPr>
          <w:rFonts w:ascii="Cambria Math" w:hAnsi="Cambria Math" w:eastAsia="Cambria Math"/>
          <w:spacing w:val="7"/>
          <w:sz w:val="24"/>
        </w:rPr>
        <w:t>�</w:t>
      </w:r>
      <w:r>
        <w:rPr>
          <w:rFonts w:ascii="Cambria Math" w:hAnsi="Cambria Math" w:eastAsia="Cambria Math"/>
          <w:spacing w:val="7"/>
          <w:position w:val="9"/>
          <w:sz w:val="17"/>
        </w:rPr>
        <w:t>2</w:t>
      </w:r>
      <w:r>
        <w:rPr>
          <w:rFonts w:ascii="Cambria Math" w:hAnsi="Cambria Math" w:eastAsia="Cambria Math"/>
          <w:spacing w:val="7"/>
          <w:position w:val="-4"/>
          <w:sz w:val="17"/>
        </w:rPr>
        <w:t>𝑠</w:t>
      </w:r>
      <w:r>
        <w:rPr>
          <w:rFonts w:ascii="Cambria Math" w:hAnsi="Cambria Math" w:eastAsia="Cambria Math"/>
          <w:spacing w:val="7"/>
          <w:sz w:val="24"/>
        </w:rPr>
        <w:t>]</w:t>
      </w:r>
    </w:p>
    <w:p>
      <w:pPr>
        <w:pStyle w:val="BodyText"/>
        <w:spacing w:line="142" w:lineRule="exact" w:before="148"/>
        <w:ind w:left="738"/>
      </w:pPr>
      <w:r>
        <w:rPr/>
        <w:br w:type="column"/>
      </w:r>
      <w:r>
        <w:rPr/>
        <w:t>Área bajo la curva de la oferta</w:t>
      </w:r>
    </w:p>
    <w:p>
      <w:pPr>
        <w:spacing w:after="0" w:line="142" w:lineRule="exact"/>
        <w:sectPr>
          <w:type w:val="continuous"/>
          <w:pgSz w:w="12240" w:h="15840"/>
          <w:pgMar w:top="3260" w:bottom="280" w:left="1300" w:right="1340"/>
          <w:cols w:num="3" w:equalWidth="0">
            <w:col w:w="1975" w:space="40"/>
            <w:col w:w="1978" w:space="40"/>
            <w:col w:w="5567"/>
          </w:cols>
        </w:sectPr>
      </w:pPr>
    </w:p>
    <w:p>
      <w:pPr>
        <w:spacing w:line="176" w:lineRule="exact" w:before="0"/>
        <w:ind w:left="1777" w:right="410" w:firstLine="0"/>
        <w:jc w:val="left"/>
        <w:rPr>
          <w:rFonts w:ascii="Cambria Math" w:eastAsia="Cambria Math"/>
          <w:sz w:val="17"/>
        </w:rPr>
      </w:pPr>
      <w:r>
        <w:rPr>
          <w:rFonts w:ascii="Cambria Math" w:eastAsia="Cambria Math"/>
          <w:w w:val="105"/>
          <w:sz w:val="17"/>
        </w:rPr>
        <w:t>𝑑=1</w:t>
      </w:r>
    </w:p>
    <w:p>
      <w:pPr>
        <w:pStyle w:val="BodyText"/>
        <w:rPr>
          <w:rFonts w:ascii="Cambria Math"/>
          <w:sz w:val="20"/>
        </w:rPr>
      </w:pPr>
    </w:p>
    <w:p>
      <w:pPr>
        <w:pStyle w:val="BodyText"/>
        <w:spacing w:before="9"/>
        <w:rPr>
          <w:rFonts w:ascii="Cambria Math"/>
          <w:sz w:val="22"/>
        </w:rPr>
      </w:pPr>
    </w:p>
    <w:p>
      <w:pPr>
        <w:spacing w:after="0"/>
        <w:rPr>
          <w:rFonts w:ascii="Cambria Math"/>
          <w:sz w:val="22"/>
        </w:rPr>
        <w:sectPr>
          <w:type w:val="continuous"/>
          <w:pgSz w:w="12240" w:h="15840"/>
          <w:pgMar w:top="3260" w:bottom="280" w:left="1300" w:right="1340"/>
        </w:sectPr>
      </w:pPr>
    </w:p>
    <w:p>
      <w:pPr>
        <w:spacing w:line="167" w:lineRule="exact" w:before="77"/>
        <w:ind w:left="0" w:right="0" w:firstLine="0"/>
        <w:jc w:val="right"/>
        <w:rPr>
          <w:rFonts w:ascii="Cambria Math" w:hAnsi="Cambria Math"/>
          <w:sz w:val="17"/>
        </w:rPr>
      </w:pPr>
      <w:r>
        <w:rPr>
          <w:rFonts w:ascii="Cambria Math" w:hAnsi="Cambria Math"/>
          <w:position w:val="-9"/>
          <w:sz w:val="24"/>
        </w:rPr>
        <w:t>− </w:t>
      </w:r>
      <w:r>
        <w:rPr>
          <w:rFonts w:ascii="Cambria Math" w:hAnsi="Cambria Math"/>
          <w:position w:val="-8"/>
          <w:sz w:val="24"/>
        </w:rPr>
        <w:t>∑</w:t>
      </w:r>
      <w:r>
        <w:rPr>
          <w:rFonts w:ascii="Cambria Math" w:hAnsi="Cambria Math"/>
          <w:sz w:val="17"/>
        </w:rPr>
        <w:t>10</w:t>
      </w:r>
    </w:p>
    <w:p>
      <w:pPr>
        <w:spacing w:line="138" w:lineRule="exact" w:before="106"/>
        <w:ind w:left="98" w:right="1" w:firstLine="0"/>
        <w:jc w:val="left"/>
        <w:rPr>
          <w:rFonts w:ascii="Cambria Math" w:eastAsia="Cambria Math"/>
          <w:sz w:val="24"/>
        </w:rPr>
      </w:pPr>
      <w:r>
        <w:rPr/>
        <w:br w:type="column"/>
      </w:r>
      <w:r>
        <w:rPr>
          <w:rFonts w:ascii="Cambria Math" w:eastAsia="Cambria Math"/>
          <w:sz w:val="24"/>
        </w:rPr>
        <w:t>[�</w:t>
      </w:r>
      <w:r>
        <w:rPr>
          <w:rFonts w:ascii="Cambria Math" w:eastAsia="Cambria Math"/>
          <w:position w:val="-4"/>
          <w:sz w:val="17"/>
        </w:rPr>
        <w:t>𝑠𝑑 </w:t>
      </w:r>
      <w:r>
        <w:rPr>
          <w:rFonts w:ascii="Cambria Math" w:eastAsia="Cambria Math"/>
          <w:sz w:val="24"/>
        </w:rPr>
        <w:t>+ </w:t>
      </w:r>
      <w:r>
        <w:rPr>
          <w:rFonts w:ascii="Cambria Math" w:eastAsia="Cambria Math"/>
          <w:spacing w:val="-30"/>
          <w:w w:val="85"/>
          <w:sz w:val="24"/>
        </w:rPr>
        <w:t>𝑎</w:t>
      </w:r>
      <w:r>
        <w:rPr>
          <w:rFonts w:ascii="Cambria Math" w:eastAsia="Cambria Math"/>
          <w:spacing w:val="-30"/>
          <w:w w:val="85"/>
          <w:position w:val="-4"/>
          <w:sz w:val="17"/>
        </w:rPr>
        <w:t>�                         </w:t>
      </w:r>
      <w:r>
        <w:rPr>
          <w:rFonts w:ascii="Cambria Math" w:eastAsia="Cambria Math"/>
          <w:spacing w:val="-29"/>
          <w:w w:val="85"/>
          <w:position w:val="-4"/>
          <w:sz w:val="17"/>
        </w:rPr>
        <w:t> </w:t>
      </w:r>
      <w:r>
        <w:rPr>
          <w:rFonts w:ascii="Cambria Math" w:eastAsia="Cambria Math"/>
          <w:spacing w:val="-29"/>
          <w:w w:val="85"/>
          <w:sz w:val="24"/>
        </w:rPr>
        <w:t>]</w:t>
      </w:r>
      <w:r>
        <w:rPr>
          <w:rFonts w:ascii="Cambria Math" w:eastAsia="Cambria Math"/>
          <w:spacing w:val="-17"/>
          <w:w w:val="85"/>
          <w:sz w:val="24"/>
        </w:rPr>
        <w:t> </w:t>
      </w:r>
      <w:r>
        <w:rPr>
          <w:rFonts w:ascii="Cambria Math" w:eastAsia="Cambria Math"/>
          <w:spacing w:val="-29"/>
          <w:w w:val="85"/>
          <w:sz w:val="24"/>
        </w:rPr>
        <w:t>�</w:t>
      </w:r>
    </w:p>
    <w:p>
      <w:pPr>
        <w:pStyle w:val="BodyText"/>
        <w:spacing w:line="134" w:lineRule="exact" w:before="110"/>
        <w:ind w:left="1235"/>
      </w:pPr>
      <w:r>
        <w:rPr/>
        <w:br w:type="column"/>
      </w:r>
      <w:r>
        <w:rPr/>
        <w:t>Costo de transporte más arancel</w:t>
      </w:r>
    </w:p>
    <w:p>
      <w:pPr>
        <w:spacing w:after="0" w:line="134" w:lineRule="exact"/>
        <w:sectPr>
          <w:type w:val="continuous"/>
          <w:pgSz w:w="12240" w:h="15840"/>
          <w:pgMar w:top="3260" w:bottom="280" w:left="1300" w:right="1340"/>
          <w:cols w:num="3" w:equalWidth="0">
            <w:col w:w="2028" w:space="40"/>
            <w:col w:w="1364" w:space="40"/>
            <w:col w:w="6128"/>
          </w:cols>
        </w:sectPr>
      </w:pPr>
    </w:p>
    <w:p>
      <w:pPr>
        <w:tabs>
          <w:tab w:pos="3421" w:val="left" w:leader="none"/>
        </w:tabs>
        <w:spacing w:line="183" w:lineRule="exact" w:before="0"/>
        <w:ind w:left="1830" w:right="410" w:firstLine="0"/>
        <w:jc w:val="left"/>
        <w:rPr>
          <w:rFonts w:ascii="Cambria Math" w:eastAsia="Cambria Math"/>
          <w:sz w:val="17"/>
        </w:rPr>
      </w:pPr>
      <w:r>
        <w:rPr>
          <w:rFonts w:ascii="Cambria Math" w:eastAsia="Cambria Math"/>
          <w:spacing w:val="-28"/>
          <w:w w:val="105"/>
          <w:sz w:val="17"/>
        </w:rPr>
        <w:t>𝑑=1</w:t>
        <w:tab/>
      </w:r>
      <w:r>
        <w:rPr>
          <w:rFonts w:ascii="Cambria Math" w:eastAsia="Cambria Math"/>
          <w:w w:val="105"/>
          <w:position w:val="1"/>
          <w:sz w:val="17"/>
        </w:rPr>
        <w:t>𝑠𝑑</w:t>
      </w:r>
    </w:p>
    <w:p>
      <w:pPr>
        <w:pStyle w:val="BodyText"/>
        <w:rPr>
          <w:rFonts w:ascii="Cambria Math"/>
          <w:sz w:val="20"/>
        </w:rPr>
      </w:pPr>
    </w:p>
    <w:p>
      <w:pPr>
        <w:pStyle w:val="BodyText"/>
        <w:spacing w:before="8"/>
        <w:rPr>
          <w:rFonts w:ascii="Cambria Math"/>
          <w:sz w:val="19"/>
        </w:rPr>
      </w:pPr>
    </w:p>
    <w:p>
      <w:pPr>
        <w:pStyle w:val="BodyText"/>
        <w:spacing w:before="69"/>
        <w:ind w:left="118" w:right="410"/>
      </w:pPr>
      <w:r>
        <w:rPr/>
        <w:t>Donde:</w:t>
      </w:r>
    </w:p>
    <w:p>
      <w:pPr>
        <w:pStyle w:val="BodyText"/>
        <w:spacing w:before="135"/>
        <w:ind w:left="118" w:right="410"/>
      </w:pPr>
      <w:r>
        <w:rPr>
          <w:rFonts w:ascii="Cambria Math" w:eastAsia="Cambria Math"/>
        </w:rPr>
        <w:t>�   = </w:t>
      </w:r>
      <w:r>
        <w:rPr/>
        <w:t>Regiones consumidoras</w:t>
      </w:r>
    </w:p>
    <w:p>
      <w:pPr>
        <w:pStyle w:val="BodyText"/>
        <w:tabs>
          <w:tab w:pos="438" w:val="left" w:leader="none"/>
        </w:tabs>
        <w:spacing w:before="141"/>
        <w:ind w:left="118" w:right="410"/>
      </w:pPr>
      <w:r>
        <w:rPr>
          <w:rFonts w:ascii="Cambria Math" w:eastAsia="Cambria Math"/>
        </w:rPr>
        <w:t>�</w:t>
        <w:tab/>
        <w:t>= </w:t>
      </w:r>
      <w:r>
        <w:rPr/>
        <w:t>Regiones</w:t>
      </w:r>
      <w:r>
        <w:rPr>
          <w:spacing w:val="-1"/>
        </w:rPr>
        <w:t> </w:t>
      </w:r>
      <w:r>
        <w:rPr/>
        <w:t>productoras</w:t>
      </w:r>
    </w:p>
    <w:p>
      <w:pPr>
        <w:spacing w:after="0"/>
        <w:sectPr>
          <w:type w:val="continuous"/>
          <w:pgSz w:w="12240" w:h="15840"/>
          <w:pgMar w:top="3260" w:bottom="280" w:left="1300" w:right="1340"/>
        </w:sectPr>
      </w:pPr>
    </w:p>
    <w:p>
      <w:pPr>
        <w:pStyle w:val="BodyText"/>
        <w:spacing w:before="123"/>
        <w:ind w:left="118"/>
        <w:jc w:val="both"/>
      </w:pPr>
      <w:r>
        <w:rPr>
          <w:rFonts w:ascii="Cambria Math" w:hAnsi="Cambria Math" w:eastAsia="Cambria Math"/>
        </w:rPr>
        <w:t>𝜆</w:t>
      </w:r>
      <w:r>
        <w:rPr>
          <w:rFonts w:ascii="Cambria Math" w:hAnsi="Cambria Math" w:eastAsia="Cambria Math"/>
          <w:position w:val="-4"/>
          <w:sz w:val="17"/>
        </w:rPr>
        <w:t>𝑑  </w:t>
      </w:r>
      <w:r>
        <w:rPr>
          <w:rFonts w:ascii="Cambria Math" w:hAnsi="Cambria Math" w:eastAsia="Cambria Math"/>
        </w:rPr>
        <w:t>= </w:t>
      </w:r>
      <w:r>
        <w:rPr/>
        <w:t>Intercepto de función inversa de la demanda</w:t>
      </w:r>
    </w:p>
    <w:p>
      <w:pPr>
        <w:pStyle w:val="BodyText"/>
        <w:spacing w:before="106"/>
        <w:ind w:left="118"/>
        <w:jc w:val="both"/>
      </w:pPr>
      <w:r>
        <w:rPr>
          <w:rFonts w:ascii="Cambria Math" w:hAnsi="Cambria Math" w:eastAsia="Cambria Math"/>
        </w:rPr>
        <w:t>𝜛</w:t>
      </w:r>
      <w:r>
        <w:rPr>
          <w:rFonts w:ascii="Cambria Math" w:hAnsi="Cambria Math" w:eastAsia="Cambria Math"/>
          <w:position w:val="-4"/>
          <w:sz w:val="17"/>
        </w:rPr>
        <w:t>𝑑  </w:t>
      </w:r>
      <w:r>
        <w:rPr>
          <w:rFonts w:ascii="Cambria Math" w:hAnsi="Cambria Math" w:eastAsia="Cambria Math"/>
        </w:rPr>
        <w:t>= </w:t>
      </w:r>
      <w:r>
        <w:rPr/>
        <w:t>Pendiente de la función inversa de la demanda</w:t>
      </w:r>
    </w:p>
    <w:p>
      <w:pPr>
        <w:spacing w:before="106"/>
        <w:ind w:left="118" w:right="0" w:firstLine="0"/>
        <w:jc w:val="both"/>
        <w:rPr>
          <w:i/>
          <w:sz w:val="24"/>
        </w:rPr>
      </w:pPr>
      <w:r>
        <w:rPr>
          <w:rFonts w:ascii="Cambria Math" w:hAnsi="Cambria Math" w:eastAsia="Cambria Math"/>
          <w:sz w:val="24"/>
        </w:rPr>
        <w:t>�</w:t>
      </w:r>
      <w:r>
        <w:rPr>
          <w:rFonts w:ascii="Cambria Math" w:hAnsi="Cambria Math" w:eastAsia="Cambria Math"/>
          <w:position w:val="-4"/>
          <w:sz w:val="17"/>
        </w:rPr>
        <w:t>𝑑           </w:t>
      </w:r>
      <w:r>
        <w:rPr>
          <w:rFonts w:ascii="Cambria Math" w:hAnsi="Cambria Math" w:eastAsia="Cambria Math"/>
          <w:sz w:val="24"/>
        </w:rPr>
        <w:t>= </w:t>
      </w:r>
      <w:r>
        <w:rPr>
          <w:sz w:val="24"/>
        </w:rPr>
        <w:t>Cantidad demandada de carne en la región </w:t>
      </w:r>
      <w:r>
        <w:rPr>
          <w:i/>
          <w:sz w:val="24"/>
        </w:rPr>
        <w:t>d</w:t>
      </w:r>
    </w:p>
    <w:p>
      <w:pPr>
        <w:spacing w:before="104"/>
        <w:ind w:left="118" w:right="0" w:firstLine="0"/>
        <w:jc w:val="both"/>
        <w:rPr>
          <w:sz w:val="24"/>
        </w:rPr>
      </w:pPr>
      <w:r>
        <w:rPr>
          <w:rFonts w:ascii="Cambria Math" w:hAnsi="Cambria Math" w:eastAsia="Cambria Math"/>
          <w:sz w:val="24"/>
        </w:rPr>
        <w:t>𝑉</w:t>
      </w:r>
      <w:r>
        <w:rPr>
          <w:rFonts w:ascii="Cambria Math" w:hAnsi="Cambria Math" w:eastAsia="Cambria Math"/>
          <w:position w:val="-4"/>
          <w:sz w:val="17"/>
        </w:rPr>
        <w:t>𝑠                                                                                               </w:t>
      </w:r>
      <w:r>
        <w:rPr>
          <w:rFonts w:ascii="Cambria Math" w:hAnsi="Cambria Math" w:eastAsia="Cambria Math"/>
          <w:sz w:val="24"/>
        </w:rPr>
        <w:t>= </w:t>
      </w:r>
      <w:r>
        <w:rPr>
          <w:sz w:val="24"/>
        </w:rPr>
        <w:t>Intercepto de la función inversa de la oferta</w:t>
      </w:r>
    </w:p>
    <w:p>
      <w:pPr>
        <w:pStyle w:val="BodyText"/>
        <w:spacing w:before="106"/>
        <w:ind w:left="118"/>
        <w:jc w:val="both"/>
      </w:pPr>
      <w:r>
        <w:rPr>
          <w:rFonts w:ascii="Cambria Math" w:hAnsi="Cambria Math" w:eastAsia="Cambria Math"/>
        </w:rPr>
        <w:t>𝜂</w:t>
      </w:r>
      <w:r>
        <w:rPr>
          <w:rFonts w:ascii="Cambria Math" w:hAnsi="Cambria Math" w:eastAsia="Cambria Math"/>
          <w:position w:val="-4"/>
          <w:sz w:val="17"/>
        </w:rPr>
        <w:t>𝑠   </w:t>
      </w:r>
      <w:r>
        <w:rPr>
          <w:rFonts w:ascii="Cambria Math" w:hAnsi="Cambria Math" w:eastAsia="Cambria Math"/>
        </w:rPr>
        <w:t>= </w:t>
      </w:r>
      <w:r>
        <w:rPr/>
        <w:t>Pendiente de la función inversa de la oferta</w:t>
      </w:r>
    </w:p>
    <w:p>
      <w:pPr>
        <w:pStyle w:val="BodyText"/>
        <w:spacing w:before="106"/>
        <w:ind w:left="118"/>
        <w:jc w:val="both"/>
        <w:rPr>
          <w:i/>
        </w:rPr>
      </w:pPr>
      <w:r>
        <w:rPr>
          <w:rFonts w:ascii="Cambria Math" w:hAnsi="Cambria Math" w:eastAsia="Cambria Math"/>
        </w:rPr>
        <w:t>�</w:t>
      </w:r>
      <w:r>
        <w:rPr>
          <w:rFonts w:ascii="Cambria Math" w:hAnsi="Cambria Math" w:eastAsia="Cambria Math"/>
          <w:position w:val="-4"/>
          <w:sz w:val="17"/>
        </w:rPr>
        <w:t>𝑠      </w:t>
      </w:r>
      <w:r>
        <w:rPr>
          <w:rFonts w:ascii="Cambria Math" w:hAnsi="Cambria Math" w:eastAsia="Cambria Math"/>
        </w:rPr>
        <w:t>= </w:t>
      </w:r>
      <w:r>
        <w:rPr/>
        <w:t>Cantidad ofertada de carne en la región </w:t>
      </w:r>
      <w:r>
        <w:rPr>
          <w:i/>
        </w:rPr>
        <w:t>s</w:t>
      </w:r>
    </w:p>
    <w:p>
      <w:pPr>
        <w:spacing w:before="106"/>
        <w:ind w:left="118" w:right="0" w:firstLine="0"/>
        <w:jc w:val="both"/>
        <w:rPr>
          <w:i/>
          <w:sz w:val="24"/>
        </w:rPr>
      </w:pPr>
      <w:r>
        <w:rPr>
          <w:rFonts w:ascii="Cambria Math" w:eastAsia="Cambria Math"/>
          <w:sz w:val="24"/>
        </w:rPr>
        <w:t>�</w:t>
      </w:r>
      <w:r>
        <w:rPr>
          <w:rFonts w:ascii="Cambria Math" w:eastAsia="Cambria Math"/>
          <w:position w:val="-4"/>
          <w:sz w:val="17"/>
        </w:rPr>
        <w:t>𝑠𝑑  </w:t>
      </w:r>
      <w:r>
        <w:rPr>
          <w:rFonts w:ascii="Cambria Math" w:eastAsia="Cambria Math"/>
          <w:sz w:val="24"/>
        </w:rPr>
        <w:t>= </w:t>
      </w:r>
      <w:r>
        <w:rPr>
          <w:sz w:val="24"/>
        </w:rPr>
        <w:t>Costo de transporte de </w:t>
      </w:r>
      <w:r>
        <w:rPr>
          <w:i/>
          <w:sz w:val="24"/>
        </w:rPr>
        <w:t>s </w:t>
      </w:r>
      <w:r>
        <w:rPr>
          <w:sz w:val="24"/>
        </w:rPr>
        <w:t>a </w:t>
      </w:r>
      <w:r>
        <w:rPr>
          <w:i/>
          <w:sz w:val="24"/>
        </w:rPr>
        <w:t>d</w:t>
      </w:r>
    </w:p>
    <w:p>
      <w:pPr>
        <w:spacing w:before="106"/>
        <w:ind w:left="118" w:right="0" w:firstLine="0"/>
        <w:jc w:val="both"/>
        <w:rPr>
          <w:sz w:val="24"/>
        </w:rPr>
      </w:pPr>
      <w:r>
        <w:rPr>
          <w:rFonts w:ascii="Cambria Math" w:hAnsi="Cambria Math" w:eastAsia="Cambria Math"/>
          <w:sz w:val="24"/>
        </w:rPr>
        <w:t>�</w:t>
      </w:r>
      <w:r>
        <w:rPr>
          <w:rFonts w:ascii="Cambria Math" w:hAnsi="Cambria Math" w:eastAsia="Cambria Math"/>
          <w:position w:val="-4"/>
          <w:sz w:val="17"/>
        </w:rPr>
        <w:t>𝑠𝑑  </w:t>
      </w:r>
      <w:r>
        <w:rPr>
          <w:rFonts w:ascii="Cambria Math" w:hAnsi="Cambria Math" w:eastAsia="Cambria Math"/>
          <w:sz w:val="24"/>
        </w:rPr>
        <w:t>= </w:t>
      </w:r>
      <w:r>
        <w:rPr>
          <w:sz w:val="24"/>
        </w:rPr>
        <w:t>Envíos de </w:t>
      </w:r>
      <w:r>
        <w:rPr>
          <w:i/>
          <w:sz w:val="24"/>
        </w:rPr>
        <w:t>s </w:t>
      </w:r>
      <w:r>
        <w:rPr>
          <w:sz w:val="24"/>
        </w:rPr>
        <w:t>a </w:t>
      </w:r>
      <w:r>
        <w:rPr>
          <w:i/>
          <w:sz w:val="24"/>
        </w:rPr>
        <w:t>d</w:t>
      </w:r>
      <w:r>
        <w:rPr>
          <w:sz w:val="24"/>
        </w:rPr>
        <w:t>, en toneladas</w:t>
      </w:r>
    </w:p>
    <w:p>
      <w:pPr>
        <w:pStyle w:val="BodyText"/>
        <w:spacing w:before="107"/>
        <w:ind w:left="118"/>
        <w:jc w:val="both"/>
      </w:pPr>
      <w:r>
        <w:rPr>
          <w:rFonts w:ascii="Cambria Math" w:eastAsia="Cambria Math"/>
        </w:rPr>
        <w:t>𝑎</w:t>
      </w:r>
      <w:r>
        <w:rPr>
          <w:rFonts w:ascii="Cambria Math" w:eastAsia="Cambria Math"/>
          <w:position w:val="-4"/>
          <w:sz w:val="17"/>
        </w:rPr>
        <w:t>�  </w:t>
      </w:r>
      <w:r>
        <w:rPr>
          <w:rFonts w:ascii="Cambria Math" w:eastAsia="Cambria Math"/>
        </w:rPr>
        <w:t>= </w:t>
      </w:r>
      <w:r>
        <w:rPr/>
        <w:t>Arancel a carne de cerdo importada 10, 20 y 30 %</w:t>
      </w:r>
    </w:p>
    <w:p>
      <w:pPr>
        <w:pStyle w:val="BodyText"/>
        <w:rPr>
          <w:sz w:val="26"/>
        </w:rPr>
      </w:pPr>
    </w:p>
    <w:p>
      <w:pPr>
        <w:pStyle w:val="BodyText"/>
        <w:spacing w:before="222"/>
        <w:ind w:left="118"/>
        <w:jc w:val="both"/>
      </w:pPr>
      <w:r>
        <w:rPr/>
        <w:t>Restricciones del modelo</w:t>
      </w:r>
    </w:p>
    <w:p>
      <w:pPr>
        <w:pStyle w:val="BodyText"/>
        <w:spacing w:line="360" w:lineRule="auto" w:before="137"/>
        <w:ind w:left="118" w:right="268"/>
        <w:jc w:val="both"/>
      </w:pPr>
      <w:r>
        <w:rPr/>
        <w:t>La cantidad demandada de producto (toneladas de carne de cerdo) debe ser menor o igual que</w:t>
      </w:r>
      <w:r>
        <w:rPr>
          <w:spacing w:val="-41"/>
        </w:rPr>
        <w:t> </w:t>
      </w:r>
      <w:r>
        <w:rPr/>
        <w:t>la sumatoria de las cantidades enviadas de las regiones productoras (</w:t>
      </w:r>
      <w:r>
        <w:rPr>
          <w:i/>
        </w:rPr>
        <w:t>s</w:t>
      </w:r>
      <w:r>
        <w:rPr/>
        <w:t>) a las regiones demandantes (</w:t>
      </w:r>
      <w:r>
        <w:rPr>
          <w:i/>
        </w:rPr>
        <w:t>d</w:t>
      </w:r>
      <w:r>
        <w:rPr/>
        <w:t>).</w:t>
      </w:r>
    </w:p>
    <w:p>
      <w:pPr>
        <w:spacing w:after="0" w:line="360" w:lineRule="auto"/>
        <w:jc w:val="both"/>
        <w:sectPr>
          <w:pgSz w:w="12240" w:h="15840"/>
          <w:pgMar w:header="984" w:footer="986" w:top="1280" w:bottom="1180" w:left="1300" w:right="1340"/>
        </w:sectPr>
      </w:pPr>
    </w:p>
    <w:p>
      <w:pPr>
        <w:spacing w:line="189" w:lineRule="exact" w:before="0"/>
        <w:ind w:left="0" w:right="494" w:firstLine="0"/>
        <w:jc w:val="right"/>
        <w:rPr>
          <w:rFonts w:ascii="Cambria Math"/>
          <w:sz w:val="17"/>
        </w:rPr>
      </w:pPr>
      <w:r>
        <w:rPr>
          <w:rFonts w:ascii="Cambria Math"/>
          <w:w w:val="104"/>
          <w:sz w:val="17"/>
        </w:rPr>
        <w:t>8</w:t>
      </w:r>
    </w:p>
    <w:p>
      <w:pPr>
        <w:spacing w:before="91"/>
        <w:ind w:left="0" w:right="0" w:firstLine="0"/>
        <w:jc w:val="right"/>
        <w:rPr>
          <w:rFonts w:ascii="Cambria Math" w:hAnsi="Cambria Math" w:eastAsia="Cambria Math"/>
          <w:sz w:val="17"/>
        </w:rPr>
      </w:pPr>
      <w:r>
        <w:rPr>
          <w:rFonts w:ascii="Cambria Math" w:hAnsi="Cambria Math" w:eastAsia="Cambria Math"/>
          <w:w w:val="110"/>
          <w:sz w:val="24"/>
        </w:rPr>
        <w:t>�</w:t>
      </w:r>
      <w:r>
        <w:rPr>
          <w:rFonts w:ascii="Cambria Math" w:hAnsi="Cambria Math" w:eastAsia="Cambria Math"/>
          <w:w w:val="110"/>
          <w:position w:val="-4"/>
          <w:sz w:val="17"/>
        </w:rPr>
        <w:t>𝑑    </w:t>
      </w:r>
      <w:r>
        <w:rPr>
          <w:rFonts w:ascii="Cambria Math" w:hAnsi="Cambria Math" w:eastAsia="Cambria Math"/>
          <w:w w:val="110"/>
          <w:sz w:val="24"/>
        </w:rPr>
        <w:t>≤ ∑ �</w:t>
      </w:r>
      <w:r>
        <w:rPr>
          <w:rFonts w:ascii="Cambria Math" w:hAnsi="Cambria Math" w:eastAsia="Cambria Math"/>
          <w:w w:val="110"/>
          <w:position w:val="-4"/>
          <w:sz w:val="17"/>
        </w:rPr>
        <w:t>𝑠𝑑</w:t>
      </w:r>
    </w:p>
    <w:p>
      <w:pPr>
        <w:spacing w:before="58"/>
        <w:ind w:left="0" w:right="372" w:firstLine="0"/>
        <w:jc w:val="right"/>
        <w:rPr>
          <w:rFonts w:ascii="Cambria Math" w:eastAsia="Cambria Math"/>
          <w:sz w:val="17"/>
        </w:rPr>
      </w:pPr>
      <w:r>
        <w:rPr>
          <w:rFonts w:ascii="Cambria Math" w:eastAsia="Cambria Math"/>
          <w:w w:val="105"/>
          <w:sz w:val="17"/>
        </w:rPr>
        <w:t>𝑑=1</w:t>
      </w:r>
    </w:p>
    <w:p>
      <w:pPr>
        <w:pStyle w:val="BodyText"/>
        <w:spacing w:before="11"/>
        <w:rPr>
          <w:rFonts w:ascii="Cambria Math"/>
          <w:sz w:val="23"/>
        </w:rPr>
      </w:pPr>
      <w:r>
        <w:rPr/>
        <w:br w:type="column"/>
      </w:r>
      <w:r>
        <w:rPr>
          <w:rFonts w:ascii="Cambria Math"/>
          <w:sz w:val="23"/>
        </w:rPr>
      </w:r>
    </w:p>
    <w:p>
      <w:pPr>
        <w:pStyle w:val="BodyText"/>
        <w:ind w:left="226"/>
        <w:rPr>
          <w:rFonts w:ascii="Cambria Math" w:hAnsi="Cambria Math" w:eastAsia="Cambria Math"/>
        </w:rPr>
      </w:pPr>
      <w:r>
        <w:rPr>
          <w:rFonts w:ascii="Cambria Math" w:hAnsi="Cambria Math" w:eastAsia="Cambria Math"/>
        </w:rPr>
        <w:t>� = 1, 2,3 … … … … 8</w:t>
      </w:r>
    </w:p>
    <w:p>
      <w:pPr>
        <w:spacing w:after="0"/>
        <w:rPr>
          <w:rFonts w:ascii="Cambria Math" w:hAnsi="Cambria Math" w:eastAsia="Cambria Math"/>
        </w:rPr>
        <w:sectPr>
          <w:type w:val="continuous"/>
          <w:pgSz w:w="12240" w:h="15840"/>
          <w:pgMar w:top="3260" w:bottom="280" w:left="1300" w:right="1340"/>
          <w:cols w:num="2" w:equalWidth="0">
            <w:col w:w="4248" w:space="40"/>
            <w:col w:w="5312"/>
          </w:cols>
        </w:sectPr>
      </w:pPr>
    </w:p>
    <w:p>
      <w:pPr>
        <w:pStyle w:val="BodyText"/>
        <w:spacing w:line="360" w:lineRule="auto" w:before="101"/>
        <w:ind w:left="118" w:right="270"/>
        <w:jc w:val="both"/>
      </w:pPr>
      <w:r>
        <w:rPr/>
        <w:t>La cantidad ofertada de producto (toneladas de carne de cerdo) debe ser mayor o igual que la sumatoria de las cantidades enviadas de las regiones productoras (</w:t>
      </w:r>
      <w:r>
        <w:rPr>
          <w:i/>
        </w:rPr>
        <w:t>s</w:t>
      </w:r>
      <w:r>
        <w:rPr/>
        <w:t>) a las regiones demandantes (</w:t>
      </w:r>
      <w:r>
        <w:rPr>
          <w:i/>
        </w:rPr>
        <w:t>d</w:t>
      </w:r>
      <w:r>
        <w:rPr/>
        <w:t>).</w:t>
      </w:r>
    </w:p>
    <w:p>
      <w:pPr>
        <w:spacing w:after="0" w:line="360" w:lineRule="auto"/>
        <w:jc w:val="both"/>
        <w:sectPr>
          <w:type w:val="continuous"/>
          <w:pgSz w:w="12240" w:h="15840"/>
          <w:pgMar w:top="3260" w:bottom="280" w:left="1300" w:right="1340"/>
        </w:sectPr>
      </w:pPr>
    </w:p>
    <w:p>
      <w:pPr>
        <w:spacing w:line="189" w:lineRule="exact" w:before="0"/>
        <w:ind w:left="0" w:right="446" w:firstLine="0"/>
        <w:jc w:val="right"/>
        <w:rPr>
          <w:rFonts w:ascii="Cambria Math"/>
          <w:sz w:val="17"/>
        </w:rPr>
      </w:pPr>
      <w:r>
        <w:rPr>
          <w:rFonts w:ascii="Cambria Math"/>
          <w:w w:val="105"/>
          <w:sz w:val="17"/>
        </w:rPr>
        <w:t>10</w:t>
      </w:r>
    </w:p>
    <w:p>
      <w:pPr>
        <w:spacing w:before="91"/>
        <w:ind w:left="0" w:right="0" w:firstLine="0"/>
        <w:jc w:val="right"/>
        <w:rPr>
          <w:rFonts w:ascii="Cambria Math" w:hAnsi="Cambria Math" w:eastAsia="Cambria Math"/>
          <w:sz w:val="17"/>
        </w:rPr>
      </w:pPr>
      <w:r>
        <w:rPr>
          <w:rFonts w:ascii="Cambria Math" w:hAnsi="Cambria Math" w:eastAsia="Cambria Math"/>
          <w:w w:val="110"/>
          <w:sz w:val="24"/>
        </w:rPr>
        <w:t>�</w:t>
      </w:r>
      <w:r>
        <w:rPr>
          <w:rFonts w:ascii="Cambria Math" w:hAnsi="Cambria Math" w:eastAsia="Cambria Math"/>
          <w:w w:val="110"/>
          <w:position w:val="-4"/>
          <w:sz w:val="17"/>
        </w:rPr>
        <w:t>𝑠  </w:t>
      </w:r>
      <w:r>
        <w:rPr>
          <w:rFonts w:ascii="Cambria Math" w:hAnsi="Cambria Math" w:eastAsia="Cambria Math"/>
          <w:w w:val="110"/>
          <w:sz w:val="24"/>
        </w:rPr>
        <w:t>≥ ∑ �</w:t>
      </w:r>
      <w:r>
        <w:rPr>
          <w:rFonts w:ascii="Cambria Math" w:hAnsi="Cambria Math" w:eastAsia="Cambria Math"/>
          <w:w w:val="110"/>
          <w:position w:val="-4"/>
          <w:sz w:val="17"/>
        </w:rPr>
        <w:t>𝑠𝑑</w:t>
      </w:r>
    </w:p>
    <w:p>
      <w:pPr>
        <w:spacing w:before="58"/>
        <w:ind w:left="0" w:right="372" w:firstLine="0"/>
        <w:jc w:val="right"/>
        <w:rPr>
          <w:rFonts w:ascii="Cambria Math" w:eastAsia="Cambria Math"/>
          <w:sz w:val="17"/>
        </w:rPr>
      </w:pPr>
      <w:r>
        <w:rPr>
          <w:rFonts w:ascii="Cambria Math" w:eastAsia="Cambria Math"/>
          <w:w w:val="105"/>
          <w:sz w:val="17"/>
        </w:rPr>
        <w:t>𝑑=1</w:t>
      </w:r>
    </w:p>
    <w:p>
      <w:pPr>
        <w:pStyle w:val="BodyText"/>
        <w:spacing w:before="11"/>
        <w:rPr>
          <w:rFonts w:ascii="Cambria Math"/>
          <w:sz w:val="23"/>
        </w:rPr>
      </w:pPr>
      <w:r>
        <w:rPr/>
        <w:br w:type="column"/>
      </w:r>
      <w:r>
        <w:rPr>
          <w:rFonts w:ascii="Cambria Math"/>
          <w:sz w:val="23"/>
        </w:rPr>
      </w:r>
    </w:p>
    <w:p>
      <w:pPr>
        <w:pStyle w:val="BodyText"/>
        <w:ind w:left="331"/>
        <w:rPr>
          <w:rFonts w:ascii="Cambria Math" w:hAnsi="Cambria Math" w:eastAsia="Cambria Math"/>
        </w:rPr>
      </w:pPr>
      <w:r>
        <w:rPr>
          <w:rFonts w:ascii="Cambria Math" w:hAnsi="Cambria Math" w:eastAsia="Cambria Math"/>
        </w:rPr>
        <w:t>� = 1, 2,3 … … … … 10</w:t>
      </w:r>
    </w:p>
    <w:p>
      <w:pPr>
        <w:spacing w:after="0"/>
        <w:rPr>
          <w:rFonts w:ascii="Cambria Math" w:hAnsi="Cambria Math" w:eastAsia="Cambria Math"/>
        </w:rPr>
        <w:sectPr>
          <w:type w:val="continuous"/>
          <w:pgSz w:w="12240" w:h="15840"/>
          <w:pgMar w:top="3260" w:bottom="280" w:left="1300" w:right="1340"/>
          <w:cols w:num="2" w:equalWidth="0">
            <w:col w:w="4150" w:space="40"/>
            <w:col w:w="5410"/>
          </w:cols>
        </w:sectPr>
      </w:pPr>
    </w:p>
    <w:p>
      <w:pPr>
        <w:pStyle w:val="BodyText"/>
        <w:spacing w:line="360" w:lineRule="auto" w:before="100"/>
        <w:ind w:left="118" w:right="410"/>
      </w:pPr>
      <w:r>
        <w:rPr/>
        <w:t>La cantidad demandada, la cantidad ofertada y los envíos de las regiones productoras (</w:t>
      </w:r>
      <w:r>
        <w:rPr>
          <w:i/>
        </w:rPr>
        <w:t>s</w:t>
      </w:r>
      <w:r>
        <w:rPr/>
        <w:t>) a las regiones demandantes (</w:t>
      </w:r>
      <w:r>
        <w:rPr>
          <w:i/>
        </w:rPr>
        <w:t>d</w:t>
      </w:r>
      <w:r>
        <w:rPr/>
        <w:t>), debe ser mayor o igual a cero.</w:t>
      </w:r>
    </w:p>
    <w:p>
      <w:pPr>
        <w:spacing w:before="7"/>
        <w:ind w:left="0" w:right="410"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𝑑  </w:t>
      </w:r>
      <w:r>
        <w:rPr>
          <w:rFonts w:ascii="Cambria Math" w:hAnsi="Cambria Math" w:eastAsia="Cambria Math"/>
          <w:sz w:val="24"/>
        </w:rPr>
        <w:t>, �</w:t>
      </w:r>
      <w:r>
        <w:rPr>
          <w:rFonts w:ascii="Cambria Math" w:hAnsi="Cambria Math" w:eastAsia="Cambria Math"/>
          <w:position w:val="-4"/>
          <w:sz w:val="17"/>
        </w:rPr>
        <w:t>𝑠 </w:t>
      </w:r>
      <w:r>
        <w:rPr>
          <w:rFonts w:ascii="Cambria Math" w:hAnsi="Cambria Math" w:eastAsia="Cambria Math"/>
          <w:sz w:val="24"/>
        </w:rPr>
        <w:t>, �</w:t>
      </w:r>
      <w:r>
        <w:rPr>
          <w:rFonts w:ascii="Cambria Math" w:hAnsi="Cambria Math" w:eastAsia="Cambria Math"/>
          <w:position w:val="-4"/>
          <w:sz w:val="17"/>
        </w:rPr>
        <w:t>𝑠𝑑  </w:t>
      </w:r>
      <w:r>
        <w:rPr>
          <w:rFonts w:ascii="Cambria Math" w:hAnsi="Cambria Math" w:eastAsia="Cambria Math"/>
          <w:sz w:val="24"/>
        </w:rPr>
        <w:t>≥ 0</w:t>
      </w:r>
    </w:p>
    <w:p>
      <w:pPr>
        <w:pStyle w:val="BodyText"/>
        <w:spacing w:before="104"/>
        <w:ind w:left="118" w:right="410"/>
      </w:pPr>
      <w:r>
        <w:rPr/>
        <w:t>Supuestos económicos considerados en el modelo</w:t>
      </w:r>
    </w:p>
    <w:p>
      <w:pPr>
        <w:pStyle w:val="ListParagraph"/>
        <w:numPr>
          <w:ilvl w:val="0"/>
          <w:numId w:val="15"/>
        </w:numPr>
        <w:tabs>
          <w:tab w:pos="838" w:val="left" w:leader="none"/>
          <w:tab w:pos="839" w:val="left" w:leader="none"/>
        </w:tabs>
        <w:spacing w:line="240" w:lineRule="auto" w:before="136" w:after="0"/>
        <w:ind w:left="838" w:right="0" w:hanging="360"/>
        <w:jc w:val="left"/>
        <w:rPr>
          <w:sz w:val="24"/>
        </w:rPr>
      </w:pPr>
      <w:r>
        <w:rPr>
          <w:sz w:val="24"/>
        </w:rPr>
        <w:t>Hay 2 o más regiones que comercian un bien</w:t>
      </w:r>
      <w:r>
        <w:rPr>
          <w:spacing w:val="-7"/>
          <w:sz w:val="24"/>
        </w:rPr>
        <w:t> </w:t>
      </w:r>
      <w:r>
        <w:rPr>
          <w:sz w:val="24"/>
        </w:rPr>
        <w:t>homogéneo</w:t>
      </w:r>
    </w:p>
    <w:p>
      <w:pPr>
        <w:pStyle w:val="ListParagraph"/>
        <w:numPr>
          <w:ilvl w:val="0"/>
          <w:numId w:val="15"/>
        </w:numPr>
        <w:tabs>
          <w:tab w:pos="838" w:val="left" w:leader="none"/>
          <w:tab w:pos="839" w:val="left" w:leader="none"/>
        </w:tabs>
        <w:spacing w:line="240" w:lineRule="auto" w:before="138" w:after="0"/>
        <w:ind w:left="838" w:right="0" w:hanging="360"/>
        <w:jc w:val="left"/>
        <w:rPr>
          <w:sz w:val="24"/>
        </w:rPr>
      </w:pPr>
      <w:r>
        <w:rPr>
          <w:sz w:val="24"/>
        </w:rPr>
        <w:t>Cada región constituye un solo y distinto</w:t>
      </w:r>
      <w:r>
        <w:rPr>
          <w:spacing w:val="-10"/>
          <w:sz w:val="24"/>
        </w:rPr>
        <w:t> </w:t>
      </w:r>
      <w:r>
        <w:rPr>
          <w:sz w:val="24"/>
        </w:rPr>
        <w:t>mercado</w:t>
      </w:r>
    </w:p>
    <w:p>
      <w:pPr>
        <w:pStyle w:val="ListParagraph"/>
        <w:numPr>
          <w:ilvl w:val="0"/>
          <w:numId w:val="15"/>
        </w:numPr>
        <w:tabs>
          <w:tab w:pos="838" w:val="left" w:leader="none"/>
          <w:tab w:pos="839" w:val="left" w:leader="none"/>
        </w:tabs>
        <w:spacing w:line="350" w:lineRule="auto" w:before="138" w:after="0"/>
        <w:ind w:left="838" w:right="272" w:hanging="360"/>
        <w:jc w:val="left"/>
        <w:rPr>
          <w:sz w:val="24"/>
        </w:rPr>
      </w:pPr>
      <w:r>
        <w:rPr>
          <w:sz w:val="24"/>
        </w:rPr>
        <w:t>Las regiones están separadas pero no aisladas por los costos de transporte por unidad física, lo cual es independiente del</w:t>
      </w:r>
      <w:r>
        <w:rPr>
          <w:spacing w:val="-5"/>
          <w:sz w:val="24"/>
        </w:rPr>
        <w:t> </w:t>
      </w:r>
      <w:r>
        <w:rPr>
          <w:sz w:val="24"/>
        </w:rPr>
        <w:t>volumen</w:t>
      </w:r>
    </w:p>
    <w:p>
      <w:pPr>
        <w:pStyle w:val="ListParagraph"/>
        <w:numPr>
          <w:ilvl w:val="0"/>
          <w:numId w:val="15"/>
        </w:numPr>
        <w:tabs>
          <w:tab w:pos="838" w:val="left" w:leader="none"/>
          <w:tab w:pos="839" w:val="left" w:leader="none"/>
        </w:tabs>
        <w:spacing w:line="240" w:lineRule="auto" w:before="16" w:after="0"/>
        <w:ind w:left="838" w:right="0" w:hanging="360"/>
        <w:jc w:val="left"/>
        <w:rPr>
          <w:sz w:val="24"/>
        </w:rPr>
      </w:pPr>
      <w:r>
        <w:rPr>
          <w:sz w:val="24"/>
        </w:rPr>
        <w:t>Para cada región las funciones de oferta y demanda son</w:t>
      </w:r>
      <w:r>
        <w:rPr>
          <w:spacing w:val="-17"/>
          <w:sz w:val="24"/>
        </w:rPr>
        <w:t> </w:t>
      </w:r>
      <w:r>
        <w:rPr>
          <w:sz w:val="24"/>
        </w:rPr>
        <w:t>conocidas</w:t>
      </w:r>
    </w:p>
    <w:p>
      <w:pPr>
        <w:spacing w:after="0" w:line="240" w:lineRule="auto"/>
        <w:jc w:val="left"/>
        <w:rPr>
          <w:sz w:val="24"/>
        </w:rPr>
        <w:sectPr>
          <w:type w:val="continuous"/>
          <w:pgSz w:w="12240" w:h="15840"/>
          <w:pgMar w:top="3260" w:bottom="280" w:left="1300" w:right="1340"/>
        </w:sectPr>
      </w:pPr>
    </w:p>
    <w:p>
      <w:pPr>
        <w:pStyle w:val="BodyText"/>
        <w:rPr>
          <w:sz w:val="20"/>
        </w:rPr>
      </w:pPr>
    </w:p>
    <w:p>
      <w:pPr>
        <w:pStyle w:val="BodyText"/>
        <w:spacing w:before="8"/>
        <w:rPr>
          <w:sz w:val="20"/>
        </w:rPr>
      </w:pPr>
    </w:p>
    <w:p>
      <w:pPr>
        <w:pStyle w:val="BodyText"/>
        <w:spacing w:line="360" w:lineRule="auto" w:before="69"/>
        <w:ind w:left="138" w:right="271"/>
        <w:jc w:val="both"/>
      </w:pPr>
      <w:r>
        <w:rPr/>
        <w:t>Se utilizó la regionalización económica y geográfica propuesta por (Bassols, 1995:43), como se muestra en el Cuadro 1.</w:t>
      </w:r>
    </w:p>
    <w:p>
      <w:pPr>
        <w:pStyle w:val="BodyText"/>
      </w:pPr>
    </w:p>
    <w:p>
      <w:pPr>
        <w:pStyle w:val="BodyText"/>
      </w:pPr>
    </w:p>
    <w:p>
      <w:pPr>
        <w:pStyle w:val="BodyText"/>
        <w:spacing w:before="1"/>
        <w:rPr>
          <w:sz w:val="23"/>
        </w:rPr>
      </w:pPr>
    </w:p>
    <w:p>
      <w:pPr>
        <w:pStyle w:val="BodyText"/>
        <w:ind w:left="138"/>
        <w:jc w:val="both"/>
      </w:pPr>
      <w:r>
        <w:rPr/>
        <w:t>Cuadro 1: Regiones y entidades de México</w:t>
      </w:r>
    </w:p>
    <w:p>
      <w:pPr>
        <w:pStyle w:val="BodyText"/>
        <w:spacing w:before="2"/>
        <w:rPr>
          <w:sz w:val="9"/>
        </w:rPr>
      </w:pPr>
      <w:r>
        <w:rPr/>
        <w:pict>
          <v:group style="position:absolute;margin-left:70.694pt;margin-top:7.234275pt;width:447.7pt;height:1.5pt;mso-position-horizontal-relative:page;mso-position-vertical-relative:paragraph;z-index:4720;mso-wrap-distance-left:0;mso-wrap-distance-right:0" coordorigin="1414,145" coordsize="8954,30">
            <v:line style="position:absolute" from="1419,150" to="4316,150" stroked="true" strokeweight=".48001pt" strokecolor="#000000"/>
            <v:line style="position:absolute" from="1419,169" to="4316,169" stroked="true" strokeweight=".48pt" strokecolor="#000000"/>
            <v:line style="position:absolute" from="4316,150" to="4345,150" stroked="true" strokeweight=".48001pt" strokecolor="#000000"/>
            <v:line style="position:absolute" from="4316,169" to="4345,169" stroked="true" strokeweight=".48pt" strokecolor="#000000"/>
            <v:line style="position:absolute" from="4345,150" to="10363,150" stroked="true" strokeweight=".48001pt" strokecolor="#000000"/>
            <v:line style="position:absolute" from="4345,169" to="10363,169" stroked="true" strokeweight=".48pt" strokecolor="#000000"/>
            <w10:wrap type="topAndBottom"/>
          </v:group>
        </w:pict>
      </w:r>
    </w:p>
    <w:p>
      <w:pPr>
        <w:pStyle w:val="Heading4"/>
        <w:tabs>
          <w:tab w:pos="4431" w:val="left" w:leader="none"/>
        </w:tabs>
        <w:spacing w:before="0"/>
        <w:ind w:left="0" w:right="1933"/>
      </w:pPr>
      <w:r>
        <w:rPr/>
        <w:t>Región</w:t>
        <w:tab/>
        <w:t>Estados</w:t>
      </w:r>
    </w:p>
    <w:p>
      <w:pPr>
        <w:pStyle w:val="BodyText"/>
        <w:spacing w:before="8"/>
        <w:rPr>
          <w:b/>
          <w:sz w:val="8"/>
        </w:rPr>
      </w:pPr>
      <w:r>
        <w:rPr/>
        <w:pict>
          <v:group style="position:absolute;margin-left:70.694pt;margin-top:6.994277pt;width:447.7pt;height:1.5pt;mso-position-horizontal-relative:page;mso-position-vertical-relative:paragraph;z-index:4744;mso-wrap-distance-left:0;mso-wrap-distance-right:0" coordorigin="1414,140" coordsize="8954,30">
            <v:line style="position:absolute" from="1419,145" to="4316,145" stroked="true" strokeweight=".48pt" strokecolor="#000000"/>
            <v:line style="position:absolute" from="1419,164" to="4316,164" stroked="true" strokeweight=".48pt" strokecolor="#000000"/>
            <v:line style="position:absolute" from="4316,145" to="4345,145" stroked="true" strokeweight=".48pt" strokecolor="#000000"/>
            <v:line style="position:absolute" from="4316,164" to="4345,164" stroked="true" strokeweight=".48pt" strokecolor="#000000"/>
            <v:line style="position:absolute" from="4345,145" to="4585,145" stroked="true" strokeweight=".48pt" strokecolor="#000000"/>
            <v:line style="position:absolute" from="4345,164" to="4585,164" stroked="true" strokeweight=".48pt" strokecolor="#000000"/>
            <v:line style="position:absolute" from="4585,145" to="4614,145" stroked="true" strokeweight=".48pt" strokecolor="#000000"/>
            <v:line style="position:absolute" from="4585,164" to="4614,164" stroked="true" strokeweight=".48pt" strokecolor="#000000"/>
            <v:line style="position:absolute" from="4614,145" to="10363,145" stroked="true" strokeweight=".48pt" strokecolor="#000000"/>
            <v:line style="position:absolute" from="4614,164" to="10363,164" stroked="true" strokeweight=".48pt" strokecolor="#000000"/>
            <w10:wrap type="topAndBottom"/>
          </v:group>
        </w:pict>
      </w:r>
    </w:p>
    <w:p>
      <w:pPr>
        <w:pStyle w:val="BodyText"/>
        <w:tabs>
          <w:tab w:pos="3412" w:val="left" w:leader="none"/>
        </w:tabs>
        <w:ind w:left="246" w:right="259"/>
      </w:pPr>
      <w:r>
        <w:rPr>
          <w:b/>
        </w:rPr>
        <w:t>Noroeste</w:t>
      </w:r>
      <w:r>
        <w:rPr>
          <w:b/>
          <w:spacing w:val="-3"/>
        </w:rPr>
        <w:t> </w:t>
      </w:r>
      <w:r>
        <w:rPr>
          <w:b/>
        </w:rPr>
        <w:t>(NO)</w:t>
        <w:tab/>
      </w:r>
      <w:r>
        <w:rPr/>
        <w:t>Baja  California,  Baja  California  Sur,  Sonora,  Sinaloa  </w:t>
      </w:r>
      <w:r>
        <w:rPr>
          <w:spacing w:val="58"/>
        </w:rPr>
        <w:t> </w:t>
      </w:r>
      <w:r>
        <w:rPr/>
        <w:t>y</w:t>
      </w:r>
    </w:p>
    <w:p>
      <w:pPr>
        <w:pStyle w:val="BodyText"/>
        <w:spacing w:before="135"/>
        <w:ind w:right="2014"/>
        <w:jc w:val="center"/>
      </w:pPr>
      <w:r>
        <w:rPr/>
        <w:t>Nayarit.</w:t>
      </w:r>
    </w:p>
    <w:p>
      <w:pPr>
        <w:pStyle w:val="BodyText"/>
        <w:tabs>
          <w:tab w:pos="3412" w:val="left" w:leader="none"/>
        </w:tabs>
        <w:spacing w:before="141"/>
        <w:ind w:left="246" w:right="259"/>
      </w:pPr>
      <w:r>
        <w:rPr>
          <w:b/>
        </w:rPr>
        <w:t>Norte</w:t>
      </w:r>
      <w:r>
        <w:rPr>
          <w:b/>
          <w:spacing w:val="-2"/>
        </w:rPr>
        <w:t> </w:t>
      </w:r>
      <w:r>
        <w:rPr>
          <w:b/>
        </w:rPr>
        <w:t>(NR)</w:t>
        <w:tab/>
      </w:r>
      <w:r>
        <w:rPr/>
        <w:t>Chihuahua, Coahuila, Durango, San Luis potosí y</w:t>
      </w:r>
      <w:r>
        <w:rPr>
          <w:spacing w:val="-14"/>
        </w:rPr>
        <w:t> </w:t>
      </w:r>
      <w:r>
        <w:rPr/>
        <w:t>Zacatecas</w:t>
      </w:r>
    </w:p>
    <w:p>
      <w:pPr>
        <w:tabs>
          <w:tab w:pos="3412" w:val="left" w:leader="none"/>
        </w:tabs>
        <w:spacing w:before="139"/>
        <w:ind w:left="246" w:right="259" w:firstLine="0"/>
        <w:jc w:val="left"/>
        <w:rPr>
          <w:sz w:val="24"/>
        </w:rPr>
      </w:pPr>
      <w:r>
        <w:rPr>
          <w:b/>
          <w:sz w:val="24"/>
        </w:rPr>
        <w:t>Noreste</w:t>
      </w:r>
      <w:r>
        <w:rPr>
          <w:b/>
          <w:spacing w:val="-3"/>
          <w:sz w:val="24"/>
        </w:rPr>
        <w:t> </w:t>
      </w:r>
      <w:r>
        <w:rPr>
          <w:b/>
          <w:sz w:val="24"/>
        </w:rPr>
        <w:t>(NE)</w:t>
        <w:tab/>
      </w:r>
      <w:r>
        <w:rPr>
          <w:sz w:val="24"/>
        </w:rPr>
        <w:t>Nuevo León y</w:t>
      </w:r>
      <w:r>
        <w:rPr>
          <w:spacing w:val="-6"/>
          <w:sz w:val="24"/>
        </w:rPr>
        <w:t> </w:t>
      </w:r>
      <w:r>
        <w:rPr>
          <w:sz w:val="24"/>
        </w:rPr>
        <w:t>Tamaulipas.</w:t>
      </w:r>
    </w:p>
    <w:p>
      <w:pPr>
        <w:tabs>
          <w:tab w:pos="3412" w:val="left" w:leader="none"/>
        </w:tabs>
        <w:spacing w:before="137"/>
        <w:ind w:left="246" w:right="259" w:firstLine="0"/>
        <w:jc w:val="left"/>
        <w:rPr>
          <w:sz w:val="24"/>
        </w:rPr>
      </w:pPr>
      <w:r>
        <w:rPr>
          <w:b/>
          <w:sz w:val="24"/>
        </w:rPr>
        <w:t>Centro-Occidente</w:t>
      </w:r>
      <w:r>
        <w:rPr>
          <w:b/>
          <w:spacing w:val="-4"/>
          <w:sz w:val="24"/>
        </w:rPr>
        <w:t> </w:t>
      </w:r>
      <w:r>
        <w:rPr>
          <w:b/>
          <w:sz w:val="24"/>
        </w:rPr>
        <w:t>(CO)</w:t>
        <w:tab/>
      </w:r>
      <w:r>
        <w:rPr>
          <w:sz w:val="24"/>
        </w:rPr>
        <w:t>Aguascalientes , Colima, Guanajuato, Jalisco y</w:t>
      </w:r>
      <w:r>
        <w:rPr>
          <w:spacing w:val="-14"/>
          <w:sz w:val="24"/>
        </w:rPr>
        <w:t> </w:t>
      </w:r>
      <w:r>
        <w:rPr>
          <w:sz w:val="24"/>
        </w:rPr>
        <w:t>Michoacán</w:t>
      </w:r>
    </w:p>
    <w:p>
      <w:pPr>
        <w:pStyle w:val="BodyText"/>
        <w:tabs>
          <w:tab w:pos="3412" w:val="left" w:leader="none"/>
        </w:tabs>
        <w:spacing w:line="355" w:lineRule="auto" w:before="139"/>
        <w:ind w:left="3413" w:right="378" w:hanging="3167"/>
      </w:pPr>
      <w:r>
        <w:rPr>
          <w:b/>
        </w:rPr>
        <w:t>Centro-Este</w:t>
      </w:r>
      <w:r>
        <w:rPr>
          <w:b/>
          <w:spacing w:val="-3"/>
        </w:rPr>
        <w:t> </w:t>
      </w:r>
      <w:r>
        <w:rPr>
          <w:b/>
        </w:rPr>
        <w:t>(CE)</w:t>
        <w:tab/>
      </w:r>
      <w:r>
        <w:rPr/>
        <w:t>Distrito   Federal,   Hidalgo,   Estado   de</w:t>
      </w:r>
      <w:r>
        <w:rPr>
          <w:spacing w:val="3"/>
        </w:rPr>
        <w:t> </w:t>
      </w:r>
      <w:r>
        <w:rPr/>
        <w:t>México, </w:t>
      </w:r>
      <w:r>
        <w:rPr>
          <w:spacing w:val="36"/>
        </w:rPr>
        <w:t> </w:t>
      </w:r>
      <w:r>
        <w:rPr/>
        <w:t>Morelos,</w:t>
      </w:r>
      <w:r>
        <w:rPr>
          <w:w w:val="99"/>
        </w:rPr>
        <w:t> </w:t>
      </w:r>
      <w:r>
        <w:rPr/>
        <w:t>Puebla, Querétaro y</w:t>
      </w:r>
      <w:r>
        <w:rPr>
          <w:spacing w:val="-9"/>
        </w:rPr>
        <w:t> </w:t>
      </w:r>
      <w:r>
        <w:rPr/>
        <w:t>Tlaxcala.</w:t>
      </w:r>
    </w:p>
    <w:p>
      <w:pPr>
        <w:tabs>
          <w:tab w:pos="3412" w:val="left" w:leader="none"/>
        </w:tabs>
        <w:spacing w:before="16"/>
        <w:ind w:left="246" w:right="259" w:firstLine="0"/>
        <w:jc w:val="left"/>
        <w:rPr>
          <w:sz w:val="24"/>
        </w:rPr>
      </w:pPr>
      <w:r>
        <w:rPr>
          <w:b/>
          <w:sz w:val="24"/>
        </w:rPr>
        <w:t>Sur</w:t>
      </w:r>
      <w:r>
        <w:rPr>
          <w:b/>
          <w:spacing w:val="-2"/>
          <w:sz w:val="24"/>
        </w:rPr>
        <w:t> </w:t>
      </w:r>
      <w:r>
        <w:rPr>
          <w:b/>
          <w:sz w:val="24"/>
        </w:rPr>
        <w:t>(SU)</w:t>
        <w:tab/>
      </w:r>
      <w:r>
        <w:rPr>
          <w:sz w:val="24"/>
        </w:rPr>
        <w:t>Chiapas, Guerrero y</w:t>
      </w:r>
      <w:r>
        <w:rPr>
          <w:spacing w:val="-9"/>
          <w:sz w:val="24"/>
        </w:rPr>
        <w:t> </w:t>
      </w:r>
      <w:r>
        <w:rPr>
          <w:sz w:val="24"/>
        </w:rPr>
        <w:t>Oaxaca.</w:t>
      </w:r>
    </w:p>
    <w:p>
      <w:pPr>
        <w:tabs>
          <w:tab w:pos="3412" w:val="left" w:leader="none"/>
        </w:tabs>
        <w:spacing w:before="137"/>
        <w:ind w:left="246" w:right="259" w:firstLine="0"/>
        <w:jc w:val="left"/>
        <w:rPr>
          <w:sz w:val="24"/>
        </w:rPr>
      </w:pPr>
      <w:r>
        <w:rPr>
          <w:b/>
          <w:sz w:val="24"/>
        </w:rPr>
        <w:t>Oriente</w:t>
      </w:r>
      <w:r>
        <w:rPr>
          <w:b/>
          <w:spacing w:val="-3"/>
          <w:sz w:val="24"/>
        </w:rPr>
        <w:t> </w:t>
      </w:r>
      <w:r>
        <w:rPr>
          <w:b/>
          <w:sz w:val="24"/>
        </w:rPr>
        <w:t>(OR)</w:t>
        <w:tab/>
      </w:r>
      <w:r>
        <w:rPr>
          <w:sz w:val="24"/>
        </w:rPr>
        <w:t>Tabasco y</w:t>
      </w:r>
      <w:r>
        <w:rPr>
          <w:spacing w:val="-7"/>
          <w:sz w:val="24"/>
        </w:rPr>
        <w:t> </w:t>
      </w:r>
      <w:r>
        <w:rPr>
          <w:sz w:val="24"/>
        </w:rPr>
        <w:t>Veracruz</w:t>
      </w:r>
    </w:p>
    <w:p>
      <w:pPr>
        <w:tabs>
          <w:tab w:pos="3412" w:val="left" w:leader="none"/>
        </w:tabs>
        <w:spacing w:line="381" w:lineRule="auto" w:before="139"/>
        <w:ind w:left="138" w:right="2636" w:firstLine="108"/>
        <w:jc w:val="left"/>
        <w:rPr>
          <w:sz w:val="24"/>
        </w:rPr>
      </w:pPr>
      <w:r>
        <w:rPr/>
        <w:pict>
          <v:group style="position:absolute;margin-left:69.973999pt;margin-top:27.743114pt;width:461.9pt;height:1.5pt;mso-position-horizontal-relative:page;mso-position-vertical-relative:paragraph;z-index:-144832" coordorigin="1399,555" coordsize="9238,30">
            <v:line style="position:absolute" from="1404,579" to="4585,579" stroked="true" strokeweight=".47998pt" strokecolor="#000000"/>
            <v:line style="position:absolute" from="1404,560" to="4585,560" stroked="true" strokeweight=".48001pt" strokecolor="#000000"/>
            <v:line style="position:absolute" from="4571,560" to="4599,560" stroked="true" strokeweight=".48001pt" strokecolor="#000000"/>
            <v:line style="position:absolute" from="4571,579" to="4599,579" stroked="true" strokeweight=".47998pt" strokecolor="#000000"/>
            <v:line style="position:absolute" from="4599,579" to="10632,579" stroked="true" strokeweight=".47998pt" strokecolor="#000000"/>
            <v:line style="position:absolute" from="4599,560" to="10632,560" stroked="true" strokeweight=".48001pt" strokecolor="#000000"/>
            <w10:wrap type="none"/>
          </v:group>
        </w:pict>
      </w:r>
      <w:r>
        <w:rPr>
          <w:b/>
          <w:sz w:val="24"/>
        </w:rPr>
        <w:t>Península de</w:t>
      </w:r>
      <w:r>
        <w:rPr>
          <w:b/>
          <w:spacing w:val="-5"/>
          <w:sz w:val="24"/>
        </w:rPr>
        <w:t> </w:t>
      </w:r>
      <w:r>
        <w:rPr>
          <w:b/>
          <w:sz w:val="24"/>
        </w:rPr>
        <w:t>Yucatán</w:t>
      </w:r>
      <w:r>
        <w:rPr>
          <w:b/>
          <w:spacing w:val="-2"/>
          <w:sz w:val="24"/>
        </w:rPr>
        <w:t> </w:t>
      </w:r>
      <w:r>
        <w:rPr>
          <w:b/>
          <w:sz w:val="24"/>
        </w:rPr>
        <w:t>(PE)</w:t>
        <w:tab/>
      </w:r>
      <w:r>
        <w:rPr>
          <w:sz w:val="24"/>
        </w:rPr>
        <w:t>Campeche, Quintana Roo</w:t>
      </w:r>
      <w:r>
        <w:rPr>
          <w:spacing w:val="-3"/>
          <w:sz w:val="24"/>
        </w:rPr>
        <w:t> </w:t>
      </w:r>
      <w:r>
        <w:rPr>
          <w:sz w:val="24"/>
        </w:rPr>
        <w:t>y</w:t>
      </w:r>
      <w:r>
        <w:rPr>
          <w:spacing w:val="-6"/>
          <w:sz w:val="24"/>
        </w:rPr>
        <w:t> </w:t>
      </w:r>
      <w:r>
        <w:rPr>
          <w:sz w:val="24"/>
        </w:rPr>
        <w:t>Yucatán. Fuente: Bassols</w:t>
      </w:r>
      <w:r>
        <w:rPr>
          <w:spacing w:val="-5"/>
          <w:sz w:val="24"/>
        </w:rPr>
        <w:t> </w:t>
      </w:r>
      <w:r>
        <w:rPr>
          <w:sz w:val="24"/>
        </w:rPr>
        <w:t>1995:43</w:t>
      </w:r>
    </w:p>
    <w:p>
      <w:pPr>
        <w:pStyle w:val="BodyText"/>
        <w:spacing w:line="256" w:lineRule="exact"/>
        <w:ind w:left="138"/>
        <w:jc w:val="both"/>
      </w:pPr>
      <w:r>
        <w:rPr/>
        <w:t>La información utilizada se obtuvo de la siguiente manera:</w:t>
      </w:r>
    </w:p>
    <w:p>
      <w:pPr>
        <w:pStyle w:val="BodyText"/>
        <w:spacing w:line="360" w:lineRule="auto" w:before="139"/>
        <w:ind w:left="138" w:right="265"/>
        <w:jc w:val="both"/>
      </w:pPr>
      <w:r>
        <w:rPr/>
        <w:t>La producción y las exportaciones se obtuvieron por estado y provino del Servicio de Información Agroalimentaria y Pesquera (SIAP, 2016), se restó la exportación a la producción de los estados que reportaron, y se sumó la producción de los estados que integran cada una de las regiones para obtener la producción regional.</w:t>
      </w:r>
    </w:p>
    <w:p>
      <w:pPr>
        <w:pStyle w:val="BodyText"/>
      </w:pPr>
    </w:p>
    <w:p>
      <w:pPr>
        <w:pStyle w:val="BodyText"/>
        <w:spacing w:line="360" w:lineRule="auto" w:before="143"/>
        <w:ind w:left="138" w:right="266"/>
        <w:jc w:val="both"/>
      </w:pPr>
      <w:r>
        <w:rPr/>
        <w:t>La</w:t>
      </w:r>
      <w:r>
        <w:rPr>
          <w:spacing w:val="-18"/>
        </w:rPr>
        <w:t> </w:t>
      </w:r>
      <w:r>
        <w:rPr/>
        <w:t>importación,</w:t>
      </w:r>
      <w:r>
        <w:rPr>
          <w:spacing w:val="-16"/>
        </w:rPr>
        <w:t> </w:t>
      </w:r>
      <w:r>
        <w:rPr/>
        <w:t>se</w:t>
      </w:r>
      <w:r>
        <w:rPr>
          <w:spacing w:val="-18"/>
        </w:rPr>
        <w:t> </w:t>
      </w:r>
      <w:r>
        <w:rPr/>
        <w:t>obtuvo</w:t>
      </w:r>
      <w:r>
        <w:rPr>
          <w:spacing w:val="-16"/>
        </w:rPr>
        <w:t> </w:t>
      </w:r>
      <w:r>
        <w:rPr/>
        <w:t>del</w:t>
      </w:r>
      <w:r>
        <w:rPr>
          <w:spacing w:val="28"/>
        </w:rPr>
        <w:t> </w:t>
      </w:r>
      <w:r>
        <w:rPr/>
        <w:t>Servicio</w:t>
      </w:r>
      <w:r>
        <w:rPr>
          <w:spacing w:val="-16"/>
        </w:rPr>
        <w:t> </w:t>
      </w:r>
      <w:r>
        <w:rPr/>
        <w:t>de</w:t>
      </w:r>
      <w:r>
        <w:rPr>
          <w:spacing w:val="-15"/>
        </w:rPr>
        <w:t> </w:t>
      </w:r>
      <w:r>
        <w:rPr/>
        <w:t>Información</w:t>
      </w:r>
      <w:r>
        <w:rPr>
          <w:spacing w:val="-16"/>
        </w:rPr>
        <w:t> </w:t>
      </w:r>
      <w:r>
        <w:rPr/>
        <w:t>Agroalimentaria</w:t>
      </w:r>
      <w:r>
        <w:rPr>
          <w:spacing w:val="-13"/>
        </w:rPr>
        <w:t> </w:t>
      </w:r>
      <w:r>
        <w:rPr/>
        <w:t>y</w:t>
      </w:r>
      <w:r>
        <w:rPr>
          <w:spacing w:val="-22"/>
        </w:rPr>
        <w:t> </w:t>
      </w:r>
      <w:r>
        <w:rPr/>
        <w:t>Pesquera</w:t>
      </w:r>
      <w:r>
        <w:rPr>
          <w:spacing w:val="-16"/>
        </w:rPr>
        <w:t> </w:t>
      </w:r>
      <w:r>
        <w:rPr/>
        <w:t>(SIAP,</w:t>
      </w:r>
      <w:r>
        <w:rPr>
          <w:spacing w:val="-16"/>
        </w:rPr>
        <w:t> </w:t>
      </w:r>
      <w:r>
        <w:rPr/>
        <w:t>2016) según las fracciones arancelarias y puntos de acceso (aduanas), se establecieron dos puntos de internación de carne importada, el primero se integró por las aduanas de Colombia en Nuevo León,</w:t>
      </w:r>
      <w:r>
        <w:rPr>
          <w:spacing w:val="-5"/>
        </w:rPr>
        <w:t> </w:t>
      </w:r>
      <w:r>
        <w:rPr/>
        <w:t>Nuevo</w:t>
      </w:r>
      <w:r>
        <w:rPr>
          <w:spacing w:val="-5"/>
        </w:rPr>
        <w:t> </w:t>
      </w:r>
      <w:r>
        <w:rPr/>
        <w:t>Laredo y</w:t>
      </w:r>
      <w:r>
        <w:rPr>
          <w:spacing w:val="-11"/>
        </w:rPr>
        <w:t> </w:t>
      </w:r>
      <w:r>
        <w:rPr/>
        <w:t>Reynosa</w:t>
      </w:r>
      <w:r>
        <w:rPr>
          <w:spacing w:val="-6"/>
        </w:rPr>
        <w:t> </w:t>
      </w:r>
      <w:r>
        <w:rPr/>
        <w:t>en</w:t>
      </w:r>
      <w:r>
        <w:rPr>
          <w:spacing w:val="-7"/>
        </w:rPr>
        <w:t> </w:t>
      </w:r>
      <w:r>
        <w:rPr/>
        <w:t>Tamaulipas</w:t>
      </w:r>
      <w:r>
        <w:rPr>
          <w:spacing w:val="-2"/>
        </w:rPr>
        <w:t> </w:t>
      </w:r>
      <w:r>
        <w:rPr/>
        <w:t>y</w:t>
      </w:r>
      <w:r>
        <w:rPr>
          <w:spacing w:val="-9"/>
        </w:rPr>
        <w:t> </w:t>
      </w:r>
      <w:r>
        <w:rPr/>
        <w:t>Piedras</w:t>
      </w:r>
      <w:r>
        <w:rPr>
          <w:spacing w:val="-7"/>
        </w:rPr>
        <w:t> </w:t>
      </w:r>
      <w:r>
        <w:rPr/>
        <w:t>Negras</w:t>
      </w:r>
      <w:r>
        <w:rPr>
          <w:spacing w:val="-5"/>
        </w:rPr>
        <w:t> </w:t>
      </w:r>
      <w:r>
        <w:rPr/>
        <w:t>en</w:t>
      </w:r>
      <w:r>
        <w:rPr>
          <w:spacing w:val="-7"/>
        </w:rPr>
        <w:t> </w:t>
      </w:r>
      <w:r>
        <w:rPr/>
        <w:t>Coahuila.</w:t>
      </w:r>
      <w:r>
        <w:rPr>
          <w:spacing w:val="-7"/>
        </w:rPr>
        <w:t> </w:t>
      </w:r>
      <w:r>
        <w:rPr/>
        <w:t>Este</w:t>
      </w:r>
      <w:r>
        <w:rPr>
          <w:spacing w:val="-8"/>
        </w:rPr>
        <w:t> </w:t>
      </w:r>
      <w:r>
        <w:rPr/>
        <w:t>primer</w:t>
      </w:r>
      <w:r>
        <w:rPr>
          <w:spacing w:val="-8"/>
        </w:rPr>
        <w:t> </w:t>
      </w:r>
      <w:r>
        <w:rPr/>
        <w:t>punto registra el ingreso del 90.1 % de la carne importada. El segundo punto de internación se integró por las aduanas de Mexicali y Tijuana en Baja California, Nogales y San Luis Rio Colorado en Sonora y Ciudad Juárez en Chihuahua. Por este punto ingresa el 9.9 % de la</w:t>
      </w:r>
      <w:r>
        <w:rPr>
          <w:spacing w:val="-17"/>
        </w:rPr>
        <w:t> </w:t>
      </w:r>
      <w:r>
        <w:rPr/>
        <w:t>importación.</w:t>
      </w:r>
    </w:p>
    <w:p>
      <w:pPr>
        <w:spacing w:after="0" w:line="360" w:lineRule="auto"/>
        <w:jc w:val="both"/>
        <w:sectPr>
          <w:pgSz w:w="12240" w:h="15840"/>
          <w:pgMar w:header="984" w:footer="986" w:top="1280" w:bottom="1180" w:left="1280" w:right="1340"/>
        </w:sectPr>
      </w:pPr>
    </w:p>
    <w:p>
      <w:pPr>
        <w:pStyle w:val="BodyText"/>
        <w:rPr>
          <w:sz w:val="20"/>
        </w:rPr>
      </w:pPr>
    </w:p>
    <w:p>
      <w:pPr>
        <w:pStyle w:val="BodyText"/>
        <w:spacing w:before="8"/>
        <w:rPr>
          <w:sz w:val="20"/>
        </w:rPr>
      </w:pPr>
    </w:p>
    <w:p>
      <w:pPr>
        <w:pStyle w:val="BodyText"/>
        <w:spacing w:line="360" w:lineRule="auto" w:before="69"/>
        <w:ind w:left="118" w:right="268"/>
        <w:jc w:val="both"/>
      </w:pPr>
      <w:r>
        <w:rPr/>
        <w:t>De</w:t>
      </w:r>
      <w:r>
        <w:rPr>
          <w:spacing w:val="-13"/>
        </w:rPr>
        <w:t> </w:t>
      </w:r>
      <w:r>
        <w:rPr/>
        <w:t>esta</w:t>
      </w:r>
      <w:r>
        <w:rPr>
          <w:spacing w:val="-12"/>
        </w:rPr>
        <w:t> </w:t>
      </w:r>
      <w:r>
        <w:rPr/>
        <w:t>manera,</w:t>
      </w:r>
      <w:r>
        <w:rPr>
          <w:spacing w:val="-12"/>
        </w:rPr>
        <w:t> </w:t>
      </w:r>
      <w:r>
        <w:rPr/>
        <w:t>se</w:t>
      </w:r>
      <w:r>
        <w:rPr>
          <w:spacing w:val="-13"/>
        </w:rPr>
        <w:t> </w:t>
      </w:r>
      <w:r>
        <w:rPr/>
        <w:t>establecieron</w:t>
      </w:r>
      <w:r>
        <w:rPr>
          <w:spacing w:val="-12"/>
        </w:rPr>
        <w:t> </w:t>
      </w:r>
      <w:r>
        <w:rPr/>
        <w:t>10</w:t>
      </w:r>
      <w:r>
        <w:rPr>
          <w:spacing w:val="-12"/>
        </w:rPr>
        <w:t> </w:t>
      </w:r>
      <w:r>
        <w:rPr/>
        <w:t>regiones</w:t>
      </w:r>
      <w:r>
        <w:rPr>
          <w:spacing w:val="-12"/>
        </w:rPr>
        <w:t> </w:t>
      </w:r>
      <w:r>
        <w:rPr/>
        <w:t>productoras</w:t>
      </w:r>
      <w:r>
        <w:rPr>
          <w:spacing w:val="-12"/>
        </w:rPr>
        <w:t> </w:t>
      </w:r>
      <w:r>
        <w:rPr/>
        <w:t>ocho</w:t>
      </w:r>
      <w:r>
        <w:rPr>
          <w:spacing w:val="-10"/>
        </w:rPr>
        <w:t> </w:t>
      </w:r>
      <w:r>
        <w:rPr/>
        <w:t>en</w:t>
      </w:r>
      <w:r>
        <w:rPr>
          <w:spacing w:val="-12"/>
        </w:rPr>
        <w:t> </w:t>
      </w:r>
      <w:r>
        <w:rPr/>
        <w:t>el</w:t>
      </w:r>
      <w:r>
        <w:rPr>
          <w:spacing w:val="-12"/>
        </w:rPr>
        <w:t> </w:t>
      </w:r>
      <w:r>
        <w:rPr/>
        <w:t>interior</w:t>
      </w:r>
      <w:r>
        <w:rPr>
          <w:spacing w:val="-13"/>
        </w:rPr>
        <w:t> </w:t>
      </w:r>
      <w:r>
        <w:rPr/>
        <w:t>del</w:t>
      </w:r>
      <w:r>
        <w:rPr>
          <w:spacing w:val="-12"/>
        </w:rPr>
        <w:t> </w:t>
      </w:r>
      <w:r>
        <w:rPr/>
        <w:t>país</w:t>
      </w:r>
      <w:r>
        <w:rPr>
          <w:spacing w:val="-9"/>
        </w:rPr>
        <w:t> </w:t>
      </w:r>
      <w:r>
        <w:rPr/>
        <w:t>y</w:t>
      </w:r>
      <w:r>
        <w:rPr>
          <w:spacing w:val="-18"/>
        </w:rPr>
        <w:t> </w:t>
      </w:r>
      <w:r>
        <w:rPr/>
        <w:t>dos</w:t>
      </w:r>
      <w:r>
        <w:rPr>
          <w:spacing w:val="-12"/>
        </w:rPr>
        <w:t> </w:t>
      </w:r>
      <w:r>
        <w:rPr/>
        <w:t>puntos fronterizos de internación de carne de</w:t>
      </w:r>
      <w:r>
        <w:rPr>
          <w:spacing w:val="-11"/>
        </w:rPr>
        <w:t> </w:t>
      </w:r>
      <w:r>
        <w:rPr/>
        <w:t>cerdo.</w:t>
      </w:r>
    </w:p>
    <w:p>
      <w:pPr>
        <w:pStyle w:val="BodyText"/>
        <w:spacing w:line="360" w:lineRule="auto" w:before="4"/>
        <w:ind w:left="118" w:right="264"/>
        <w:jc w:val="both"/>
      </w:pPr>
      <w:r>
        <w:rPr/>
        <w:t>Para conocer el consumo (demanda) regional, se obtuvo la población de cada estado del año 2015 del Consejo Nacional de Población (CONAPO, 2016); después, se multiplicó por el consumo </w:t>
      </w:r>
      <w:r>
        <w:rPr>
          <w:i/>
        </w:rPr>
        <w:t>per cápita </w:t>
      </w:r>
      <w:r>
        <w:rPr/>
        <w:t>reportado para la zona por la Confederación de Porcicultores Norte 5.8 kg, Centro 17.4 kg, y sur 29.5 kg (CONFEPORC, 2016), y se sumó el consumo de cada uno de los estados que integran cada región.</w:t>
      </w:r>
    </w:p>
    <w:p>
      <w:pPr>
        <w:pStyle w:val="BodyText"/>
      </w:pPr>
    </w:p>
    <w:p>
      <w:pPr>
        <w:pStyle w:val="BodyText"/>
        <w:spacing w:line="360" w:lineRule="auto" w:before="143"/>
        <w:ind w:left="118" w:right="270"/>
        <w:jc w:val="both"/>
      </w:pPr>
      <w:r>
        <w:rPr/>
        <w:t>El precio regional de cerdo en canal se obtuvo a través del precio de cada estado que integra la región, el cual fue ponderado con la producción (SIAP, 2016). El precio de los puntos de internación se obtuvo del (SNIIM, 2016).</w:t>
      </w:r>
    </w:p>
    <w:p>
      <w:pPr>
        <w:pStyle w:val="BodyText"/>
      </w:pPr>
    </w:p>
    <w:p>
      <w:pPr>
        <w:pStyle w:val="BodyText"/>
        <w:spacing w:line="360" w:lineRule="auto" w:before="143"/>
        <w:ind w:left="118" w:right="265"/>
        <w:jc w:val="both"/>
      </w:pPr>
      <w:r>
        <w:rPr/>
        <w:t>El costo de transporte dentro y entre regiones, se calculó multiplicando la distancia por el costo por</w:t>
      </w:r>
      <w:r>
        <w:rPr>
          <w:spacing w:val="-17"/>
        </w:rPr>
        <w:t> </w:t>
      </w:r>
      <w:r>
        <w:rPr/>
        <w:t>kilómetro,</w:t>
      </w:r>
      <w:r>
        <w:rPr>
          <w:spacing w:val="-16"/>
        </w:rPr>
        <w:t> </w:t>
      </w:r>
      <w:r>
        <w:rPr/>
        <w:t>las</w:t>
      </w:r>
      <w:r>
        <w:rPr>
          <w:spacing w:val="-16"/>
        </w:rPr>
        <w:t> </w:t>
      </w:r>
      <w:r>
        <w:rPr/>
        <w:t>distancias</w:t>
      </w:r>
      <w:r>
        <w:rPr>
          <w:spacing w:val="-16"/>
        </w:rPr>
        <w:t> </w:t>
      </w:r>
      <w:r>
        <w:rPr/>
        <w:t>se</w:t>
      </w:r>
      <w:r>
        <w:rPr>
          <w:spacing w:val="-17"/>
        </w:rPr>
        <w:t> </w:t>
      </w:r>
      <w:r>
        <w:rPr/>
        <w:t>obtuvieron</w:t>
      </w:r>
      <w:r>
        <w:rPr>
          <w:spacing w:val="-17"/>
        </w:rPr>
        <w:t> </w:t>
      </w:r>
      <w:r>
        <w:rPr/>
        <w:t>con</w:t>
      </w:r>
      <w:r>
        <w:rPr>
          <w:spacing w:val="-16"/>
        </w:rPr>
        <w:t> </w:t>
      </w:r>
      <w:r>
        <w:rPr/>
        <w:t>la</w:t>
      </w:r>
      <w:r>
        <w:rPr>
          <w:spacing w:val="-17"/>
        </w:rPr>
        <w:t> </w:t>
      </w:r>
      <w:r>
        <w:rPr/>
        <w:t>herramienta</w:t>
      </w:r>
      <w:r>
        <w:rPr>
          <w:spacing w:val="-17"/>
        </w:rPr>
        <w:t> </w:t>
      </w:r>
      <w:r>
        <w:rPr/>
        <w:t>de</w:t>
      </w:r>
      <w:r>
        <w:rPr>
          <w:spacing w:val="-17"/>
        </w:rPr>
        <w:t> </w:t>
      </w:r>
      <w:r>
        <w:rPr/>
        <w:t>la</w:t>
      </w:r>
      <w:r>
        <w:rPr>
          <w:spacing w:val="-16"/>
        </w:rPr>
        <w:t> </w:t>
      </w:r>
      <w:r>
        <w:rPr/>
        <w:t>Secretaría</w:t>
      </w:r>
      <w:r>
        <w:rPr>
          <w:spacing w:val="-17"/>
        </w:rPr>
        <w:t> </w:t>
      </w:r>
      <w:r>
        <w:rPr/>
        <w:t>de</w:t>
      </w:r>
      <w:r>
        <w:rPr>
          <w:spacing w:val="-17"/>
        </w:rPr>
        <w:t> </w:t>
      </w:r>
      <w:r>
        <w:rPr/>
        <w:t>Comunicaciones y Trasportes punto a punto (SCT, 2016), se consideró cada capital del estado como punto de referencia y se ponderaron las distancias en cada región. El transporte de canales de cerdo es especializado y tiene un costo por km de dos dólares (USD) el equivalente a 35 pesos en el momento de la investigación. Este costo se obtuvo de forma directa a través de una entrevista realizada a una empresa particular que realiza servicios de transporte de carga</w:t>
      </w:r>
      <w:r>
        <w:rPr>
          <w:spacing w:val="-16"/>
        </w:rPr>
        <w:t> </w:t>
      </w:r>
      <w:r>
        <w:rPr/>
        <w:t>especializada.</w:t>
      </w:r>
    </w:p>
    <w:p>
      <w:pPr>
        <w:pStyle w:val="BodyText"/>
      </w:pPr>
    </w:p>
    <w:p>
      <w:pPr>
        <w:pStyle w:val="BodyText"/>
        <w:spacing w:line="360" w:lineRule="auto" w:before="143"/>
        <w:ind w:left="118" w:right="265"/>
        <w:jc w:val="both"/>
      </w:pPr>
      <w:r>
        <w:rPr/>
        <w:t>Las elasticidades regionales se obtuvieron de Rebollar </w:t>
      </w:r>
      <w:r>
        <w:rPr>
          <w:i/>
        </w:rPr>
        <w:t>et. al</w:t>
      </w:r>
      <w:r>
        <w:rPr/>
        <w:t>. 2014:377 y para los puntos de internación se consideraron las elasticidades nacionales reportadas por Pérez </w:t>
      </w:r>
      <w:r>
        <w:rPr>
          <w:i/>
        </w:rPr>
        <w:t>et. al</w:t>
      </w:r>
      <w:r>
        <w:rPr/>
        <w:t>., 2010:115.</w:t>
      </w:r>
    </w:p>
    <w:p>
      <w:pPr>
        <w:pStyle w:val="BodyText"/>
      </w:pPr>
    </w:p>
    <w:p>
      <w:pPr>
        <w:pStyle w:val="BodyText"/>
        <w:spacing w:line="362" w:lineRule="auto" w:before="140"/>
        <w:ind w:left="118" w:right="271"/>
        <w:jc w:val="both"/>
      </w:pPr>
      <w:r>
        <w:rPr/>
        <w:t>Las funciones precio-cantidad se calcularon como lo indican (Alston, Norton, Pardey., 1995:560), (Kawaguchi, Susuki, Kayser., 1997:851).</w:t>
      </w:r>
    </w:p>
    <w:p>
      <w:pPr>
        <w:pStyle w:val="BodyText"/>
      </w:pPr>
    </w:p>
    <w:p>
      <w:pPr>
        <w:pStyle w:val="BodyText"/>
        <w:spacing w:line="360" w:lineRule="auto" w:before="140"/>
        <w:ind w:left="118" w:right="267"/>
        <w:jc w:val="both"/>
      </w:pPr>
      <w:r>
        <w:rPr/>
        <w:t>La</w:t>
      </w:r>
      <w:r>
        <w:rPr>
          <w:spacing w:val="-7"/>
        </w:rPr>
        <w:t> </w:t>
      </w:r>
      <w:r>
        <w:rPr/>
        <w:t>solución</w:t>
      </w:r>
      <w:r>
        <w:rPr>
          <w:spacing w:val="-6"/>
        </w:rPr>
        <w:t> </w:t>
      </w:r>
      <w:r>
        <w:rPr/>
        <w:t>al</w:t>
      </w:r>
      <w:r>
        <w:rPr>
          <w:spacing w:val="-6"/>
        </w:rPr>
        <w:t> </w:t>
      </w:r>
      <w:r>
        <w:rPr/>
        <w:t>modelo</w:t>
      </w:r>
      <w:r>
        <w:rPr>
          <w:spacing w:val="-2"/>
        </w:rPr>
        <w:t> </w:t>
      </w:r>
      <w:r>
        <w:rPr/>
        <w:t>y</w:t>
      </w:r>
      <w:r>
        <w:rPr>
          <w:spacing w:val="-11"/>
        </w:rPr>
        <w:t> </w:t>
      </w:r>
      <w:r>
        <w:rPr/>
        <w:t>sus</w:t>
      </w:r>
      <w:r>
        <w:rPr>
          <w:spacing w:val="-5"/>
        </w:rPr>
        <w:t> </w:t>
      </w:r>
      <w:r>
        <w:rPr/>
        <w:t>escenario,</w:t>
      </w:r>
      <w:r>
        <w:rPr>
          <w:spacing w:val="-6"/>
        </w:rPr>
        <w:t> </w:t>
      </w:r>
      <w:r>
        <w:rPr/>
        <w:t>se</w:t>
      </w:r>
      <w:r>
        <w:rPr>
          <w:spacing w:val="-7"/>
        </w:rPr>
        <w:t> </w:t>
      </w:r>
      <w:r>
        <w:rPr/>
        <w:t>obtuvo</w:t>
      </w:r>
      <w:r>
        <w:rPr>
          <w:spacing w:val="-6"/>
        </w:rPr>
        <w:t> </w:t>
      </w:r>
      <w:r>
        <w:rPr/>
        <w:t>mediante</w:t>
      </w:r>
      <w:r>
        <w:rPr>
          <w:spacing w:val="-7"/>
        </w:rPr>
        <w:t> </w:t>
      </w:r>
      <w:r>
        <w:rPr/>
        <w:t>el</w:t>
      </w:r>
      <w:r>
        <w:rPr>
          <w:spacing w:val="-6"/>
        </w:rPr>
        <w:t> </w:t>
      </w:r>
      <w:r>
        <w:rPr/>
        <w:t>software</w:t>
      </w:r>
      <w:r>
        <w:rPr>
          <w:spacing w:val="-8"/>
        </w:rPr>
        <w:t> </w:t>
      </w:r>
      <w:r>
        <w:rPr/>
        <w:t>Solver</w:t>
      </w:r>
      <w:r>
        <w:rPr>
          <w:spacing w:val="-7"/>
        </w:rPr>
        <w:t> </w:t>
      </w:r>
      <w:r>
        <w:rPr/>
        <w:t>Premium</w:t>
      </w:r>
      <w:r>
        <w:rPr>
          <w:spacing w:val="-6"/>
        </w:rPr>
        <w:t> </w:t>
      </w:r>
      <w:r>
        <w:rPr/>
        <w:t>Platform 2014-R2 y con el solver MINOS, escrito en el lenguaje de programación GAMS (General Algebraic</w:t>
      </w:r>
      <w:r>
        <w:rPr>
          <w:spacing w:val="-14"/>
        </w:rPr>
        <w:t> </w:t>
      </w:r>
      <w:r>
        <w:rPr/>
        <w:t>Modeling</w:t>
      </w:r>
      <w:r>
        <w:rPr>
          <w:spacing w:val="-16"/>
        </w:rPr>
        <w:t> </w:t>
      </w:r>
      <w:r>
        <w:rPr/>
        <w:t>System),</w:t>
      </w:r>
      <w:r>
        <w:rPr>
          <w:spacing w:val="-14"/>
        </w:rPr>
        <w:t> </w:t>
      </w:r>
      <w:r>
        <w:rPr/>
        <w:t>versión</w:t>
      </w:r>
      <w:r>
        <w:rPr>
          <w:spacing w:val="-14"/>
        </w:rPr>
        <w:t> </w:t>
      </w:r>
      <w:r>
        <w:rPr/>
        <w:t>24.4.2</w:t>
      </w:r>
      <w:r>
        <w:rPr>
          <w:spacing w:val="-14"/>
        </w:rPr>
        <w:t> </w:t>
      </w:r>
      <w:r>
        <w:rPr/>
        <w:t>para</w:t>
      </w:r>
      <w:r>
        <w:rPr>
          <w:spacing w:val="-14"/>
        </w:rPr>
        <w:t> </w:t>
      </w:r>
      <w:r>
        <w:rPr/>
        <w:t>Windows,</w:t>
      </w:r>
      <w:r>
        <w:rPr>
          <w:spacing w:val="-14"/>
        </w:rPr>
        <w:t> </w:t>
      </w:r>
      <w:r>
        <w:rPr/>
        <w:t>Office</w:t>
      </w:r>
      <w:r>
        <w:rPr>
          <w:spacing w:val="-14"/>
        </w:rPr>
        <w:t> </w:t>
      </w:r>
      <w:r>
        <w:rPr/>
        <w:t>2013</w:t>
      </w:r>
      <w:r>
        <w:rPr>
          <w:spacing w:val="-12"/>
        </w:rPr>
        <w:t> </w:t>
      </w:r>
      <w:r>
        <w:rPr/>
        <w:t>y</w:t>
      </w:r>
      <w:r>
        <w:rPr>
          <w:spacing w:val="-18"/>
        </w:rPr>
        <w:t> </w:t>
      </w:r>
      <w:r>
        <w:rPr/>
        <w:t>con</w:t>
      </w:r>
      <w:r>
        <w:rPr>
          <w:spacing w:val="-14"/>
        </w:rPr>
        <w:t> </w:t>
      </w:r>
      <w:r>
        <w:rPr/>
        <w:t>base</w:t>
      </w:r>
      <w:r>
        <w:rPr>
          <w:spacing w:val="-14"/>
        </w:rPr>
        <w:t> </w:t>
      </w:r>
      <w:r>
        <w:rPr/>
        <w:t>en</w:t>
      </w:r>
      <w:r>
        <w:rPr>
          <w:spacing w:val="-14"/>
        </w:rPr>
        <w:t> </w:t>
      </w:r>
      <w:r>
        <w:rPr/>
        <w:t>Rosenthal</w:t>
      </w:r>
    </w:p>
    <w:p>
      <w:pPr>
        <w:spacing w:after="0" w:line="360" w:lineRule="auto"/>
        <w:jc w:val="both"/>
        <w:sectPr>
          <w:pgSz w:w="12240" w:h="15840"/>
          <w:pgMar w:header="984" w:footer="986" w:top="1280" w:bottom="1180" w:left="1300" w:right="1340"/>
        </w:sectPr>
      </w:pPr>
    </w:p>
    <w:p>
      <w:pPr>
        <w:pStyle w:val="BodyText"/>
        <w:spacing w:line="360" w:lineRule="auto" w:before="125"/>
        <w:ind w:left="118" w:right="275"/>
        <w:jc w:val="both"/>
      </w:pPr>
      <w:r>
        <w:rPr/>
        <w:t>(2008) los cuales desarrollan modelos de programación lineal y no lineal (cuadrática) que se utilizan en la optimización de recursos.</w:t>
      </w:r>
    </w:p>
    <w:p>
      <w:pPr>
        <w:pStyle w:val="BodyText"/>
        <w:spacing w:line="360" w:lineRule="auto" w:before="6"/>
        <w:ind w:left="118" w:right="269"/>
        <w:jc w:val="both"/>
        <w:rPr>
          <w:rFonts w:ascii="Arial" w:hAnsi="Arial"/>
          <w:sz w:val="20"/>
        </w:rPr>
      </w:pPr>
      <w:r>
        <w:rPr/>
        <w:t>Una vez que se obtuvo el modelo base se generaron tres escenarios donde se agregó un incremento</w:t>
      </w:r>
      <w:r>
        <w:rPr>
          <w:spacing w:val="-4"/>
        </w:rPr>
        <w:t> </w:t>
      </w:r>
      <w:r>
        <w:rPr/>
        <w:t>en</w:t>
      </w:r>
      <w:r>
        <w:rPr>
          <w:spacing w:val="-6"/>
        </w:rPr>
        <w:t> </w:t>
      </w:r>
      <w:r>
        <w:rPr/>
        <w:t>el</w:t>
      </w:r>
      <w:r>
        <w:rPr>
          <w:spacing w:val="-6"/>
        </w:rPr>
        <w:t> </w:t>
      </w:r>
      <w:r>
        <w:rPr/>
        <w:t>precio</w:t>
      </w:r>
      <w:r>
        <w:rPr>
          <w:spacing w:val="-4"/>
        </w:rPr>
        <w:t> </w:t>
      </w:r>
      <w:r>
        <w:rPr/>
        <w:t>de</w:t>
      </w:r>
      <w:r>
        <w:rPr>
          <w:spacing w:val="-7"/>
        </w:rPr>
        <w:t> </w:t>
      </w:r>
      <w:r>
        <w:rPr/>
        <w:t>la</w:t>
      </w:r>
      <w:r>
        <w:rPr>
          <w:spacing w:val="-4"/>
        </w:rPr>
        <w:t> </w:t>
      </w:r>
      <w:r>
        <w:rPr/>
        <w:t>carne</w:t>
      </w:r>
      <w:r>
        <w:rPr>
          <w:spacing w:val="-7"/>
        </w:rPr>
        <w:t> </w:t>
      </w:r>
      <w:r>
        <w:rPr/>
        <w:t>de</w:t>
      </w:r>
      <w:r>
        <w:rPr>
          <w:spacing w:val="-5"/>
        </w:rPr>
        <w:t> </w:t>
      </w:r>
      <w:r>
        <w:rPr/>
        <w:t>cerdo</w:t>
      </w:r>
      <w:r>
        <w:rPr>
          <w:spacing w:val="-7"/>
        </w:rPr>
        <w:t> </w:t>
      </w:r>
      <w:r>
        <w:rPr/>
        <w:t>importada</w:t>
      </w:r>
      <w:r>
        <w:rPr>
          <w:spacing w:val="-8"/>
        </w:rPr>
        <w:t> </w:t>
      </w:r>
      <w:r>
        <w:rPr/>
        <w:t>de</w:t>
      </w:r>
      <w:r>
        <w:rPr>
          <w:spacing w:val="-5"/>
        </w:rPr>
        <w:t> </w:t>
      </w:r>
      <w:r>
        <w:rPr/>
        <w:t>un</w:t>
      </w:r>
      <w:r>
        <w:rPr>
          <w:spacing w:val="-6"/>
        </w:rPr>
        <w:t> </w:t>
      </w:r>
      <w:r>
        <w:rPr/>
        <w:t>10,</w:t>
      </w:r>
      <w:r>
        <w:rPr>
          <w:spacing w:val="-6"/>
        </w:rPr>
        <w:t> </w:t>
      </w:r>
      <w:r>
        <w:rPr/>
        <w:t>20</w:t>
      </w:r>
      <w:r>
        <w:rPr>
          <w:spacing w:val="1"/>
        </w:rPr>
        <w:t> </w:t>
      </w:r>
      <w:r>
        <w:rPr/>
        <w:t>y</w:t>
      </w:r>
      <w:r>
        <w:rPr>
          <w:spacing w:val="-11"/>
        </w:rPr>
        <w:t> </w:t>
      </w:r>
      <w:r>
        <w:rPr/>
        <w:t>30</w:t>
      </w:r>
      <w:r>
        <w:rPr>
          <w:spacing w:val="-4"/>
        </w:rPr>
        <w:t> </w:t>
      </w:r>
      <w:r>
        <w:rPr/>
        <w:t>%,</w:t>
      </w:r>
      <w:r>
        <w:rPr>
          <w:spacing w:val="-4"/>
        </w:rPr>
        <w:t> </w:t>
      </w:r>
      <w:r>
        <w:rPr/>
        <w:t>el</w:t>
      </w:r>
      <w:r>
        <w:rPr>
          <w:spacing w:val="-6"/>
        </w:rPr>
        <w:t> </w:t>
      </w:r>
      <w:r>
        <w:rPr/>
        <w:t>cual</w:t>
      </w:r>
      <w:r>
        <w:rPr>
          <w:spacing w:val="-6"/>
        </w:rPr>
        <w:t> </w:t>
      </w:r>
      <w:r>
        <w:rPr/>
        <w:t>se</w:t>
      </w:r>
      <w:r>
        <w:rPr>
          <w:spacing w:val="-7"/>
        </w:rPr>
        <w:t> </w:t>
      </w:r>
      <w:r>
        <w:rPr/>
        <w:t>integró</w:t>
      </w:r>
      <w:r>
        <w:rPr>
          <w:spacing w:val="-7"/>
        </w:rPr>
        <w:t> </w:t>
      </w:r>
      <w:r>
        <w:rPr/>
        <w:t>en la matriz de costo de transporte para los dos puntos de</w:t>
      </w:r>
      <w:r>
        <w:rPr>
          <w:spacing w:val="-9"/>
        </w:rPr>
        <w:t> </w:t>
      </w:r>
      <w:r>
        <w:rPr/>
        <w:t>internación</w:t>
      </w:r>
      <w:r>
        <w:rPr>
          <w:rFonts w:ascii="Arial" w:hAnsi="Arial"/>
          <w:sz w:val="20"/>
        </w:rPr>
        <w:t>.</w:t>
      </w:r>
    </w:p>
    <w:p>
      <w:pPr>
        <w:pStyle w:val="BodyText"/>
        <w:spacing w:before="2"/>
        <w:rPr>
          <w:rFonts w:ascii="Arial"/>
          <w:sz w:val="26"/>
        </w:rPr>
      </w:pPr>
    </w:p>
    <w:p>
      <w:pPr>
        <w:pStyle w:val="Heading4"/>
        <w:numPr>
          <w:ilvl w:val="1"/>
          <w:numId w:val="12"/>
        </w:numPr>
        <w:tabs>
          <w:tab w:pos="479" w:val="left" w:leader="none"/>
        </w:tabs>
        <w:spacing w:line="343" w:lineRule="auto" w:before="1" w:after="0"/>
        <w:ind w:left="478" w:right="425" w:hanging="360"/>
        <w:jc w:val="left"/>
        <w:rPr>
          <w:rFonts w:ascii="Calibri" w:hAnsi="Calibri"/>
        </w:rPr>
      </w:pPr>
      <w:bookmarkStart w:name="_bookmark20" w:id="33"/>
      <w:bookmarkEnd w:id="33"/>
      <w:r>
        <w:rPr>
          <w:b w:val="0"/>
        </w:rPr>
      </w:r>
      <w:bookmarkStart w:name="_bookmark20" w:id="34"/>
      <w:bookmarkEnd w:id="34"/>
      <w:r>
        <w:rPr/>
        <w:t>Eval</w:t>
      </w:r>
      <w:r>
        <w:rPr/>
        <w:t>uación del efecto regional y nacional de la aplicación de políticas económicas a</w:t>
      </w:r>
      <w:r>
        <w:rPr>
          <w:spacing w:val="-20"/>
        </w:rPr>
        <w:t> </w:t>
      </w:r>
      <w:r>
        <w:rPr/>
        <w:t>la porcicultura</w:t>
      </w:r>
      <w:r>
        <w:rPr>
          <w:spacing w:val="-7"/>
        </w:rPr>
        <w:t> </w:t>
      </w:r>
      <w:r>
        <w:rPr/>
        <w:t>mexicana.</w:t>
      </w:r>
    </w:p>
    <w:p>
      <w:pPr>
        <w:pStyle w:val="BodyText"/>
        <w:rPr>
          <w:b/>
        </w:rPr>
      </w:pPr>
    </w:p>
    <w:p>
      <w:pPr>
        <w:pStyle w:val="BodyText"/>
        <w:spacing w:before="142"/>
        <w:ind w:left="118"/>
        <w:jc w:val="both"/>
        <w:rPr>
          <w:sz w:val="16"/>
        </w:rPr>
      </w:pPr>
      <w:r>
        <w:rPr/>
        <w:t>Se formuló un modelo de programación no lineal, que maximiza el VSN</w:t>
      </w:r>
      <w:r>
        <w:rPr>
          <w:position w:val="9"/>
          <w:sz w:val="16"/>
        </w:rPr>
        <w:t>(6).</w:t>
      </w:r>
    </w:p>
    <w:p>
      <w:pPr>
        <w:pStyle w:val="BodyText"/>
        <w:spacing w:before="2"/>
        <w:rPr>
          <w:sz w:val="29"/>
        </w:rPr>
      </w:pPr>
    </w:p>
    <w:p>
      <w:pPr>
        <w:pStyle w:val="BodyText"/>
        <w:spacing w:line="352" w:lineRule="auto"/>
        <w:ind w:left="118" w:right="269"/>
        <w:jc w:val="both"/>
        <w:rPr>
          <w:sz w:val="16"/>
        </w:rPr>
      </w:pPr>
      <w:r>
        <w:rPr/>
        <w:t>La función objetivo (Valor Social Neto) maximiza las áreas bajo las curvas de las demandas, menos</w:t>
      </w:r>
      <w:r>
        <w:rPr>
          <w:spacing w:val="-11"/>
        </w:rPr>
        <w:t> </w:t>
      </w:r>
      <w:r>
        <w:rPr/>
        <w:t>las</w:t>
      </w:r>
      <w:r>
        <w:rPr>
          <w:spacing w:val="-11"/>
        </w:rPr>
        <w:t> </w:t>
      </w:r>
      <w:r>
        <w:rPr/>
        <w:t>áreas</w:t>
      </w:r>
      <w:r>
        <w:rPr>
          <w:spacing w:val="-11"/>
        </w:rPr>
        <w:t> </w:t>
      </w:r>
      <w:r>
        <w:rPr/>
        <w:t>bajo</w:t>
      </w:r>
      <w:r>
        <w:rPr>
          <w:spacing w:val="-11"/>
        </w:rPr>
        <w:t> </w:t>
      </w:r>
      <w:r>
        <w:rPr/>
        <w:t>las</w:t>
      </w:r>
      <w:r>
        <w:rPr>
          <w:spacing w:val="-11"/>
        </w:rPr>
        <w:t> </w:t>
      </w:r>
      <w:r>
        <w:rPr/>
        <w:t>curvas</w:t>
      </w:r>
      <w:r>
        <w:rPr>
          <w:spacing w:val="-11"/>
        </w:rPr>
        <w:t> </w:t>
      </w:r>
      <w:r>
        <w:rPr/>
        <w:t>de</w:t>
      </w:r>
      <w:r>
        <w:rPr>
          <w:spacing w:val="-12"/>
        </w:rPr>
        <w:t> </w:t>
      </w:r>
      <w:r>
        <w:rPr/>
        <w:t>las</w:t>
      </w:r>
      <w:r>
        <w:rPr>
          <w:spacing w:val="-11"/>
        </w:rPr>
        <w:t> </w:t>
      </w:r>
      <w:r>
        <w:rPr/>
        <w:t>ofertas,</w:t>
      </w:r>
      <w:r>
        <w:rPr>
          <w:spacing w:val="-11"/>
        </w:rPr>
        <w:t> </w:t>
      </w:r>
      <w:r>
        <w:rPr/>
        <w:t>las</w:t>
      </w:r>
      <w:r>
        <w:rPr>
          <w:spacing w:val="-11"/>
        </w:rPr>
        <w:t> </w:t>
      </w:r>
      <w:r>
        <w:rPr/>
        <w:t>cuales</w:t>
      </w:r>
      <w:r>
        <w:rPr>
          <w:spacing w:val="-11"/>
        </w:rPr>
        <w:t> </w:t>
      </w:r>
      <w:r>
        <w:rPr/>
        <w:t>se</w:t>
      </w:r>
      <w:r>
        <w:rPr>
          <w:spacing w:val="-12"/>
        </w:rPr>
        <w:t> </w:t>
      </w:r>
      <w:r>
        <w:rPr/>
        <w:t>obtienen</w:t>
      </w:r>
      <w:r>
        <w:rPr>
          <w:spacing w:val="-11"/>
        </w:rPr>
        <w:t> </w:t>
      </w:r>
      <w:r>
        <w:rPr/>
        <w:t>integrando</w:t>
      </w:r>
      <w:r>
        <w:rPr>
          <w:spacing w:val="-11"/>
        </w:rPr>
        <w:t> </w:t>
      </w:r>
      <w:r>
        <w:rPr/>
        <w:t>matemáticamente la funciones inversas de demanda y de oferta, menos los costos de transporte (Figura</w:t>
      </w:r>
      <w:r>
        <w:rPr>
          <w:spacing w:val="-15"/>
        </w:rPr>
        <w:t> </w:t>
      </w:r>
      <w:r>
        <w:rPr/>
        <w:t>1)</w:t>
      </w:r>
      <w:r>
        <w:rPr>
          <w:position w:val="9"/>
          <w:sz w:val="16"/>
        </w:rPr>
        <w:t>(7).</w:t>
      </w:r>
    </w:p>
    <w:p>
      <w:pPr>
        <w:pStyle w:val="BodyText"/>
        <w:spacing w:before="204"/>
        <w:ind w:left="118"/>
        <w:jc w:val="both"/>
      </w:pPr>
      <w:r>
        <w:rPr/>
        <w:pict>
          <v:group style="position:absolute;margin-left:81.599998pt;margin-top:30.833128pt;width:331.2pt;height:167.9pt;mso-position-horizontal-relative:page;mso-position-vertical-relative:paragraph;z-index:-144424" coordorigin="1632,617" coordsize="6624,3358">
            <v:shape style="position:absolute;left:1920;top:974;width:2554;height:2567" coordorigin="1920,974" coordsize="2554,2567" path="m1920,974l1920,3523m1920,3523l4474,3523m1920,1265l3037,3541m2035,3527l3779,1401e" filled="false" stroked="true" strokeweight=".48pt" strokecolor="#000000">
              <v:path arrowok="t"/>
            </v:shape>
            <v:shape style="position:absolute;left:1778;top:617;width:386;height:439" type="#_x0000_t75" stroked="false">
              <v:imagedata r:id="rId40" o:title=""/>
            </v:shape>
            <v:shape style="position:absolute;left:4423;top:3367;width:434;height:439" type="#_x0000_t75" stroked="false">
              <v:imagedata r:id="rId41" o:title=""/>
            </v:shape>
            <v:shape style="position:absolute;left:3547;top:1046;width:4709;height:612" type="#_x0000_t75" stroked="false">
              <v:imagedata r:id="rId42" o:title=""/>
            </v:shape>
            <v:shape style="position:absolute;left:3691;top:1713;width:4090;height:610" type="#_x0000_t75" stroked="false">
              <v:imagedata r:id="rId45" o:title=""/>
            </v:shape>
            <v:shape style="position:absolute;left:2714;top:2685;width:4423;height:552" type="#_x0000_t75" stroked="false">
              <v:imagedata r:id="rId44" o:title=""/>
            </v:shape>
            <v:shape style="position:absolute;left:1632;top:3537;width:384;height:437" type="#_x0000_t75" stroked="false">
              <v:imagedata r:id="rId46" o:title=""/>
            </v:shape>
            <v:shape style="position:absolute;left:1923;top:644;width:161;height:240" type="#_x0000_t202" filled="false" stroked="false">
              <v:textbox inset="0,0,0,0">
                <w:txbxContent>
                  <w:p>
                    <w:pPr>
                      <w:spacing w:line="240" w:lineRule="exact" w:before="0"/>
                      <w:ind w:left="0" w:right="0" w:firstLine="0"/>
                      <w:jc w:val="left"/>
                      <w:rPr>
                        <w:rFonts w:ascii="Arial"/>
                        <w:i/>
                        <w:sz w:val="24"/>
                      </w:rPr>
                    </w:pPr>
                    <w:r>
                      <w:rPr>
                        <w:rFonts w:ascii="Arial"/>
                        <w:i/>
                        <w:w w:val="100"/>
                        <w:sz w:val="24"/>
                      </w:rPr>
                      <w:t>P</w:t>
                    </w:r>
                  </w:p>
                </w:txbxContent>
              </v:textbox>
              <w10:wrap type="none"/>
            </v:shape>
            <v:shape style="position:absolute;left:4333;top:1124;width:3020;height:241" type="#_x0000_t202" filled="false" stroked="false">
              <v:textbox inset="0,0,0,0">
                <w:txbxContent>
                  <w:p>
                    <w:pPr>
                      <w:spacing w:line="240" w:lineRule="exact" w:before="0"/>
                      <w:ind w:left="0" w:right="0" w:firstLine="0"/>
                      <w:jc w:val="left"/>
                      <w:rPr>
                        <w:rFonts w:ascii="Cambria Math" w:hAnsi="Cambria Math" w:eastAsia="Cambria Math"/>
                        <w:sz w:val="24"/>
                      </w:rPr>
                    </w:pPr>
                    <w:r>
                      <w:rPr>
                        <w:rFonts w:ascii="Cambria Math" w:hAnsi="Cambria Math" w:eastAsia="Cambria Math"/>
                        <w:sz w:val="24"/>
                      </w:rPr>
                      <w:t>���𝑎��𝑎 = 𝜆 � + ⁄   𝜔 �</w:t>
                    </w:r>
                  </w:p>
                </w:txbxContent>
              </v:textbox>
              <w10:wrap type="none"/>
            </v:shape>
            <v:shape style="position:absolute;left:5859;top:1228;width:359;height:171" type="#_x0000_t202" filled="false" stroked="false">
              <v:textbox inset="0,0,0,0">
                <w:txbxContent>
                  <w:p>
                    <w:pPr>
                      <w:spacing w:line="171" w:lineRule="exact" w:before="0"/>
                      <w:ind w:left="0" w:right="0" w:firstLine="0"/>
                      <w:jc w:val="left"/>
                      <w:rPr>
                        <w:rFonts w:ascii="Cambria Math" w:eastAsia="Cambria Math"/>
                        <w:sz w:val="17"/>
                      </w:rPr>
                    </w:pPr>
                    <w:r>
                      <w:rPr>
                        <w:rFonts w:ascii="Cambria Math" w:eastAsia="Cambria Math"/>
                        <w:w w:val="110"/>
                        <w:sz w:val="17"/>
                      </w:rPr>
                      <w:t>𝑑 𝑑</w:t>
                    </w:r>
                  </w:p>
                </w:txbxContent>
              </v:textbox>
              <w10:wrap type="none"/>
            </v:shape>
            <v:shape style="position:absolute;left:6520;top:1047;width:113;height:241" type="#_x0000_t202" filled="false" stroked="false">
              <v:textbox inset="0,0,0,0">
                <w:txbxContent>
                  <w:p>
                    <w:pPr>
                      <w:spacing w:line="240" w:lineRule="exact" w:before="0"/>
                      <w:ind w:left="0" w:right="0" w:firstLine="0"/>
                      <w:jc w:val="left"/>
                      <w:rPr>
                        <w:rFonts w:ascii="Cambria Math"/>
                        <w:sz w:val="24"/>
                      </w:rPr>
                    </w:pPr>
                    <w:r>
                      <w:rPr>
                        <w:rFonts w:ascii="Cambria Math"/>
                        <w:spacing w:val="-21"/>
                        <w:w w:val="100"/>
                        <w:sz w:val="24"/>
                      </w:rPr>
                      <w:t>1</w:t>
                    </w:r>
                  </w:p>
                </w:txbxContent>
              </v:textbox>
              <w10:wrap type="none"/>
            </v:shape>
            <v:shape style="position:absolute;left:7365;top:1086;width:99;height:171" type="#_x0000_t202" filled="false" stroked="false">
              <v:textbox inset="0,0,0,0">
                <w:txbxContent>
                  <w:p>
                    <w:pPr>
                      <w:spacing w:line="171" w:lineRule="exact" w:before="0"/>
                      <w:ind w:left="0" w:right="0" w:firstLine="0"/>
                      <w:jc w:val="left"/>
                      <w:rPr>
                        <w:rFonts w:ascii="Cambria Math"/>
                        <w:sz w:val="17"/>
                      </w:rPr>
                    </w:pPr>
                    <w:r>
                      <w:rPr>
                        <w:rFonts w:ascii="Cambria Math"/>
                        <w:w w:val="105"/>
                        <w:sz w:val="17"/>
                      </w:rPr>
                      <w:t>2</w:t>
                    </w:r>
                  </w:p>
                </w:txbxContent>
              </v:textbox>
              <w10:wrap type="none"/>
            </v:shape>
            <v:shape style="position:absolute;left:6745;top:1223;width:133;height:240" type="#_x0000_t202" filled="false" stroked="false">
              <v:textbox inset="0,0,0,0">
                <w:txbxContent>
                  <w:p>
                    <w:pPr>
                      <w:spacing w:line="240" w:lineRule="exact" w:before="0"/>
                      <w:ind w:left="0" w:right="0" w:firstLine="0"/>
                      <w:jc w:val="left"/>
                      <w:rPr>
                        <w:rFonts w:ascii="Cambria Math"/>
                        <w:sz w:val="24"/>
                      </w:rPr>
                    </w:pPr>
                    <w:r>
                      <w:rPr>
                        <w:rFonts w:ascii="Cambria Math"/>
                        <w:w w:val="100"/>
                        <w:sz w:val="24"/>
                      </w:rPr>
                      <w:t>2</w:t>
                    </w:r>
                  </w:p>
                </w:txbxContent>
              </v:textbox>
              <w10:wrap type="none"/>
            </v:shape>
            <v:shape style="position:absolute;left:7096;top:1228;width:359;height:179" type="#_x0000_t202" filled="false" stroked="false">
              <v:textbox inset="0,0,0,0">
                <w:txbxContent>
                  <w:p>
                    <w:pPr>
                      <w:spacing w:line="178" w:lineRule="exact" w:before="0"/>
                      <w:ind w:left="0" w:right="0" w:firstLine="0"/>
                      <w:jc w:val="left"/>
                      <w:rPr>
                        <w:rFonts w:ascii="Cambria Math" w:eastAsia="Cambria Math"/>
                        <w:sz w:val="17"/>
                      </w:rPr>
                    </w:pPr>
                    <w:r>
                      <w:rPr>
                        <w:rFonts w:ascii="Cambria Math" w:eastAsia="Cambria Math"/>
                        <w:w w:val="110"/>
                        <w:position w:val="1"/>
                        <w:sz w:val="17"/>
                      </w:rPr>
                      <w:t>𝑑 </w:t>
                    </w:r>
                    <w:r>
                      <w:rPr>
                        <w:rFonts w:ascii="Cambria Math" w:eastAsia="Cambria Math"/>
                        <w:w w:val="110"/>
                        <w:sz w:val="17"/>
                      </w:rPr>
                      <w:t>𝑑</w:t>
                    </w:r>
                  </w:p>
                </w:txbxContent>
              </v:textbox>
              <w10:wrap type="none"/>
            </v:shape>
            <v:shape style="position:absolute;left:4381;top:1794;width:2591;height:240" type="#_x0000_t202" filled="false" stroked="false">
              <v:textbox inset="0,0,0,0">
                <w:txbxContent>
                  <w:p>
                    <w:pPr>
                      <w:spacing w:line="240" w:lineRule="exact" w:before="0"/>
                      <w:ind w:left="0" w:right="0" w:firstLine="0"/>
                      <w:jc w:val="left"/>
                      <w:rPr>
                        <w:rFonts w:ascii="Cambria Math" w:hAnsi="Cambria Math" w:eastAsia="Cambria Math"/>
                        <w:sz w:val="24"/>
                      </w:rPr>
                    </w:pPr>
                    <w:r>
                      <w:rPr>
                        <w:rFonts w:ascii="Cambria Math" w:hAnsi="Cambria Math" w:eastAsia="Cambria Math"/>
                        <w:sz w:val="24"/>
                      </w:rPr>
                      <w:t>�����𝑎 = 𝜈 � + ⁄  𝜂 �</w:t>
                    </w:r>
                  </w:p>
                </w:txbxContent>
              </v:textbox>
              <w10:wrap type="none"/>
            </v:shape>
            <v:shape style="position:absolute;left:6224;top:1717;width:133;height:240" type="#_x0000_t202" filled="false" stroked="false">
              <v:textbox inset="0,0,0,0">
                <w:txbxContent>
                  <w:p>
                    <w:pPr>
                      <w:spacing w:line="240" w:lineRule="exact" w:before="0"/>
                      <w:ind w:left="0" w:right="0" w:firstLine="0"/>
                      <w:jc w:val="left"/>
                      <w:rPr>
                        <w:rFonts w:ascii="Cambria Math"/>
                        <w:sz w:val="24"/>
                      </w:rPr>
                    </w:pPr>
                    <w:r>
                      <w:rPr>
                        <w:rFonts w:ascii="Cambria Math"/>
                        <w:w w:val="100"/>
                        <w:sz w:val="24"/>
                      </w:rPr>
                      <w:t>1</w:t>
                    </w:r>
                  </w:p>
                </w:txbxContent>
              </v:textbox>
              <w10:wrap type="none"/>
            </v:shape>
            <v:shape style="position:absolute;left:6983;top:1762;width:99;height:171" type="#_x0000_t202" filled="false" stroked="false">
              <v:textbox inset="0,0,0,0">
                <w:txbxContent>
                  <w:p>
                    <w:pPr>
                      <w:spacing w:line="170" w:lineRule="exact" w:before="0"/>
                      <w:ind w:left="0" w:right="0" w:firstLine="0"/>
                      <w:jc w:val="left"/>
                      <w:rPr>
                        <w:rFonts w:ascii="Cambria Math"/>
                        <w:sz w:val="17"/>
                      </w:rPr>
                    </w:pPr>
                    <w:r>
                      <w:rPr>
                        <w:rFonts w:ascii="Cambria Math"/>
                        <w:w w:val="104"/>
                        <w:sz w:val="17"/>
                      </w:rPr>
                      <w:t>2</w:t>
                    </w:r>
                  </w:p>
                </w:txbxContent>
              </v:textbox>
              <w10:wrap type="none"/>
            </v:shape>
            <v:shape style="position:absolute;left:5622;top:1898;width:301;height:171" type="#_x0000_t202" filled="false" stroked="false">
              <v:textbox inset="0,0,0,0">
                <w:txbxContent>
                  <w:p>
                    <w:pPr>
                      <w:spacing w:line="170" w:lineRule="exact" w:before="0"/>
                      <w:ind w:left="0" w:right="0" w:firstLine="0"/>
                      <w:jc w:val="left"/>
                      <w:rPr>
                        <w:rFonts w:ascii="Cambria Math" w:eastAsia="Cambria Math"/>
                        <w:sz w:val="17"/>
                      </w:rPr>
                    </w:pPr>
                    <w:r>
                      <w:rPr>
                        <w:rFonts w:ascii="Cambria Math" w:eastAsia="Cambria Math"/>
                        <w:w w:val="105"/>
                        <w:sz w:val="17"/>
                      </w:rPr>
                      <w:t>𝑠 𝑠</w:t>
                    </w:r>
                  </w:p>
                </w:txbxContent>
              </v:textbox>
              <w10:wrap type="none"/>
            </v:shape>
            <v:shape style="position:absolute;left:6450;top:1892;width:133;height:240" type="#_x0000_t202" filled="false" stroked="false">
              <v:textbox inset="0,0,0,0">
                <w:txbxContent>
                  <w:p>
                    <w:pPr>
                      <w:spacing w:line="240" w:lineRule="exact" w:before="0"/>
                      <w:ind w:left="0" w:right="0" w:firstLine="0"/>
                      <w:jc w:val="left"/>
                      <w:rPr>
                        <w:rFonts w:ascii="Cambria Math"/>
                        <w:sz w:val="24"/>
                      </w:rPr>
                    </w:pPr>
                    <w:r>
                      <w:rPr>
                        <w:rFonts w:ascii="Cambria Math"/>
                        <w:w w:val="100"/>
                        <w:sz w:val="24"/>
                      </w:rPr>
                      <w:t>2</w:t>
                    </w:r>
                  </w:p>
                </w:txbxContent>
              </v:textbox>
              <w10:wrap type="none"/>
            </v:shape>
            <v:shape style="position:absolute;left:6748;top:1898;width:304;height:171" type="#_x0000_t202" filled="false" stroked="false">
              <v:textbox inset="0,0,0,0">
                <w:txbxContent>
                  <w:p>
                    <w:pPr>
                      <w:spacing w:line="170" w:lineRule="exact" w:before="0"/>
                      <w:ind w:left="0" w:right="0" w:firstLine="0"/>
                      <w:jc w:val="left"/>
                      <w:rPr>
                        <w:rFonts w:ascii="Cambria Math" w:eastAsia="Cambria Math"/>
                        <w:sz w:val="17"/>
                      </w:rPr>
                    </w:pPr>
                    <w:r>
                      <w:rPr>
                        <w:rFonts w:ascii="Cambria Math" w:eastAsia="Cambria Math"/>
                        <w:w w:val="105"/>
                        <w:sz w:val="17"/>
                      </w:rPr>
                      <w:t>𝑠 𝑠</w:t>
                    </w:r>
                  </w:p>
                </w:txbxContent>
              </v:textbox>
              <w10:wrap type="none"/>
            </v:shape>
            <v:shape style="position:absolute;left:3454;top:2754;width:2945;height:275" type="#_x0000_t202" filled="false" stroked="false">
              <v:textbox inset="0,0,0,0">
                <w:txbxContent>
                  <w:p>
                    <w:pPr>
                      <w:spacing w:line="275" w:lineRule="exact" w:before="0"/>
                      <w:ind w:left="0" w:right="0" w:firstLine="0"/>
                      <w:jc w:val="left"/>
                      <w:rPr>
                        <w:rFonts w:ascii="Cambria Math" w:eastAsia="Cambria Math"/>
                        <w:sz w:val="24"/>
                      </w:rPr>
                    </w:pPr>
                    <w:r>
                      <w:rPr>
                        <w:rFonts w:ascii="Cambria Math" w:eastAsia="Cambria Math"/>
                        <w:spacing w:val="-6"/>
                        <w:w w:val="75"/>
                        <w:sz w:val="24"/>
                      </w:rPr>
                      <w:t>����� ��𝑎������ </w:t>
                    </w:r>
                    <w:r>
                      <w:rPr>
                        <w:rFonts w:ascii="Cambria Math" w:eastAsia="Cambria Math"/>
                        <w:spacing w:val="-5"/>
                        <w:w w:val="75"/>
                        <w:sz w:val="24"/>
                      </w:rPr>
                      <w:t>= </w:t>
                    </w:r>
                    <w:r>
                      <w:rPr>
                        <w:rFonts w:ascii="Cambria Math" w:eastAsia="Cambria Math"/>
                        <w:spacing w:val="-46"/>
                        <w:sz w:val="24"/>
                      </w:rPr>
                      <w:t>[�</w:t>
                    </w:r>
                    <w:r>
                      <w:rPr>
                        <w:rFonts w:ascii="Cambria Math" w:eastAsia="Cambria Math"/>
                        <w:spacing w:val="-46"/>
                        <w:position w:val="-4"/>
                        <w:sz w:val="17"/>
                      </w:rPr>
                      <w:t>𝑠𝑑</w:t>
                    </w:r>
                    <w:r>
                      <w:rPr>
                        <w:rFonts w:ascii="Cambria Math" w:eastAsia="Cambria Math"/>
                        <w:spacing w:val="27"/>
                        <w:position w:val="-4"/>
                        <w:sz w:val="17"/>
                      </w:rPr>
                      <w:t> </w:t>
                    </w:r>
                    <w:r>
                      <w:rPr>
                        <w:rFonts w:ascii="Cambria Math" w:eastAsia="Cambria Math"/>
                        <w:spacing w:val="-45"/>
                        <w:sz w:val="24"/>
                      </w:rPr>
                      <w:t>�</w:t>
                    </w:r>
                    <w:r>
                      <w:rPr>
                        <w:rFonts w:ascii="Cambria Math" w:eastAsia="Cambria Math"/>
                        <w:spacing w:val="-45"/>
                        <w:position w:val="-4"/>
                        <w:sz w:val="17"/>
                      </w:rPr>
                      <w:t>𝑠𝑑</w:t>
                    </w:r>
                    <w:r>
                      <w:rPr>
                        <w:rFonts w:ascii="Cambria Math" w:eastAsia="Cambria Math"/>
                        <w:spacing w:val="-45"/>
                        <w:sz w:val="24"/>
                      </w:rPr>
                      <w:t>]</w:t>
                    </w:r>
                  </w:p>
                </w:txbxContent>
              </v:textbox>
              <w10:wrap type="none"/>
            </v:shape>
            <v:shape style="position:absolute;left:1776;top:3568;width:134;height:240" type="#_x0000_t202" filled="false" stroked="false">
              <v:textbox inset="0,0,0,0">
                <w:txbxContent>
                  <w:p>
                    <w:pPr>
                      <w:spacing w:line="240" w:lineRule="exact" w:before="0"/>
                      <w:ind w:left="0" w:right="0" w:firstLine="0"/>
                      <w:jc w:val="left"/>
                      <w:rPr>
                        <w:rFonts w:ascii="Arial"/>
                        <w:i/>
                        <w:sz w:val="24"/>
                      </w:rPr>
                    </w:pPr>
                    <w:r>
                      <w:rPr>
                        <w:rFonts w:ascii="Arial"/>
                        <w:i/>
                        <w:w w:val="99"/>
                        <w:sz w:val="24"/>
                      </w:rPr>
                      <w:t>0</w:t>
                    </w:r>
                  </w:p>
                </w:txbxContent>
              </v:textbox>
              <w10:wrap type="none"/>
            </v:shape>
            <v:shape style="position:absolute;left:4568;top:3395;width:187;height:240" type="#_x0000_t202" filled="false" stroked="false">
              <v:textbox inset="0,0,0,0">
                <w:txbxContent>
                  <w:p>
                    <w:pPr>
                      <w:spacing w:line="240" w:lineRule="exact" w:before="0"/>
                      <w:ind w:left="0" w:right="0" w:firstLine="0"/>
                      <w:jc w:val="left"/>
                      <w:rPr>
                        <w:rFonts w:ascii="Arial"/>
                        <w:i/>
                        <w:sz w:val="24"/>
                      </w:rPr>
                    </w:pPr>
                    <w:r>
                      <w:rPr>
                        <w:rFonts w:ascii="Arial"/>
                        <w:i/>
                        <w:w w:val="100"/>
                        <w:sz w:val="24"/>
                      </w:rPr>
                      <w:t>Q</w:t>
                    </w:r>
                  </w:p>
                </w:txbxContent>
              </v:textbox>
              <w10:wrap type="none"/>
            </v:shape>
            <w10:wrap type="none"/>
          </v:group>
        </w:pict>
      </w:r>
      <w:r>
        <w:rPr/>
        <w:t>Figura 1: Representación gráfica del modelo.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32"/>
        </w:rPr>
      </w:pPr>
    </w:p>
    <w:p>
      <w:pPr>
        <w:pStyle w:val="BodyText"/>
        <w:ind w:left="118"/>
        <w:jc w:val="both"/>
      </w:pPr>
      <w:r>
        <w:rPr/>
        <w:t>Representación matemática del modelo</w:t>
      </w:r>
    </w:p>
    <w:p>
      <w:pPr>
        <w:pStyle w:val="BodyText"/>
        <w:rPr>
          <w:sz w:val="21"/>
        </w:rPr>
      </w:pPr>
    </w:p>
    <w:p>
      <w:pPr>
        <w:spacing w:after="0"/>
        <w:rPr>
          <w:sz w:val="21"/>
        </w:rPr>
        <w:sectPr>
          <w:pgSz w:w="12240" w:h="15840"/>
          <w:pgMar w:header="984" w:footer="986" w:top="1280" w:bottom="1180" w:left="1300" w:right="1340"/>
        </w:sectPr>
      </w:pPr>
    </w:p>
    <w:p>
      <w:pPr>
        <w:pStyle w:val="BodyText"/>
        <w:tabs>
          <w:tab w:pos="1913" w:val="left" w:leader="none"/>
        </w:tabs>
        <w:spacing w:line="225" w:lineRule="exact" w:before="64"/>
        <w:ind w:left="118"/>
        <w:rPr>
          <w:rFonts w:ascii="Cambria Math" w:hAnsi="Cambria Math" w:eastAsia="Cambria Math"/>
        </w:rPr>
      </w:pPr>
      <w:r>
        <w:rPr>
          <w:rFonts w:ascii="Cambria Math" w:hAnsi="Cambria Math" w:eastAsia="Cambria Math"/>
          <w:spacing w:val="-46"/>
        </w:rPr>
        <w:t>�𝑎�      𝑉𝑆�      </w:t>
      </w:r>
      <w:r>
        <w:rPr>
          <w:rFonts w:ascii="Cambria Math" w:hAnsi="Cambria Math" w:eastAsia="Cambria Math"/>
          <w:spacing w:val="-42"/>
        </w:rPr>
        <w:t> </w:t>
      </w:r>
      <w:r>
        <w:rPr>
          <w:rFonts w:ascii="Cambria Math" w:hAnsi="Cambria Math" w:eastAsia="Cambria Math"/>
          <w:spacing w:val="-46"/>
        </w:rPr>
        <w:t>=      </w:t>
      </w:r>
      <w:r>
        <w:rPr>
          <w:rFonts w:ascii="Cambria Math" w:hAnsi="Cambria Math" w:eastAsia="Cambria Math"/>
          <w:spacing w:val="-45"/>
        </w:rPr>
        <w:t> </w:t>
      </w:r>
      <w:r>
        <w:rPr>
          <w:rFonts w:ascii="Cambria Math" w:hAnsi="Cambria Math" w:eastAsia="Cambria Math"/>
          <w:spacing w:val="-46"/>
          <w:position w:val="1"/>
        </w:rPr>
        <w:t>∑</w:t>
      </w:r>
      <w:r>
        <w:rPr>
          <w:rFonts w:ascii="Cambria Math" w:hAnsi="Cambria Math" w:eastAsia="Cambria Math"/>
          <w:spacing w:val="-46"/>
          <w:position w:val="10"/>
          <w:sz w:val="17"/>
        </w:rPr>
        <w:t>8</w:t>
        <w:tab/>
      </w:r>
      <w:r>
        <w:rPr>
          <w:rFonts w:ascii="Cambria Math" w:hAnsi="Cambria Math" w:eastAsia="Cambria Math"/>
          <w:spacing w:val="-45"/>
        </w:rPr>
        <w:t>[𝜆</w:t>
      </w:r>
      <w:r>
        <w:rPr>
          <w:rFonts w:ascii="Cambria Math" w:hAnsi="Cambria Math" w:eastAsia="Cambria Math"/>
          <w:spacing w:val="-45"/>
          <w:position w:val="-4"/>
          <w:sz w:val="17"/>
        </w:rPr>
        <w:t>𝑑</w:t>
      </w:r>
      <w:r>
        <w:rPr>
          <w:rFonts w:ascii="Cambria Math" w:hAnsi="Cambria Math" w:eastAsia="Cambria Math"/>
          <w:spacing w:val="-45"/>
        </w:rPr>
        <w:t>�</w:t>
      </w:r>
      <w:r>
        <w:rPr>
          <w:rFonts w:ascii="Cambria Math" w:hAnsi="Cambria Math" w:eastAsia="Cambria Math"/>
          <w:spacing w:val="-45"/>
          <w:position w:val="-4"/>
          <w:sz w:val="17"/>
        </w:rPr>
        <w:t>𝑑</w:t>
      </w:r>
      <w:r>
        <w:rPr>
          <w:rFonts w:ascii="Cambria Math" w:hAnsi="Cambria Math" w:eastAsia="Cambria Math"/>
          <w:spacing w:val="14"/>
          <w:position w:val="-4"/>
          <w:sz w:val="17"/>
        </w:rPr>
        <w:t> </w:t>
      </w:r>
      <w:r>
        <w:rPr>
          <w:rFonts w:ascii="Cambria Math" w:hAnsi="Cambria Math" w:eastAsia="Cambria Math"/>
          <w:spacing w:val="-45"/>
        </w:rPr>
        <w:t>+     </w:t>
      </w:r>
      <w:r>
        <w:rPr>
          <w:rFonts w:ascii="Cambria Math" w:hAnsi="Cambria Math" w:eastAsia="Cambria Math"/>
          <w:spacing w:val="-45"/>
          <w:position w:val="8"/>
        </w:rPr>
        <w:t>1</w:t>
      </w:r>
      <w:r>
        <w:rPr>
          <w:rFonts w:ascii="Cambria Math" w:hAnsi="Cambria Math" w:eastAsia="Cambria Math"/>
          <w:spacing w:val="-45"/>
        </w:rPr>
        <w:t>⁄</w:t>
      </w:r>
      <w:r>
        <w:rPr>
          <w:rFonts w:ascii="Cambria Math" w:hAnsi="Cambria Math" w:eastAsia="Cambria Math"/>
          <w:spacing w:val="-45"/>
          <w:position w:val="-9"/>
        </w:rPr>
        <w:t>2</w:t>
      </w:r>
      <w:r>
        <w:rPr>
          <w:rFonts w:ascii="Cambria Math" w:hAnsi="Cambria Math" w:eastAsia="Cambria Math"/>
          <w:spacing w:val="-11"/>
          <w:position w:val="-9"/>
        </w:rPr>
        <w:t> </w:t>
      </w:r>
      <w:r>
        <w:rPr>
          <w:rFonts w:ascii="Cambria Math" w:hAnsi="Cambria Math" w:eastAsia="Cambria Math"/>
          <w:spacing w:val="6"/>
        </w:rPr>
        <w:t>𝜛</w:t>
      </w:r>
      <w:r>
        <w:rPr>
          <w:rFonts w:ascii="Cambria Math" w:hAnsi="Cambria Math" w:eastAsia="Cambria Math"/>
          <w:spacing w:val="6"/>
          <w:position w:val="-4"/>
          <w:sz w:val="17"/>
        </w:rPr>
        <w:t>𝑑</w:t>
      </w:r>
      <w:r>
        <w:rPr>
          <w:rFonts w:ascii="Cambria Math" w:hAnsi="Cambria Math" w:eastAsia="Cambria Math"/>
          <w:spacing w:val="6"/>
        </w:rPr>
        <w:t>�</w:t>
      </w:r>
      <w:r>
        <w:rPr>
          <w:rFonts w:ascii="Cambria Math" w:hAnsi="Cambria Math" w:eastAsia="Cambria Math"/>
          <w:spacing w:val="6"/>
          <w:position w:val="9"/>
          <w:sz w:val="17"/>
        </w:rPr>
        <w:t>2</w:t>
      </w:r>
      <w:r>
        <w:rPr>
          <w:rFonts w:ascii="Cambria Math" w:hAnsi="Cambria Math" w:eastAsia="Cambria Math"/>
          <w:spacing w:val="6"/>
          <w:position w:val="-4"/>
          <w:sz w:val="17"/>
        </w:rPr>
        <w:t>𝑑</w:t>
      </w:r>
      <w:r>
        <w:rPr>
          <w:rFonts w:ascii="Cambria Math" w:hAnsi="Cambria Math" w:eastAsia="Cambria Math"/>
          <w:spacing w:val="6"/>
        </w:rPr>
        <w:t>]</w:t>
      </w:r>
    </w:p>
    <w:p>
      <w:pPr>
        <w:pStyle w:val="BodyText"/>
        <w:spacing w:line="141" w:lineRule="exact" w:before="148"/>
        <w:ind w:left="118"/>
      </w:pPr>
      <w:r>
        <w:rPr/>
        <w:br w:type="column"/>
      </w:r>
      <w:r>
        <w:rPr/>
        <w:t>Área bajo la curva de la demanda</w:t>
      </w:r>
    </w:p>
    <w:p>
      <w:pPr>
        <w:spacing w:after="0" w:line="141" w:lineRule="exact"/>
        <w:sectPr>
          <w:type w:val="continuous"/>
          <w:pgSz w:w="12240" w:h="15840"/>
          <w:pgMar w:top="3260" w:bottom="280" w:left="1300" w:right="1340"/>
          <w:cols w:num="2" w:equalWidth="0">
            <w:col w:w="3945" w:space="779"/>
            <w:col w:w="4876"/>
          </w:cols>
        </w:sectPr>
      </w:pPr>
    </w:p>
    <w:p>
      <w:pPr>
        <w:spacing w:line="176" w:lineRule="exact" w:before="0"/>
        <w:ind w:left="0" w:right="55" w:firstLine="0"/>
        <w:jc w:val="right"/>
        <w:rPr>
          <w:rFonts w:ascii="Cambria Math" w:eastAsia="Cambria Math"/>
          <w:sz w:val="17"/>
        </w:rPr>
      </w:pPr>
      <w:r>
        <w:rPr>
          <w:rFonts w:ascii="Cambria Math" w:eastAsia="Cambria Math"/>
          <w:w w:val="105"/>
          <w:sz w:val="17"/>
        </w:rPr>
        <w:t>𝑑=1</w:t>
      </w:r>
    </w:p>
    <w:p>
      <w:pPr>
        <w:pStyle w:val="BodyText"/>
        <w:spacing w:before="1"/>
        <w:rPr>
          <w:rFonts w:ascii="Cambria Math"/>
          <w:sz w:val="14"/>
        </w:rPr>
      </w:pPr>
    </w:p>
    <w:p>
      <w:pPr>
        <w:spacing w:line="175" w:lineRule="exact" w:before="0"/>
        <w:ind w:left="0" w:right="0" w:firstLine="0"/>
        <w:jc w:val="right"/>
        <w:rPr>
          <w:rFonts w:ascii="Cambria Math" w:hAnsi="Cambria Math"/>
          <w:sz w:val="17"/>
        </w:rPr>
      </w:pPr>
      <w:r>
        <w:rPr>
          <w:rFonts w:ascii="Cambria Math" w:hAnsi="Cambria Math"/>
          <w:position w:val="-9"/>
          <w:sz w:val="24"/>
        </w:rPr>
        <w:t>− </w:t>
      </w:r>
      <w:r>
        <w:rPr>
          <w:rFonts w:ascii="Cambria Math" w:hAnsi="Cambria Math"/>
          <w:position w:val="-8"/>
          <w:sz w:val="24"/>
        </w:rPr>
        <w:t>∑</w:t>
      </w:r>
      <w:r>
        <w:rPr>
          <w:rFonts w:ascii="Cambria Math" w:hAnsi="Cambria Math"/>
          <w:sz w:val="17"/>
        </w:rPr>
        <w:t>10</w:t>
      </w:r>
    </w:p>
    <w:p>
      <w:pPr>
        <w:spacing w:line="225" w:lineRule="exact" w:before="291"/>
        <w:ind w:left="98" w:right="0" w:firstLine="0"/>
        <w:jc w:val="left"/>
        <w:rPr>
          <w:rFonts w:ascii="Cambria Math" w:hAnsi="Cambria Math" w:eastAsia="Cambria Math"/>
          <w:sz w:val="24"/>
        </w:rPr>
      </w:pPr>
      <w:r>
        <w:rPr/>
        <w:br w:type="column"/>
      </w:r>
      <w:r>
        <w:rPr>
          <w:rFonts w:ascii="Cambria Math" w:hAnsi="Cambria Math" w:eastAsia="Cambria Math"/>
          <w:w w:val="101"/>
          <w:sz w:val="24"/>
        </w:rPr>
        <w:t>[</w:t>
      </w:r>
      <w:r>
        <w:rPr>
          <w:rFonts w:ascii="Cambria Math" w:hAnsi="Cambria Math" w:eastAsia="Cambria Math"/>
          <w:spacing w:val="-57"/>
          <w:w w:val="99"/>
          <w:sz w:val="24"/>
        </w:rPr>
        <w:t>𝑉</w:t>
      </w:r>
      <w:r>
        <w:rPr>
          <w:rFonts w:ascii="Cambria Math" w:hAnsi="Cambria Math" w:eastAsia="Cambria Math"/>
          <w:spacing w:val="11"/>
          <w:w w:val="105"/>
          <w:position w:val="-4"/>
          <w:sz w:val="17"/>
        </w:rPr>
        <w:t>𝑠</w:t>
      </w:r>
      <w:r>
        <w:rPr>
          <w:rFonts w:ascii="Cambria Math" w:hAnsi="Cambria Math" w:eastAsia="Cambria Math"/>
          <w:spacing w:val="-8"/>
          <w:w w:val="97"/>
          <w:sz w:val="24"/>
        </w:rPr>
        <w:t>�</w:t>
      </w:r>
      <w:r>
        <w:rPr>
          <w:rFonts w:ascii="Cambria Math" w:hAnsi="Cambria Math" w:eastAsia="Cambria Math"/>
          <w:w w:val="105"/>
          <w:position w:val="-4"/>
          <w:sz w:val="17"/>
        </w:rPr>
        <w:t>𝑠</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spacing w:val="-21"/>
          <w:w w:val="100"/>
          <w:position w:val="8"/>
          <w:sz w:val="24"/>
        </w:rPr>
        <w:t>1</w:t>
      </w:r>
      <w:r>
        <w:rPr>
          <w:rFonts w:ascii="Cambria Math" w:hAnsi="Cambria Math" w:eastAsia="Cambria Math"/>
          <w:spacing w:val="-20"/>
          <w:w w:val="99"/>
          <w:sz w:val="24"/>
        </w:rPr>
        <w:t>⁄</w:t>
      </w:r>
      <w:r>
        <w:rPr>
          <w:rFonts w:ascii="Cambria Math" w:hAnsi="Cambria Math" w:eastAsia="Cambria Math"/>
          <w:w w:val="100"/>
          <w:position w:val="-9"/>
          <w:sz w:val="24"/>
        </w:rPr>
        <w:t>2</w:t>
      </w:r>
      <w:r>
        <w:rPr>
          <w:rFonts w:ascii="Cambria Math" w:hAnsi="Cambria Math" w:eastAsia="Cambria Math"/>
          <w:spacing w:val="-13"/>
          <w:position w:val="-9"/>
          <w:sz w:val="24"/>
        </w:rPr>
        <w:t> </w:t>
      </w:r>
      <w:r>
        <w:rPr>
          <w:rFonts w:ascii="Cambria Math" w:hAnsi="Cambria Math" w:eastAsia="Cambria Math"/>
          <w:spacing w:val="7"/>
          <w:sz w:val="24"/>
        </w:rPr>
        <w:t>𝜂</w:t>
      </w:r>
      <w:r>
        <w:rPr>
          <w:rFonts w:ascii="Cambria Math" w:hAnsi="Cambria Math" w:eastAsia="Cambria Math"/>
          <w:spacing w:val="7"/>
          <w:position w:val="-4"/>
          <w:sz w:val="17"/>
        </w:rPr>
        <w:t>𝑠</w:t>
      </w:r>
      <w:r>
        <w:rPr>
          <w:rFonts w:ascii="Cambria Math" w:hAnsi="Cambria Math" w:eastAsia="Cambria Math"/>
          <w:spacing w:val="7"/>
          <w:sz w:val="24"/>
        </w:rPr>
        <w:t>�</w:t>
      </w:r>
      <w:r>
        <w:rPr>
          <w:rFonts w:ascii="Cambria Math" w:hAnsi="Cambria Math" w:eastAsia="Cambria Math"/>
          <w:spacing w:val="7"/>
          <w:position w:val="9"/>
          <w:sz w:val="17"/>
        </w:rPr>
        <w:t>2</w:t>
      </w:r>
      <w:r>
        <w:rPr>
          <w:rFonts w:ascii="Cambria Math" w:hAnsi="Cambria Math" w:eastAsia="Cambria Math"/>
          <w:spacing w:val="7"/>
          <w:position w:val="-4"/>
          <w:sz w:val="17"/>
        </w:rPr>
        <w:t>𝑠</w:t>
      </w:r>
      <w:r>
        <w:rPr>
          <w:rFonts w:ascii="Cambria Math" w:hAnsi="Cambria Math" w:eastAsia="Cambria Math"/>
          <w:spacing w:val="7"/>
          <w:sz w:val="24"/>
        </w:rPr>
        <w:t>]</w:t>
      </w:r>
    </w:p>
    <w:p>
      <w:pPr>
        <w:pStyle w:val="BodyText"/>
        <w:spacing w:before="11"/>
        <w:rPr>
          <w:rFonts w:ascii="Cambria Math"/>
          <w:sz w:val="31"/>
        </w:rPr>
      </w:pPr>
      <w:r>
        <w:rPr/>
        <w:br w:type="column"/>
      </w:r>
      <w:r>
        <w:rPr>
          <w:rFonts w:ascii="Cambria Math"/>
          <w:sz w:val="31"/>
        </w:rPr>
      </w:r>
    </w:p>
    <w:p>
      <w:pPr>
        <w:pStyle w:val="BodyText"/>
        <w:spacing w:line="141" w:lineRule="exact"/>
        <w:ind w:left="738"/>
      </w:pPr>
      <w:r>
        <w:rPr/>
        <w:t>Área bajo la curva de la oferta</w:t>
      </w:r>
    </w:p>
    <w:p>
      <w:pPr>
        <w:spacing w:after="0" w:line="141" w:lineRule="exact"/>
        <w:sectPr>
          <w:type w:val="continuous"/>
          <w:pgSz w:w="12240" w:h="15840"/>
          <w:pgMar w:top="3260" w:bottom="280" w:left="1300" w:right="1340"/>
          <w:cols w:num="3" w:equalWidth="0">
            <w:col w:w="1975" w:space="40"/>
            <w:col w:w="1978" w:space="40"/>
            <w:col w:w="5567"/>
          </w:cols>
        </w:sectPr>
      </w:pPr>
    </w:p>
    <w:p>
      <w:pPr>
        <w:spacing w:line="176" w:lineRule="exact" w:before="0"/>
        <w:ind w:left="0" w:right="0" w:firstLine="0"/>
        <w:jc w:val="right"/>
        <w:rPr>
          <w:rFonts w:ascii="Cambria Math" w:eastAsia="Cambria Math"/>
          <w:sz w:val="17"/>
        </w:rPr>
      </w:pPr>
      <w:r>
        <w:rPr>
          <w:rFonts w:ascii="Cambria Math" w:eastAsia="Cambria Math"/>
          <w:w w:val="105"/>
          <w:sz w:val="17"/>
        </w:rPr>
        <w:t>𝑑=1</w:t>
      </w:r>
    </w:p>
    <w:p>
      <w:pPr>
        <w:pStyle w:val="BodyText"/>
        <w:spacing w:before="3"/>
        <w:rPr>
          <w:rFonts w:ascii="Cambria Math"/>
          <w:sz w:val="13"/>
        </w:rPr>
      </w:pPr>
    </w:p>
    <w:p>
      <w:pPr>
        <w:spacing w:line="175" w:lineRule="exact" w:before="0"/>
        <w:ind w:left="0" w:right="31" w:firstLine="0"/>
        <w:jc w:val="right"/>
        <w:rPr>
          <w:rFonts w:ascii="Cambria Math" w:hAnsi="Cambria Math"/>
          <w:sz w:val="17"/>
        </w:rPr>
      </w:pPr>
      <w:r>
        <w:rPr>
          <w:rFonts w:ascii="Cambria Math" w:hAnsi="Cambria Math"/>
          <w:position w:val="-9"/>
          <w:sz w:val="24"/>
        </w:rPr>
        <w:t>− </w:t>
      </w:r>
      <w:r>
        <w:rPr>
          <w:rFonts w:ascii="Cambria Math" w:hAnsi="Cambria Math"/>
          <w:position w:val="-8"/>
          <w:sz w:val="24"/>
        </w:rPr>
        <w:t>∑</w:t>
      </w:r>
      <w:r>
        <w:rPr>
          <w:rFonts w:ascii="Cambria Math" w:hAnsi="Cambria Math"/>
          <w:sz w:val="17"/>
        </w:rPr>
        <w:t>10</w:t>
      </w:r>
    </w:p>
    <w:p>
      <w:pPr>
        <w:pStyle w:val="BodyText"/>
        <w:spacing w:before="9"/>
        <w:rPr>
          <w:rFonts w:ascii="Cambria Math"/>
          <w:sz w:val="30"/>
        </w:rPr>
      </w:pPr>
      <w:r>
        <w:rPr/>
        <w:br w:type="column"/>
      </w:r>
      <w:r>
        <w:rPr>
          <w:rFonts w:ascii="Cambria Math"/>
          <w:sz w:val="30"/>
        </w:rPr>
      </w:r>
    </w:p>
    <w:p>
      <w:pPr>
        <w:spacing w:line="145" w:lineRule="exact" w:before="0"/>
        <w:ind w:left="65" w:right="0" w:firstLine="0"/>
        <w:jc w:val="left"/>
        <w:rPr>
          <w:rFonts w:ascii="Cambria Math" w:eastAsia="Cambria Math"/>
          <w:sz w:val="24"/>
        </w:rPr>
      </w:pPr>
      <w:r>
        <w:rPr>
          <w:rFonts w:ascii="Cambria Math" w:eastAsia="Cambria Math"/>
          <w:w w:val="95"/>
          <w:sz w:val="24"/>
        </w:rPr>
        <w:t>[�</w:t>
      </w:r>
      <w:r>
        <w:rPr>
          <w:rFonts w:ascii="Cambria Math" w:eastAsia="Cambria Math"/>
          <w:w w:val="95"/>
          <w:position w:val="-4"/>
          <w:sz w:val="17"/>
        </w:rPr>
        <w:t>𝑠𝑑 </w:t>
      </w:r>
      <w:r>
        <w:rPr>
          <w:rFonts w:ascii="Cambria Math" w:eastAsia="Cambria Math"/>
          <w:sz w:val="24"/>
        </w:rPr>
        <w:t>�</w:t>
      </w:r>
      <w:r>
        <w:rPr>
          <w:rFonts w:ascii="Cambria Math" w:eastAsia="Cambria Math"/>
          <w:position w:val="-4"/>
          <w:sz w:val="17"/>
        </w:rPr>
        <w:t>𝑠𝑑</w:t>
      </w:r>
      <w:r>
        <w:rPr>
          <w:rFonts w:ascii="Cambria Math" w:eastAsia="Cambria Math"/>
          <w:sz w:val="24"/>
        </w:rPr>
        <w:t>]</w:t>
      </w:r>
    </w:p>
    <w:p>
      <w:pPr>
        <w:pStyle w:val="BodyText"/>
        <w:spacing w:before="1"/>
        <w:rPr>
          <w:rFonts w:ascii="Cambria Math"/>
          <w:sz w:val="31"/>
        </w:rPr>
      </w:pPr>
      <w:r>
        <w:rPr/>
        <w:br w:type="column"/>
      </w:r>
      <w:r>
        <w:rPr>
          <w:rFonts w:ascii="Cambria Math"/>
          <w:sz w:val="31"/>
        </w:rPr>
      </w:r>
    </w:p>
    <w:p>
      <w:pPr>
        <w:pStyle w:val="BodyText"/>
        <w:spacing w:line="141" w:lineRule="exact" w:before="1"/>
        <w:ind w:left="1493"/>
      </w:pPr>
      <w:r>
        <w:rPr/>
        <w:t>Costo de transporte</w:t>
      </w:r>
    </w:p>
    <w:p>
      <w:pPr>
        <w:spacing w:after="0" w:line="141" w:lineRule="exact"/>
        <w:sectPr>
          <w:type w:val="continuous"/>
          <w:pgSz w:w="12240" w:h="15840"/>
          <w:pgMar w:top="3260" w:bottom="280" w:left="1300" w:right="1340"/>
          <w:cols w:num="3" w:equalWidth="0">
            <w:col w:w="2114" w:space="40"/>
            <w:col w:w="989" w:space="66"/>
            <w:col w:w="6391"/>
          </w:cols>
        </w:sectPr>
      </w:pPr>
    </w:p>
    <w:p>
      <w:pPr>
        <w:spacing w:line="176" w:lineRule="exact" w:before="0"/>
        <w:ind w:left="1882" w:right="410" w:firstLine="0"/>
        <w:jc w:val="left"/>
        <w:rPr>
          <w:rFonts w:ascii="Cambria Math" w:eastAsia="Cambria Math"/>
          <w:sz w:val="17"/>
        </w:rPr>
      </w:pPr>
      <w:r>
        <w:rPr>
          <w:rFonts w:ascii="Cambria Math" w:eastAsia="Cambria Math"/>
          <w:w w:val="105"/>
          <w:sz w:val="17"/>
        </w:rPr>
        <w:t>𝑑=1</w:t>
      </w:r>
    </w:p>
    <w:p>
      <w:pPr>
        <w:spacing w:after="0" w:line="176" w:lineRule="exact"/>
        <w:jc w:val="left"/>
        <w:rPr>
          <w:rFonts w:ascii="Cambria Math" w:eastAsia="Cambria Math"/>
          <w:sz w:val="17"/>
        </w:rPr>
        <w:sectPr>
          <w:type w:val="continuous"/>
          <w:pgSz w:w="12240" w:h="15840"/>
          <w:pgMar w:top="3260" w:bottom="280" w:left="1300" w:right="1340"/>
        </w:sectPr>
      </w:pPr>
    </w:p>
    <w:p>
      <w:pPr>
        <w:spacing w:line="167" w:lineRule="exact" w:before="129"/>
        <w:ind w:left="0" w:right="0" w:firstLine="0"/>
        <w:jc w:val="right"/>
        <w:rPr>
          <w:rFonts w:ascii="Cambria Math" w:hAnsi="Cambria Math"/>
          <w:sz w:val="17"/>
        </w:rPr>
      </w:pPr>
      <w:r>
        <w:rPr>
          <w:rFonts w:ascii="Cambria Math" w:hAnsi="Cambria Math"/>
          <w:position w:val="-9"/>
          <w:sz w:val="24"/>
        </w:rPr>
        <w:t>− </w:t>
      </w:r>
      <w:r>
        <w:rPr>
          <w:rFonts w:ascii="Cambria Math" w:hAnsi="Cambria Math"/>
          <w:position w:val="-8"/>
          <w:sz w:val="24"/>
        </w:rPr>
        <w:t>∑</w:t>
      </w:r>
      <w:r>
        <w:rPr>
          <w:rFonts w:ascii="Cambria Math" w:hAnsi="Cambria Math"/>
          <w:sz w:val="17"/>
        </w:rPr>
        <w:t>10</w:t>
      </w:r>
    </w:p>
    <w:p>
      <w:pPr>
        <w:spacing w:line="138" w:lineRule="exact" w:before="159"/>
        <w:ind w:left="98" w:right="1" w:firstLine="0"/>
        <w:jc w:val="left"/>
        <w:rPr>
          <w:rFonts w:ascii="Cambria Math" w:eastAsia="Cambria Math"/>
          <w:sz w:val="24"/>
        </w:rPr>
      </w:pPr>
      <w:r>
        <w:rPr/>
        <w:br w:type="column"/>
      </w:r>
      <w:r>
        <w:rPr>
          <w:rFonts w:ascii="Cambria Math" w:eastAsia="Cambria Math"/>
          <w:sz w:val="24"/>
        </w:rPr>
        <w:t>[�</w:t>
      </w:r>
      <w:r>
        <w:rPr>
          <w:rFonts w:ascii="Cambria Math" w:eastAsia="Cambria Math"/>
          <w:position w:val="-4"/>
          <w:sz w:val="17"/>
        </w:rPr>
        <w:t>𝑠𝑑 </w:t>
      </w:r>
      <w:r>
        <w:rPr>
          <w:rFonts w:ascii="Cambria Math" w:eastAsia="Cambria Math"/>
          <w:sz w:val="24"/>
        </w:rPr>
        <w:t>+ </w:t>
      </w:r>
      <w:r>
        <w:rPr>
          <w:rFonts w:ascii="Cambria Math" w:eastAsia="Cambria Math"/>
          <w:spacing w:val="-30"/>
          <w:w w:val="85"/>
          <w:sz w:val="24"/>
        </w:rPr>
        <w:t>𝑎</w:t>
      </w:r>
      <w:r>
        <w:rPr>
          <w:rFonts w:ascii="Cambria Math" w:eastAsia="Cambria Math"/>
          <w:spacing w:val="-30"/>
          <w:w w:val="85"/>
          <w:position w:val="-4"/>
          <w:sz w:val="17"/>
        </w:rPr>
        <w:t>�                         </w:t>
      </w:r>
      <w:r>
        <w:rPr>
          <w:rFonts w:ascii="Cambria Math" w:eastAsia="Cambria Math"/>
          <w:spacing w:val="-29"/>
          <w:w w:val="85"/>
          <w:position w:val="-4"/>
          <w:sz w:val="17"/>
        </w:rPr>
        <w:t> </w:t>
      </w:r>
      <w:r>
        <w:rPr>
          <w:rFonts w:ascii="Cambria Math" w:eastAsia="Cambria Math"/>
          <w:spacing w:val="-29"/>
          <w:w w:val="85"/>
          <w:sz w:val="24"/>
        </w:rPr>
        <w:t>]</w:t>
      </w:r>
      <w:r>
        <w:rPr>
          <w:rFonts w:ascii="Cambria Math" w:eastAsia="Cambria Math"/>
          <w:spacing w:val="-17"/>
          <w:w w:val="85"/>
          <w:sz w:val="24"/>
        </w:rPr>
        <w:t> </w:t>
      </w:r>
      <w:r>
        <w:rPr>
          <w:rFonts w:ascii="Cambria Math" w:eastAsia="Cambria Math"/>
          <w:spacing w:val="-29"/>
          <w:w w:val="85"/>
          <w:sz w:val="24"/>
        </w:rPr>
        <w:t>�</w:t>
      </w:r>
    </w:p>
    <w:p>
      <w:pPr>
        <w:pStyle w:val="BodyText"/>
        <w:spacing w:line="134" w:lineRule="exact" w:before="163"/>
        <w:ind w:left="1235"/>
      </w:pPr>
      <w:r>
        <w:rPr/>
        <w:br w:type="column"/>
      </w:r>
      <w:r>
        <w:rPr/>
        <w:t>Costo de transporte más arancel</w:t>
      </w:r>
    </w:p>
    <w:p>
      <w:pPr>
        <w:spacing w:after="0" w:line="134" w:lineRule="exact"/>
        <w:sectPr>
          <w:type w:val="continuous"/>
          <w:pgSz w:w="12240" w:h="15840"/>
          <w:pgMar w:top="3260" w:bottom="280" w:left="1300" w:right="1340"/>
          <w:cols w:num="3" w:equalWidth="0">
            <w:col w:w="2080" w:space="40"/>
            <w:col w:w="1364" w:space="40"/>
            <w:col w:w="6076"/>
          </w:cols>
        </w:sectPr>
      </w:pPr>
    </w:p>
    <w:p>
      <w:pPr>
        <w:pStyle w:val="BodyText"/>
        <w:spacing w:before="3"/>
        <w:rPr>
          <w:sz w:val="26"/>
        </w:rPr>
      </w:pPr>
    </w:p>
    <w:p>
      <w:pPr>
        <w:pStyle w:val="BodyText"/>
        <w:spacing w:before="1"/>
        <w:ind w:left="118" w:right="-19"/>
      </w:pPr>
      <w:r>
        <w:rPr/>
        <w:t>escenario</w:t>
      </w:r>
      <w:r>
        <w:rPr>
          <w:spacing w:val="-2"/>
        </w:rPr>
        <w:t> </w:t>
      </w:r>
      <w:r>
        <w:rPr/>
        <w:t>uno</w:t>
      </w:r>
    </w:p>
    <w:p>
      <w:pPr>
        <w:spacing w:line="183" w:lineRule="exact" w:before="0"/>
        <w:ind w:left="118" w:right="-96" w:firstLine="0"/>
        <w:jc w:val="left"/>
        <w:rPr>
          <w:rFonts w:ascii="Cambria Math" w:eastAsia="Cambria Math"/>
          <w:sz w:val="17"/>
        </w:rPr>
      </w:pPr>
      <w:r>
        <w:rPr/>
        <w:br w:type="column"/>
      </w:r>
      <w:r>
        <w:rPr>
          <w:rFonts w:ascii="Cambria Math" w:eastAsia="Cambria Math"/>
          <w:spacing w:val="3"/>
          <w:w w:val="110"/>
          <w:sz w:val="17"/>
        </w:rPr>
        <w:t>𝑑</w:t>
      </w:r>
      <w:r>
        <w:rPr>
          <w:rFonts w:ascii="Cambria Math" w:eastAsia="Cambria Math"/>
          <w:w w:val="97"/>
          <w:sz w:val="17"/>
        </w:rPr>
        <w:t>=</w:t>
      </w:r>
      <w:r>
        <w:rPr>
          <w:rFonts w:ascii="Cambria Math" w:eastAsia="Cambria Math"/>
          <w:w w:val="104"/>
          <w:sz w:val="17"/>
        </w:rPr>
        <w:t>1</w:t>
      </w:r>
    </w:p>
    <w:p>
      <w:pPr>
        <w:spacing w:line="176" w:lineRule="exact" w:before="0"/>
        <w:ind w:left="118" w:right="0" w:firstLine="0"/>
        <w:jc w:val="left"/>
        <w:rPr>
          <w:rFonts w:ascii="Cambria Math" w:eastAsia="Cambria Math"/>
          <w:sz w:val="17"/>
        </w:rPr>
      </w:pPr>
      <w:r>
        <w:rPr/>
        <w:br w:type="column"/>
      </w:r>
      <w:r>
        <w:rPr>
          <w:rFonts w:ascii="Cambria Math" w:eastAsia="Cambria Math"/>
          <w:w w:val="105"/>
          <w:sz w:val="17"/>
        </w:rPr>
        <w:t>𝑠𝑑</w:t>
      </w:r>
    </w:p>
    <w:p>
      <w:pPr>
        <w:spacing w:after="0" w:line="176" w:lineRule="exact"/>
        <w:jc w:val="left"/>
        <w:rPr>
          <w:rFonts w:ascii="Cambria Math" w:eastAsia="Cambria Math"/>
          <w:sz w:val="17"/>
        </w:rPr>
        <w:sectPr>
          <w:type w:val="continuous"/>
          <w:pgSz w:w="12240" w:h="15840"/>
          <w:pgMar w:top="3260" w:bottom="280" w:left="1300" w:right="1340"/>
          <w:cols w:num="3" w:equalWidth="0">
            <w:col w:w="1444" w:space="320"/>
            <w:col w:w="456" w:space="1136"/>
            <w:col w:w="6244"/>
          </w:cols>
        </w:sectPr>
      </w:pPr>
    </w:p>
    <w:p>
      <w:pPr>
        <w:pStyle w:val="BodyText"/>
        <w:spacing w:before="5"/>
        <w:rPr>
          <w:rFonts w:ascii="Cambria Math"/>
          <w:sz w:val="4"/>
        </w:rPr>
      </w:pPr>
    </w:p>
    <w:p>
      <w:pPr>
        <w:pStyle w:val="BodyText"/>
        <w:spacing w:line="31" w:lineRule="exact"/>
        <w:ind w:left="147"/>
        <w:rPr>
          <w:rFonts w:ascii="Cambria Math"/>
          <w:sz w:val="3"/>
        </w:rPr>
      </w:pPr>
      <w:r>
        <w:rPr>
          <w:rFonts w:ascii="Cambria Math"/>
          <w:position w:val="0"/>
          <w:sz w:val="3"/>
        </w:rPr>
        <w:pict>
          <v:group style="width:442.35pt;height:1.55pt;mso-position-horizontal-relative:char;mso-position-vertical-relative:line" coordorigin="0,0" coordsize="8847,31">
            <v:line style="position:absolute" from="5,5" to="8842,26" stroked="true" strokeweight=".48pt" strokecolor="#000000"/>
          </v:group>
        </w:pict>
      </w:r>
      <w:r>
        <w:rPr>
          <w:rFonts w:ascii="Cambria Math"/>
          <w:position w:val="0"/>
          <w:sz w:val="3"/>
        </w:rPr>
      </w:r>
    </w:p>
    <w:p>
      <w:pPr>
        <w:pStyle w:val="BodyText"/>
        <w:tabs>
          <w:tab w:pos="4808" w:val="left" w:leader="none"/>
        </w:tabs>
        <w:spacing w:line="343" w:lineRule="auto" w:before="131"/>
        <w:ind w:left="118" w:right="410" w:firstLine="1375"/>
      </w:pPr>
      <w:r>
        <w:rPr/>
        <w:pict>
          <v:shape style="position:absolute;margin-left:159.139999pt;margin-top:15.481218pt;width:11.85pt;height:8.550pt;mso-position-horizontal-relative:page;mso-position-vertical-relative:paragraph;z-index:-144376" type="#_x0000_t202" filled="false" stroked="false">
            <v:textbox inset="0,0,0,0">
              <w:txbxContent>
                <w:p>
                  <w:pPr>
                    <w:spacing w:line="170" w:lineRule="exact" w:before="0"/>
                    <w:ind w:left="0" w:right="-98" w:firstLine="0"/>
                    <w:jc w:val="left"/>
                    <w:rPr>
                      <w:rFonts w:ascii="Cambria Math" w:eastAsia="Cambria Math"/>
                      <w:sz w:val="17"/>
                    </w:rPr>
                  </w:pPr>
                  <w:r>
                    <w:rPr>
                      <w:rFonts w:ascii="Cambria Math" w:eastAsia="Cambria Math"/>
                      <w:spacing w:val="3"/>
                      <w:w w:val="110"/>
                      <w:sz w:val="17"/>
                    </w:rPr>
                    <w:t>𝑑</w:t>
                  </w:r>
                  <w:r>
                    <w:rPr>
                      <w:rFonts w:ascii="Cambria Math" w:eastAsia="Cambria Math"/>
                      <w:w w:val="97"/>
                      <w:sz w:val="17"/>
                    </w:rPr>
                    <w:t>=</w:t>
                  </w:r>
                </w:p>
              </w:txbxContent>
            </v:textbox>
            <w10:wrap type="none"/>
          </v:shape>
        </w:pict>
      </w:r>
      <w:r>
        <w:rPr>
          <w:rFonts w:ascii="Cambria Math" w:hAnsi="Cambria Math" w:eastAsia="Cambria Math"/>
          <w:w w:val="99"/>
        </w:rPr>
        <w:t>−</w:t>
      </w:r>
      <w:r>
        <w:rPr>
          <w:rFonts w:ascii="Cambria Math" w:hAnsi="Cambria Math" w:eastAsia="Cambria Math"/>
          <w:spacing w:val="-14"/>
          <w:w w:val="99"/>
        </w:rPr>
        <w:t> </w:t>
      </w:r>
      <w:r>
        <w:rPr>
          <w:rFonts w:ascii="Cambria Math" w:hAnsi="Cambria Math" w:eastAsia="Cambria Math"/>
          <w:w w:val="100"/>
          <w:position w:val="1"/>
        </w:rPr>
        <w:t>∑</w:t>
      </w:r>
      <w:r>
        <w:rPr>
          <w:rFonts w:ascii="Cambria Math" w:hAnsi="Cambria Math" w:eastAsia="Cambria Math"/>
          <w:spacing w:val="-1"/>
          <w:w w:val="104"/>
          <w:position w:val="10"/>
          <w:sz w:val="17"/>
        </w:rPr>
        <w:t>1</w:t>
      </w:r>
      <w:r>
        <w:rPr>
          <w:rFonts w:ascii="Cambria Math" w:hAnsi="Cambria Math" w:eastAsia="Cambria Math"/>
          <w:w w:val="104"/>
          <w:position w:val="10"/>
          <w:sz w:val="17"/>
        </w:rPr>
        <w:t>0</w:t>
      </w:r>
      <w:r>
        <w:rPr>
          <w:rFonts w:ascii="Cambria Math" w:hAnsi="Cambria Math" w:eastAsia="Cambria Math"/>
          <w:spacing w:val="3"/>
          <w:position w:val="10"/>
          <w:sz w:val="17"/>
        </w:rPr>
        <w:t> </w:t>
      </w:r>
      <w:r>
        <w:rPr>
          <w:rFonts w:ascii="Cambria Math" w:hAnsi="Cambria Math" w:eastAsia="Cambria Math"/>
          <w:spacing w:val="-1"/>
          <w:w w:val="104"/>
          <w:position w:val="-5"/>
          <w:sz w:val="17"/>
        </w:rPr>
        <w:t>1</w:t>
      </w:r>
      <w:r>
        <w:rPr>
          <w:rFonts w:ascii="Cambria Math" w:hAnsi="Cambria Math" w:eastAsia="Cambria Math"/>
          <w:w w:val="101"/>
        </w:rPr>
        <w:t>[</w:t>
      </w:r>
      <w:r>
        <w:rPr>
          <w:rFonts w:ascii="Cambria Math" w:hAnsi="Cambria Math" w:eastAsia="Cambria Math"/>
          <w:spacing w:val="-4"/>
          <w:w w:val="60"/>
        </w:rPr>
        <w:t>�</w:t>
      </w:r>
      <w:r>
        <w:rPr>
          <w:rFonts w:ascii="Cambria Math" w:hAnsi="Cambria Math" w:eastAsia="Cambria Math"/>
          <w:spacing w:val="-1"/>
          <w:w w:val="105"/>
          <w:position w:val="-4"/>
          <w:sz w:val="17"/>
        </w:rPr>
        <w:t>𝑠</w:t>
      </w:r>
      <w:r>
        <w:rPr>
          <w:rFonts w:ascii="Cambria Math" w:hAnsi="Cambria Math" w:eastAsia="Cambria Math"/>
          <w:w w:val="110"/>
          <w:position w:val="-4"/>
          <w:sz w:val="17"/>
        </w:rPr>
        <w:t>𝑑</w:t>
      </w:r>
      <w:r>
        <w:rPr>
          <w:rFonts w:ascii="Cambria Math" w:hAnsi="Cambria Math" w:eastAsia="Cambria Math"/>
          <w:position w:val="-4"/>
          <w:sz w:val="17"/>
        </w:rPr>
        <w:t>  </w:t>
      </w:r>
      <w:r>
        <w:rPr>
          <w:rFonts w:ascii="Cambria Math" w:hAnsi="Cambria Math" w:eastAsia="Cambria Math"/>
          <w:spacing w:val="10"/>
          <w:position w:val="-4"/>
          <w:sz w:val="17"/>
        </w:rPr>
        <w:t> </w:t>
      </w:r>
      <w:r>
        <w:rPr>
          <w:rFonts w:ascii="Cambria Math" w:hAnsi="Cambria Math" w:eastAsia="Cambria Math"/>
        </w:rPr>
        <w:t>− </w:t>
      </w:r>
      <w:r>
        <w:rPr>
          <w:rFonts w:ascii="Cambria Math" w:hAnsi="Cambria Math" w:eastAsia="Cambria Math"/>
          <w:spacing w:val="-19"/>
          <w:w w:val="99"/>
        </w:rPr>
        <w:t>𝐾</w:t>
      </w:r>
      <w:r>
        <w:rPr>
          <w:rFonts w:ascii="Cambria Math" w:hAnsi="Cambria Math" w:eastAsia="Cambria Math"/>
          <w:w w:val="113"/>
          <w:position w:val="-4"/>
          <w:sz w:val="17"/>
        </w:rPr>
        <w:t>𝑝</w:t>
      </w:r>
      <w:r>
        <w:rPr>
          <w:rFonts w:ascii="Cambria Math" w:hAnsi="Cambria Math" w:eastAsia="Cambria Math"/>
          <w:spacing w:val="1"/>
          <w:w w:val="100"/>
          <w:position w:val="-4"/>
          <w:sz w:val="17"/>
        </w:rPr>
        <w:t>,</w:t>
      </w:r>
      <w:r>
        <w:rPr>
          <w:rFonts w:ascii="Cambria Math" w:hAnsi="Cambria Math" w:eastAsia="Cambria Math"/>
          <w:w w:val="113"/>
          <w:position w:val="-4"/>
          <w:sz w:val="17"/>
        </w:rPr>
        <w:t>𝑝</w:t>
      </w:r>
      <w:r>
        <w:rPr>
          <w:rFonts w:ascii="Cambria Math" w:hAnsi="Cambria Math" w:eastAsia="Cambria Math"/>
          <w:spacing w:val="-2"/>
          <w:w w:val="113"/>
          <w:position w:val="-4"/>
          <w:sz w:val="17"/>
        </w:rPr>
        <w:t>𝑝</w:t>
      </w:r>
      <w:r>
        <w:rPr>
          <w:rFonts w:ascii="Cambria Math" w:hAnsi="Cambria Math" w:eastAsia="Cambria Math"/>
          <w:spacing w:val="1"/>
          <w:w w:val="100"/>
          <w:position w:val="-4"/>
          <w:sz w:val="17"/>
        </w:rPr>
        <w:t>,</w:t>
      </w:r>
      <w:r>
        <w:rPr>
          <w:rFonts w:ascii="Cambria Math" w:hAnsi="Cambria Math" w:eastAsia="Cambria Math"/>
          <w:w w:val="53"/>
          <w:position w:val="-4"/>
          <w:sz w:val="17"/>
        </w:rPr>
        <w:t>�</w:t>
      </w:r>
      <w:r>
        <w:rPr>
          <w:rFonts w:ascii="Cambria Math" w:hAnsi="Cambria Math" w:eastAsia="Cambria Math"/>
          <w:position w:val="-4"/>
          <w:sz w:val="17"/>
        </w:rPr>
        <w:t> </w:t>
      </w:r>
      <w:r>
        <w:rPr>
          <w:rFonts w:ascii="Cambria Math" w:hAnsi="Cambria Math" w:eastAsia="Cambria Math"/>
          <w:spacing w:val="-8"/>
          <w:position w:val="-4"/>
          <w:sz w:val="17"/>
        </w:rPr>
        <w:t> </w:t>
      </w:r>
      <w:r>
        <w:rPr>
          <w:rFonts w:ascii="Cambria Math" w:hAnsi="Cambria Math" w:eastAsia="Cambria Math"/>
          <w:w w:val="101"/>
        </w:rPr>
        <w:t>]</w:t>
      </w:r>
      <w:r>
        <w:rPr>
          <w:rFonts w:ascii="Cambria Math" w:hAnsi="Cambria Math" w:eastAsia="Cambria Math"/>
          <w:spacing w:val="-12"/>
        </w:rPr>
        <w:t> </w:t>
      </w:r>
      <w:r>
        <w:rPr>
          <w:rFonts w:ascii="Cambria Math" w:hAnsi="Cambria Math" w:eastAsia="Cambria Math"/>
          <w:spacing w:val="-9"/>
          <w:w w:val="97"/>
        </w:rPr>
        <w:t>�</w:t>
      </w:r>
      <w:r>
        <w:rPr>
          <w:rFonts w:ascii="Cambria Math" w:hAnsi="Cambria Math" w:eastAsia="Cambria Math"/>
          <w:spacing w:val="-1"/>
          <w:w w:val="105"/>
          <w:position w:val="-4"/>
          <w:sz w:val="17"/>
        </w:rPr>
        <w:t>𝑠</w:t>
      </w:r>
      <w:r>
        <w:rPr>
          <w:rFonts w:ascii="Cambria Math" w:hAnsi="Cambria Math" w:eastAsia="Cambria Math"/>
          <w:w w:val="110"/>
          <w:position w:val="-4"/>
          <w:sz w:val="17"/>
        </w:rPr>
        <w:t>𝑑</w:t>
      </w:r>
      <w:r>
        <w:rPr>
          <w:rFonts w:ascii="Cambria Math" w:hAnsi="Cambria Math" w:eastAsia="Cambria Math"/>
          <w:position w:val="-4"/>
          <w:sz w:val="17"/>
        </w:rPr>
        <w:tab/>
      </w:r>
      <w:r>
        <w:rPr/>
        <w:t>Costo d</w:t>
      </w:r>
      <w:r>
        <w:rPr>
          <w:w w:val="100"/>
        </w:rPr>
        <w:t>e</w:t>
      </w:r>
      <w:r>
        <w:rPr>
          <w:spacing w:val="-1"/>
        </w:rPr>
        <w:t> </w:t>
      </w:r>
      <w:r>
        <w:rPr>
          <w:w w:val="100"/>
        </w:rPr>
        <w:t>tr</w:t>
      </w:r>
      <w:r>
        <w:rPr>
          <w:spacing w:val="-2"/>
          <w:w w:val="100"/>
        </w:rPr>
        <w:t>a</w:t>
      </w:r>
      <w:r>
        <w:rPr>
          <w:w w:val="99"/>
        </w:rPr>
        <w:t>nspo</w:t>
      </w:r>
      <w:r>
        <w:rPr>
          <w:spacing w:val="1"/>
          <w:w w:val="99"/>
        </w:rPr>
        <w:t>r</w:t>
      </w:r>
      <w:r>
        <w:rPr>
          <w:w w:val="100"/>
        </w:rPr>
        <w:t>te</w:t>
      </w:r>
      <w:r>
        <w:rPr/>
        <w:t> </w:t>
      </w:r>
      <w:r>
        <w:rPr>
          <w:w w:val="100"/>
        </w:rPr>
        <w:t>m</w:t>
      </w:r>
      <w:r>
        <w:rPr>
          <w:spacing w:val="-1"/>
          <w:w w:val="100"/>
        </w:rPr>
        <w:t>e</w:t>
      </w:r>
      <w:r>
        <w:rPr>
          <w:w w:val="99"/>
        </w:rPr>
        <w:t>nos</w:t>
      </w:r>
      <w:r>
        <w:rPr/>
        <w:t> </w:t>
      </w:r>
      <w:r>
        <w:rPr>
          <w:w w:val="99"/>
        </w:rPr>
        <w:t>subs</w:t>
      </w:r>
      <w:r>
        <w:rPr>
          <w:w w:val="100"/>
        </w:rPr>
        <w:t>idi</w:t>
      </w:r>
      <w:r>
        <w:rPr/>
        <w:t>o escenario dos y tres, escenario cuatro y cinco aplicación simultánea de arancel y</w:t>
      </w:r>
      <w:r>
        <w:rPr>
          <w:spacing w:val="-16"/>
        </w:rPr>
        <w:t> </w:t>
      </w:r>
      <w:r>
        <w:rPr/>
        <w:t>subsidio.</w:t>
      </w:r>
    </w:p>
    <w:p>
      <w:pPr>
        <w:pStyle w:val="BodyText"/>
        <w:spacing w:before="22"/>
        <w:ind w:left="118"/>
        <w:jc w:val="both"/>
      </w:pPr>
      <w:r>
        <w:rPr/>
        <w:t>Donde:</w:t>
      </w:r>
    </w:p>
    <w:p>
      <w:pPr>
        <w:pStyle w:val="BodyText"/>
        <w:spacing w:before="5"/>
        <w:rPr>
          <w:sz w:val="29"/>
        </w:rPr>
      </w:pPr>
    </w:p>
    <w:p>
      <w:pPr>
        <w:pStyle w:val="BodyText"/>
        <w:ind w:left="118"/>
        <w:jc w:val="both"/>
      </w:pPr>
      <w:r>
        <w:rPr>
          <w:rFonts w:ascii="Cambria Math" w:eastAsia="Cambria Math"/>
        </w:rPr>
        <w:t>�   = </w:t>
      </w:r>
      <w:r>
        <w:rPr/>
        <w:t>Regiones consumidoras</w:t>
      </w:r>
    </w:p>
    <w:p>
      <w:pPr>
        <w:pStyle w:val="BodyText"/>
        <w:spacing w:before="6"/>
        <w:rPr>
          <w:sz w:val="29"/>
        </w:rPr>
      </w:pPr>
    </w:p>
    <w:p>
      <w:pPr>
        <w:pStyle w:val="BodyText"/>
        <w:ind w:left="118"/>
        <w:jc w:val="both"/>
      </w:pPr>
      <w:r>
        <w:rPr>
          <w:rFonts w:ascii="Cambria Math" w:eastAsia="Cambria Math"/>
        </w:rPr>
        <w:t>�   = </w:t>
      </w:r>
      <w:r>
        <w:rPr/>
        <w:t>Regiones productoras</w:t>
      </w:r>
    </w:p>
    <w:p>
      <w:pPr>
        <w:pStyle w:val="BodyText"/>
        <w:spacing w:before="9"/>
        <w:rPr>
          <w:sz w:val="29"/>
        </w:rPr>
      </w:pPr>
    </w:p>
    <w:p>
      <w:pPr>
        <w:pStyle w:val="BodyText"/>
        <w:ind w:left="118"/>
        <w:jc w:val="both"/>
      </w:pPr>
      <w:r>
        <w:rPr>
          <w:rFonts w:ascii="Cambria Math" w:hAnsi="Cambria Math" w:eastAsia="Cambria Math"/>
        </w:rPr>
        <w:t>𝜆</w:t>
      </w:r>
      <w:r>
        <w:rPr>
          <w:rFonts w:ascii="Cambria Math" w:hAnsi="Cambria Math" w:eastAsia="Cambria Math"/>
          <w:position w:val="-4"/>
          <w:sz w:val="17"/>
        </w:rPr>
        <w:t>𝑑  </w:t>
      </w:r>
      <w:r>
        <w:rPr>
          <w:rFonts w:ascii="Cambria Math" w:hAnsi="Cambria Math" w:eastAsia="Cambria Math"/>
        </w:rPr>
        <w:t>= </w:t>
      </w:r>
      <w:r>
        <w:rPr/>
        <w:t>Intercepto de función inversa de la demanda</w:t>
      </w:r>
    </w:p>
    <w:p>
      <w:pPr>
        <w:pStyle w:val="BodyText"/>
        <w:spacing w:before="7"/>
        <w:rPr>
          <w:sz w:val="26"/>
        </w:rPr>
      </w:pPr>
    </w:p>
    <w:p>
      <w:pPr>
        <w:pStyle w:val="BodyText"/>
        <w:ind w:left="118"/>
        <w:jc w:val="both"/>
      </w:pPr>
      <w:r>
        <w:rPr>
          <w:rFonts w:ascii="Cambria Math" w:hAnsi="Cambria Math" w:eastAsia="Cambria Math"/>
        </w:rPr>
        <w:t>𝜛</w:t>
      </w:r>
      <w:r>
        <w:rPr>
          <w:rFonts w:ascii="Cambria Math" w:hAnsi="Cambria Math" w:eastAsia="Cambria Math"/>
          <w:position w:val="-4"/>
          <w:sz w:val="17"/>
        </w:rPr>
        <w:t>𝑑  </w:t>
      </w:r>
      <w:r>
        <w:rPr>
          <w:rFonts w:ascii="Cambria Math" w:hAnsi="Cambria Math" w:eastAsia="Cambria Math"/>
        </w:rPr>
        <w:t>= </w:t>
      </w:r>
      <w:r>
        <w:rPr/>
        <w:t>Pendiente de la función inversa de la demanda</w:t>
      </w:r>
    </w:p>
    <w:p>
      <w:pPr>
        <w:pStyle w:val="BodyText"/>
        <w:spacing w:before="6"/>
        <w:rPr>
          <w:sz w:val="26"/>
        </w:rPr>
      </w:pPr>
    </w:p>
    <w:p>
      <w:pPr>
        <w:spacing w:before="1"/>
        <w:ind w:left="118" w:right="0" w:firstLine="0"/>
        <w:jc w:val="both"/>
        <w:rPr>
          <w:i/>
          <w:sz w:val="24"/>
        </w:rPr>
      </w:pPr>
      <w:r>
        <w:rPr>
          <w:rFonts w:ascii="Cambria Math" w:hAnsi="Cambria Math" w:eastAsia="Cambria Math"/>
          <w:sz w:val="24"/>
        </w:rPr>
        <w:t>�</w:t>
      </w:r>
      <w:r>
        <w:rPr>
          <w:rFonts w:ascii="Cambria Math" w:hAnsi="Cambria Math" w:eastAsia="Cambria Math"/>
          <w:position w:val="-4"/>
          <w:sz w:val="17"/>
        </w:rPr>
        <w:t>𝑑           </w:t>
      </w:r>
      <w:r>
        <w:rPr>
          <w:rFonts w:ascii="Cambria Math" w:hAnsi="Cambria Math" w:eastAsia="Cambria Math"/>
          <w:sz w:val="24"/>
        </w:rPr>
        <w:t>= </w:t>
      </w:r>
      <w:r>
        <w:rPr>
          <w:sz w:val="24"/>
        </w:rPr>
        <w:t>Cantidad demandada de carne en la región </w:t>
      </w:r>
      <w:r>
        <w:rPr>
          <w:i/>
          <w:sz w:val="24"/>
        </w:rPr>
        <w:t>d</w:t>
      </w:r>
    </w:p>
    <w:p>
      <w:pPr>
        <w:pStyle w:val="BodyText"/>
        <w:spacing w:before="6"/>
        <w:rPr>
          <w:i/>
          <w:sz w:val="26"/>
        </w:rPr>
      </w:pPr>
    </w:p>
    <w:p>
      <w:pPr>
        <w:spacing w:before="1"/>
        <w:ind w:left="118" w:right="0" w:firstLine="0"/>
        <w:jc w:val="both"/>
        <w:rPr>
          <w:sz w:val="24"/>
        </w:rPr>
      </w:pPr>
      <w:r>
        <w:rPr>
          <w:rFonts w:ascii="Cambria Math" w:hAnsi="Cambria Math" w:eastAsia="Cambria Math"/>
          <w:sz w:val="24"/>
        </w:rPr>
        <w:t>𝑉</w:t>
      </w:r>
      <w:r>
        <w:rPr>
          <w:rFonts w:ascii="Cambria Math" w:hAnsi="Cambria Math" w:eastAsia="Cambria Math"/>
          <w:position w:val="-4"/>
          <w:sz w:val="17"/>
        </w:rPr>
        <w:t>𝑠                                                                                            </w:t>
      </w:r>
      <w:r>
        <w:rPr>
          <w:rFonts w:ascii="Cambria Math" w:hAnsi="Cambria Math" w:eastAsia="Cambria Math"/>
          <w:sz w:val="24"/>
        </w:rPr>
        <w:t>= </w:t>
      </w:r>
      <w:r>
        <w:rPr>
          <w:sz w:val="24"/>
        </w:rPr>
        <w:t>Intercepto de función inversa de la oferta</w:t>
      </w:r>
    </w:p>
    <w:p>
      <w:pPr>
        <w:pStyle w:val="BodyText"/>
        <w:spacing w:before="6"/>
        <w:rPr>
          <w:sz w:val="26"/>
        </w:rPr>
      </w:pPr>
    </w:p>
    <w:p>
      <w:pPr>
        <w:pStyle w:val="BodyText"/>
        <w:spacing w:before="1"/>
        <w:ind w:left="118"/>
        <w:jc w:val="both"/>
      </w:pPr>
      <w:r>
        <w:rPr>
          <w:rFonts w:ascii="Cambria Math" w:hAnsi="Cambria Math" w:eastAsia="Cambria Math"/>
        </w:rPr>
        <w:t>𝜂</w:t>
      </w:r>
      <w:r>
        <w:rPr>
          <w:rFonts w:ascii="Cambria Math" w:hAnsi="Cambria Math" w:eastAsia="Cambria Math"/>
          <w:position w:val="-4"/>
          <w:sz w:val="17"/>
        </w:rPr>
        <w:t>𝑠   </w:t>
      </w:r>
      <w:r>
        <w:rPr>
          <w:rFonts w:ascii="Cambria Math" w:hAnsi="Cambria Math" w:eastAsia="Cambria Math"/>
        </w:rPr>
        <w:t>= </w:t>
      </w:r>
      <w:r>
        <w:rPr/>
        <w:t>Pendiente de la función inversa de la oferta</w:t>
      </w:r>
    </w:p>
    <w:p>
      <w:pPr>
        <w:pStyle w:val="BodyText"/>
        <w:spacing w:before="9"/>
        <w:rPr>
          <w:sz w:val="26"/>
        </w:rPr>
      </w:pPr>
    </w:p>
    <w:p>
      <w:pPr>
        <w:pStyle w:val="BodyText"/>
        <w:ind w:left="118"/>
        <w:jc w:val="both"/>
        <w:rPr>
          <w:i/>
        </w:rPr>
      </w:pPr>
      <w:r>
        <w:rPr>
          <w:rFonts w:ascii="Cambria Math" w:hAnsi="Cambria Math" w:eastAsia="Cambria Math"/>
        </w:rPr>
        <w:t>�</w:t>
      </w:r>
      <w:r>
        <w:rPr>
          <w:rFonts w:ascii="Cambria Math" w:hAnsi="Cambria Math" w:eastAsia="Cambria Math"/>
          <w:position w:val="-4"/>
          <w:sz w:val="17"/>
        </w:rPr>
        <w:t>𝑠      </w:t>
      </w:r>
      <w:r>
        <w:rPr>
          <w:rFonts w:ascii="Cambria Math" w:hAnsi="Cambria Math" w:eastAsia="Cambria Math"/>
        </w:rPr>
        <w:t>= </w:t>
      </w:r>
      <w:r>
        <w:rPr/>
        <w:t>Cantidad ofertada de carne en la región </w:t>
      </w:r>
      <w:r>
        <w:rPr>
          <w:i/>
        </w:rPr>
        <w:t>s</w:t>
      </w:r>
    </w:p>
    <w:p>
      <w:pPr>
        <w:pStyle w:val="BodyText"/>
        <w:spacing w:before="6"/>
        <w:rPr>
          <w:i/>
          <w:sz w:val="26"/>
        </w:rPr>
      </w:pPr>
    </w:p>
    <w:p>
      <w:pPr>
        <w:spacing w:before="1"/>
        <w:ind w:left="118" w:right="0" w:firstLine="0"/>
        <w:jc w:val="both"/>
        <w:rPr>
          <w:i/>
          <w:sz w:val="24"/>
        </w:rPr>
      </w:pPr>
      <w:r>
        <w:rPr>
          <w:rFonts w:ascii="Cambria Math" w:eastAsia="Cambria Math"/>
          <w:sz w:val="24"/>
        </w:rPr>
        <w:t>�</w:t>
      </w:r>
      <w:r>
        <w:rPr>
          <w:rFonts w:ascii="Cambria Math" w:eastAsia="Cambria Math"/>
          <w:position w:val="-4"/>
          <w:sz w:val="17"/>
        </w:rPr>
        <w:t>𝑠𝑑  </w:t>
      </w:r>
      <w:r>
        <w:rPr>
          <w:rFonts w:ascii="Cambria Math" w:eastAsia="Cambria Math"/>
          <w:sz w:val="24"/>
        </w:rPr>
        <w:t>= </w:t>
      </w:r>
      <w:r>
        <w:rPr>
          <w:sz w:val="24"/>
        </w:rPr>
        <w:t>Costo de transporte de </w:t>
      </w:r>
      <w:r>
        <w:rPr>
          <w:i/>
          <w:sz w:val="24"/>
        </w:rPr>
        <w:t>s </w:t>
      </w:r>
      <w:r>
        <w:rPr>
          <w:sz w:val="24"/>
        </w:rPr>
        <w:t>a </w:t>
      </w:r>
      <w:r>
        <w:rPr>
          <w:i/>
          <w:sz w:val="24"/>
        </w:rPr>
        <w:t>d</w:t>
      </w:r>
    </w:p>
    <w:p>
      <w:pPr>
        <w:pStyle w:val="BodyText"/>
        <w:spacing w:before="7"/>
        <w:rPr>
          <w:i/>
          <w:sz w:val="26"/>
        </w:rPr>
      </w:pPr>
    </w:p>
    <w:p>
      <w:pPr>
        <w:spacing w:before="0"/>
        <w:ind w:left="118" w:right="0" w:firstLine="0"/>
        <w:jc w:val="both"/>
        <w:rPr>
          <w:i/>
          <w:sz w:val="24"/>
        </w:rPr>
      </w:pPr>
      <w:r>
        <w:rPr>
          <w:rFonts w:ascii="Cambria Math" w:hAnsi="Cambria Math" w:eastAsia="Cambria Math"/>
          <w:sz w:val="24"/>
        </w:rPr>
        <w:t>�</w:t>
      </w:r>
      <w:r>
        <w:rPr>
          <w:rFonts w:ascii="Cambria Math" w:hAnsi="Cambria Math" w:eastAsia="Cambria Math"/>
          <w:position w:val="-4"/>
          <w:sz w:val="17"/>
        </w:rPr>
        <w:t>𝑠𝑑  </w:t>
      </w:r>
      <w:r>
        <w:rPr>
          <w:rFonts w:ascii="Cambria Math" w:hAnsi="Cambria Math" w:eastAsia="Cambria Math"/>
          <w:sz w:val="24"/>
        </w:rPr>
        <w:t>= </w:t>
      </w:r>
      <w:r>
        <w:rPr>
          <w:sz w:val="24"/>
        </w:rPr>
        <w:t>Cantidad de envíos de </w:t>
      </w:r>
      <w:r>
        <w:rPr>
          <w:i/>
          <w:sz w:val="24"/>
        </w:rPr>
        <w:t>s </w:t>
      </w:r>
      <w:r>
        <w:rPr>
          <w:sz w:val="24"/>
        </w:rPr>
        <w:t>a </w:t>
      </w:r>
      <w:r>
        <w:rPr>
          <w:i/>
          <w:sz w:val="24"/>
        </w:rPr>
        <w:t>d</w:t>
      </w:r>
    </w:p>
    <w:p>
      <w:pPr>
        <w:pStyle w:val="BodyText"/>
        <w:spacing w:before="6"/>
        <w:rPr>
          <w:i/>
          <w:sz w:val="26"/>
        </w:rPr>
      </w:pPr>
    </w:p>
    <w:p>
      <w:pPr>
        <w:pStyle w:val="BodyText"/>
        <w:spacing w:before="1"/>
        <w:ind w:left="118"/>
        <w:jc w:val="both"/>
      </w:pPr>
      <w:r>
        <w:rPr>
          <w:rFonts w:ascii="Cambria Math" w:eastAsia="Cambria Math"/>
          <w:w w:val="95"/>
        </w:rPr>
        <w:t>𝑎</w:t>
      </w:r>
      <w:r>
        <w:rPr>
          <w:rFonts w:ascii="Cambria Math" w:eastAsia="Cambria Math"/>
          <w:w w:val="95"/>
          <w:position w:val="-4"/>
          <w:sz w:val="17"/>
        </w:rPr>
        <w:t>�  </w:t>
      </w:r>
      <w:r>
        <w:rPr>
          <w:rFonts w:ascii="Cambria Math" w:eastAsia="Cambria Math"/>
          <w:w w:val="95"/>
        </w:rPr>
        <w:t>= </w:t>
      </w:r>
      <w:r>
        <w:rPr>
          <w:w w:val="95"/>
        </w:rPr>
        <w:t>Arancel a carne de cerdo importada</w:t>
      </w:r>
    </w:p>
    <w:p>
      <w:pPr>
        <w:pStyle w:val="BodyText"/>
        <w:spacing w:before="8"/>
        <w:rPr>
          <w:sz w:val="26"/>
        </w:rPr>
      </w:pPr>
    </w:p>
    <w:p>
      <w:pPr>
        <w:pStyle w:val="BodyText"/>
        <w:spacing w:line="523" w:lineRule="auto"/>
        <w:ind w:left="118" w:right="410"/>
      </w:pPr>
      <w:r>
        <w:rPr>
          <w:rFonts w:ascii="Cambria Math" w:hAnsi="Cambria Math" w:eastAsia="Cambria Math"/>
          <w:w w:val="99"/>
          <w:position w:val="2"/>
        </w:rPr>
        <w:t>𝐾</w:t>
      </w:r>
      <w:r>
        <w:rPr>
          <w:rFonts w:ascii="Cambria Math" w:hAnsi="Cambria Math" w:eastAsia="Cambria Math"/>
          <w:w w:val="113"/>
          <w:position w:val="-2"/>
          <w:sz w:val="17"/>
        </w:rPr>
        <w:t>𝑝</w:t>
      </w:r>
      <w:r>
        <w:rPr>
          <w:rFonts w:ascii="Cambria Math" w:hAnsi="Cambria Math" w:eastAsia="Cambria Math"/>
          <w:w w:val="100"/>
          <w:position w:val="-2"/>
          <w:sz w:val="17"/>
        </w:rPr>
        <w:t>.</w:t>
      </w:r>
      <w:r>
        <w:rPr>
          <w:rFonts w:ascii="Cambria Math" w:hAnsi="Cambria Math" w:eastAsia="Cambria Math"/>
          <w:w w:val="113"/>
          <w:position w:val="-2"/>
          <w:sz w:val="17"/>
        </w:rPr>
        <w:t>𝑝𝑝</w:t>
      </w:r>
      <w:r>
        <w:rPr>
          <w:rFonts w:ascii="Cambria Math" w:hAnsi="Cambria Math" w:eastAsia="Cambria Math"/>
          <w:w w:val="100"/>
          <w:position w:val="-2"/>
          <w:sz w:val="17"/>
        </w:rPr>
        <w:t>.</w:t>
      </w:r>
      <w:r>
        <w:rPr>
          <w:rFonts w:ascii="Cambria Math" w:hAnsi="Cambria Math" w:eastAsia="Cambria Math"/>
          <w:w w:val="53"/>
          <w:position w:val="-2"/>
          <w:sz w:val="17"/>
        </w:rPr>
        <w:t>�</w:t>
      </w:r>
      <w:r>
        <w:rPr>
          <w:rFonts w:ascii="Cambria Math" w:hAnsi="Cambria Math" w:eastAsia="Cambria Math"/>
          <w:position w:val="-2"/>
          <w:sz w:val="17"/>
        </w:rPr>
        <w:t>    </w:t>
      </w:r>
      <w:r>
        <w:rPr>
          <w:rFonts w:ascii="Cambria Math" w:hAnsi="Cambria Math" w:eastAsia="Cambria Math"/>
          <w:position w:val="2"/>
        </w:rPr>
        <w:t>=</w:t>
      </w:r>
      <w:r>
        <w:rPr>
          <w:w w:val="99"/>
          <w:position w:val="2"/>
        </w:rPr>
        <w:t>S</w:t>
      </w:r>
      <w:r>
        <w:rPr>
          <w:position w:val="2"/>
        </w:rPr>
        <w:t>ubsi</w:t>
      </w:r>
      <w:r>
        <w:rPr>
          <w:w w:val="100"/>
          <w:position w:val="2"/>
        </w:rPr>
        <w:t>dio</w:t>
      </w:r>
      <w:r>
        <w:rPr>
          <w:position w:val="2"/>
        </w:rPr>
        <w:t> </w:t>
      </w:r>
      <w:r>
        <w:rPr>
          <w:i/>
          <w:w w:val="100"/>
          <w:sz w:val="16"/>
        </w:rPr>
        <w:t>p</w:t>
      </w:r>
      <w:r>
        <w:rPr>
          <w:w w:val="100"/>
          <w:position w:val="2"/>
        </w:rPr>
        <w:t>= </w:t>
      </w:r>
      <w:r>
        <w:rPr>
          <w:w w:val="100"/>
          <w:position w:val="2"/>
        </w:rPr>
        <w:t>ce</w:t>
      </w:r>
      <w:r>
        <w:rPr>
          <w:w w:val="99"/>
          <w:position w:val="2"/>
        </w:rPr>
        <w:t>rdos </w:t>
      </w:r>
      <w:r>
        <w:rPr>
          <w:w w:val="100"/>
          <w:position w:val="2"/>
        </w:rPr>
        <w:t>e</w:t>
      </w:r>
      <w:r>
        <w:rPr>
          <w:w w:val="100"/>
          <w:position w:val="2"/>
        </w:rPr>
        <w:t>nvia</w:t>
      </w:r>
      <w:r>
        <w:rPr>
          <w:w w:val="99"/>
          <w:position w:val="2"/>
        </w:rPr>
        <w:t>dos</w:t>
      </w:r>
      <w:r>
        <w:rPr>
          <w:position w:val="2"/>
        </w:rPr>
        <w:t> </w:t>
      </w:r>
      <w:r>
        <w:rPr>
          <w:w w:val="100"/>
          <w:position w:val="2"/>
        </w:rPr>
        <w:t>a</w:t>
      </w:r>
      <w:r>
        <w:rPr>
          <w:position w:val="2"/>
        </w:rPr>
        <w:t> </w:t>
      </w:r>
      <w:r>
        <w:rPr>
          <w:w w:val="100"/>
          <w:position w:val="2"/>
        </w:rPr>
        <w:t>ra</w:t>
      </w:r>
      <w:r>
        <w:rPr>
          <w:position w:val="2"/>
        </w:rPr>
        <w:t>stro </w:t>
      </w:r>
      <w:r>
        <w:rPr>
          <w:i/>
          <w:w w:val="100"/>
          <w:sz w:val="16"/>
        </w:rPr>
        <w:t>pp</w:t>
      </w:r>
      <w:r>
        <w:rPr>
          <w:i/>
          <w:sz w:val="16"/>
        </w:rPr>
        <w:t> </w:t>
      </w:r>
      <w:r>
        <w:rPr>
          <w:position w:val="2"/>
        </w:rPr>
        <w:t>= </w:t>
      </w:r>
      <w:r>
        <w:rPr>
          <w:w w:val="100"/>
          <w:position w:val="2"/>
        </w:rPr>
        <w:t>hembra</w:t>
      </w:r>
      <w:r>
        <w:rPr>
          <w:w w:val="99"/>
          <w:position w:val="2"/>
        </w:rPr>
        <w:t>s</w:t>
      </w:r>
      <w:r>
        <w:rPr>
          <w:position w:val="2"/>
        </w:rPr>
        <w:t> </w:t>
      </w:r>
      <w:r>
        <w:rPr>
          <w:w w:val="100"/>
          <w:position w:val="2"/>
        </w:rPr>
        <w:t>e</w:t>
      </w:r>
      <w:r>
        <w:rPr>
          <w:position w:val="2"/>
        </w:rPr>
        <w:t>n </w:t>
      </w:r>
      <w:r>
        <w:rPr>
          <w:w w:val="100"/>
          <w:position w:val="2"/>
        </w:rPr>
        <w:t>inventario</w:t>
      </w:r>
      <w:r>
        <w:rPr>
          <w:position w:val="2"/>
        </w:rPr>
        <w:t> </w:t>
      </w:r>
      <w:r>
        <w:rPr>
          <w:i/>
          <w:w w:val="100"/>
          <w:sz w:val="16"/>
        </w:rPr>
        <w:t>i</w:t>
      </w:r>
      <w:r>
        <w:rPr>
          <w:w w:val="100"/>
          <w:position w:val="2"/>
        </w:rPr>
        <w:t>= </w:t>
      </w:r>
      <w:r>
        <w:rPr>
          <w:w w:val="100"/>
          <w:position w:val="2"/>
        </w:rPr>
        <w:t>c</w:t>
      </w:r>
      <w:r>
        <w:rPr>
          <w:w w:val="100"/>
          <w:position w:val="2"/>
        </w:rPr>
        <w:t>ompr</w:t>
      </w:r>
      <w:r>
        <w:rPr>
          <w:w w:val="100"/>
          <w:position w:val="2"/>
        </w:rPr>
        <w:t>a</w:t>
      </w:r>
      <w:r>
        <w:rPr>
          <w:position w:val="2"/>
        </w:rPr>
        <w:t> </w:t>
      </w:r>
      <w:r>
        <w:rPr>
          <w:w w:val="100"/>
          <w:position w:val="2"/>
        </w:rPr>
        <w:t>de</w:t>
      </w:r>
      <w:r>
        <w:rPr>
          <w:position w:val="2"/>
        </w:rPr>
        <w:t> granos </w:t>
      </w:r>
      <w:r>
        <w:rPr/>
        <w:t>Este modelo está sujeto a las siguientes restricciones</w:t>
      </w:r>
    </w:p>
    <w:p>
      <w:pPr>
        <w:pStyle w:val="BodyText"/>
        <w:spacing w:line="360" w:lineRule="auto" w:before="25"/>
        <w:ind w:left="118" w:right="268"/>
        <w:jc w:val="both"/>
      </w:pPr>
      <w:r>
        <w:rPr/>
        <w:t>La cantidad demandada de producto (toneladas de carne de cerdo) debe ser menor o igual que</w:t>
      </w:r>
      <w:r>
        <w:rPr>
          <w:spacing w:val="-41"/>
        </w:rPr>
        <w:t> </w:t>
      </w:r>
      <w:r>
        <w:rPr/>
        <w:t>la sumatoria de las cantidades enviadas de las regiones productoras (</w:t>
      </w:r>
      <w:r>
        <w:rPr>
          <w:i/>
        </w:rPr>
        <w:t>s</w:t>
      </w:r>
      <w:r>
        <w:rPr/>
        <w:t>) a las regiones demandantes (</w:t>
      </w:r>
      <w:r>
        <w:rPr>
          <w:i/>
        </w:rPr>
        <w:t>d</w:t>
      </w:r>
      <w:r>
        <w:rPr/>
        <w:t>).</w:t>
      </w:r>
    </w:p>
    <w:p>
      <w:pPr>
        <w:pStyle w:val="BodyText"/>
        <w:spacing w:before="8"/>
        <w:rPr>
          <w:sz w:val="9"/>
        </w:rPr>
      </w:pPr>
    </w:p>
    <w:p>
      <w:pPr>
        <w:spacing w:after="0"/>
        <w:rPr>
          <w:sz w:val="9"/>
        </w:rPr>
        <w:sectPr>
          <w:headerReference w:type="default" r:id="rId47"/>
          <w:pgSz w:w="12240" w:h="15840"/>
          <w:pgMar w:header="984" w:footer="986" w:top="1200" w:bottom="1180" w:left="1300" w:right="1340"/>
        </w:sectPr>
      </w:pPr>
    </w:p>
    <w:p>
      <w:pPr>
        <w:spacing w:before="77"/>
        <w:ind w:left="0" w:right="494" w:firstLine="0"/>
        <w:jc w:val="right"/>
        <w:rPr>
          <w:rFonts w:ascii="Cambria Math"/>
          <w:sz w:val="17"/>
        </w:rPr>
      </w:pPr>
      <w:r>
        <w:rPr>
          <w:rFonts w:ascii="Cambria Math"/>
          <w:w w:val="104"/>
          <w:sz w:val="17"/>
        </w:rPr>
        <w:t>8</w:t>
      </w:r>
    </w:p>
    <w:p>
      <w:pPr>
        <w:spacing w:before="91"/>
        <w:ind w:left="0" w:right="0" w:firstLine="0"/>
        <w:jc w:val="right"/>
        <w:rPr>
          <w:rFonts w:ascii="Cambria Math" w:hAnsi="Cambria Math" w:eastAsia="Cambria Math"/>
          <w:sz w:val="17"/>
        </w:rPr>
      </w:pPr>
      <w:r>
        <w:rPr>
          <w:rFonts w:ascii="Cambria Math" w:hAnsi="Cambria Math" w:eastAsia="Cambria Math"/>
          <w:w w:val="110"/>
          <w:sz w:val="24"/>
        </w:rPr>
        <w:t>�</w:t>
      </w:r>
      <w:r>
        <w:rPr>
          <w:rFonts w:ascii="Cambria Math" w:hAnsi="Cambria Math" w:eastAsia="Cambria Math"/>
          <w:w w:val="110"/>
          <w:position w:val="-4"/>
          <w:sz w:val="17"/>
        </w:rPr>
        <w:t>𝑑    </w:t>
      </w:r>
      <w:r>
        <w:rPr>
          <w:rFonts w:ascii="Cambria Math" w:hAnsi="Cambria Math" w:eastAsia="Cambria Math"/>
          <w:w w:val="110"/>
          <w:sz w:val="24"/>
        </w:rPr>
        <w:t>≤ ∑ �</w:t>
      </w:r>
      <w:r>
        <w:rPr>
          <w:rFonts w:ascii="Cambria Math" w:hAnsi="Cambria Math" w:eastAsia="Cambria Math"/>
          <w:w w:val="110"/>
          <w:position w:val="-4"/>
          <w:sz w:val="17"/>
        </w:rPr>
        <w:t>𝑠𝑑</w:t>
      </w:r>
    </w:p>
    <w:p>
      <w:pPr>
        <w:spacing w:before="58"/>
        <w:ind w:left="0" w:right="372" w:firstLine="0"/>
        <w:jc w:val="right"/>
        <w:rPr>
          <w:rFonts w:ascii="Cambria Math" w:eastAsia="Cambria Math"/>
          <w:sz w:val="17"/>
        </w:rPr>
      </w:pPr>
      <w:r>
        <w:rPr>
          <w:rFonts w:ascii="Cambria Math" w:eastAsia="Cambria Math"/>
          <w:w w:val="105"/>
          <w:sz w:val="17"/>
        </w:rPr>
        <w:t>𝑑=1</w:t>
      </w:r>
    </w:p>
    <w:p>
      <w:pPr>
        <w:pStyle w:val="BodyText"/>
        <w:spacing w:before="5"/>
        <w:rPr>
          <w:rFonts w:ascii="Cambria Math"/>
          <w:sz w:val="31"/>
        </w:rPr>
      </w:pPr>
      <w:r>
        <w:rPr/>
        <w:br w:type="column"/>
      </w:r>
      <w:r>
        <w:rPr>
          <w:rFonts w:ascii="Cambria Math"/>
          <w:sz w:val="31"/>
        </w:rPr>
      </w:r>
    </w:p>
    <w:p>
      <w:pPr>
        <w:pStyle w:val="BodyText"/>
        <w:ind w:left="226"/>
        <w:rPr>
          <w:rFonts w:ascii="Cambria Math" w:hAnsi="Cambria Math" w:eastAsia="Cambria Math"/>
        </w:rPr>
      </w:pPr>
      <w:r>
        <w:rPr>
          <w:rFonts w:ascii="Cambria Math" w:hAnsi="Cambria Math" w:eastAsia="Cambria Math"/>
        </w:rPr>
        <w:t>� = 1, 2,3 … … … … 8</w:t>
      </w:r>
    </w:p>
    <w:p>
      <w:pPr>
        <w:spacing w:after="0"/>
        <w:rPr>
          <w:rFonts w:ascii="Cambria Math" w:hAnsi="Cambria Math" w:eastAsia="Cambria Math"/>
        </w:rPr>
        <w:sectPr>
          <w:type w:val="continuous"/>
          <w:pgSz w:w="12240" w:h="15840"/>
          <w:pgMar w:top="3260" w:bottom="280" w:left="1300" w:right="1340"/>
          <w:cols w:num="2" w:equalWidth="0">
            <w:col w:w="4248" w:space="40"/>
            <w:col w:w="5312"/>
          </w:cols>
        </w:sectPr>
      </w:pPr>
    </w:p>
    <w:p>
      <w:pPr>
        <w:pStyle w:val="BodyText"/>
        <w:spacing w:line="360" w:lineRule="auto" w:before="125"/>
        <w:ind w:left="118" w:right="270"/>
        <w:jc w:val="both"/>
      </w:pPr>
      <w:r>
        <w:rPr/>
        <w:t>La cantidad ofertada de producto (toneladas de carne de cerdo) debe ser mayor o igual que la sumatoria de las cantidades enviadas de las regiones productoras (</w:t>
      </w:r>
      <w:r>
        <w:rPr>
          <w:i/>
        </w:rPr>
        <w:t>s</w:t>
      </w:r>
      <w:r>
        <w:rPr/>
        <w:t>) a las regiones demandantes (</w:t>
      </w:r>
      <w:r>
        <w:rPr>
          <w:i/>
        </w:rPr>
        <w:t>d</w:t>
      </w:r>
      <w:r>
        <w:rPr/>
        <w:t>).</w:t>
      </w:r>
    </w:p>
    <w:p>
      <w:pPr>
        <w:pStyle w:val="BodyText"/>
        <w:spacing w:before="8"/>
        <w:rPr>
          <w:sz w:val="9"/>
        </w:rPr>
      </w:pPr>
    </w:p>
    <w:p>
      <w:pPr>
        <w:spacing w:after="0"/>
        <w:rPr>
          <w:sz w:val="9"/>
        </w:rPr>
        <w:sectPr>
          <w:headerReference w:type="default" r:id="rId48"/>
          <w:pgSz w:w="12240" w:h="15840"/>
          <w:pgMar w:header="984" w:footer="986" w:top="1280" w:bottom="1180" w:left="1300" w:right="1340"/>
        </w:sectPr>
      </w:pPr>
    </w:p>
    <w:p>
      <w:pPr>
        <w:spacing w:before="77"/>
        <w:ind w:left="0" w:right="446" w:firstLine="0"/>
        <w:jc w:val="right"/>
        <w:rPr>
          <w:rFonts w:ascii="Cambria Math"/>
          <w:sz w:val="17"/>
        </w:rPr>
      </w:pPr>
      <w:r>
        <w:rPr>
          <w:rFonts w:ascii="Cambria Math"/>
          <w:w w:val="105"/>
          <w:sz w:val="17"/>
        </w:rPr>
        <w:t>10</w:t>
      </w:r>
    </w:p>
    <w:p>
      <w:pPr>
        <w:spacing w:before="91"/>
        <w:ind w:left="0" w:right="0" w:firstLine="0"/>
        <w:jc w:val="right"/>
        <w:rPr>
          <w:rFonts w:ascii="Cambria Math" w:hAnsi="Cambria Math" w:eastAsia="Cambria Math"/>
          <w:sz w:val="17"/>
        </w:rPr>
      </w:pPr>
      <w:r>
        <w:rPr>
          <w:rFonts w:ascii="Cambria Math" w:hAnsi="Cambria Math" w:eastAsia="Cambria Math"/>
          <w:w w:val="110"/>
          <w:sz w:val="24"/>
        </w:rPr>
        <w:t>�</w:t>
      </w:r>
      <w:r>
        <w:rPr>
          <w:rFonts w:ascii="Cambria Math" w:hAnsi="Cambria Math" w:eastAsia="Cambria Math"/>
          <w:w w:val="110"/>
          <w:position w:val="-4"/>
          <w:sz w:val="17"/>
        </w:rPr>
        <w:t>𝑠  </w:t>
      </w:r>
      <w:r>
        <w:rPr>
          <w:rFonts w:ascii="Cambria Math" w:hAnsi="Cambria Math" w:eastAsia="Cambria Math"/>
          <w:w w:val="110"/>
          <w:sz w:val="24"/>
        </w:rPr>
        <w:t>≥ ∑ �</w:t>
      </w:r>
      <w:r>
        <w:rPr>
          <w:rFonts w:ascii="Cambria Math" w:hAnsi="Cambria Math" w:eastAsia="Cambria Math"/>
          <w:w w:val="110"/>
          <w:position w:val="-4"/>
          <w:sz w:val="17"/>
        </w:rPr>
        <w:t>𝑠𝑑</w:t>
      </w:r>
    </w:p>
    <w:p>
      <w:pPr>
        <w:spacing w:before="58"/>
        <w:ind w:left="0" w:right="372" w:firstLine="0"/>
        <w:jc w:val="right"/>
        <w:rPr>
          <w:rFonts w:ascii="Cambria Math" w:eastAsia="Cambria Math"/>
          <w:sz w:val="17"/>
        </w:rPr>
      </w:pPr>
      <w:r>
        <w:rPr>
          <w:rFonts w:ascii="Cambria Math" w:eastAsia="Cambria Math"/>
          <w:w w:val="105"/>
          <w:sz w:val="17"/>
        </w:rPr>
        <w:t>𝑑=1</w:t>
      </w:r>
    </w:p>
    <w:p>
      <w:pPr>
        <w:pStyle w:val="BodyText"/>
        <w:spacing w:before="5"/>
        <w:rPr>
          <w:rFonts w:ascii="Cambria Math"/>
          <w:sz w:val="31"/>
        </w:rPr>
      </w:pPr>
      <w:r>
        <w:rPr/>
        <w:br w:type="column"/>
      </w:r>
      <w:r>
        <w:rPr>
          <w:rFonts w:ascii="Cambria Math"/>
          <w:sz w:val="31"/>
        </w:rPr>
      </w:r>
    </w:p>
    <w:p>
      <w:pPr>
        <w:pStyle w:val="BodyText"/>
        <w:ind w:left="331"/>
        <w:rPr>
          <w:rFonts w:ascii="Cambria Math" w:hAnsi="Cambria Math" w:eastAsia="Cambria Math"/>
        </w:rPr>
      </w:pPr>
      <w:r>
        <w:rPr>
          <w:rFonts w:ascii="Cambria Math" w:hAnsi="Cambria Math" w:eastAsia="Cambria Math"/>
        </w:rPr>
        <w:t>� = 1, 2,3 … … … … 10</w:t>
      </w:r>
    </w:p>
    <w:p>
      <w:pPr>
        <w:spacing w:after="0"/>
        <w:rPr>
          <w:rFonts w:ascii="Cambria Math" w:hAnsi="Cambria Math" w:eastAsia="Cambria Math"/>
        </w:rPr>
        <w:sectPr>
          <w:type w:val="continuous"/>
          <w:pgSz w:w="12240" w:h="15840"/>
          <w:pgMar w:top="3260" w:bottom="280" w:left="1300" w:right="1340"/>
          <w:cols w:num="2" w:equalWidth="0">
            <w:col w:w="4150" w:space="40"/>
            <w:col w:w="5410"/>
          </w:cols>
        </w:sectPr>
      </w:pPr>
    </w:p>
    <w:p>
      <w:pPr>
        <w:pStyle w:val="BodyText"/>
        <w:spacing w:before="7"/>
        <w:rPr>
          <w:rFonts w:ascii="Cambria Math"/>
          <w:sz w:val="19"/>
        </w:rPr>
      </w:pPr>
    </w:p>
    <w:p>
      <w:pPr>
        <w:pStyle w:val="BodyText"/>
        <w:spacing w:line="348" w:lineRule="auto" w:before="70"/>
        <w:ind w:left="118" w:right="266"/>
        <w:jc w:val="both"/>
        <w:rPr>
          <w:sz w:val="16"/>
        </w:rPr>
      </w:pPr>
      <w:r>
        <w:rPr/>
        <w:t>La cantidad demandada, la cantidad ofertada y los envíos de las regiones productoras (</w:t>
      </w:r>
      <w:r>
        <w:rPr>
          <w:i/>
        </w:rPr>
        <w:t>s</w:t>
      </w:r>
      <w:r>
        <w:rPr/>
        <w:t>) a las regiones demandantes (</w:t>
      </w:r>
      <w:r>
        <w:rPr>
          <w:i/>
        </w:rPr>
        <w:t>d</w:t>
      </w:r>
      <w:r>
        <w:rPr/>
        <w:t>), debe ser mayor o igual a cero</w:t>
      </w:r>
      <w:r>
        <w:rPr>
          <w:position w:val="9"/>
          <w:sz w:val="16"/>
        </w:rPr>
        <w:t>(8).</w:t>
      </w:r>
    </w:p>
    <w:p>
      <w:pPr>
        <w:spacing w:before="216"/>
        <w:ind w:left="0" w:right="410"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𝑑  </w:t>
      </w:r>
      <w:r>
        <w:rPr>
          <w:rFonts w:ascii="Cambria Math" w:hAnsi="Cambria Math" w:eastAsia="Cambria Math"/>
          <w:sz w:val="24"/>
        </w:rPr>
        <w:t>, �</w:t>
      </w:r>
      <w:r>
        <w:rPr>
          <w:rFonts w:ascii="Cambria Math" w:hAnsi="Cambria Math" w:eastAsia="Cambria Math"/>
          <w:position w:val="-4"/>
          <w:sz w:val="17"/>
        </w:rPr>
        <w:t>𝑠 </w:t>
      </w:r>
      <w:r>
        <w:rPr>
          <w:rFonts w:ascii="Cambria Math" w:hAnsi="Cambria Math" w:eastAsia="Cambria Math"/>
          <w:sz w:val="24"/>
        </w:rPr>
        <w:t>, �</w:t>
      </w:r>
      <w:r>
        <w:rPr>
          <w:rFonts w:ascii="Cambria Math" w:hAnsi="Cambria Math" w:eastAsia="Cambria Math"/>
          <w:position w:val="-4"/>
          <w:sz w:val="17"/>
        </w:rPr>
        <w:t>𝑠𝑑  </w:t>
      </w:r>
      <w:r>
        <w:rPr>
          <w:rFonts w:ascii="Cambria Math" w:hAnsi="Cambria Math" w:eastAsia="Cambria Math"/>
          <w:sz w:val="24"/>
        </w:rPr>
        <w:t>≥ 0</w:t>
      </w:r>
    </w:p>
    <w:p>
      <w:pPr>
        <w:pStyle w:val="BodyText"/>
        <w:spacing w:before="7"/>
        <w:rPr>
          <w:rFonts w:ascii="Cambria Math"/>
          <w:sz w:val="25"/>
        </w:rPr>
      </w:pPr>
    </w:p>
    <w:p>
      <w:pPr>
        <w:pStyle w:val="BodyText"/>
        <w:ind w:left="118"/>
        <w:jc w:val="both"/>
      </w:pPr>
      <w:r>
        <w:rPr/>
        <w:t>Los supuestos económicos considerados en el modelo.</w:t>
      </w:r>
    </w:p>
    <w:p>
      <w:pPr>
        <w:pStyle w:val="BodyText"/>
        <w:spacing w:before="4"/>
        <w:rPr>
          <w:sz w:val="29"/>
        </w:rPr>
      </w:pPr>
    </w:p>
    <w:p>
      <w:pPr>
        <w:pStyle w:val="ListParagraph"/>
        <w:numPr>
          <w:ilvl w:val="0"/>
          <w:numId w:val="16"/>
        </w:numPr>
        <w:tabs>
          <w:tab w:pos="838" w:val="left" w:leader="none"/>
          <w:tab w:pos="839" w:val="left" w:leader="none"/>
        </w:tabs>
        <w:spacing w:line="240" w:lineRule="auto" w:before="0" w:after="0"/>
        <w:ind w:left="838" w:right="0" w:hanging="360"/>
        <w:jc w:val="left"/>
        <w:rPr>
          <w:sz w:val="24"/>
        </w:rPr>
      </w:pPr>
      <w:r>
        <w:rPr>
          <w:sz w:val="24"/>
        </w:rPr>
        <w:t>Hay dos o más regiones que comercian un bien</w:t>
      </w:r>
      <w:r>
        <w:rPr>
          <w:spacing w:val="-9"/>
          <w:sz w:val="24"/>
        </w:rPr>
        <w:t> </w:t>
      </w:r>
      <w:r>
        <w:rPr>
          <w:sz w:val="24"/>
        </w:rPr>
        <w:t>homogéneo</w:t>
      </w:r>
    </w:p>
    <w:p>
      <w:pPr>
        <w:pStyle w:val="ListParagraph"/>
        <w:numPr>
          <w:ilvl w:val="0"/>
          <w:numId w:val="16"/>
        </w:numPr>
        <w:tabs>
          <w:tab w:pos="838" w:val="left" w:leader="none"/>
          <w:tab w:pos="839" w:val="left" w:leader="none"/>
        </w:tabs>
        <w:spacing w:line="240" w:lineRule="auto" w:before="135" w:after="0"/>
        <w:ind w:left="838" w:right="0" w:hanging="360"/>
        <w:jc w:val="left"/>
        <w:rPr>
          <w:sz w:val="24"/>
        </w:rPr>
      </w:pPr>
      <w:r>
        <w:rPr>
          <w:sz w:val="24"/>
        </w:rPr>
        <w:t>Cada región constituye un solo y distinto</w:t>
      </w:r>
      <w:r>
        <w:rPr>
          <w:spacing w:val="-12"/>
          <w:sz w:val="24"/>
        </w:rPr>
        <w:t> </w:t>
      </w:r>
      <w:r>
        <w:rPr>
          <w:sz w:val="24"/>
        </w:rPr>
        <w:t>mercado</w:t>
      </w:r>
    </w:p>
    <w:p>
      <w:pPr>
        <w:pStyle w:val="ListParagraph"/>
        <w:numPr>
          <w:ilvl w:val="0"/>
          <w:numId w:val="16"/>
        </w:numPr>
        <w:tabs>
          <w:tab w:pos="838" w:val="left" w:leader="none"/>
          <w:tab w:pos="839" w:val="left" w:leader="none"/>
        </w:tabs>
        <w:spacing w:line="352" w:lineRule="auto" w:before="138" w:after="0"/>
        <w:ind w:left="838" w:right="272" w:hanging="360"/>
        <w:jc w:val="left"/>
        <w:rPr>
          <w:sz w:val="24"/>
        </w:rPr>
      </w:pPr>
      <w:r>
        <w:rPr>
          <w:sz w:val="24"/>
        </w:rPr>
        <w:t>Las regiones están separadas pero no aisladas por los costos de transporte por unidad física, lo cual es independiente del</w:t>
      </w:r>
      <w:r>
        <w:rPr>
          <w:spacing w:val="-5"/>
          <w:sz w:val="24"/>
        </w:rPr>
        <w:t> </w:t>
      </w:r>
      <w:r>
        <w:rPr>
          <w:sz w:val="24"/>
        </w:rPr>
        <w:t>volumen</w:t>
      </w:r>
    </w:p>
    <w:p>
      <w:pPr>
        <w:pStyle w:val="ListParagraph"/>
        <w:numPr>
          <w:ilvl w:val="0"/>
          <w:numId w:val="16"/>
        </w:numPr>
        <w:tabs>
          <w:tab w:pos="838" w:val="left" w:leader="none"/>
          <w:tab w:pos="839" w:val="left" w:leader="none"/>
        </w:tabs>
        <w:spacing w:line="240" w:lineRule="auto" w:before="11" w:after="0"/>
        <w:ind w:left="838" w:right="0" w:hanging="360"/>
        <w:jc w:val="left"/>
        <w:rPr>
          <w:sz w:val="24"/>
        </w:rPr>
      </w:pPr>
      <w:r>
        <w:rPr>
          <w:sz w:val="24"/>
        </w:rPr>
        <w:t>Para cada región las funciones de oferta y demanda son</w:t>
      </w:r>
      <w:r>
        <w:rPr>
          <w:spacing w:val="-13"/>
          <w:sz w:val="24"/>
        </w:rPr>
        <w:t> </w:t>
      </w:r>
      <w:r>
        <w:rPr>
          <w:sz w:val="24"/>
        </w:rPr>
        <w:t>conocidas</w:t>
      </w:r>
    </w:p>
    <w:p>
      <w:pPr>
        <w:pStyle w:val="ListParagraph"/>
        <w:numPr>
          <w:ilvl w:val="0"/>
          <w:numId w:val="16"/>
        </w:numPr>
        <w:tabs>
          <w:tab w:pos="838" w:val="left" w:leader="none"/>
          <w:tab w:pos="839" w:val="left" w:leader="none"/>
        </w:tabs>
        <w:spacing w:line="240" w:lineRule="auto" w:before="138" w:after="0"/>
        <w:ind w:left="838" w:right="0" w:hanging="360"/>
        <w:jc w:val="left"/>
        <w:rPr>
          <w:sz w:val="24"/>
        </w:rPr>
      </w:pPr>
      <w:r>
        <w:rPr>
          <w:sz w:val="24"/>
        </w:rPr>
        <w:t>considerando 10 regiones productoras y 8 regiones</w:t>
      </w:r>
      <w:r>
        <w:rPr>
          <w:spacing w:val="-13"/>
          <w:sz w:val="24"/>
        </w:rPr>
        <w:t> </w:t>
      </w:r>
      <w:r>
        <w:rPr>
          <w:sz w:val="24"/>
        </w:rPr>
        <w:t>consumidoras.</w:t>
      </w:r>
    </w:p>
    <w:p>
      <w:pPr>
        <w:pStyle w:val="BodyText"/>
        <w:spacing w:line="535" w:lineRule="auto" w:before="120"/>
        <w:ind w:left="118" w:right="745"/>
      </w:pPr>
      <w:r>
        <w:rPr/>
        <w:t>Se utilizó la regionalización económica y geográfica </w:t>
      </w:r>
      <w:r>
        <w:rPr>
          <w:position w:val="9"/>
          <w:sz w:val="16"/>
        </w:rPr>
        <w:t>(9), </w:t>
      </w:r>
      <w:r>
        <w:rPr/>
        <w:t>como se muestra en el Cuadro 1. La información utilizada se obtuvo de la siguiente manera:</w:t>
      </w:r>
    </w:p>
    <w:p>
      <w:pPr>
        <w:pStyle w:val="BodyText"/>
        <w:spacing w:line="355" w:lineRule="auto" w:before="11"/>
        <w:ind w:left="118" w:right="268"/>
        <w:jc w:val="both"/>
      </w:pPr>
      <w:r>
        <w:rPr/>
        <w:t>La producción y las exportaciones se obtuvieron por entidad federativa del Servicio de Información</w:t>
      </w:r>
      <w:r>
        <w:rPr>
          <w:spacing w:val="-13"/>
        </w:rPr>
        <w:t> </w:t>
      </w:r>
      <w:r>
        <w:rPr/>
        <w:t>Agroalimentaria</w:t>
      </w:r>
      <w:r>
        <w:rPr>
          <w:spacing w:val="-12"/>
        </w:rPr>
        <w:t> </w:t>
      </w:r>
      <w:r>
        <w:rPr/>
        <w:t>y</w:t>
      </w:r>
      <w:r>
        <w:rPr>
          <w:spacing w:val="-21"/>
        </w:rPr>
        <w:t> </w:t>
      </w:r>
      <w:r>
        <w:rPr/>
        <w:t>Pesquera</w:t>
      </w:r>
      <w:r>
        <w:rPr>
          <w:position w:val="9"/>
          <w:sz w:val="16"/>
        </w:rPr>
        <w:t>(10)</w:t>
      </w:r>
      <w:r>
        <w:rPr/>
        <w:t>,</w:t>
      </w:r>
      <w:r>
        <w:rPr>
          <w:spacing w:val="-16"/>
        </w:rPr>
        <w:t> </w:t>
      </w:r>
      <w:r>
        <w:rPr/>
        <w:t>se</w:t>
      </w:r>
      <w:r>
        <w:rPr>
          <w:spacing w:val="-17"/>
        </w:rPr>
        <w:t> </w:t>
      </w:r>
      <w:r>
        <w:rPr/>
        <w:t>restó</w:t>
      </w:r>
      <w:r>
        <w:rPr>
          <w:spacing w:val="-16"/>
        </w:rPr>
        <w:t> </w:t>
      </w:r>
      <w:r>
        <w:rPr/>
        <w:t>la</w:t>
      </w:r>
      <w:r>
        <w:rPr>
          <w:spacing w:val="-16"/>
        </w:rPr>
        <w:t> </w:t>
      </w:r>
      <w:r>
        <w:rPr/>
        <w:t>exportación</w:t>
      </w:r>
      <w:r>
        <w:rPr>
          <w:spacing w:val="-15"/>
        </w:rPr>
        <w:t> </w:t>
      </w:r>
      <w:r>
        <w:rPr/>
        <w:t>a</w:t>
      </w:r>
      <w:r>
        <w:rPr>
          <w:spacing w:val="-17"/>
        </w:rPr>
        <w:t> </w:t>
      </w:r>
      <w:r>
        <w:rPr/>
        <w:t>la</w:t>
      </w:r>
      <w:r>
        <w:rPr>
          <w:spacing w:val="-16"/>
        </w:rPr>
        <w:t> </w:t>
      </w:r>
      <w:r>
        <w:rPr/>
        <w:t>producción</w:t>
      </w:r>
      <w:r>
        <w:rPr>
          <w:spacing w:val="-15"/>
        </w:rPr>
        <w:t> </w:t>
      </w:r>
      <w:r>
        <w:rPr/>
        <w:t>de</w:t>
      </w:r>
      <w:r>
        <w:rPr>
          <w:spacing w:val="-17"/>
        </w:rPr>
        <w:t> </w:t>
      </w:r>
      <w:r>
        <w:rPr/>
        <w:t>los</w:t>
      </w:r>
      <w:r>
        <w:rPr>
          <w:spacing w:val="-15"/>
        </w:rPr>
        <w:t> </w:t>
      </w:r>
      <w:r>
        <w:rPr/>
        <w:t>estados que</w:t>
      </w:r>
      <w:r>
        <w:rPr>
          <w:spacing w:val="-14"/>
        </w:rPr>
        <w:t> </w:t>
      </w:r>
      <w:r>
        <w:rPr/>
        <w:t>reportaron,</w:t>
      </w:r>
      <w:r>
        <w:rPr>
          <w:spacing w:val="-12"/>
        </w:rPr>
        <w:t> </w:t>
      </w:r>
      <w:r>
        <w:rPr/>
        <w:t>y</w:t>
      </w:r>
      <w:r>
        <w:rPr>
          <w:spacing w:val="-18"/>
        </w:rPr>
        <w:t> </w:t>
      </w:r>
      <w:r>
        <w:rPr/>
        <w:t>se</w:t>
      </w:r>
      <w:r>
        <w:rPr>
          <w:spacing w:val="33"/>
        </w:rPr>
        <w:t> </w:t>
      </w:r>
      <w:r>
        <w:rPr/>
        <w:t>sumó</w:t>
      </w:r>
      <w:r>
        <w:rPr>
          <w:spacing w:val="-13"/>
        </w:rPr>
        <w:t> </w:t>
      </w:r>
      <w:r>
        <w:rPr/>
        <w:t>la</w:t>
      </w:r>
      <w:r>
        <w:rPr>
          <w:spacing w:val="-14"/>
        </w:rPr>
        <w:t> </w:t>
      </w:r>
      <w:r>
        <w:rPr/>
        <w:t>producción</w:t>
      </w:r>
      <w:r>
        <w:rPr>
          <w:spacing w:val="-13"/>
        </w:rPr>
        <w:t> </w:t>
      </w:r>
      <w:r>
        <w:rPr/>
        <w:t>de</w:t>
      </w:r>
      <w:r>
        <w:rPr>
          <w:spacing w:val="-14"/>
        </w:rPr>
        <w:t> </w:t>
      </w:r>
      <w:r>
        <w:rPr/>
        <w:t>los</w:t>
      </w:r>
      <w:r>
        <w:rPr>
          <w:spacing w:val="-13"/>
        </w:rPr>
        <w:t> </w:t>
      </w:r>
      <w:r>
        <w:rPr/>
        <w:t>que</w:t>
      </w:r>
      <w:r>
        <w:rPr>
          <w:spacing w:val="-14"/>
        </w:rPr>
        <w:t> </w:t>
      </w:r>
      <w:r>
        <w:rPr/>
        <w:t>integran</w:t>
      </w:r>
      <w:r>
        <w:rPr>
          <w:spacing w:val="-12"/>
        </w:rPr>
        <w:t> </w:t>
      </w:r>
      <w:r>
        <w:rPr/>
        <w:t>cada</w:t>
      </w:r>
      <w:r>
        <w:rPr>
          <w:spacing w:val="-14"/>
        </w:rPr>
        <w:t> </w:t>
      </w:r>
      <w:r>
        <w:rPr/>
        <w:t>una</w:t>
      </w:r>
      <w:r>
        <w:rPr>
          <w:spacing w:val="-14"/>
        </w:rPr>
        <w:t> </w:t>
      </w:r>
      <w:r>
        <w:rPr/>
        <w:t>de</w:t>
      </w:r>
      <w:r>
        <w:rPr>
          <w:spacing w:val="-14"/>
        </w:rPr>
        <w:t> </w:t>
      </w:r>
      <w:r>
        <w:rPr/>
        <w:t>las</w:t>
      </w:r>
      <w:r>
        <w:rPr>
          <w:spacing w:val="-14"/>
        </w:rPr>
        <w:t> </w:t>
      </w:r>
      <w:r>
        <w:rPr/>
        <w:t>regiones</w:t>
      </w:r>
      <w:r>
        <w:rPr>
          <w:spacing w:val="-14"/>
        </w:rPr>
        <w:t> </w:t>
      </w:r>
      <w:r>
        <w:rPr/>
        <w:t>para</w:t>
      </w:r>
      <w:r>
        <w:rPr>
          <w:spacing w:val="-14"/>
        </w:rPr>
        <w:t> </w:t>
      </w:r>
      <w:r>
        <w:rPr/>
        <w:t>obtener la producción</w:t>
      </w:r>
      <w:r>
        <w:rPr>
          <w:spacing w:val="-6"/>
        </w:rPr>
        <w:t> </w:t>
      </w:r>
      <w:r>
        <w:rPr/>
        <w:t>regional.</w:t>
      </w:r>
    </w:p>
    <w:p>
      <w:pPr>
        <w:pStyle w:val="BodyText"/>
        <w:spacing w:line="360" w:lineRule="auto" w:before="196"/>
        <w:ind w:left="118" w:right="267"/>
        <w:jc w:val="both"/>
      </w:pPr>
      <w:r>
        <w:rPr/>
        <w:t>La importación se obtuvo del Servicio de Información Agroalimentaria y Pesquera </w:t>
      </w:r>
      <w:r>
        <w:rPr>
          <w:position w:val="9"/>
          <w:sz w:val="16"/>
        </w:rPr>
        <w:t>(10) </w:t>
      </w:r>
      <w:r>
        <w:rPr/>
        <w:t>según las claves arancelarias y puntos de acceso (aduanas), se establecieron dos puntos de internación de carne importada, el primero lo componen las aduanas de Colombia en Nuevo León, Nuevo Laredo y Reynosa en Tamaulipas y Piedras Negras en Coahuila. Este primer punto registra el ingreso del 90.1 % de la carne importada. El segundo punto de internación los compone las</w:t>
      </w:r>
    </w:p>
    <w:p>
      <w:pPr>
        <w:spacing w:after="0" w:line="360" w:lineRule="auto"/>
        <w:jc w:val="both"/>
        <w:sectPr>
          <w:type w:val="continuous"/>
          <w:pgSz w:w="12240" w:h="15840"/>
          <w:pgMar w:top="3260" w:bottom="280" w:left="1300" w:right="1340"/>
        </w:sectPr>
      </w:pPr>
    </w:p>
    <w:p>
      <w:pPr>
        <w:pStyle w:val="BodyText"/>
        <w:spacing w:line="360" w:lineRule="auto" w:before="125"/>
        <w:ind w:left="118" w:right="275"/>
        <w:jc w:val="both"/>
      </w:pPr>
      <w:r>
        <w:rPr/>
        <w:t>aduanas de Mexicali y Tijuana en Baja California, Nogales y San Luis Rio Colorado en Sonora y Ciudad Juárez en Chihuahua por este punto ingresa el 9.9 % de la importación.</w:t>
      </w:r>
    </w:p>
    <w:p>
      <w:pPr>
        <w:pStyle w:val="BodyText"/>
        <w:spacing w:line="360" w:lineRule="auto" w:before="205"/>
        <w:ind w:left="118" w:right="270"/>
        <w:jc w:val="both"/>
      </w:pPr>
      <w:r>
        <w:rPr/>
        <w:t>De</w:t>
      </w:r>
      <w:r>
        <w:rPr>
          <w:spacing w:val="-10"/>
        </w:rPr>
        <w:t> </w:t>
      </w:r>
      <w:r>
        <w:rPr/>
        <w:t>esta</w:t>
      </w:r>
      <w:r>
        <w:rPr>
          <w:spacing w:val="-7"/>
        </w:rPr>
        <w:t> </w:t>
      </w:r>
      <w:r>
        <w:rPr/>
        <w:t>manera</w:t>
      </w:r>
      <w:r>
        <w:rPr>
          <w:spacing w:val="-10"/>
        </w:rPr>
        <w:t> </w:t>
      </w:r>
      <w:r>
        <w:rPr/>
        <w:t>se</w:t>
      </w:r>
      <w:r>
        <w:rPr>
          <w:spacing w:val="-7"/>
        </w:rPr>
        <w:t> </w:t>
      </w:r>
      <w:r>
        <w:rPr/>
        <w:t>establecieron</w:t>
      </w:r>
      <w:r>
        <w:rPr>
          <w:spacing w:val="-9"/>
        </w:rPr>
        <w:t> </w:t>
      </w:r>
      <w:r>
        <w:rPr/>
        <w:t>10</w:t>
      </w:r>
      <w:r>
        <w:rPr>
          <w:spacing w:val="-6"/>
        </w:rPr>
        <w:t> </w:t>
      </w:r>
      <w:r>
        <w:rPr/>
        <w:t>regiones</w:t>
      </w:r>
      <w:r>
        <w:rPr>
          <w:spacing w:val="-9"/>
        </w:rPr>
        <w:t> </w:t>
      </w:r>
      <w:r>
        <w:rPr/>
        <w:t>productoras</w:t>
      </w:r>
      <w:r>
        <w:rPr>
          <w:spacing w:val="-8"/>
        </w:rPr>
        <w:t> </w:t>
      </w:r>
      <w:r>
        <w:rPr/>
        <w:t>ocho</w:t>
      </w:r>
      <w:r>
        <w:rPr>
          <w:spacing w:val="-7"/>
        </w:rPr>
        <w:t> </w:t>
      </w:r>
      <w:r>
        <w:rPr/>
        <w:t>en</w:t>
      </w:r>
      <w:r>
        <w:rPr>
          <w:spacing w:val="-6"/>
        </w:rPr>
        <w:t> </w:t>
      </w:r>
      <w:r>
        <w:rPr/>
        <w:t>el</w:t>
      </w:r>
      <w:r>
        <w:rPr>
          <w:spacing w:val="-8"/>
        </w:rPr>
        <w:t> </w:t>
      </w:r>
      <w:r>
        <w:rPr/>
        <w:t>interior</w:t>
      </w:r>
      <w:r>
        <w:rPr>
          <w:spacing w:val="-4"/>
        </w:rPr>
        <w:t> </w:t>
      </w:r>
      <w:r>
        <w:rPr/>
        <w:t>del</w:t>
      </w:r>
      <w:r>
        <w:rPr>
          <w:spacing w:val="-8"/>
        </w:rPr>
        <w:t> </w:t>
      </w:r>
      <w:r>
        <w:rPr/>
        <w:t>país</w:t>
      </w:r>
      <w:r>
        <w:rPr>
          <w:spacing w:val="-3"/>
        </w:rPr>
        <w:t> </w:t>
      </w:r>
      <w:r>
        <w:rPr/>
        <w:t>y</w:t>
      </w:r>
      <w:r>
        <w:rPr>
          <w:spacing w:val="-13"/>
        </w:rPr>
        <w:t> </w:t>
      </w:r>
      <w:r>
        <w:rPr/>
        <w:t>dos</w:t>
      </w:r>
      <w:r>
        <w:rPr>
          <w:spacing w:val="-8"/>
        </w:rPr>
        <w:t> </w:t>
      </w:r>
      <w:r>
        <w:rPr/>
        <w:t>puntos fronterizos de internación de carne de</w:t>
      </w:r>
      <w:r>
        <w:rPr>
          <w:spacing w:val="-11"/>
        </w:rPr>
        <w:t> </w:t>
      </w:r>
      <w:r>
        <w:rPr/>
        <w:t>cerdo.</w:t>
      </w:r>
    </w:p>
    <w:p>
      <w:pPr>
        <w:pStyle w:val="BodyText"/>
        <w:spacing w:line="352" w:lineRule="auto" w:before="203"/>
        <w:ind w:left="118" w:right="263"/>
        <w:jc w:val="both"/>
      </w:pPr>
      <w:r>
        <w:rPr/>
        <w:t>Para conocer el consumo (demanda) de cada una de las ocho regiones del país se obtuvo la población de cada estado del año 2015 del Consejo Nacional de Población</w:t>
      </w:r>
      <w:r>
        <w:rPr>
          <w:position w:val="9"/>
          <w:sz w:val="16"/>
        </w:rPr>
        <w:t>(11). </w:t>
      </w:r>
      <w:r>
        <w:rPr/>
        <w:t>Esta población se multiplicó por el consumo </w:t>
      </w:r>
      <w:r>
        <w:rPr>
          <w:i/>
        </w:rPr>
        <w:t>per cápita </w:t>
      </w:r>
      <w:r>
        <w:rPr/>
        <w:t>reportado para la zona por la Confederación de Porcicultores</w:t>
      </w:r>
      <w:r>
        <w:rPr>
          <w:position w:val="9"/>
          <w:sz w:val="16"/>
        </w:rPr>
        <w:t>(12)</w:t>
      </w:r>
      <w:r>
        <w:rPr/>
        <w:t>, y se sumó el consumo de cada uno de los estados que integran cada región.</w:t>
      </w:r>
    </w:p>
    <w:p>
      <w:pPr>
        <w:pStyle w:val="BodyText"/>
        <w:spacing w:line="345" w:lineRule="auto" w:before="204"/>
        <w:ind w:left="118" w:right="267"/>
        <w:jc w:val="both"/>
        <w:rPr>
          <w:sz w:val="16"/>
        </w:rPr>
      </w:pPr>
      <w:r>
        <w:rPr/>
        <w:t>El precio regional de cerdo en canal se obtuvo conociendo el precio de cada estado que integra la región, el cual fue ponderado con la producción</w:t>
      </w:r>
      <w:r>
        <w:rPr>
          <w:position w:val="9"/>
          <w:sz w:val="16"/>
        </w:rPr>
        <w:t>(10)</w:t>
      </w:r>
      <w:r>
        <w:rPr/>
        <w:t>, el precio de los puntos de internación se obtuvo del  Sistema nacional de integración e información de mercados</w:t>
      </w:r>
      <w:r>
        <w:rPr>
          <w:position w:val="9"/>
          <w:sz w:val="16"/>
        </w:rPr>
        <w:t>(13).</w:t>
      </w:r>
    </w:p>
    <w:p>
      <w:pPr>
        <w:pStyle w:val="BodyText"/>
        <w:spacing w:line="357" w:lineRule="auto" w:before="213"/>
        <w:ind w:left="118" w:right="264"/>
        <w:jc w:val="both"/>
      </w:pPr>
      <w:r>
        <w:rPr/>
        <w:t>El costo de transporte dentro y entre regiones se calculó multiplicando la distancia por el costo por</w:t>
      </w:r>
      <w:r>
        <w:rPr>
          <w:spacing w:val="-17"/>
        </w:rPr>
        <w:t> </w:t>
      </w:r>
      <w:r>
        <w:rPr/>
        <w:t>kilómetro,</w:t>
      </w:r>
      <w:r>
        <w:rPr>
          <w:spacing w:val="-16"/>
        </w:rPr>
        <w:t> </w:t>
      </w:r>
      <w:r>
        <w:rPr/>
        <w:t>las</w:t>
      </w:r>
      <w:r>
        <w:rPr>
          <w:spacing w:val="-16"/>
        </w:rPr>
        <w:t> </w:t>
      </w:r>
      <w:r>
        <w:rPr/>
        <w:t>distancias</w:t>
      </w:r>
      <w:r>
        <w:rPr>
          <w:spacing w:val="-16"/>
        </w:rPr>
        <w:t> </w:t>
      </w:r>
      <w:r>
        <w:rPr/>
        <w:t>se</w:t>
      </w:r>
      <w:r>
        <w:rPr>
          <w:spacing w:val="-17"/>
        </w:rPr>
        <w:t> </w:t>
      </w:r>
      <w:r>
        <w:rPr/>
        <w:t>obtuvieron</w:t>
      </w:r>
      <w:r>
        <w:rPr>
          <w:spacing w:val="-17"/>
        </w:rPr>
        <w:t> </w:t>
      </w:r>
      <w:r>
        <w:rPr/>
        <w:t>con</w:t>
      </w:r>
      <w:r>
        <w:rPr>
          <w:spacing w:val="-16"/>
        </w:rPr>
        <w:t> </w:t>
      </w:r>
      <w:r>
        <w:rPr/>
        <w:t>la</w:t>
      </w:r>
      <w:r>
        <w:rPr>
          <w:spacing w:val="-17"/>
        </w:rPr>
        <w:t> </w:t>
      </w:r>
      <w:r>
        <w:rPr/>
        <w:t>herramienta</w:t>
      </w:r>
      <w:r>
        <w:rPr>
          <w:spacing w:val="-17"/>
        </w:rPr>
        <w:t> </w:t>
      </w:r>
      <w:r>
        <w:rPr/>
        <w:t>de</w:t>
      </w:r>
      <w:r>
        <w:rPr>
          <w:spacing w:val="-17"/>
        </w:rPr>
        <w:t> </w:t>
      </w:r>
      <w:r>
        <w:rPr/>
        <w:t>la</w:t>
      </w:r>
      <w:r>
        <w:rPr>
          <w:spacing w:val="-16"/>
        </w:rPr>
        <w:t> </w:t>
      </w:r>
      <w:r>
        <w:rPr/>
        <w:t>Secretaría</w:t>
      </w:r>
      <w:r>
        <w:rPr>
          <w:spacing w:val="-17"/>
        </w:rPr>
        <w:t> </w:t>
      </w:r>
      <w:r>
        <w:rPr/>
        <w:t>de</w:t>
      </w:r>
      <w:r>
        <w:rPr>
          <w:spacing w:val="-17"/>
        </w:rPr>
        <w:t> </w:t>
      </w:r>
      <w:r>
        <w:rPr/>
        <w:t>Comunicaciones y Trasportes punto a punto </w:t>
      </w:r>
      <w:r>
        <w:rPr>
          <w:position w:val="9"/>
          <w:sz w:val="16"/>
        </w:rPr>
        <w:t>(14)</w:t>
      </w:r>
      <w:r>
        <w:rPr/>
        <w:t>, se consideró cada capital del estado como punto de referencia y se ponderaron las distancias en cada región. El transporte de canales de cerdo es especializado</w:t>
      </w:r>
      <w:r>
        <w:rPr>
          <w:spacing w:val="-21"/>
        </w:rPr>
        <w:t> </w:t>
      </w:r>
      <w:r>
        <w:rPr/>
        <w:t>y tiene un costo por km de 2 dólares el equivalente a 35 pesos en el momento de la investigación. Este costo se obtuvo de forma directa a través de una entrevista realizada a una empresa particular que realiza servicios de transporte de carga</w:t>
      </w:r>
      <w:r>
        <w:rPr>
          <w:spacing w:val="-12"/>
        </w:rPr>
        <w:t> </w:t>
      </w:r>
      <w:r>
        <w:rPr/>
        <w:t>especializada.</w:t>
      </w:r>
    </w:p>
    <w:p>
      <w:pPr>
        <w:pStyle w:val="BodyText"/>
        <w:spacing w:line="345" w:lineRule="auto" w:before="193"/>
        <w:ind w:left="118" w:right="263"/>
        <w:jc w:val="both"/>
        <w:rPr>
          <w:sz w:val="16"/>
        </w:rPr>
      </w:pPr>
      <w:r>
        <w:rPr/>
        <w:t>Se consideraron las elasticidades regionales</w:t>
      </w:r>
      <w:r>
        <w:rPr>
          <w:position w:val="9"/>
          <w:sz w:val="16"/>
        </w:rPr>
        <w:t>(15) </w:t>
      </w:r>
      <w:r>
        <w:rPr/>
        <w:t>y para los puntos de internación se usaron las elasticidades nacionales</w:t>
      </w:r>
      <w:r>
        <w:rPr>
          <w:position w:val="9"/>
          <w:sz w:val="16"/>
        </w:rPr>
        <w:t>(15), </w:t>
      </w:r>
      <w:r>
        <w:rPr/>
        <w:t>también se calcularon las funciones precio-cantidad para demanda y </w:t>
      </w:r>
      <w:r>
        <w:rPr>
          <w:position w:val="-8"/>
        </w:rPr>
        <w:t>oferta</w:t>
      </w:r>
      <w:r>
        <w:rPr>
          <w:sz w:val="16"/>
        </w:rPr>
        <w:t>(17,18).</w:t>
      </w:r>
    </w:p>
    <w:p>
      <w:pPr>
        <w:pStyle w:val="BodyText"/>
        <w:spacing w:line="357" w:lineRule="auto" w:before="214"/>
        <w:ind w:left="118" w:right="266"/>
        <w:jc w:val="both"/>
      </w:pPr>
      <w:r>
        <w:rPr/>
        <w:t>Para el análisis de la información se utilizó el software Solver Premium Platform 2014-R2 y el solver MINOS, escrito en el lenguaje de programación GAMS (General Algebraic Modeling System), versión 24.4.2 para Windows, Office 2013 con base en Rosenthal</w:t>
      </w:r>
      <w:r>
        <w:rPr>
          <w:position w:val="9"/>
          <w:sz w:val="16"/>
        </w:rPr>
        <w:t>(19) </w:t>
      </w:r>
      <w:r>
        <w:rPr/>
        <w:t>los cuales desarrollan modelos de programación lineal y no lineal (cuadrática) que se utilizan en la optimización de recursos.</w:t>
      </w:r>
    </w:p>
    <w:p>
      <w:pPr>
        <w:pStyle w:val="BodyText"/>
        <w:spacing w:before="208"/>
        <w:ind w:left="118"/>
        <w:jc w:val="both"/>
      </w:pPr>
      <w:r>
        <w:rPr/>
        <w:t>Una vez que se obtuvo el modelo base, se generaron cinco escenarios.</w:t>
      </w:r>
    </w:p>
    <w:p>
      <w:pPr>
        <w:spacing w:after="0"/>
        <w:jc w:val="both"/>
        <w:sectPr>
          <w:pgSz w:w="12240" w:h="15840"/>
          <w:pgMar w:header="984" w:footer="986" w:top="1280" w:bottom="1180" w:left="1300" w:right="1340"/>
        </w:sectPr>
      </w:pPr>
    </w:p>
    <w:p>
      <w:pPr>
        <w:pStyle w:val="BodyText"/>
        <w:spacing w:line="360" w:lineRule="auto" w:before="125"/>
        <w:ind w:left="118" w:right="269"/>
        <w:jc w:val="both"/>
      </w:pPr>
      <w:bookmarkStart w:name="_bookmark21" w:id="35"/>
      <w:bookmarkEnd w:id="35"/>
      <w:r>
        <w:rPr/>
      </w:r>
      <w:r>
        <w:rPr/>
        <w:t>Escenario</w:t>
      </w:r>
      <w:r>
        <w:rPr>
          <w:spacing w:val="-12"/>
        </w:rPr>
        <w:t> </w:t>
      </w:r>
      <w:r>
        <w:rPr/>
        <w:t>1.</w:t>
      </w:r>
      <w:r>
        <w:rPr>
          <w:spacing w:val="35"/>
        </w:rPr>
        <w:t> </w:t>
      </w:r>
      <w:r>
        <w:rPr/>
        <w:t>Se</w:t>
      </w:r>
      <w:r>
        <w:rPr>
          <w:spacing w:val="-12"/>
        </w:rPr>
        <w:t> </w:t>
      </w:r>
      <w:r>
        <w:rPr/>
        <w:t>consideró</w:t>
      </w:r>
      <w:r>
        <w:rPr>
          <w:spacing w:val="-13"/>
        </w:rPr>
        <w:t> </w:t>
      </w:r>
      <w:r>
        <w:rPr/>
        <w:t>un</w:t>
      </w:r>
      <w:r>
        <w:rPr>
          <w:spacing w:val="-13"/>
        </w:rPr>
        <w:t> </w:t>
      </w:r>
      <w:r>
        <w:rPr/>
        <w:t>arancel</w:t>
      </w:r>
      <w:r>
        <w:rPr>
          <w:spacing w:val="-13"/>
        </w:rPr>
        <w:t> </w:t>
      </w:r>
      <w:r>
        <w:rPr/>
        <w:t>de</w:t>
      </w:r>
      <w:r>
        <w:rPr>
          <w:spacing w:val="-12"/>
        </w:rPr>
        <w:t> </w:t>
      </w:r>
      <w:r>
        <w:rPr/>
        <w:t>un</w:t>
      </w:r>
      <w:r>
        <w:rPr>
          <w:spacing w:val="-13"/>
        </w:rPr>
        <w:t> </w:t>
      </w:r>
      <w:r>
        <w:rPr/>
        <w:t>15%,</w:t>
      </w:r>
      <w:r>
        <w:rPr>
          <w:spacing w:val="-11"/>
        </w:rPr>
        <w:t> </w:t>
      </w:r>
      <w:r>
        <w:rPr/>
        <w:t>con</w:t>
      </w:r>
      <w:r>
        <w:rPr>
          <w:spacing w:val="-13"/>
        </w:rPr>
        <w:t> </w:t>
      </w:r>
      <w:r>
        <w:rPr/>
        <w:t>lo</w:t>
      </w:r>
      <w:r>
        <w:rPr>
          <w:spacing w:val="-13"/>
        </w:rPr>
        <w:t> </w:t>
      </w:r>
      <w:r>
        <w:rPr/>
        <w:t>cual</w:t>
      </w:r>
      <w:r>
        <w:rPr>
          <w:spacing w:val="-13"/>
        </w:rPr>
        <w:t> </w:t>
      </w:r>
      <w:r>
        <w:rPr/>
        <w:t>se</w:t>
      </w:r>
      <w:r>
        <w:rPr>
          <w:spacing w:val="-14"/>
        </w:rPr>
        <w:t> </w:t>
      </w:r>
      <w:r>
        <w:rPr/>
        <w:t>incrementó</w:t>
      </w:r>
      <w:r>
        <w:rPr>
          <w:spacing w:val="-11"/>
        </w:rPr>
        <w:t> </w:t>
      </w:r>
      <w:r>
        <w:rPr/>
        <w:t>$4.12</w:t>
      </w:r>
      <w:r>
        <w:rPr>
          <w:spacing w:val="-13"/>
        </w:rPr>
        <w:t> </w:t>
      </w:r>
      <w:r>
        <w:rPr/>
        <w:t>por</w:t>
      </w:r>
      <w:r>
        <w:rPr>
          <w:spacing w:val="-14"/>
        </w:rPr>
        <w:t> </w:t>
      </w:r>
      <w:r>
        <w:rPr/>
        <w:t>kg</w:t>
      </w:r>
      <w:r>
        <w:rPr>
          <w:spacing w:val="-13"/>
        </w:rPr>
        <w:t> </w:t>
      </w:r>
      <w:r>
        <w:rPr/>
        <w:t>el</w:t>
      </w:r>
      <w:r>
        <w:rPr>
          <w:spacing w:val="-13"/>
        </w:rPr>
        <w:t> </w:t>
      </w:r>
      <w:r>
        <w:rPr/>
        <w:t>precio de</w:t>
      </w:r>
      <w:r>
        <w:rPr>
          <w:spacing w:val="-5"/>
        </w:rPr>
        <w:t> </w:t>
      </w:r>
      <w:r>
        <w:rPr/>
        <w:t>la</w:t>
      </w:r>
      <w:r>
        <w:rPr>
          <w:spacing w:val="-4"/>
        </w:rPr>
        <w:t> </w:t>
      </w:r>
      <w:r>
        <w:rPr/>
        <w:t>carne</w:t>
      </w:r>
      <w:r>
        <w:rPr>
          <w:spacing w:val="-5"/>
        </w:rPr>
        <w:t> </w:t>
      </w:r>
      <w:r>
        <w:rPr/>
        <w:t>de</w:t>
      </w:r>
      <w:r>
        <w:rPr>
          <w:spacing w:val="-5"/>
        </w:rPr>
        <w:t> </w:t>
      </w:r>
      <w:r>
        <w:rPr/>
        <w:t>cerdo</w:t>
      </w:r>
      <w:r>
        <w:rPr>
          <w:spacing w:val="-4"/>
        </w:rPr>
        <w:t> </w:t>
      </w:r>
      <w:r>
        <w:rPr/>
        <w:t>importada,</w:t>
      </w:r>
      <w:r>
        <w:rPr>
          <w:spacing w:val="-4"/>
        </w:rPr>
        <w:t> </w:t>
      </w:r>
      <w:r>
        <w:rPr/>
        <w:t>pasando</w:t>
      </w:r>
      <w:r>
        <w:rPr>
          <w:spacing w:val="-4"/>
        </w:rPr>
        <w:t> </w:t>
      </w:r>
      <w:r>
        <w:rPr/>
        <w:t>de</w:t>
      </w:r>
      <w:r>
        <w:rPr>
          <w:spacing w:val="-5"/>
        </w:rPr>
        <w:t> </w:t>
      </w:r>
      <w:r>
        <w:rPr/>
        <w:t>$27.44</w:t>
      </w:r>
      <w:r>
        <w:rPr>
          <w:spacing w:val="-4"/>
        </w:rPr>
        <w:t> </w:t>
      </w:r>
      <w:r>
        <w:rPr/>
        <w:t>a</w:t>
      </w:r>
      <w:r>
        <w:rPr>
          <w:spacing w:val="-5"/>
        </w:rPr>
        <w:t> </w:t>
      </w:r>
      <w:r>
        <w:rPr/>
        <w:t>$31.56</w:t>
      </w:r>
      <w:r>
        <w:rPr>
          <w:spacing w:val="-4"/>
        </w:rPr>
        <w:t> </w:t>
      </w:r>
      <w:r>
        <w:rPr/>
        <w:t>por</w:t>
      </w:r>
      <w:r>
        <w:rPr>
          <w:spacing w:val="-5"/>
        </w:rPr>
        <w:t> </w:t>
      </w:r>
      <w:r>
        <w:rPr/>
        <w:t>kg</w:t>
      </w:r>
      <w:r>
        <w:rPr>
          <w:spacing w:val="-6"/>
        </w:rPr>
        <w:t> </w:t>
      </w:r>
      <w:r>
        <w:rPr/>
        <w:t>este</w:t>
      </w:r>
      <w:r>
        <w:rPr>
          <w:spacing w:val="-4"/>
        </w:rPr>
        <w:t> </w:t>
      </w:r>
      <w:r>
        <w:rPr/>
        <w:t>incremento</w:t>
      </w:r>
      <w:r>
        <w:rPr>
          <w:spacing w:val="-4"/>
        </w:rPr>
        <w:t> </w:t>
      </w:r>
      <w:r>
        <w:rPr/>
        <w:t>se</w:t>
      </w:r>
      <w:r>
        <w:rPr>
          <w:spacing w:val="-5"/>
        </w:rPr>
        <w:t> </w:t>
      </w:r>
      <w:r>
        <w:rPr/>
        <w:t>agregó</w:t>
      </w:r>
      <w:r>
        <w:rPr>
          <w:spacing w:val="-4"/>
        </w:rPr>
        <w:t> </w:t>
      </w:r>
      <w:r>
        <w:rPr/>
        <w:t>en la matriz de costo de transporte para los dos puntos de</w:t>
      </w:r>
      <w:r>
        <w:rPr>
          <w:spacing w:val="-12"/>
        </w:rPr>
        <w:t> </w:t>
      </w:r>
      <w:r>
        <w:rPr/>
        <w:t>internación.</w:t>
      </w:r>
    </w:p>
    <w:p>
      <w:pPr>
        <w:pStyle w:val="BodyText"/>
        <w:spacing w:line="360" w:lineRule="auto" w:before="205"/>
        <w:ind w:left="118" w:right="266"/>
        <w:jc w:val="both"/>
      </w:pPr>
      <w:r>
        <w:rPr/>
        <w:t>Escenario 2. Para este escenario, basándose en el apoyo del Programa porcino de la SAGARPA (Propor) que otorga $100 por animal sacrificado en rastros Tipo Inspección Federal (TIF) buscando un incremento en su ingreso y estimular el uso de rastros con mejores esquemas sanitarios, se consideró este monto para todos los cerdos sacrificados en el país.</w:t>
      </w:r>
    </w:p>
    <w:p>
      <w:pPr>
        <w:pStyle w:val="BodyText"/>
        <w:spacing w:line="360" w:lineRule="auto" w:before="206"/>
        <w:ind w:left="118" w:right="268"/>
        <w:jc w:val="both"/>
      </w:pPr>
      <w:r>
        <w:rPr/>
        <w:t>Con el inventario porcino y la cantidad de cerdos sacrificada en México en el año 2015, se obtuvo que el monto de subsidiar con $100 pesos por cerdo enviado a rastro es equivalente a hacerlo con $1500 a cada hembra en inventario o con $430 por cada tonelada de grano (maíz o sorgo) comprado, esta cantidad  se  restó al costo de transporte.</w:t>
      </w:r>
    </w:p>
    <w:p>
      <w:pPr>
        <w:pStyle w:val="BodyText"/>
        <w:spacing w:line="360" w:lineRule="auto" w:before="205"/>
        <w:ind w:left="118" w:right="266"/>
        <w:jc w:val="both"/>
      </w:pPr>
      <w:r>
        <w:rPr/>
        <w:t>Escenario 3. Para este escenario se consideró lo propuesto por el Programa porcino de la SAGARPA (Propor) que busca aumentar el ingreso del productor apoyando con $200 por hembra en inventario lo cual es equivalente a dar $13.34 por cada cerdo finalizado enviado a rastro o al apoyo de $57 pesos por cada tonelada de grano (maíz o sorgo) comprado.</w:t>
      </w:r>
    </w:p>
    <w:p>
      <w:pPr>
        <w:pStyle w:val="BodyText"/>
        <w:spacing w:line="360" w:lineRule="auto" w:before="203"/>
        <w:ind w:left="118" w:right="267"/>
        <w:jc w:val="both"/>
      </w:pPr>
      <w:r>
        <w:rPr/>
        <w:t>Escenario 4. Se utilizó la aplicación simultánea de un arancel de 15 % a la carne de importada y un subsidio de 100 pesos por cerdo enviado a rastro.</w:t>
      </w:r>
    </w:p>
    <w:p>
      <w:pPr>
        <w:pStyle w:val="BodyText"/>
        <w:spacing w:line="360" w:lineRule="auto" w:before="205"/>
        <w:ind w:left="118" w:right="262"/>
        <w:jc w:val="both"/>
      </w:pPr>
      <w:r>
        <w:rPr/>
        <w:t>Escenario 5. Se utilizó la aplicación simultánea de un arancel de 15 % a la carne de importada y un</w:t>
      </w:r>
      <w:r>
        <w:rPr>
          <w:spacing w:val="-6"/>
        </w:rPr>
        <w:t> </w:t>
      </w:r>
      <w:r>
        <w:rPr/>
        <w:t>subsidio</w:t>
      </w:r>
      <w:r>
        <w:rPr>
          <w:spacing w:val="-6"/>
        </w:rPr>
        <w:t> </w:t>
      </w:r>
      <w:r>
        <w:rPr/>
        <w:t>de</w:t>
      </w:r>
      <w:r>
        <w:rPr>
          <w:spacing w:val="-7"/>
        </w:rPr>
        <w:t> </w:t>
      </w:r>
      <w:r>
        <w:rPr/>
        <w:t>200</w:t>
      </w:r>
      <w:r>
        <w:rPr>
          <w:spacing w:val="-4"/>
        </w:rPr>
        <w:t> </w:t>
      </w:r>
      <w:r>
        <w:rPr/>
        <w:t>pesos</w:t>
      </w:r>
      <w:r>
        <w:rPr>
          <w:spacing w:val="-3"/>
        </w:rPr>
        <w:t> </w:t>
      </w:r>
      <w:r>
        <w:rPr/>
        <w:t>por</w:t>
      </w:r>
      <w:r>
        <w:rPr>
          <w:spacing w:val="-7"/>
        </w:rPr>
        <w:t> </w:t>
      </w:r>
      <w:r>
        <w:rPr/>
        <w:t>hembra</w:t>
      </w:r>
      <w:r>
        <w:rPr>
          <w:spacing w:val="-5"/>
        </w:rPr>
        <w:t> </w:t>
      </w:r>
      <w:r>
        <w:rPr/>
        <w:t>en</w:t>
      </w:r>
      <w:r>
        <w:rPr>
          <w:spacing w:val="-6"/>
        </w:rPr>
        <w:t> </w:t>
      </w:r>
      <w:r>
        <w:rPr/>
        <w:t>inventario,</w:t>
      </w:r>
      <w:r>
        <w:rPr>
          <w:spacing w:val="-6"/>
        </w:rPr>
        <w:t> </w:t>
      </w:r>
      <w:r>
        <w:rPr/>
        <w:t>para</w:t>
      </w:r>
      <w:r>
        <w:rPr>
          <w:spacing w:val="-7"/>
        </w:rPr>
        <w:t> </w:t>
      </w:r>
      <w:r>
        <w:rPr/>
        <w:t>estos</w:t>
      </w:r>
      <w:r>
        <w:rPr>
          <w:spacing w:val="-3"/>
        </w:rPr>
        <w:t> </w:t>
      </w:r>
      <w:r>
        <w:rPr/>
        <w:t>últimos</w:t>
      </w:r>
      <w:r>
        <w:rPr>
          <w:spacing w:val="-6"/>
        </w:rPr>
        <w:t> </w:t>
      </w:r>
      <w:r>
        <w:rPr/>
        <w:t>escenarios</w:t>
      </w:r>
      <w:r>
        <w:rPr>
          <w:spacing w:val="-6"/>
        </w:rPr>
        <w:t> </w:t>
      </w:r>
      <w:r>
        <w:rPr/>
        <w:t>el</w:t>
      </w:r>
      <w:r>
        <w:rPr>
          <w:spacing w:val="-4"/>
        </w:rPr>
        <w:t> </w:t>
      </w:r>
      <w:r>
        <w:rPr/>
        <w:t>arancel</w:t>
      </w:r>
      <w:r>
        <w:rPr>
          <w:spacing w:val="-4"/>
        </w:rPr>
        <w:t> </w:t>
      </w:r>
      <w:r>
        <w:rPr/>
        <w:t>se</w:t>
      </w:r>
      <w:r>
        <w:rPr>
          <w:spacing w:val="-7"/>
        </w:rPr>
        <w:t> </w:t>
      </w:r>
      <w:r>
        <w:rPr/>
        <w:t>le sumó y el subsidio se le restó al costo de</w:t>
      </w:r>
      <w:r>
        <w:rPr>
          <w:spacing w:val="-10"/>
        </w:rPr>
        <w:t> </w:t>
      </w:r>
      <w:r>
        <w:rPr/>
        <w:t>transporte.</w:t>
      </w:r>
    </w:p>
    <w:p>
      <w:pPr>
        <w:spacing w:after="0" w:line="360" w:lineRule="auto"/>
        <w:jc w:val="both"/>
        <w:sectPr>
          <w:pgSz w:w="12240" w:h="15840"/>
          <w:pgMar w:header="984" w:footer="986" w:top="1280" w:bottom="1180" w:left="130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7"/>
        </w:rPr>
      </w:pPr>
    </w:p>
    <w:p>
      <w:pPr>
        <w:pStyle w:val="ListParagraph"/>
        <w:numPr>
          <w:ilvl w:val="1"/>
          <w:numId w:val="2"/>
        </w:numPr>
        <w:tabs>
          <w:tab w:pos="2509" w:val="left" w:leader="none"/>
          <w:tab w:pos="2510" w:val="left" w:leader="none"/>
        </w:tabs>
        <w:spacing w:line="1081" w:lineRule="exact" w:before="0" w:after="0"/>
        <w:ind w:left="2509" w:right="0" w:hanging="1812"/>
        <w:jc w:val="left"/>
        <w:rPr>
          <w:sz w:val="96"/>
        </w:rPr>
      </w:pPr>
      <w:r>
        <w:rPr>
          <w:sz w:val="96"/>
        </w:rPr>
        <w:t>RESULTADOS</w:t>
      </w:r>
    </w:p>
    <w:p>
      <w:pPr>
        <w:spacing w:after="0" w:line="1081" w:lineRule="exact"/>
        <w:jc w:val="left"/>
        <w:rPr>
          <w:sz w:val="96"/>
        </w:rPr>
        <w:sectPr>
          <w:pgSz w:w="12240" w:h="15840"/>
          <w:pgMar w:header="984" w:footer="986" w:top="1280" w:bottom="1180" w:left="1300" w:right="1340"/>
        </w:sectPr>
      </w:pPr>
    </w:p>
    <w:p>
      <w:pPr>
        <w:pStyle w:val="BodyText"/>
        <w:spacing w:line="360" w:lineRule="auto" w:before="125"/>
        <w:ind w:left="118" w:right="269"/>
        <w:jc w:val="both"/>
      </w:pPr>
      <w:r>
        <w:rPr/>
        <w:t>Como resultado del presente trabajo de investigación se publicaron las contribuciones que a continuación se detallan.</w:t>
      </w:r>
    </w:p>
    <w:p>
      <w:pPr>
        <w:pStyle w:val="BodyText"/>
      </w:pPr>
    </w:p>
    <w:p>
      <w:pPr>
        <w:pStyle w:val="BodyText"/>
      </w:pPr>
    </w:p>
    <w:p>
      <w:pPr>
        <w:pStyle w:val="BodyText"/>
        <w:spacing w:before="1"/>
        <w:rPr>
          <w:sz w:val="23"/>
        </w:rPr>
      </w:pPr>
    </w:p>
    <w:p>
      <w:pPr>
        <w:pStyle w:val="ListParagraph"/>
        <w:numPr>
          <w:ilvl w:val="1"/>
          <w:numId w:val="17"/>
        </w:numPr>
        <w:tabs>
          <w:tab w:pos="479" w:val="left" w:leader="none"/>
        </w:tabs>
        <w:spacing w:line="240" w:lineRule="auto" w:before="0" w:after="0"/>
        <w:ind w:left="478" w:right="0" w:hanging="360"/>
        <w:jc w:val="both"/>
        <w:rPr>
          <w:sz w:val="24"/>
        </w:rPr>
      </w:pPr>
      <w:bookmarkStart w:name="_bookmark22" w:id="36"/>
      <w:bookmarkEnd w:id="36"/>
      <w:r>
        <w:rPr/>
      </w:r>
      <w:bookmarkStart w:name="_bookmark22" w:id="37"/>
      <w:bookmarkEnd w:id="37"/>
      <w:r>
        <w:rPr>
          <w:sz w:val="24"/>
        </w:rPr>
        <w:t>C</w:t>
      </w:r>
      <w:r>
        <w:rPr>
          <w:sz w:val="24"/>
        </w:rPr>
        <w:t>apitulo</w:t>
      </w:r>
      <w:r>
        <w:rPr>
          <w:spacing w:val="-1"/>
          <w:sz w:val="24"/>
        </w:rPr>
        <w:t> </w:t>
      </w:r>
      <w:r>
        <w:rPr>
          <w:sz w:val="24"/>
        </w:rPr>
        <w:t>uno</w:t>
      </w:r>
    </w:p>
    <w:p>
      <w:pPr>
        <w:pStyle w:val="BodyText"/>
      </w:pPr>
    </w:p>
    <w:p>
      <w:pPr>
        <w:pStyle w:val="BodyText"/>
      </w:pPr>
    </w:p>
    <w:p>
      <w:pPr>
        <w:pStyle w:val="BodyText"/>
        <w:spacing w:before="4"/>
        <w:rPr>
          <w:sz w:val="31"/>
        </w:rPr>
      </w:pPr>
    </w:p>
    <w:p>
      <w:pPr>
        <w:pStyle w:val="Heading3"/>
        <w:spacing w:line="360" w:lineRule="auto"/>
      </w:pPr>
      <w:r>
        <w:rPr/>
        <w:t>Determinación del tamaño de planta de rastros y distribución óptima de la carne de cerdo en la</w:t>
      </w:r>
      <w:r>
        <w:rPr>
          <w:spacing w:val="-48"/>
        </w:rPr>
        <w:t> </w:t>
      </w:r>
      <w:r>
        <w:rPr/>
        <w:t>región sur del estado de México. Análisis Corporativo, Desarrollo y Finanzas, Editorial Martínez, Primera edición Año 2016, ISBN: 978-607-503-183-5  </w:t>
      </w:r>
      <w:r>
        <w:rPr>
          <w:spacing w:val="77"/>
        </w:rPr>
        <w:t> </w:t>
      </w:r>
      <w:r>
        <w:rPr/>
        <w:t>pág.</w:t>
      </w:r>
    </w:p>
    <w:p>
      <w:pPr>
        <w:spacing w:before="9"/>
        <w:ind w:left="118" w:right="0" w:firstLine="0"/>
        <w:jc w:val="both"/>
        <w:rPr>
          <w:sz w:val="44"/>
        </w:rPr>
      </w:pPr>
      <w:r>
        <w:rPr>
          <w:sz w:val="44"/>
        </w:rPr>
        <w:t>203-224</w:t>
      </w:r>
    </w:p>
    <w:p>
      <w:pPr>
        <w:spacing w:after="0"/>
        <w:jc w:val="both"/>
        <w:rPr>
          <w:sz w:val="44"/>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478299" cy="7368921"/>
            <wp:effectExtent l="0" t="0" r="0" b="0"/>
            <wp:docPr id="7" name="image36.jpeg" descr=""/>
            <wp:cNvGraphicFramePr>
              <a:graphicFrameLocks noChangeAspect="1"/>
            </wp:cNvGraphicFramePr>
            <a:graphic>
              <a:graphicData uri="http://schemas.openxmlformats.org/drawingml/2006/picture">
                <pic:pic>
                  <pic:nvPicPr>
                    <pic:cNvPr id="8" name="image36.jpeg"/>
                    <pic:cNvPicPr/>
                  </pic:nvPicPr>
                  <pic:blipFill>
                    <a:blip r:embed="rId49" cstate="print"/>
                    <a:stretch>
                      <a:fillRect/>
                    </a:stretch>
                  </pic:blipFill>
                  <pic:spPr>
                    <a:xfrm>
                      <a:off x="0" y="0"/>
                      <a:ext cx="5478299" cy="7368921"/>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588198" cy="7524940"/>
            <wp:effectExtent l="0" t="0" r="0" b="0"/>
            <wp:docPr id="9" name="image37.jpeg" descr=""/>
            <wp:cNvGraphicFramePr>
              <a:graphicFrameLocks noChangeAspect="1"/>
            </wp:cNvGraphicFramePr>
            <a:graphic>
              <a:graphicData uri="http://schemas.openxmlformats.org/drawingml/2006/picture">
                <pic:pic>
                  <pic:nvPicPr>
                    <pic:cNvPr id="10" name="image37.jpeg"/>
                    <pic:cNvPicPr/>
                  </pic:nvPicPr>
                  <pic:blipFill>
                    <a:blip r:embed="rId50" cstate="print"/>
                    <a:stretch>
                      <a:fillRect/>
                    </a:stretch>
                  </pic:blipFill>
                  <pic:spPr>
                    <a:xfrm>
                      <a:off x="0" y="0"/>
                      <a:ext cx="5588198" cy="7524940"/>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570920" cy="7512939"/>
            <wp:effectExtent l="0" t="0" r="0" b="0"/>
            <wp:docPr id="11" name="image38.jpeg" descr=""/>
            <wp:cNvGraphicFramePr>
              <a:graphicFrameLocks noChangeAspect="1"/>
            </wp:cNvGraphicFramePr>
            <a:graphic>
              <a:graphicData uri="http://schemas.openxmlformats.org/drawingml/2006/picture">
                <pic:pic>
                  <pic:nvPicPr>
                    <pic:cNvPr id="12" name="image38.jpeg"/>
                    <pic:cNvPicPr/>
                  </pic:nvPicPr>
                  <pic:blipFill>
                    <a:blip r:embed="rId51" cstate="print"/>
                    <a:stretch>
                      <a:fillRect/>
                    </a:stretch>
                  </pic:blipFill>
                  <pic:spPr>
                    <a:xfrm>
                      <a:off x="0" y="0"/>
                      <a:ext cx="5570920" cy="7512939"/>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531191" cy="7608951"/>
            <wp:effectExtent l="0" t="0" r="0" b="0"/>
            <wp:docPr id="13" name="image39.jpeg" descr=""/>
            <wp:cNvGraphicFramePr>
              <a:graphicFrameLocks noChangeAspect="1"/>
            </wp:cNvGraphicFramePr>
            <a:graphic>
              <a:graphicData uri="http://schemas.openxmlformats.org/drawingml/2006/picture">
                <pic:pic>
                  <pic:nvPicPr>
                    <pic:cNvPr id="14" name="image39.jpeg"/>
                    <pic:cNvPicPr/>
                  </pic:nvPicPr>
                  <pic:blipFill>
                    <a:blip r:embed="rId52" cstate="print"/>
                    <a:stretch>
                      <a:fillRect/>
                    </a:stretch>
                  </pic:blipFill>
                  <pic:spPr>
                    <a:xfrm>
                      <a:off x="0" y="0"/>
                      <a:ext cx="5531191" cy="7608951"/>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561979" cy="7302912"/>
            <wp:effectExtent l="0" t="0" r="0" b="0"/>
            <wp:docPr id="15" name="image40.jpeg" descr=""/>
            <wp:cNvGraphicFramePr>
              <a:graphicFrameLocks noChangeAspect="1"/>
            </wp:cNvGraphicFramePr>
            <a:graphic>
              <a:graphicData uri="http://schemas.openxmlformats.org/drawingml/2006/picture">
                <pic:pic>
                  <pic:nvPicPr>
                    <pic:cNvPr id="16" name="image40.jpeg"/>
                    <pic:cNvPicPr/>
                  </pic:nvPicPr>
                  <pic:blipFill>
                    <a:blip r:embed="rId53" cstate="print"/>
                    <a:stretch>
                      <a:fillRect/>
                    </a:stretch>
                  </pic:blipFill>
                  <pic:spPr>
                    <a:xfrm>
                      <a:off x="0" y="0"/>
                      <a:ext cx="5561979" cy="730291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513189" cy="7758969"/>
            <wp:effectExtent l="0" t="0" r="0" b="0"/>
            <wp:docPr id="17" name="image41.jpeg" descr=""/>
            <wp:cNvGraphicFramePr>
              <a:graphicFrameLocks noChangeAspect="1"/>
            </wp:cNvGraphicFramePr>
            <a:graphic>
              <a:graphicData uri="http://schemas.openxmlformats.org/drawingml/2006/picture">
                <pic:pic>
                  <pic:nvPicPr>
                    <pic:cNvPr id="18" name="image41.jpeg"/>
                    <pic:cNvPicPr/>
                  </pic:nvPicPr>
                  <pic:blipFill>
                    <a:blip r:embed="rId54" cstate="print"/>
                    <a:stretch>
                      <a:fillRect/>
                    </a:stretch>
                  </pic:blipFill>
                  <pic:spPr>
                    <a:xfrm>
                      <a:off x="0" y="0"/>
                      <a:ext cx="5513189" cy="7758969"/>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08683" cy="7363968"/>
            <wp:effectExtent l="0" t="0" r="0" b="0"/>
            <wp:docPr id="19" name="image42.jpeg" descr=""/>
            <wp:cNvGraphicFramePr>
              <a:graphicFrameLocks noChangeAspect="1"/>
            </wp:cNvGraphicFramePr>
            <a:graphic>
              <a:graphicData uri="http://schemas.openxmlformats.org/drawingml/2006/picture">
                <pic:pic>
                  <pic:nvPicPr>
                    <pic:cNvPr id="20" name="image42.jpeg"/>
                    <pic:cNvPicPr/>
                  </pic:nvPicPr>
                  <pic:blipFill>
                    <a:blip r:embed="rId55" cstate="print"/>
                    <a:stretch>
                      <a:fillRect/>
                    </a:stretch>
                  </pic:blipFill>
                  <pic:spPr>
                    <a:xfrm>
                      <a:off x="0" y="0"/>
                      <a:ext cx="5608683" cy="7363968"/>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585853" cy="7528559"/>
            <wp:effectExtent l="0" t="0" r="0" b="0"/>
            <wp:docPr id="21" name="image43.jpeg" descr=""/>
            <wp:cNvGraphicFramePr>
              <a:graphicFrameLocks noChangeAspect="1"/>
            </wp:cNvGraphicFramePr>
            <a:graphic>
              <a:graphicData uri="http://schemas.openxmlformats.org/drawingml/2006/picture">
                <pic:pic>
                  <pic:nvPicPr>
                    <pic:cNvPr id="22" name="image43.jpeg"/>
                    <pic:cNvPicPr/>
                  </pic:nvPicPr>
                  <pic:blipFill>
                    <a:blip r:embed="rId56" cstate="print"/>
                    <a:stretch>
                      <a:fillRect/>
                    </a:stretch>
                  </pic:blipFill>
                  <pic:spPr>
                    <a:xfrm>
                      <a:off x="0" y="0"/>
                      <a:ext cx="5585853" cy="7528559"/>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575818" cy="7458932"/>
            <wp:effectExtent l="0" t="0" r="0" b="0"/>
            <wp:docPr id="23" name="image44.jpeg" descr=""/>
            <wp:cNvGraphicFramePr>
              <a:graphicFrameLocks noChangeAspect="1"/>
            </wp:cNvGraphicFramePr>
            <a:graphic>
              <a:graphicData uri="http://schemas.openxmlformats.org/drawingml/2006/picture">
                <pic:pic>
                  <pic:nvPicPr>
                    <pic:cNvPr id="24" name="image44.jpeg"/>
                    <pic:cNvPicPr/>
                  </pic:nvPicPr>
                  <pic:blipFill>
                    <a:blip r:embed="rId57" cstate="print"/>
                    <a:stretch>
                      <a:fillRect/>
                    </a:stretch>
                  </pic:blipFill>
                  <pic:spPr>
                    <a:xfrm>
                      <a:off x="0" y="0"/>
                      <a:ext cx="5575818" cy="74589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02437" cy="7512939"/>
            <wp:effectExtent l="0" t="0" r="0" b="0"/>
            <wp:docPr id="25" name="image45.jpeg" descr=""/>
            <wp:cNvGraphicFramePr>
              <a:graphicFrameLocks noChangeAspect="1"/>
            </wp:cNvGraphicFramePr>
            <a:graphic>
              <a:graphicData uri="http://schemas.openxmlformats.org/drawingml/2006/picture">
                <pic:pic>
                  <pic:nvPicPr>
                    <pic:cNvPr id="26" name="image45.jpeg"/>
                    <pic:cNvPicPr/>
                  </pic:nvPicPr>
                  <pic:blipFill>
                    <a:blip r:embed="rId58" cstate="print"/>
                    <a:stretch>
                      <a:fillRect/>
                    </a:stretch>
                  </pic:blipFill>
                  <pic:spPr>
                    <a:xfrm>
                      <a:off x="0" y="0"/>
                      <a:ext cx="5602437" cy="7512939"/>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27976" cy="7428928"/>
            <wp:effectExtent l="0" t="0" r="0" b="0"/>
            <wp:docPr id="27" name="image46.jpeg" descr=""/>
            <wp:cNvGraphicFramePr>
              <a:graphicFrameLocks noChangeAspect="1"/>
            </wp:cNvGraphicFramePr>
            <a:graphic>
              <a:graphicData uri="http://schemas.openxmlformats.org/drawingml/2006/picture">
                <pic:pic>
                  <pic:nvPicPr>
                    <pic:cNvPr id="28" name="image46.jpeg"/>
                    <pic:cNvPicPr/>
                  </pic:nvPicPr>
                  <pic:blipFill>
                    <a:blip r:embed="rId59" cstate="print"/>
                    <a:stretch>
                      <a:fillRect/>
                    </a:stretch>
                  </pic:blipFill>
                  <pic:spPr>
                    <a:xfrm>
                      <a:off x="0" y="0"/>
                      <a:ext cx="5627976" cy="7428928"/>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37670" cy="7607808"/>
            <wp:effectExtent l="0" t="0" r="0" b="0"/>
            <wp:docPr id="29" name="image47.jpeg" descr=""/>
            <wp:cNvGraphicFramePr>
              <a:graphicFrameLocks noChangeAspect="1"/>
            </wp:cNvGraphicFramePr>
            <a:graphic>
              <a:graphicData uri="http://schemas.openxmlformats.org/drawingml/2006/picture">
                <pic:pic>
                  <pic:nvPicPr>
                    <pic:cNvPr id="30" name="image47.jpeg"/>
                    <pic:cNvPicPr/>
                  </pic:nvPicPr>
                  <pic:blipFill>
                    <a:blip r:embed="rId60" cstate="print"/>
                    <a:stretch>
                      <a:fillRect/>
                    </a:stretch>
                  </pic:blipFill>
                  <pic:spPr>
                    <a:xfrm>
                      <a:off x="0" y="0"/>
                      <a:ext cx="5637670" cy="7607808"/>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552947" cy="7392924"/>
            <wp:effectExtent l="0" t="0" r="0" b="0"/>
            <wp:docPr id="31" name="image48.jpeg" descr=""/>
            <wp:cNvGraphicFramePr>
              <a:graphicFrameLocks noChangeAspect="1"/>
            </wp:cNvGraphicFramePr>
            <a:graphic>
              <a:graphicData uri="http://schemas.openxmlformats.org/drawingml/2006/picture">
                <pic:pic>
                  <pic:nvPicPr>
                    <pic:cNvPr id="32" name="image48.jpeg"/>
                    <pic:cNvPicPr/>
                  </pic:nvPicPr>
                  <pic:blipFill>
                    <a:blip r:embed="rId61" cstate="print"/>
                    <a:stretch>
                      <a:fillRect/>
                    </a:stretch>
                  </pic:blipFill>
                  <pic:spPr>
                    <a:xfrm>
                      <a:off x="0" y="0"/>
                      <a:ext cx="5552947" cy="7392924"/>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rPr>
          <w:sz w:val="20"/>
        </w:rPr>
      </w:pPr>
    </w:p>
    <w:p>
      <w:pPr>
        <w:pStyle w:val="BodyText"/>
        <w:rPr>
          <w:sz w:val="20"/>
        </w:rPr>
      </w:pPr>
    </w:p>
    <w:p>
      <w:pPr>
        <w:pStyle w:val="BodyText"/>
        <w:spacing w:before="7"/>
        <w:rPr>
          <w:sz w:val="21"/>
        </w:rPr>
      </w:pPr>
    </w:p>
    <w:p>
      <w:pPr>
        <w:pStyle w:val="BodyText"/>
        <w:ind w:left="118"/>
        <w:rPr>
          <w:sz w:val="20"/>
        </w:rPr>
      </w:pPr>
      <w:r>
        <w:rPr>
          <w:sz w:val="20"/>
        </w:rPr>
        <w:drawing>
          <wp:inline distT="0" distB="0" distL="0" distR="0">
            <wp:extent cx="5551811" cy="7452931"/>
            <wp:effectExtent l="0" t="0" r="0" b="0"/>
            <wp:docPr id="33" name="image49.jpeg" descr=""/>
            <wp:cNvGraphicFramePr>
              <a:graphicFrameLocks noChangeAspect="1"/>
            </wp:cNvGraphicFramePr>
            <a:graphic>
              <a:graphicData uri="http://schemas.openxmlformats.org/drawingml/2006/picture">
                <pic:pic>
                  <pic:nvPicPr>
                    <pic:cNvPr id="34" name="image49.jpeg"/>
                    <pic:cNvPicPr/>
                  </pic:nvPicPr>
                  <pic:blipFill>
                    <a:blip r:embed="rId62" cstate="print"/>
                    <a:stretch>
                      <a:fillRect/>
                    </a:stretch>
                  </pic:blipFill>
                  <pic:spPr>
                    <a:xfrm>
                      <a:off x="0" y="0"/>
                      <a:ext cx="5551811" cy="7452931"/>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rPr>
          <w:sz w:val="20"/>
        </w:rPr>
      </w:pPr>
    </w:p>
    <w:p>
      <w:pPr>
        <w:pStyle w:val="BodyText"/>
        <w:rPr>
          <w:sz w:val="20"/>
        </w:rPr>
      </w:pPr>
    </w:p>
    <w:p>
      <w:pPr>
        <w:pStyle w:val="BodyText"/>
        <w:spacing w:before="7"/>
        <w:rPr>
          <w:sz w:val="21"/>
        </w:rPr>
      </w:pPr>
    </w:p>
    <w:p>
      <w:pPr>
        <w:pStyle w:val="BodyText"/>
        <w:ind w:left="118"/>
        <w:rPr>
          <w:sz w:val="20"/>
        </w:rPr>
      </w:pPr>
      <w:r>
        <w:rPr>
          <w:sz w:val="20"/>
        </w:rPr>
        <w:drawing>
          <wp:inline distT="0" distB="0" distL="0" distR="0">
            <wp:extent cx="5600699" cy="7607808"/>
            <wp:effectExtent l="0" t="0" r="0" b="0"/>
            <wp:docPr id="35" name="image50.jpeg" descr=""/>
            <wp:cNvGraphicFramePr>
              <a:graphicFrameLocks noChangeAspect="1"/>
            </wp:cNvGraphicFramePr>
            <a:graphic>
              <a:graphicData uri="http://schemas.openxmlformats.org/drawingml/2006/picture">
                <pic:pic>
                  <pic:nvPicPr>
                    <pic:cNvPr id="36" name="image50.jpeg"/>
                    <pic:cNvPicPr/>
                  </pic:nvPicPr>
                  <pic:blipFill>
                    <a:blip r:embed="rId63" cstate="print"/>
                    <a:stretch>
                      <a:fillRect/>
                    </a:stretch>
                  </pic:blipFill>
                  <pic:spPr>
                    <a:xfrm>
                      <a:off x="0" y="0"/>
                      <a:ext cx="5600699" cy="7607808"/>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rPr>
          <w:sz w:val="20"/>
        </w:rPr>
      </w:pPr>
    </w:p>
    <w:p>
      <w:pPr>
        <w:pStyle w:val="BodyText"/>
        <w:rPr>
          <w:sz w:val="20"/>
        </w:rPr>
      </w:pPr>
    </w:p>
    <w:p>
      <w:pPr>
        <w:pStyle w:val="BodyText"/>
        <w:spacing w:before="7"/>
        <w:rPr>
          <w:sz w:val="21"/>
        </w:rPr>
      </w:pPr>
    </w:p>
    <w:p>
      <w:pPr>
        <w:pStyle w:val="BodyText"/>
        <w:ind w:left="118"/>
        <w:rPr>
          <w:sz w:val="20"/>
        </w:rPr>
      </w:pPr>
      <w:r>
        <w:rPr>
          <w:sz w:val="20"/>
        </w:rPr>
        <w:drawing>
          <wp:inline distT="0" distB="0" distL="0" distR="0">
            <wp:extent cx="5494801" cy="7392924"/>
            <wp:effectExtent l="0" t="0" r="0" b="0"/>
            <wp:docPr id="37" name="image51.jpeg" descr=""/>
            <wp:cNvGraphicFramePr>
              <a:graphicFrameLocks noChangeAspect="1"/>
            </wp:cNvGraphicFramePr>
            <a:graphic>
              <a:graphicData uri="http://schemas.openxmlformats.org/drawingml/2006/picture">
                <pic:pic>
                  <pic:nvPicPr>
                    <pic:cNvPr id="38" name="image51.jpeg"/>
                    <pic:cNvPicPr/>
                  </pic:nvPicPr>
                  <pic:blipFill>
                    <a:blip r:embed="rId64" cstate="print"/>
                    <a:stretch>
                      <a:fillRect/>
                    </a:stretch>
                  </pic:blipFill>
                  <pic:spPr>
                    <a:xfrm>
                      <a:off x="0" y="0"/>
                      <a:ext cx="5494801" cy="7392924"/>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rPr>
          <w:sz w:val="20"/>
        </w:rPr>
      </w:pPr>
    </w:p>
    <w:p>
      <w:pPr>
        <w:pStyle w:val="BodyText"/>
        <w:rPr>
          <w:sz w:val="20"/>
        </w:rPr>
      </w:pPr>
    </w:p>
    <w:p>
      <w:pPr>
        <w:pStyle w:val="BodyText"/>
        <w:spacing w:before="7"/>
        <w:rPr>
          <w:sz w:val="21"/>
        </w:rPr>
      </w:pPr>
    </w:p>
    <w:p>
      <w:pPr>
        <w:pStyle w:val="BodyText"/>
        <w:ind w:left="118"/>
        <w:rPr>
          <w:sz w:val="20"/>
        </w:rPr>
      </w:pPr>
      <w:r>
        <w:rPr>
          <w:sz w:val="20"/>
        </w:rPr>
        <w:drawing>
          <wp:inline distT="0" distB="0" distL="0" distR="0">
            <wp:extent cx="5457291" cy="7380922"/>
            <wp:effectExtent l="0" t="0" r="0" b="0"/>
            <wp:docPr id="39" name="image52.jpeg" descr=""/>
            <wp:cNvGraphicFramePr>
              <a:graphicFrameLocks noChangeAspect="1"/>
            </wp:cNvGraphicFramePr>
            <a:graphic>
              <a:graphicData uri="http://schemas.openxmlformats.org/drawingml/2006/picture">
                <pic:pic>
                  <pic:nvPicPr>
                    <pic:cNvPr id="40" name="image52.jpeg"/>
                    <pic:cNvPicPr/>
                  </pic:nvPicPr>
                  <pic:blipFill>
                    <a:blip r:embed="rId65" cstate="print"/>
                    <a:stretch>
                      <a:fillRect/>
                    </a:stretch>
                  </pic:blipFill>
                  <pic:spPr>
                    <a:xfrm>
                      <a:off x="0" y="0"/>
                      <a:ext cx="5457291" cy="738092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4"/>
        <w:rPr>
          <w:sz w:val="17"/>
        </w:rPr>
      </w:pPr>
    </w:p>
    <w:p>
      <w:pPr>
        <w:spacing w:after="0"/>
        <w:rPr>
          <w:sz w:val="17"/>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418677" cy="7392924"/>
            <wp:effectExtent l="0" t="0" r="0" b="0"/>
            <wp:docPr id="41" name="image53.jpeg" descr=""/>
            <wp:cNvGraphicFramePr>
              <a:graphicFrameLocks noChangeAspect="1"/>
            </wp:cNvGraphicFramePr>
            <a:graphic>
              <a:graphicData uri="http://schemas.openxmlformats.org/drawingml/2006/picture">
                <pic:pic>
                  <pic:nvPicPr>
                    <pic:cNvPr id="42" name="image53.jpeg"/>
                    <pic:cNvPicPr/>
                  </pic:nvPicPr>
                  <pic:blipFill>
                    <a:blip r:embed="rId66" cstate="print"/>
                    <a:stretch>
                      <a:fillRect/>
                    </a:stretch>
                  </pic:blipFill>
                  <pic:spPr>
                    <a:xfrm>
                      <a:off x="0" y="0"/>
                      <a:ext cx="5418677" cy="7392924"/>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rPr>
          <w:sz w:val="20"/>
        </w:rPr>
      </w:pPr>
    </w:p>
    <w:p>
      <w:pPr>
        <w:pStyle w:val="BodyText"/>
        <w:rPr>
          <w:sz w:val="20"/>
        </w:rPr>
      </w:pPr>
    </w:p>
    <w:p>
      <w:pPr>
        <w:pStyle w:val="BodyText"/>
        <w:spacing w:before="7"/>
        <w:rPr>
          <w:sz w:val="21"/>
        </w:rPr>
      </w:pPr>
    </w:p>
    <w:p>
      <w:pPr>
        <w:pStyle w:val="BodyText"/>
        <w:ind w:left="118"/>
        <w:rPr>
          <w:sz w:val="20"/>
        </w:rPr>
      </w:pPr>
      <w:r>
        <w:rPr>
          <w:sz w:val="20"/>
        </w:rPr>
        <w:drawing>
          <wp:inline distT="0" distB="0" distL="0" distR="0">
            <wp:extent cx="5432346" cy="7400544"/>
            <wp:effectExtent l="0" t="0" r="0" b="0"/>
            <wp:docPr id="43" name="image54.jpeg" descr=""/>
            <wp:cNvGraphicFramePr>
              <a:graphicFrameLocks noChangeAspect="1"/>
            </wp:cNvGraphicFramePr>
            <a:graphic>
              <a:graphicData uri="http://schemas.openxmlformats.org/drawingml/2006/picture">
                <pic:pic>
                  <pic:nvPicPr>
                    <pic:cNvPr id="44" name="image54.jpeg"/>
                    <pic:cNvPicPr/>
                  </pic:nvPicPr>
                  <pic:blipFill>
                    <a:blip r:embed="rId67" cstate="print"/>
                    <a:stretch>
                      <a:fillRect/>
                    </a:stretch>
                  </pic:blipFill>
                  <pic:spPr>
                    <a:xfrm>
                      <a:off x="0" y="0"/>
                      <a:ext cx="5432346" cy="7400544"/>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rPr>
          <w:sz w:val="20"/>
        </w:rPr>
      </w:pPr>
    </w:p>
    <w:p>
      <w:pPr>
        <w:pStyle w:val="BodyText"/>
        <w:rPr>
          <w:sz w:val="20"/>
        </w:rPr>
      </w:pPr>
    </w:p>
    <w:p>
      <w:pPr>
        <w:pStyle w:val="BodyText"/>
        <w:spacing w:before="7"/>
        <w:rPr>
          <w:sz w:val="21"/>
        </w:rPr>
      </w:pPr>
    </w:p>
    <w:p>
      <w:pPr>
        <w:pStyle w:val="BodyText"/>
        <w:ind w:left="118"/>
        <w:rPr>
          <w:sz w:val="20"/>
        </w:rPr>
      </w:pPr>
      <w:r>
        <w:rPr>
          <w:sz w:val="20"/>
        </w:rPr>
        <w:drawing>
          <wp:inline distT="0" distB="0" distL="0" distR="0">
            <wp:extent cx="5372884" cy="7284910"/>
            <wp:effectExtent l="0" t="0" r="0" b="0"/>
            <wp:docPr id="45" name="image55.jpeg" descr=""/>
            <wp:cNvGraphicFramePr>
              <a:graphicFrameLocks noChangeAspect="1"/>
            </wp:cNvGraphicFramePr>
            <a:graphic>
              <a:graphicData uri="http://schemas.openxmlformats.org/drawingml/2006/picture">
                <pic:pic>
                  <pic:nvPicPr>
                    <pic:cNvPr id="46" name="image55.jpeg"/>
                    <pic:cNvPicPr/>
                  </pic:nvPicPr>
                  <pic:blipFill>
                    <a:blip r:embed="rId68" cstate="print"/>
                    <a:stretch>
                      <a:fillRect/>
                    </a:stretch>
                  </pic:blipFill>
                  <pic:spPr>
                    <a:xfrm>
                      <a:off x="0" y="0"/>
                      <a:ext cx="5372884" cy="7284910"/>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rPr>
          <w:sz w:val="20"/>
        </w:rPr>
      </w:pPr>
    </w:p>
    <w:p>
      <w:pPr>
        <w:pStyle w:val="BodyText"/>
        <w:rPr>
          <w:sz w:val="20"/>
        </w:rPr>
      </w:pPr>
    </w:p>
    <w:p>
      <w:pPr>
        <w:pStyle w:val="BodyText"/>
        <w:spacing w:before="7"/>
        <w:rPr>
          <w:sz w:val="21"/>
        </w:rPr>
      </w:pPr>
    </w:p>
    <w:p>
      <w:pPr>
        <w:pStyle w:val="BodyText"/>
        <w:ind w:left="118"/>
        <w:rPr>
          <w:sz w:val="20"/>
        </w:rPr>
      </w:pPr>
      <w:r>
        <w:rPr>
          <w:sz w:val="20"/>
        </w:rPr>
        <w:drawing>
          <wp:inline distT="0" distB="0" distL="0" distR="0">
            <wp:extent cx="5409098" cy="7485888"/>
            <wp:effectExtent l="0" t="0" r="0" b="0"/>
            <wp:docPr id="47" name="image56.jpeg" descr=""/>
            <wp:cNvGraphicFramePr>
              <a:graphicFrameLocks noChangeAspect="1"/>
            </wp:cNvGraphicFramePr>
            <a:graphic>
              <a:graphicData uri="http://schemas.openxmlformats.org/drawingml/2006/picture">
                <pic:pic>
                  <pic:nvPicPr>
                    <pic:cNvPr id="48" name="image56.jpeg"/>
                    <pic:cNvPicPr/>
                  </pic:nvPicPr>
                  <pic:blipFill>
                    <a:blip r:embed="rId69" cstate="print"/>
                    <a:stretch>
                      <a:fillRect/>
                    </a:stretch>
                  </pic:blipFill>
                  <pic:spPr>
                    <a:xfrm>
                      <a:off x="0" y="0"/>
                      <a:ext cx="5409098" cy="7485888"/>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409105" cy="7528559"/>
            <wp:effectExtent l="0" t="0" r="0" b="0"/>
            <wp:docPr id="49" name="image57.jpeg" descr=""/>
            <wp:cNvGraphicFramePr>
              <a:graphicFrameLocks noChangeAspect="1"/>
            </wp:cNvGraphicFramePr>
            <a:graphic>
              <a:graphicData uri="http://schemas.openxmlformats.org/drawingml/2006/picture">
                <pic:pic>
                  <pic:nvPicPr>
                    <pic:cNvPr id="50" name="image57.jpeg"/>
                    <pic:cNvPicPr/>
                  </pic:nvPicPr>
                  <pic:blipFill>
                    <a:blip r:embed="rId70" cstate="print"/>
                    <a:stretch>
                      <a:fillRect/>
                    </a:stretch>
                  </pic:blipFill>
                  <pic:spPr>
                    <a:xfrm>
                      <a:off x="0" y="0"/>
                      <a:ext cx="5409105" cy="7528559"/>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476796" cy="7386923"/>
            <wp:effectExtent l="0" t="0" r="0" b="0"/>
            <wp:docPr id="51" name="image58.jpeg" descr=""/>
            <wp:cNvGraphicFramePr>
              <a:graphicFrameLocks noChangeAspect="1"/>
            </wp:cNvGraphicFramePr>
            <a:graphic>
              <a:graphicData uri="http://schemas.openxmlformats.org/drawingml/2006/picture">
                <pic:pic>
                  <pic:nvPicPr>
                    <pic:cNvPr id="52" name="image58.jpeg"/>
                    <pic:cNvPicPr/>
                  </pic:nvPicPr>
                  <pic:blipFill>
                    <a:blip r:embed="rId71" cstate="print"/>
                    <a:stretch>
                      <a:fillRect/>
                    </a:stretch>
                  </pic:blipFill>
                  <pic:spPr>
                    <a:xfrm>
                      <a:off x="0" y="0"/>
                      <a:ext cx="5476796" cy="7386923"/>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rPr>
          <w:sz w:val="20"/>
        </w:rPr>
      </w:pPr>
    </w:p>
    <w:p>
      <w:pPr>
        <w:pStyle w:val="BodyText"/>
        <w:rPr>
          <w:sz w:val="20"/>
        </w:rPr>
      </w:pPr>
    </w:p>
    <w:p>
      <w:pPr>
        <w:pStyle w:val="BodyText"/>
        <w:spacing w:before="7"/>
        <w:rPr>
          <w:sz w:val="21"/>
        </w:rPr>
      </w:pPr>
    </w:p>
    <w:p>
      <w:pPr>
        <w:pStyle w:val="BodyText"/>
        <w:ind w:left="118"/>
        <w:rPr>
          <w:sz w:val="20"/>
        </w:rPr>
      </w:pPr>
      <w:r>
        <w:rPr>
          <w:sz w:val="20"/>
        </w:rPr>
        <w:drawing>
          <wp:inline distT="0" distB="0" distL="0" distR="0">
            <wp:extent cx="5535537" cy="7309104"/>
            <wp:effectExtent l="0" t="0" r="0" b="0"/>
            <wp:docPr id="53" name="image59.jpeg" descr=""/>
            <wp:cNvGraphicFramePr>
              <a:graphicFrameLocks noChangeAspect="1"/>
            </wp:cNvGraphicFramePr>
            <a:graphic>
              <a:graphicData uri="http://schemas.openxmlformats.org/drawingml/2006/picture">
                <pic:pic>
                  <pic:nvPicPr>
                    <pic:cNvPr id="54" name="image59.jpeg"/>
                    <pic:cNvPicPr/>
                  </pic:nvPicPr>
                  <pic:blipFill>
                    <a:blip r:embed="rId72" cstate="print"/>
                    <a:stretch>
                      <a:fillRect/>
                    </a:stretch>
                  </pic:blipFill>
                  <pic:spPr>
                    <a:xfrm>
                      <a:off x="0" y="0"/>
                      <a:ext cx="5535537" cy="7309104"/>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rPr>
          <w:sz w:val="20"/>
        </w:rPr>
      </w:pPr>
    </w:p>
    <w:p>
      <w:pPr>
        <w:pStyle w:val="BodyText"/>
        <w:rPr>
          <w:sz w:val="20"/>
        </w:rPr>
      </w:pPr>
    </w:p>
    <w:p>
      <w:pPr>
        <w:pStyle w:val="BodyText"/>
        <w:spacing w:before="7"/>
        <w:rPr>
          <w:sz w:val="21"/>
        </w:rPr>
      </w:pPr>
    </w:p>
    <w:p>
      <w:pPr>
        <w:pStyle w:val="BodyText"/>
        <w:ind w:left="118"/>
        <w:rPr>
          <w:sz w:val="20"/>
        </w:rPr>
      </w:pPr>
      <w:r>
        <w:rPr>
          <w:sz w:val="20"/>
        </w:rPr>
        <w:drawing>
          <wp:inline distT="0" distB="0" distL="0" distR="0">
            <wp:extent cx="5459325" cy="7132319"/>
            <wp:effectExtent l="0" t="0" r="0" b="0"/>
            <wp:docPr id="55" name="image60.jpeg" descr=""/>
            <wp:cNvGraphicFramePr>
              <a:graphicFrameLocks noChangeAspect="1"/>
            </wp:cNvGraphicFramePr>
            <a:graphic>
              <a:graphicData uri="http://schemas.openxmlformats.org/drawingml/2006/picture">
                <pic:pic>
                  <pic:nvPicPr>
                    <pic:cNvPr id="56" name="image60.jpeg"/>
                    <pic:cNvPicPr/>
                  </pic:nvPicPr>
                  <pic:blipFill>
                    <a:blip r:embed="rId73" cstate="print"/>
                    <a:stretch>
                      <a:fillRect/>
                    </a:stretch>
                  </pic:blipFill>
                  <pic:spPr>
                    <a:xfrm>
                      <a:off x="0" y="0"/>
                      <a:ext cx="5459325" cy="7132319"/>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rPr>
          <w:sz w:val="20"/>
        </w:rPr>
      </w:pPr>
    </w:p>
    <w:p>
      <w:pPr>
        <w:pStyle w:val="BodyText"/>
        <w:rPr>
          <w:sz w:val="20"/>
        </w:rPr>
      </w:pPr>
    </w:p>
    <w:p>
      <w:pPr>
        <w:pStyle w:val="BodyText"/>
        <w:spacing w:before="7"/>
        <w:rPr>
          <w:sz w:val="21"/>
        </w:rPr>
      </w:pPr>
    </w:p>
    <w:p>
      <w:pPr>
        <w:pStyle w:val="BodyText"/>
        <w:ind w:left="118"/>
        <w:rPr>
          <w:sz w:val="20"/>
        </w:rPr>
      </w:pPr>
      <w:r>
        <w:rPr>
          <w:sz w:val="20"/>
        </w:rPr>
        <w:drawing>
          <wp:inline distT="0" distB="0" distL="0" distR="0">
            <wp:extent cx="5376282" cy="7260907"/>
            <wp:effectExtent l="0" t="0" r="0" b="0"/>
            <wp:docPr id="57" name="image61.jpeg" descr=""/>
            <wp:cNvGraphicFramePr>
              <a:graphicFrameLocks noChangeAspect="1"/>
            </wp:cNvGraphicFramePr>
            <a:graphic>
              <a:graphicData uri="http://schemas.openxmlformats.org/drawingml/2006/picture">
                <pic:pic>
                  <pic:nvPicPr>
                    <pic:cNvPr id="58" name="image61.jpeg"/>
                    <pic:cNvPicPr/>
                  </pic:nvPicPr>
                  <pic:blipFill>
                    <a:blip r:embed="rId74" cstate="print"/>
                    <a:stretch>
                      <a:fillRect/>
                    </a:stretch>
                  </pic:blipFill>
                  <pic:spPr>
                    <a:xfrm>
                      <a:off x="0" y="0"/>
                      <a:ext cx="5376282" cy="7260907"/>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rPr>
          <w:sz w:val="20"/>
        </w:rPr>
      </w:pPr>
    </w:p>
    <w:p>
      <w:pPr>
        <w:pStyle w:val="BodyText"/>
        <w:rPr>
          <w:sz w:val="20"/>
        </w:rPr>
      </w:pPr>
    </w:p>
    <w:p>
      <w:pPr>
        <w:pStyle w:val="BodyText"/>
        <w:spacing w:before="7"/>
        <w:rPr>
          <w:sz w:val="21"/>
        </w:rPr>
      </w:pPr>
    </w:p>
    <w:p>
      <w:pPr>
        <w:pStyle w:val="BodyText"/>
        <w:ind w:left="118"/>
        <w:rPr>
          <w:sz w:val="20"/>
        </w:rPr>
      </w:pPr>
      <w:r>
        <w:rPr>
          <w:sz w:val="20"/>
        </w:rPr>
        <w:drawing>
          <wp:inline distT="0" distB="0" distL="0" distR="0">
            <wp:extent cx="5454300" cy="7314914"/>
            <wp:effectExtent l="0" t="0" r="0" b="0"/>
            <wp:docPr id="59" name="image62.jpeg" descr=""/>
            <wp:cNvGraphicFramePr>
              <a:graphicFrameLocks noChangeAspect="1"/>
            </wp:cNvGraphicFramePr>
            <a:graphic>
              <a:graphicData uri="http://schemas.openxmlformats.org/drawingml/2006/picture">
                <pic:pic>
                  <pic:nvPicPr>
                    <pic:cNvPr id="60" name="image62.jpeg"/>
                    <pic:cNvPicPr/>
                  </pic:nvPicPr>
                  <pic:blipFill>
                    <a:blip r:embed="rId75" cstate="print"/>
                    <a:stretch>
                      <a:fillRect/>
                    </a:stretch>
                  </pic:blipFill>
                  <pic:spPr>
                    <a:xfrm>
                      <a:off x="0" y="0"/>
                      <a:ext cx="5454300" cy="7314914"/>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25468" cy="7522464"/>
            <wp:effectExtent l="0" t="0" r="0" b="0"/>
            <wp:docPr id="61" name="image63.jpeg" descr=""/>
            <wp:cNvGraphicFramePr>
              <a:graphicFrameLocks noChangeAspect="1"/>
            </wp:cNvGraphicFramePr>
            <a:graphic>
              <a:graphicData uri="http://schemas.openxmlformats.org/drawingml/2006/picture">
                <pic:pic>
                  <pic:nvPicPr>
                    <pic:cNvPr id="62" name="image63.jpeg"/>
                    <pic:cNvPicPr/>
                  </pic:nvPicPr>
                  <pic:blipFill>
                    <a:blip r:embed="rId76" cstate="print"/>
                    <a:stretch>
                      <a:fillRect/>
                    </a:stretch>
                  </pic:blipFill>
                  <pic:spPr>
                    <a:xfrm>
                      <a:off x="0" y="0"/>
                      <a:ext cx="5625468" cy="7522464"/>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49706" cy="7674959"/>
            <wp:effectExtent l="0" t="0" r="0" b="0"/>
            <wp:docPr id="63" name="image64.jpeg" descr=""/>
            <wp:cNvGraphicFramePr>
              <a:graphicFrameLocks noChangeAspect="1"/>
            </wp:cNvGraphicFramePr>
            <a:graphic>
              <a:graphicData uri="http://schemas.openxmlformats.org/drawingml/2006/picture">
                <pic:pic>
                  <pic:nvPicPr>
                    <pic:cNvPr id="64" name="image64.jpeg"/>
                    <pic:cNvPicPr/>
                  </pic:nvPicPr>
                  <pic:blipFill>
                    <a:blip r:embed="rId77" cstate="print"/>
                    <a:stretch>
                      <a:fillRect/>
                    </a:stretch>
                  </pic:blipFill>
                  <pic:spPr>
                    <a:xfrm>
                      <a:off x="0" y="0"/>
                      <a:ext cx="5649706" cy="7674959"/>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49706" cy="8047005"/>
            <wp:effectExtent l="0" t="0" r="0" b="0"/>
            <wp:docPr id="65" name="image65.jpeg" descr=""/>
            <wp:cNvGraphicFramePr>
              <a:graphicFrameLocks noChangeAspect="1"/>
            </wp:cNvGraphicFramePr>
            <a:graphic>
              <a:graphicData uri="http://schemas.openxmlformats.org/drawingml/2006/picture">
                <pic:pic>
                  <pic:nvPicPr>
                    <pic:cNvPr id="66" name="image65.jpeg"/>
                    <pic:cNvPicPr/>
                  </pic:nvPicPr>
                  <pic:blipFill>
                    <a:blip r:embed="rId78" cstate="print"/>
                    <a:stretch>
                      <a:fillRect/>
                    </a:stretch>
                  </pic:blipFill>
                  <pic:spPr>
                    <a:xfrm>
                      <a:off x="0" y="0"/>
                      <a:ext cx="5649706" cy="8047005"/>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26791" cy="7752969"/>
            <wp:effectExtent l="0" t="0" r="0" b="0"/>
            <wp:docPr id="67" name="image66.jpeg" descr=""/>
            <wp:cNvGraphicFramePr>
              <a:graphicFrameLocks noChangeAspect="1"/>
            </wp:cNvGraphicFramePr>
            <a:graphic>
              <a:graphicData uri="http://schemas.openxmlformats.org/drawingml/2006/picture">
                <pic:pic>
                  <pic:nvPicPr>
                    <pic:cNvPr id="68" name="image66.jpeg"/>
                    <pic:cNvPicPr/>
                  </pic:nvPicPr>
                  <pic:blipFill>
                    <a:blip r:embed="rId79" cstate="print"/>
                    <a:stretch>
                      <a:fillRect/>
                    </a:stretch>
                  </pic:blipFill>
                  <pic:spPr>
                    <a:xfrm>
                      <a:off x="0" y="0"/>
                      <a:ext cx="5626791" cy="7752969"/>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rPr>
          <w:sz w:val="20"/>
        </w:rPr>
      </w:pPr>
    </w:p>
    <w:p>
      <w:pPr>
        <w:pStyle w:val="BodyText"/>
        <w:rPr>
          <w:sz w:val="20"/>
        </w:rPr>
      </w:pPr>
    </w:p>
    <w:p>
      <w:pPr>
        <w:pStyle w:val="BodyText"/>
        <w:spacing w:before="7"/>
        <w:rPr>
          <w:sz w:val="21"/>
        </w:rPr>
      </w:pPr>
    </w:p>
    <w:p>
      <w:pPr>
        <w:pStyle w:val="BodyText"/>
        <w:ind w:left="118"/>
        <w:rPr>
          <w:sz w:val="20"/>
        </w:rPr>
      </w:pPr>
      <w:r>
        <w:rPr>
          <w:sz w:val="20"/>
        </w:rPr>
        <w:drawing>
          <wp:inline distT="0" distB="0" distL="0" distR="0">
            <wp:extent cx="5769072" cy="7595616"/>
            <wp:effectExtent l="0" t="0" r="0" b="0"/>
            <wp:docPr id="69" name="image67.jpeg" descr=""/>
            <wp:cNvGraphicFramePr>
              <a:graphicFrameLocks noChangeAspect="1"/>
            </wp:cNvGraphicFramePr>
            <a:graphic>
              <a:graphicData uri="http://schemas.openxmlformats.org/drawingml/2006/picture">
                <pic:pic>
                  <pic:nvPicPr>
                    <pic:cNvPr id="70" name="image67.jpeg"/>
                    <pic:cNvPicPr/>
                  </pic:nvPicPr>
                  <pic:blipFill>
                    <a:blip r:embed="rId80" cstate="print"/>
                    <a:stretch>
                      <a:fillRect/>
                    </a:stretch>
                  </pic:blipFill>
                  <pic:spPr>
                    <a:xfrm>
                      <a:off x="0" y="0"/>
                      <a:ext cx="5769072" cy="7595616"/>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6"/>
        </w:rPr>
      </w:pPr>
    </w:p>
    <w:p>
      <w:pPr>
        <w:pStyle w:val="ListParagraph"/>
        <w:numPr>
          <w:ilvl w:val="1"/>
          <w:numId w:val="17"/>
        </w:numPr>
        <w:tabs>
          <w:tab w:pos="475" w:val="left" w:leader="none"/>
        </w:tabs>
        <w:spacing w:line="240" w:lineRule="auto" w:before="52" w:after="0"/>
        <w:ind w:left="474" w:right="0" w:hanging="356"/>
        <w:jc w:val="both"/>
        <w:rPr>
          <w:rFonts w:ascii="Calibri Light"/>
          <w:b w:val="0"/>
          <w:sz w:val="24"/>
        </w:rPr>
      </w:pPr>
      <w:bookmarkStart w:name="_bookmark23" w:id="38"/>
      <w:bookmarkEnd w:id="38"/>
      <w:r>
        <w:rPr/>
      </w:r>
      <w:bookmarkStart w:name="_bookmark23" w:id="39"/>
      <w:bookmarkEnd w:id="39"/>
      <w:r>
        <w:rPr>
          <w:rFonts w:ascii="Calibri Light"/>
          <w:b w:val="0"/>
          <w:sz w:val="24"/>
        </w:rPr>
        <w:t>C</w:t>
      </w:r>
      <w:r>
        <w:rPr>
          <w:rFonts w:ascii="Calibri Light"/>
          <w:b w:val="0"/>
          <w:sz w:val="24"/>
        </w:rPr>
        <w:t>apitulo</w:t>
      </w:r>
      <w:r>
        <w:rPr>
          <w:rFonts w:ascii="Calibri Light"/>
          <w:b w:val="0"/>
          <w:spacing w:val="-26"/>
          <w:sz w:val="24"/>
        </w:rPr>
        <w:t> </w:t>
      </w:r>
      <w:r>
        <w:rPr>
          <w:rFonts w:ascii="Calibri Light"/>
          <w:b w:val="0"/>
          <w:sz w:val="24"/>
        </w:rPr>
        <w:t>dos.</w:t>
      </w:r>
    </w:p>
    <w:p>
      <w:pPr>
        <w:pStyle w:val="BodyText"/>
        <w:rPr>
          <w:rFonts w:ascii="Calibri Light"/>
          <w:b w:val="0"/>
        </w:rPr>
      </w:pPr>
    </w:p>
    <w:p>
      <w:pPr>
        <w:pStyle w:val="BodyText"/>
        <w:rPr>
          <w:rFonts w:ascii="Calibri Light"/>
          <w:b w:val="0"/>
        </w:rPr>
      </w:pPr>
    </w:p>
    <w:p>
      <w:pPr>
        <w:pStyle w:val="Heading3"/>
        <w:spacing w:line="360" w:lineRule="auto" w:before="172"/>
        <w:ind w:right="269"/>
      </w:pPr>
      <w:r>
        <w:rPr/>
        <w:t>Determinación de la ubicación, tamaño de rastros y distribución óptima de la carne de cerdo en el</w:t>
      </w:r>
      <w:r>
        <w:rPr>
          <w:spacing w:val="-48"/>
        </w:rPr>
        <w:t> </w:t>
      </w:r>
      <w:r>
        <w:rPr/>
        <w:t>estado de México. Producción, Comercialización y Medio Ambiente, Editorial ECORFAN, Primera edición Año 2016, ISBN: 978-607-8324-65-1 pág.</w:t>
      </w:r>
      <w:r>
        <w:rPr>
          <w:spacing w:val="-7"/>
        </w:rPr>
        <w:t> </w:t>
      </w:r>
      <w:r>
        <w:rPr/>
        <w:t>109-118</w:t>
      </w:r>
    </w:p>
    <w:p>
      <w:pPr>
        <w:spacing w:after="0" w:line="360" w:lineRule="auto"/>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44766" cy="7980997"/>
            <wp:effectExtent l="0" t="0" r="0" b="0"/>
            <wp:docPr id="71" name="image68.jpeg" descr=""/>
            <wp:cNvGraphicFramePr>
              <a:graphicFrameLocks noChangeAspect="1"/>
            </wp:cNvGraphicFramePr>
            <a:graphic>
              <a:graphicData uri="http://schemas.openxmlformats.org/drawingml/2006/picture">
                <pic:pic>
                  <pic:nvPicPr>
                    <pic:cNvPr id="72" name="image68.jpeg"/>
                    <pic:cNvPicPr/>
                  </pic:nvPicPr>
                  <pic:blipFill>
                    <a:blip r:embed="rId81" cstate="print"/>
                    <a:stretch>
                      <a:fillRect/>
                    </a:stretch>
                  </pic:blipFill>
                  <pic:spPr>
                    <a:xfrm>
                      <a:off x="0" y="0"/>
                      <a:ext cx="5644766" cy="7980997"/>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44838" cy="7470933"/>
            <wp:effectExtent l="0" t="0" r="0" b="0"/>
            <wp:docPr id="73" name="image69.jpeg" descr=""/>
            <wp:cNvGraphicFramePr>
              <a:graphicFrameLocks noChangeAspect="1"/>
            </wp:cNvGraphicFramePr>
            <a:graphic>
              <a:graphicData uri="http://schemas.openxmlformats.org/drawingml/2006/picture">
                <pic:pic>
                  <pic:nvPicPr>
                    <pic:cNvPr id="74" name="image69.jpeg"/>
                    <pic:cNvPicPr/>
                  </pic:nvPicPr>
                  <pic:blipFill>
                    <a:blip r:embed="rId82" cstate="print"/>
                    <a:stretch>
                      <a:fillRect/>
                    </a:stretch>
                  </pic:blipFill>
                  <pic:spPr>
                    <a:xfrm>
                      <a:off x="0" y="0"/>
                      <a:ext cx="5644838" cy="7470933"/>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26849" cy="7362920"/>
            <wp:effectExtent l="0" t="0" r="0" b="0"/>
            <wp:docPr id="75" name="image70.jpeg" descr=""/>
            <wp:cNvGraphicFramePr>
              <a:graphicFrameLocks noChangeAspect="1"/>
            </wp:cNvGraphicFramePr>
            <a:graphic>
              <a:graphicData uri="http://schemas.openxmlformats.org/drawingml/2006/picture">
                <pic:pic>
                  <pic:nvPicPr>
                    <pic:cNvPr id="76" name="image70.jpeg"/>
                    <pic:cNvPicPr/>
                  </pic:nvPicPr>
                  <pic:blipFill>
                    <a:blip r:embed="rId83" cstate="print"/>
                    <a:stretch>
                      <a:fillRect/>
                    </a:stretch>
                  </pic:blipFill>
                  <pic:spPr>
                    <a:xfrm>
                      <a:off x="0" y="0"/>
                      <a:ext cx="5626849" cy="7362920"/>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588198" cy="7236904"/>
            <wp:effectExtent l="0" t="0" r="0" b="0"/>
            <wp:docPr id="77" name="image71.jpeg" descr=""/>
            <wp:cNvGraphicFramePr>
              <a:graphicFrameLocks noChangeAspect="1"/>
            </wp:cNvGraphicFramePr>
            <a:graphic>
              <a:graphicData uri="http://schemas.openxmlformats.org/drawingml/2006/picture">
                <pic:pic>
                  <pic:nvPicPr>
                    <pic:cNvPr id="78" name="image71.jpeg"/>
                    <pic:cNvPicPr/>
                  </pic:nvPicPr>
                  <pic:blipFill>
                    <a:blip r:embed="rId84" cstate="print"/>
                    <a:stretch>
                      <a:fillRect/>
                    </a:stretch>
                  </pic:blipFill>
                  <pic:spPr>
                    <a:xfrm>
                      <a:off x="0" y="0"/>
                      <a:ext cx="5588198" cy="7236904"/>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533477" cy="7260907"/>
            <wp:effectExtent l="0" t="0" r="0" b="0"/>
            <wp:docPr id="79" name="image72.jpeg" descr=""/>
            <wp:cNvGraphicFramePr>
              <a:graphicFrameLocks noChangeAspect="1"/>
            </wp:cNvGraphicFramePr>
            <a:graphic>
              <a:graphicData uri="http://schemas.openxmlformats.org/drawingml/2006/picture">
                <pic:pic>
                  <pic:nvPicPr>
                    <pic:cNvPr id="80" name="image72.jpeg"/>
                    <pic:cNvPicPr/>
                  </pic:nvPicPr>
                  <pic:blipFill>
                    <a:blip r:embed="rId85" cstate="print"/>
                    <a:stretch>
                      <a:fillRect/>
                    </a:stretch>
                  </pic:blipFill>
                  <pic:spPr>
                    <a:xfrm>
                      <a:off x="0" y="0"/>
                      <a:ext cx="5533477" cy="7260907"/>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569831" cy="7356919"/>
            <wp:effectExtent l="0" t="0" r="0" b="0"/>
            <wp:docPr id="81" name="image73.jpeg" descr=""/>
            <wp:cNvGraphicFramePr>
              <a:graphicFrameLocks noChangeAspect="1"/>
            </wp:cNvGraphicFramePr>
            <a:graphic>
              <a:graphicData uri="http://schemas.openxmlformats.org/drawingml/2006/picture">
                <pic:pic>
                  <pic:nvPicPr>
                    <pic:cNvPr id="82" name="image73.jpeg"/>
                    <pic:cNvPicPr/>
                  </pic:nvPicPr>
                  <pic:blipFill>
                    <a:blip r:embed="rId86" cstate="print"/>
                    <a:stretch>
                      <a:fillRect/>
                    </a:stretch>
                  </pic:blipFill>
                  <pic:spPr>
                    <a:xfrm>
                      <a:off x="0" y="0"/>
                      <a:ext cx="5569831" cy="7356919"/>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568696" cy="7296911"/>
            <wp:effectExtent l="0" t="0" r="0" b="0"/>
            <wp:docPr id="83" name="image74.jpeg" descr=""/>
            <wp:cNvGraphicFramePr>
              <a:graphicFrameLocks noChangeAspect="1"/>
            </wp:cNvGraphicFramePr>
            <a:graphic>
              <a:graphicData uri="http://schemas.openxmlformats.org/drawingml/2006/picture">
                <pic:pic>
                  <pic:nvPicPr>
                    <pic:cNvPr id="84" name="image74.jpeg"/>
                    <pic:cNvPicPr/>
                  </pic:nvPicPr>
                  <pic:blipFill>
                    <a:blip r:embed="rId87" cstate="print"/>
                    <a:stretch>
                      <a:fillRect/>
                    </a:stretch>
                  </pic:blipFill>
                  <pic:spPr>
                    <a:xfrm>
                      <a:off x="0" y="0"/>
                      <a:ext cx="5568696" cy="7296911"/>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57088" cy="7431024"/>
            <wp:effectExtent l="0" t="0" r="0" b="0"/>
            <wp:docPr id="85" name="image75.jpeg" descr=""/>
            <wp:cNvGraphicFramePr>
              <a:graphicFrameLocks noChangeAspect="1"/>
            </wp:cNvGraphicFramePr>
            <a:graphic>
              <a:graphicData uri="http://schemas.openxmlformats.org/drawingml/2006/picture">
                <pic:pic>
                  <pic:nvPicPr>
                    <pic:cNvPr id="86" name="image75.jpeg"/>
                    <pic:cNvPicPr/>
                  </pic:nvPicPr>
                  <pic:blipFill>
                    <a:blip r:embed="rId88" cstate="print"/>
                    <a:stretch>
                      <a:fillRect/>
                    </a:stretch>
                  </pic:blipFill>
                  <pic:spPr>
                    <a:xfrm>
                      <a:off x="0" y="0"/>
                      <a:ext cx="5657088" cy="7431024"/>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55933" cy="7467600"/>
            <wp:effectExtent l="0" t="0" r="0" b="0"/>
            <wp:docPr id="87" name="image76.jpeg" descr=""/>
            <wp:cNvGraphicFramePr>
              <a:graphicFrameLocks noChangeAspect="1"/>
            </wp:cNvGraphicFramePr>
            <a:graphic>
              <a:graphicData uri="http://schemas.openxmlformats.org/drawingml/2006/picture">
                <pic:pic>
                  <pic:nvPicPr>
                    <pic:cNvPr id="88" name="image76.jpeg"/>
                    <pic:cNvPicPr/>
                  </pic:nvPicPr>
                  <pic:blipFill>
                    <a:blip r:embed="rId89" cstate="print"/>
                    <a:stretch>
                      <a:fillRect/>
                    </a:stretch>
                  </pic:blipFill>
                  <pic:spPr>
                    <a:xfrm>
                      <a:off x="0" y="0"/>
                      <a:ext cx="5655933" cy="7467600"/>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533448" cy="7356919"/>
            <wp:effectExtent l="0" t="0" r="0" b="0"/>
            <wp:docPr id="89" name="image77.jpeg" descr=""/>
            <wp:cNvGraphicFramePr>
              <a:graphicFrameLocks noChangeAspect="1"/>
            </wp:cNvGraphicFramePr>
            <a:graphic>
              <a:graphicData uri="http://schemas.openxmlformats.org/drawingml/2006/picture">
                <pic:pic>
                  <pic:nvPicPr>
                    <pic:cNvPr id="90" name="image77.jpeg"/>
                    <pic:cNvPicPr/>
                  </pic:nvPicPr>
                  <pic:blipFill>
                    <a:blip r:embed="rId90" cstate="print"/>
                    <a:stretch>
                      <a:fillRect/>
                    </a:stretch>
                  </pic:blipFill>
                  <pic:spPr>
                    <a:xfrm>
                      <a:off x="0" y="0"/>
                      <a:ext cx="5533448" cy="7356919"/>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551829" cy="7332916"/>
            <wp:effectExtent l="0" t="0" r="0" b="0"/>
            <wp:docPr id="91" name="image78.jpeg" descr=""/>
            <wp:cNvGraphicFramePr>
              <a:graphicFrameLocks noChangeAspect="1"/>
            </wp:cNvGraphicFramePr>
            <a:graphic>
              <a:graphicData uri="http://schemas.openxmlformats.org/drawingml/2006/picture">
                <pic:pic>
                  <pic:nvPicPr>
                    <pic:cNvPr id="92" name="image78.jpeg"/>
                    <pic:cNvPicPr/>
                  </pic:nvPicPr>
                  <pic:blipFill>
                    <a:blip r:embed="rId91" cstate="print"/>
                    <a:stretch>
                      <a:fillRect/>
                    </a:stretch>
                  </pic:blipFill>
                  <pic:spPr>
                    <a:xfrm>
                      <a:off x="0" y="0"/>
                      <a:ext cx="5551829" cy="7332916"/>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493686" cy="7284910"/>
            <wp:effectExtent l="0" t="0" r="0" b="0"/>
            <wp:docPr id="93" name="image79.jpeg" descr=""/>
            <wp:cNvGraphicFramePr>
              <a:graphicFrameLocks noChangeAspect="1"/>
            </wp:cNvGraphicFramePr>
            <a:graphic>
              <a:graphicData uri="http://schemas.openxmlformats.org/drawingml/2006/picture">
                <pic:pic>
                  <pic:nvPicPr>
                    <pic:cNvPr id="94" name="image79.jpeg"/>
                    <pic:cNvPicPr/>
                  </pic:nvPicPr>
                  <pic:blipFill>
                    <a:blip r:embed="rId92" cstate="print"/>
                    <a:stretch>
                      <a:fillRect/>
                    </a:stretch>
                  </pic:blipFill>
                  <pic:spPr>
                    <a:xfrm>
                      <a:off x="0" y="0"/>
                      <a:ext cx="5493686" cy="7284910"/>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523349" cy="7315200"/>
            <wp:effectExtent l="0" t="0" r="0" b="0"/>
            <wp:docPr id="95" name="image80.jpeg" descr=""/>
            <wp:cNvGraphicFramePr>
              <a:graphicFrameLocks noChangeAspect="1"/>
            </wp:cNvGraphicFramePr>
            <a:graphic>
              <a:graphicData uri="http://schemas.openxmlformats.org/drawingml/2006/picture">
                <pic:pic>
                  <pic:nvPicPr>
                    <pic:cNvPr id="96" name="image80.jpeg"/>
                    <pic:cNvPicPr/>
                  </pic:nvPicPr>
                  <pic:blipFill>
                    <a:blip r:embed="rId93" cstate="print"/>
                    <a:stretch>
                      <a:fillRect/>
                    </a:stretch>
                  </pic:blipFill>
                  <pic:spPr>
                    <a:xfrm>
                      <a:off x="0" y="0"/>
                      <a:ext cx="5523349" cy="7315200"/>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541642" cy="7370064"/>
            <wp:effectExtent l="0" t="0" r="0" b="0"/>
            <wp:docPr id="97" name="image81.jpeg" descr=""/>
            <wp:cNvGraphicFramePr>
              <a:graphicFrameLocks noChangeAspect="1"/>
            </wp:cNvGraphicFramePr>
            <a:graphic>
              <a:graphicData uri="http://schemas.openxmlformats.org/drawingml/2006/picture">
                <pic:pic>
                  <pic:nvPicPr>
                    <pic:cNvPr id="98" name="image81.jpeg"/>
                    <pic:cNvPicPr/>
                  </pic:nvPicPr>
                  <pic:blipFill>
                    <a:blip r:embed="rId94" cstate="print"/>
                    <a:stretch>
                      <a:fillRect/>
                    </a:stretch>
                  </pic:blipFill>
                  <pic:spPr>
                    <a:xfrm>
                      <a:off x="0" y="0"/>
                      <a:ext cx="5541642" cy="7370064"/>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398454" cy="7104888"/>
            <wp:effectExtent l="0" t="0" r="0" b="0"/>
            <wp:docPr id="99" name="image82.jpeg" descr=""/>
            <wp:cNvGraphicFramePr>
              <a:graphicFrameLocks noChangeAspect="1"/>
            </wp:cNvGraphicFramePr>
            <a:graphic>
              <a:graphicData uri="http://schemas.openxmlformats.org/drawingml/2006/picture">
                <pic:pic>
                  <pic:nvPicPr>
                    <pic:cNvPr id="100" name="image82.jpeg"/>
                    <pic:cNvPicPr/>
                  </pic:nvPicPr>
                  <pic:blipFill>
                    <a:blip r:embed="rId95" cstate="print"/>
                    <a:stretch>
                      <a:fillRect/>
                    </a:stretch>
                  </pic:blipFill>
                  <pic:spPr>
                    <a:xfrm>
                      <a:off x="0" y="0"/>
                      <a:ext cx="5398454" cy="7104888"/>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381939" cy="7122890"/>
            <wp:effectExtent l="0" t="0" r="0" b="0"/>
            <wp:docPr id="101" name="image83.jpeg" descr=""/>
            <wp:cNvGraphicFramePr>
              <a:graphicFrameLocks noChangeAspect="1"/>
            </wp:cNvGraphicFramePr>
            <a:graphic>
              <a:graphicData uri="http://schemas.openxmlformats.org/drawingml/2006/picture">
                <pic:pic>
                  <pic:nvPicPr>
                    <pic:cNvPr id="102" name="image83.jpeg"/>
                    <pic:cNvPicPr/>
                  </pic:nvPicPr>
                  <pic:blipFill>
                    <a:blip r:embed="rId96" cstate="print"/>
                    <a:stretch>
                      <a:fillRect/>
                    </a:stretch>
                  </pic:blipFill>
                  <pic:spPr>
                    <a:xfrm>
                      <a:off x="0" y="0"/>
                      <a:ext cx="5381939" cy="7122890"/>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392452" cy="7098887"/>
            <wp:effectExtent l="0" t="0" r="0" b="0"/>
            <wp:docPr id="103" name="image84.jpeg" descr=""/>
            <wp:cNvGraphicFramePr>
              <a:graphicFrameLocks noChangeAspect="1"/>
            </wp:cNvGraphicFramePr>
            <a:graphic>
              <a:graphicData uri="http://schemas.openxmlformats.org/drawingml/2006/picture">
                <pic:pic>
                  <pic:nvPicPr>
                    <pic:cNvPr id="104" name="image84.jpeg"/>
                    <pic:cNvPicPr/>
                  </pic:nvPicPr>
                  <pic:blipFill>
                    <a:blip r:embed="rId97" cstate="print"/>
                    <a:stretch>
                      <a:fillRect/>
                    </a:stretch>
                  </pic:blipFill>
                  <pic:spPr>
                    <a:xfrm>
                      <a:off x="0" y="0"/>
                      <a:ext cx="5392452" cy="7098887"/>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386441" cy="7122890"/>
            <wp:effectExtent l="0" t="0" r="0" b="0"/>
            <wp:docPr id="105" name="image85.jpeg" descr=""/>
            <wp:cNvGraphicFramePr>
              <a:graphicFrameLocks noChangeAspect="1"/>
            </wp:cNvGraphicFramePr>
            <a:graphic>
              <a:graphicData uri="http://schemas.openxmlformats.org/drawingml/2006/picture">
                <pic:pic>
                  <pic:nvPicPr>
                    <pic:cNvPr id="106" name="image85.jpeg"/>
                    <pic:cNvPicPr/>
                  </pic:nvPicPr>
                  <pic:blipFill>
                    <a:blip r:embed="rId98" cstate="print"/>
                    <a:stretch>
                      <a:fillRect/>
                    </a:stretch>
                  </pic:blipFill>
                  <pic:spPr>
                    <a:xfrm>
                      <a:off x="0" y="0"/>
                      <a:ext cx="5386441" cy="7122890"/>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07" name="image86.jpeg" descr=""/>
            <wp:cNvGraphicFramePr>
              <a:graphicFrameLocks noChangeAspect="1"/>
            </wp:cNvGraphicFramePr>
            <a:graphic>
              <a:graphicData uri="http://schemas.openxmlformats.org/drawingml/2006/picture">
                <pic:pic>
                  <pic:nvPicPr>
                    <pic:cNvPr id="108" name="image86.jpeg"/>
                    <pic:cNvPicPr/>
                  </pic:nvPicPr>
                  <pic:blipFill>
                    <a:blip r:embed="rId99"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0261" cy="7723632"/>
            <wp:effectExtent l="0" t="0" r="0" b="0"/>
            <wp:docPr id="109" name="image87.jpeg" descr=""/>
            <wp:cNvGraphicFramePr>
              <a:graphicFrameLocks noChangeAspect="1"/>
            </wp:cNvGraphicFramePr>
            <a:graphic>
              <a:graphicData uri="http://schemas.openxmlformats.org/drawingml/2006/picture">
                <pic:pic>
                  <pic:nvPicPr>
                    <pic:cNvPr id="110" name="image87.jpeg"/>
                    <pic:cNvPicPr/>
                  </pic:nvPicPr>
                  <pic:blipFill>
                    <a:blip r:embed="rId101" cstate="print"/>
                    <a:stretch>
                      <a:fillRect/>
                    </a:stretch>
                  </pic:blipFill>
                  <pic:spPr>
                    <a:xfrm>
                      <a:off x="0" y="0"/>
                      <a:ext cx="5610261" cy="7723632"/>
                    </a:xfrm>
                    <a:prstGeom prst="rect">
                      <a:avLst/>
                    </a:prstGeom>
                  </pic:spPr>
                </pic:pic>
              </a:graphicData>
            </a:graphic>
          </wp:inline>
        </w:drawing>
      </w:r>
      <w:r>
        <w:rPr>
          <w:sz w:val="20"/>
        </w:rPr>
      </w:r>
    </w:p>
    <w:p>
      <w:pPr>
        <w:spacing w:after="0"/>
        <w:rPr>
          <w:sz w:val="20"/>
        </w:rPr>
        <w:sectPr>
          <w:footerReference w:type="default" r:id="rId100"/>
          <w:pgSz w:w="12240" w:h="15840"/>
          <w:pgMar w:footer="986" w:header="984"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0261" cy="7723632"/>
            <wp:effectExtent l="0" t="0" r="0" b="0"/>
            <wp:docPr id="111" name="image88.jpeg" descr=""/>
            <wp:cNvGraphicFramePr>
              <a:graphicFrameLocks noChangeAspect="1"/>
            </wp:cNvGraphicFramePr>
            <a:graphic>
              <a:graphicData uri="http://schemas.openxmlformats.org/drawingml/2006/picture">
                <pic:pic>
                  <pic:nvPicPr>
                    <pic:cNvPr id="112" name="image88.jpeg"/>
                    <pic:cNvPicPr/>
                  </pic:nvPicPr>
                  <pic:blipFill>
                    <a:blip r:embed="rId103" cstate="print"/>
                    <a:stretch>
                      <a:fillRect/>
                    </a:stretch>
                  </pic:blipFill>
                  <pic:spPr>
                    <a:xfrm>
                      <a:off x="0" y="0"/>
                      <a:ext cx="5610261" cy="7723632"/>
                    </a:xfrm>
                    <a:prstGeom prst="rect">
                      <a:avLst/>
                    </a:prstGeom>
                  </pic:spPr>
                </pic:pic>
              </a:graphicData>
            </a:graphic>
          </wp:inline>
        </w:drawing>
      </w:r>
      <w:r>
        <w:rPr>
          <w:sz w:val="20"/>
        </w:rPr>
      </w:r>
    </w:p>
    <w:p>
      <w:pPr>
        <w:spacing w:after="0"/>
        <w:rPr>
          <w:sz w:val="20"/>
        </w:rPr>
        <w:sectPr>
          <w:footerReference w:type="default" r:id="rId102"/>
          <w:pgSz w:w="12240" w:h="15840"/>
          <w:pgMar w:footer="986" w:header="984" w:top="1280" w:bottom="1180" w:left="1300" w:right="1340"/>
          <w:pgNumType w:start="101"/>
        </w:sectPr>
      </w:pPr>
    </w:p>
    <w:p>
      <w:pPr>
        <w:pStyle w:val="BodyText"/>
        <w:spacing w:before="3"/>
        <w:rPr>
          <w:sz w:val="11"/>
        </w:rPr>
      </w:pPr>
    </w:p>
    <w:p>
      <w:pPr>
        <w:pStyle w:val="BodyText"/>
        <w:ind w:left="118"/>
        <w:rPr>
          <w:sz w:val="20"/>
        </w:rPr>
      </w:pPr>
      <w:r>
        <w:rPr>
          <w:sz w:val="20"/>
        </w:rPr>
        <w:drawing>
          <wp:inline distT="0" distB="0" distL="0" distR="0">
            <wp:extent cx="5610261" cy="7723632"/>
            <wp:effectExtent l="0" t="0" r="0" b="0"/>
            <wp:docPr id="113" name="image89.jpeg" descr=""/>
            <wp:cNvGraphicFramePr>
              <a:graphicFrameLocks noChangeAspect="1"/>
            </wp:cNvGraphicFramePr>
            <a:graphic>
              <a:graphicData uri="http://schemas.openxmlformats.org/drawingml/2006/picture">
                <pic:pic>
                  <pic:nvPicPr>
                    <pic:cNvPr id="114" name="image89.jpeg"/>
                    <pic:cNvPicPr/>
                  </pic:nvPicPr>
                  <pic:blipFill>
                    <a:blip r:embed="rId104" cstate="print"/>
                    <a:stretch>
                      <a:fillRect/>
                    </a:stretch>
                  </pic:blipFill>
                  <pic:spPr>
                    <a:xfrm>
                      <a:off x="0" y="0"/>
                      <a:ext cx="5610261"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0261" cy="7723632"/>
            <wp:effectExtent l="0" t="0" r="0" b="0"/>
            <wp:docPr id="115" name="image90.jpeg" descr=""/>
            <wp:cNvGraphicFramePr>
              <a:graphicFrameLocks noChangeAspect="1"/>
            </wp:cNvGraphicFramePr>
            <a:graphic>
              <a:graphicData uri="http://schemas.openxmlformats.org/drawingml/2006/picture">
                <pic:pic>
                  <pic:nvPicPr>
                    <pic:cNvPr id="116" name="image90.jpeg"/>
                    <pic:cNvPicPr/>
                  </pic:nvPicPr>
                  <pic:blipFill>
                    <a:blip r:embed="rId105" cstate="print"/>
                    <a:stretch>
                      <a:fillRect/>
                    </a:stretch>
                  </pic:blipFill>
                  <pic:spPr>
                    <a:xfrm>
                      <a:off x="0" y="0"/>
                      <a:ext cx="5610261"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0261" cy="7723632"/>
            <wp:effectExtent l="0" t="0" r="0" b="0"/>
            <wp:docPr id="117" name="image91.jpeg" descr=""/>
            <wp:cNvGraphicFramePr>
              <a:graphicFrameLocks noChangeAspect="1"/>
            </wp:cNvGraphicFramePr>
            <a:graphic>
              <a:graphicData uri="http://schemas.openxmlformats.org/drawingml/2006/picture">
                <pic:pic>
                  <pic:nvPicPr>
                    <pic:cNvPr id="118" name="image91.jpeg"/>
                    <pic:cNvPicPr/>
                  </pic:nvPicPr>
                  <pic:blipFill>
                    <a:blip r:embed="rId106" cstate="print"/>
                    <a:stretch>
                      <a:fillRect/>
                    </a:stretch>
                  </pic:blipFill>
                  <pic:spPr>
                    <a:xfrm>
                      <a:off x="0" y="0"/>
                      <a:ext cx="5610261"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572630" cy="7857744"/>
            <wp:effectExtent l="0" t="0" r="0" b="0"/>
            <wp:docPr id="119" name="image92.jpeg" descr=""/>
            <wp:cNvGraphicFramePr>
              <a:graphicFrameLocks noChangeAspect="1"/>
            </wp:cNvGraphicFramePr>
            <a:graphic>
              <a:graphicData uri="http://schemas.openxmlformats.org/drawingml/2006/picture">
                <pic:pic>
                  <pic:nvPicPr>
                    <pic:cNvPr id="120" name="image92.jpeg"/>
                    <pic:cNvPicPr/>
                  </pic:nvPicPr>
                  <pic:blipFill>
                    <a:blip r:embed="rId107" cstate="print"/>
                    <a:stretch>
                      <a:fillRect/>
                    </a:stretch>
                  </pic:blipFill>
                  <pic:spPr>
                    <a:xfrm>
                      <a:off x="0" y="0"/>
                      <a:ext cx="5572630" cy="7857744"/>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p>
    <w:p>
      <w:pPr>
        <w:pStyle w:val="ListParagraph"/>
        <w:numPr>
          <w:ilvl w:val="1"/>
          <w:numId w:val="17"/>
        </w:numPr>
        <w:tabs>
          <w:tab w:pos="479" w:val="left" w:leader="none"/>
        </w:tabs>
        <w:spacing w:line="240" w:lineRule="auto" w:before="69" w:after="0"/>
        <w:ind w:left="478" w:right="0" w:hanging="360"/>
        <w:jc w:val="left"/>
        <w:rPr>
          <w:sz w:val="24"/>
        </w:rPr>
      </w:pPr>
      <w:bookmarkStart w:name="_bookmark24" w:id="40"/>
      <w:bookmarkEnd w:id="40"/>
      <w:r>
        <w:rPr/>
      </w:r>
      <w:bookmarkStart w:name="_bookmark24" w:id="41"/>
      <w:bookmarkEnd w:id="41"/>
      <w:r>
        <w:rPr>
          <w:sz w:val="24"/>
        </w:rPr>
        <w:t>C</w:t>
      </w:r>
      <w:r>
        <w:rPr>
          <w:sz w:val="24"/>
        </w:rPr>
        <w:t>apitulo</w:t>
      </w:r>
      <w:r>
        <w:rPr>
          <w:spacing w:val="-4"/>
          <w:sz w:val="24"/>
        </w:rPr>
        <w:t> </w:t>
      </w:r>
      <w:r>
        <w:rPr>
          <w:sz w:val="24"/>
        </w:rPr>
        <w:t>tres.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0"/>
        </w:rPr>
      </w:pPr>
    </w:p>
    <w:p>
      <w:pPr>
        <w:pStyle w:val="Heading3"/>
        <w:ind w:left="478" w:right="270"/>
      </w:pPr>
      <w:r>
        <w:rPr/>
        <w:t>Mercado de la carne de cerdo en México, un modelo de optimización. Congreso Internacional Agroalimentario 2016, “Alimentación sostenible: desafíos y restos para la agricultura mexicana” (Aceptado)</w:t>
      </w:r>
    </w:p>
    <w:p>
      <w:pPr>
        <w:spacing w:after="0"/>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847040" cy="7577328"/>
            <wp:effectExtent l="0" t="0" r="0" b="0"/>
            <wp:docPr id="121" name="image93.jpeg" descr=""/>
            <wp:cNvGraphicFramePr>
              <a:graphicFrameLocks noChangeAspect="1"/>
            </wp:cNvGraphicFramePr>
            <a:graphic>
              <a:graphicData uri="http://schemas.openxmlformats.org/drawingml/2006/picture">
                <pic:pic>
                  <pic:nvPicPr>
                    <pic:cNvPr id="122" name="image93.jpeg"/>
                    <pic:cNvPicPr/>
                  </pic:nvPicPr>
                  <pic:blipFill>
                    <a:blip r:embed="rId108" cstate="print"/>
                    <a:stretch>
                      <a:fillRect/>
                    </a:stretch>
                  </pic:blipFill>
                  <pic:spPr>
                    <a:xfrm>
                      <a:off x="0" y="0"/>
                      <a:ext cx="5847040" cy="7577328"/>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756836" cy="7464933"/>
            <wp:effectExtent l="0" t="0" r="0" b="0"/>
            <wp:docPr id="123" name="image94.jpeg" descr=""/>
            <wp:cNvGraphicFramePr>
              <a:graphicFrameLocks noChangeAspect="1"/>
            </wp:cNvGraphicFramePr>
            <a:graphic>
              <a:graphicData uri="http://schemas.openxmlformats.org/drawingml/2006/picture">
                <pic:pic>
                  <pic:nvPicPr>
                    <pic:cNvPr id="124" name="image94.jpeg"/>
                    <pic:cNvPicPr/>
                  </pic:nvPicPr>
                  <pic:blipFill>
                    <a:blip r:embed="rId109" cstate="print"/>
                    <a:stretch>
                      <a:fillRect/>
                    </a:stretch>
                  </pic:blipFill>
                  <pic:spPr>
                    <a:xfrm>
                      <a:off x="0" y="0"/>
                      <a:ext cx="5756836" cy="7464933"/>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Heading4"/>
        <w:spacing w:line="360" w:lineRule="auto"/>
        <w:ind w:left="3791" w:right="975" w:hanging="2953"/>
        <w:jc w:val="left"/>
      </w:pPr>
      <w:r>
        <w:rPr/>
        <w:t>MERCADO DE LA CARNE DE CERDO EN MÉXICO, UN MODELO DE OPTIMIZACIÓN</w:t>
      </w:r>
    </w:p>
    <w:p>
      <w:pPr>
        <w:spacing w:before="205"/>
        <w:ind w:left="118" w:right="410" w:firstLine="0"/>
        <w:jc w:val="left"/>
        <w:rPr>
          <w:b/>
          <w:sz w:val="24"/>
        </w:rPr>
      </w:pPr>
      <w:r>
        <w:rPr>
          <w:b/>
          <w:sz w:val="24"/>
        </w:rPr>
        <w:t>Introducción</w:t>
      </w:r>
    </w:p>
    <w:p>
      <w:pPr>
        <w:pStyle w:val="BodyText"/>
        <w:rPr>
          <w:b/>
          <w:sz w:val="29"/>
        </w:rPr>
      </w:pPr>
    </w:p>
    <w:p>
      <w:pPr>
        <w:pStyle w:val="BodyText"/>
        <w:spacing w:line="360" w:lineRule="auto"/>
        <w:ind w:left="118" w:right="269" w:firstLine="707"/>
        <w:jc w:val="both"/>
      </w:pPr>
      <w:r>
        <w:rPr/>
        <w:t>La</w:t>
      </w:r>
      <w:r>
        <w:rPr>
          <w:spacing w:val="-6"/>
        </w:rPr>
        <w:t> </w:t>
      </w:r>
      <w:r>
        <w:rPr/>
        <w:t>carne</w:t>
      </w:r>
      <w:r>
        <w:rPr>
          <w:spacing w:val="-6"/>
        </w:rPr>
        <w:t> </w:t>
      </w:r>
      <w:r>
        <w:rPr/>
        <w:t>de</w:t>
      </w:r>
      <w:r>
        <w:rPr>
          <w:spacing w:val="-6"/>
        </w:rPr>
        <w:t> </w:t>
      </w:r>
      <w:r>
        <w:rPr/>
        <w:t>cerdo</w:t>
      </w:r>
      <w:r>
        <w:rPr>
          <w:spacing w:val="-6"/>
        </w:rPr>
        <w:t> </w:t>
      </w:r>
      <w:r>
        <w:rPr/>
        <w:t>es</w:t>
      </w:r>
      <w:r>
        <w:rPr>
          <w:spacing w:val="-5"/>
        </w:rPr>
        <w:t> </w:t>
      </w:r>
      <w:r>
        <w:rPr/>
        <w:t>la</w:t>
      </w:r>
      <w:r>
        <w:rPr>
          <w:spacing w:val="-5"/>
        </w:rPr>
        <w:t> </w:t>
      </w:r>
      <w:r>
        <w:rPr/>
        <w:t>más</w:t>
      </w:r>
      <w:r>
        <w:rPr>
          <w:spacing w:val="-5"/>
        </w:rPr>
        <w:t> </w:t>
      </w:r>
      <w:r>
        <w:rPr/>
        <w:t>consumida</w:t>
      </w:r>
      <w:r>
        <w:rPr>
          <w:spacing w:val="-5"/>
        </w:rPr>
        <w:t> </w:t>
      </w:r>
      <w:r>
        <w:rPr/>
        <w:t>en</w:t>
      </w:r>
      <w:r>
        <w:rPr>
          <w:spacing w:val="-5"/>
        </w:rPr>
        <w:t> </w:t>
      </w:r>
      <w:r>
        <w:rPr/>
        <w:t>el</w:t>
      </w:r>
      <w:r>
        <w:rPr>
          <w:spacing w:val="-4"/>
        </w:rPr>
        <w:t> </w:t>
      </w:r>
      <w:r>
        <w:rPr/>
        <w:t>mundo,</w:t>
      </w:r>
      <w:r>
        <w:rPr>
          <w:spacing w:val="-5"/>
        </w:rPr>
        <w:t> </w:t>
      </w:r>
      <w:r>
        <w:rPr/>
        <w:t>los</w:t>
      </w:r>
      <w:r>
        <w:rPr>
          <w:spacing w:val="-4"/>
        </w:rPr>
        <w:t> </w:t>
      </w:r>
      <w:r>
        <w:rPr/>
        <w:t>principales</w:t>
      </w:r>
      <w:r>
        <w:rPr>
          <w:spacing w:val="-5"/>
        </w:rPr>
        <w:t> </w:t>
      </w:r>
      <w:r>
        <w:rPr/>
        <w:t>países</w:t>
      </w:r>
      <w:r>
        <w:rPr>
          <w:spacing w:val="-5"/>
        </w:rPr>
        <w:t> </w:t>
      </w:r>
      <w:r>
        <w:rPr/>
        <w:t>consumidores a nivel mundial son: Montenegro con 77,5 kg. anuales por persona, Hong Kong 67 kg., </w:t>
      </w:r>
      <w:r>
        <w:rPr>
          <w:spacing w:val="55"/>
        </w:rPr>
        <w:t> </w:t>
      </w:r>
      <w:r>
        <w:rPr/>
        <w:t>Macao</w:t>
      </w:r>
    </w:p>
    <w:p>
      <w:pPr>
        <w:pStyle w:val="ListParagraph"/>
        <w:numPr>
          <w:ilvl w:val="1"/>
          <w:numId w:val="18"/>
        </w:numPr>
        <w:tabs>
          <w:tab w:pos="638" w:val="left" w:leader="none"/>
        </w:tabs>
        <w:spacing w:line="360" w:lineRule="auto" w:before="6" w:after="0"/>
        <w:ind w:left="118" w:right="267" w:firstLine="0"/>
        <w:jc w:val="left"/>
        <w:rPr>
          <w:sz w:val="24"/>
        </w:rPr>
      </w:pPr>
      <w:r>
        <w:rPr>
          <w:sz w:val="24"/>
        </w:rPr>
        <w:t>kg., Unión Europea 45.8 kg., China 41.9 kg., Estados Unidos 27.2 kg., México es el vigésimo cuarto consumidor a nivel mundial con un consumo 16.6 kg (USDA,</w:t>
      </w:r>
      <w:r>
        <w:rPr>
          <w:spacing w:val="-13"/>
          <w:sz w:val="24"/>
        </w:rPr>
        <w:t> </w:t>
      </w:r>
      <w:r>
        <w:rPr>
          <w:sz w:val="24"/>
        </w:rPr>
        <w:t>2016).</w:t>
      </w:r>
    </w:p>
    <w:p>
      <w:pPr>
        <w:pStyle w:val="BodyText"/>
        <w:spacing w:line="360" w:lineRule="auto" w:before="206"/>
        <w:ind w:left="118" w:right="267" w:firstLine="707"/>
        <w:jc w:val="both"/>
      </w:pPr>
      <w:r>
        <w:rPr/>
        <w:t>En</w:t>
      </w:r>
      <w:r>
        <w:rPr>
          <w:spacing w:val="-14"/>
        </w:rPr>
        <w:t> </w:t>
      </w:r>
      <w:r>
        <w:rPr/>
        <w:t>México,</w:t>
      </w:r>
      <w:r>
        <w:rPr>
          <w:spacing w:val="-13"/>
        </w:rPr>
        <w:t> </w:t>
      </w:r>
      <w:r>
        <w:rPr/>
        <w:t>la</w:t>
      </w:r>
      <w:r>
        <w:rPr>
          <w:spacing w:val="-14"/>
        </w:rPr>
        <w:t> </w:t>
      </w:r>
      <w:r>
        <w:rPr/>
        <w:t>carne</w:t>
      </w:r>
      <w:r>
        <w:rPr>
          <w:spacing w:val="-15"/>
        </w:rPr>
        <w:t> </w:t>
      </w:r>
      <w:r>
        <w:rPr/>
        <w:t>de</w:t>
      </w:r>
      <w:r>
        <w:rPr>
          <w:spacing w:val="-14"/>
        </w:rPr>
        <w:t> </w:t>
      </w:r>
      <w:r>
        <w:rPr/>
        <w:t>cerdo</w:t>
      </w:r>
      <w:r>
        <w:rPr>
          <w:spacing w:val="-14"/>
        </w:rPr>
        <w:t> </w:t>
      </w:r>
      <w:r>
        <w:rPr/>
        <w:t>junto</w:t>
      </w:r>
      <w:r>
        <w:rPr>
          <w:spacing w:val="-13"/>
        </w:rPr>
        <w:t> </w:t>
      </w:r>
      <w:r>
        <w:rPr/>
        <w:t>con</w:t>
      </w:r>
      <w:r>
        <w:rPr>
          <w:spacing w:val="-13"/>
        </w:rPr>
        <w:t> </w:t>
      </w:r>
      <w:r>
        <w:rPr/>
        <w:t>la</w:t>
      </w:r>
      <w:r>
        <w:rPr>
          <w:spacing w:val="-14"/>
        </w:rPr>
        <w:t> </w:t>
      </w:r>
      <w:r>
        <w:rPr/>
        <w:t>de</w:t>
      </w:r>
      <w:r>
        <w:rPr>
          <w:spacing w:val="-14"/>
        </w:rPr>
        <w:t> </w:t>
      </w:r>
      <w:r>
        <w:rPr/>
        <w:t>ave</w:t>
      </w:r>
      <w:r>
        <w:rPr>
          <w:spacing w:val="-12"/>
        </w:rPr>
        <w:t> </w:t>
      </w:r>
      <w:r>
        <w:rPr/>
        <w:t>y</w:t>
      </w:r>
      <w:r>
        <w:rPr>
          <w:spacing w:val="-18"/>
        </w:rPr>
        <w:t> </w:t>
      </w:r>
      <w:r>
        <w:rPr/>
        <w:t>la</w:t>
      </w:r>
      <w:r>
        <w:rPr>
          <w:spacing w:val="-14"/>
        </w:rPr>
        <w:t> </w:t>
      </w:r>
      <w:r>
        <w:rPr/>
        <w:t>de</w:t>
      </w:r>
      <w:r>
        <w:rPr>
          <w:spacing w:val="-14"/>
        </w:rPr>
        <w:t> </w:t>
      </w:r>
      <w:r>
        <w:rPr/>
        <w:t>bovino,</w:t>
      </w:r>
      <w:r>
        <w:rPr>
          <w:spacing w:val="-13"/>
        </w:rPr>
        <w:t> </w:t>
      </w:r>
      <w:r>
        <w:rPr/>
        <w:t>es</w:t>
      </w:r>
      <w:r>
        <w:rPr>
          <w:spacing w:val="-13"/>
        </w:rPr>
        <w:t> </w:t>
      </w:r>
      <w:r>
        <w:rPr/>
        <w:t>de</w:t>
      </w:r>
      <w:r>
        <w:rPr>
          <w:spacing w:val="-14"/>
        </w:rPr>
        <w:t> </w:t>
      </w:r>
      <w:r>
        <w:rPr/>
        <w:t>las</w:t>
      </w:r>
      <w:r>
        <w:rPr>
          <w:spacing w:val="-14"/>
        </w:rPr>
        <w:t> </w:t>
      </w:r>
      <w:r>
        <w:rPr/>
        <w:t>más</w:t>
      </w:r>
      <w:r>
        <w:rPr>
          <w:spacing w:val="-14"/>
        </w:rPr>
        <w:t> </w:t>
      </w:r>
      <w:r>
        <w:rPr/>
        <w:t>consumidas, para 2015 el consumo de carne de cerdo ascendió a 2.10 millones de toneladas (CONFEPORC, 2016), los estados con mayor consumo fueron: Estado de México, Veracruz, Puebla, Distrito Federal, Chiapas y Jalisco. Estos estados participan con el 54.3% del consumo total de carne de cerdo en</w:t>
      </w:r>
      <w:r>
        <w:rPr>
          <w:spacing w:val="-2"/>
        </w:rPr>
        <w:t> </w:t>
      </w:r>
      <w:r>
        <w:rPr/>
        <w:t>México.</w:t>
      </w:r>
    </w:p>
    <w:p>
      <w:pPr>
        <w:pStyle w:val="BodyText"/>
        <w:spacing w:line="360" w:lineRule="auto" w:before="205"/>
        <w:ind w:left="118" w:right="267" w:firstLine="707"/>
        <w:jc w:val="both"/>
      </w:pPr>
      <w:r>
        <w:rPr/>
        <w:t>La</w:t>
      </w:r>
      <w:r>
        <w:rPr>
          <w:spacing w:val="-5"/>
        </w:rPr>
        <w:t> </w:t>
      </w:r>
      <w:r>
        <w:rPr/>
        <w:t>producción</w:t>
      </w:r>
      <w:r>
        <w:rPr>
          <w:spacing w:val="-3"/>
        </w:rPr>
        <w:t> </w:t>
      </w:r>
      <w:r>
        <w:rPr/>
        <w:t>de</w:t>
      </w:r>
      <w:r>
        <w:rPr>
          <w:spacing w:val="-5"/>
        </w:rPr>
        <w:t> </w:t>
      </w:r>
      <w:r>
        <w:rPr/>
        <w:t>carne</w:t>
      </w:r>
      <w:r>
        <w:rPr>
          <w:spacing w:val="-6"/>
        </w:rPr>
        <w:t> </w:t>
      </w:r>
      <w:r>
        <w:rPr/>
        <w:t>de</w:t>
      </w:r>
      <w:r>
        <w:rPr>
          <w:spacing w:val="-5"/>
        </w:rPr>
        <w:t> </w:t>
      </w:r>
      <w:r>
        <w:rPr/>
        <w:t>cerdo</w:t>
      </w:r>
      <w:r>
        <w:rPr>
          <w:spacing w:val="-5"/>
        </w:rPr>
        <w:t> </w:t>
      </w:r>
      <w:r>
        <w:rPr/>
        <w:t>para</w:t>
      </w:r>
      <w:r>
        <w:rPr>
          <w:spacing w:val="-5"/>
        </w:rPr>
        <w:t> </w:t>
      </w:r>
      <w:r>
        <w:rPr/>
        <w:t>el</w:t>
      </w:r>
      <w:r>
        <w:rPr>
          <w:spacing w:val="-2"/>
        </w:rPr>
        <w:t> </w:t>
      </w:r>
      <w:r>
        <w:rPr/>
        <w:t>año</w:t>
      </w:r>
      <w:r>
        <w:rPr>
          <w:spacing w:val="-4"/>
        </w:rPr>
        <w:t> </w:t>
      </w:r>
      <w:r>
        <w:rPr/>
        <w:t>2015</w:t>
      </w:r>
      <w:r>
        <w:rPr>
          <w:spacing w:val="-4"/>
        </w:rPr>
        <w:t> </w:t>
      </w:r>
      <w:r>
        <w:rPr/>
        <w:t>fue</w:t>
      </w:r>
      <w:r>
        <w:rPr>
          <w:spacing w:val="-6"/>
        </w:rPr>
        <w:t> </w:t>
      </w:r>
      <w:r>
        <w:rPr/>
        <w:t>de</w:t>
      </w:r>
      <w:r>
        <w:rPr>
          <w:spacing w:val="-5"/>
        </w:rPr>
        <w:t> </w:t>
      </w:r>
      <w:r>
        <w:rPr/>
        <w:t>1.22</w:t>
      </w:r>
      <w:r>
        <w:rPr>
          <w:spacing w:val="-4"/>
        </w:rPr>
        <w:t> </w:t>
      </w:r>
      <w:r>
        <w:rPr/>
        <w:t>millones</w:t>
      </w:r>
      <w:r>
        <w:rPr>
          <w:spacing w:val="-4"/>
        </w:rPr>
        <w:t> </w:t>
      </w:r>
      <w:r>
        <w:rPr/>
        <w:t>de</w:t>
      </w:r>
      <w:r>
        <w:rPr>
          <w:spacing w:val="-5"/>
        </w:rPr>
        <w:t> </w:t>
      </w:r>
      <w:r>
        <w:rPr/>
        <w:t>toneladas,</w:t>
      </w:r>
      <w:r>
        <w:rPr>
          <w:spacing w:val="-4"/>
        </w:rPr>
        <w:t> </w:t>
      </w:r>
      <w:r>
        <w:rPr/>
        <w:t>esta cantidad representa el 21.11% de la producción de carne en México, y el 58.32% de la carne de cerdo que se consumió en el país, el 41.68 % del consumo fue cubierto con importaciones las cuales ascendieron a 0.875 millones de toneladas para el mismo año. Los estados con mayor producción fueron Jalisco, Sonora, Puebla, Guanajuato, Yucatán y Veracruz (SIAP 2016) estas entidades</w:t>
      </w:r>
      <w:r>
        <w:rPr>
          <w:spacing w:val="-8"/>
        </w:rPr>
        <w:t> </w:t>
      </w:r>
      <w:r>
        <w:rPr/>
        <w:t>aportaron</w:t>
      </w:r>
      <w:r>
        <w:rPr>
          <w:spacing w:val="-9"/>
        </w:rPr>
        <w:t> </w:t>
      </w:r>
      <w:r>
        <w:rPr/>
        <w:t>el</w:t>
      </w:r>
      <w:r>
        <w:rPr>
          <w:spacing w:val="-8"/>
        </w:rPr>
        <w:t> </w:t>
      </w:r>
      <w:r>
        <w:rPr/>
        <w:t>72.5</w:t>
      </w:r>
      <w:r>
        <w:rPr>
          <w:spacing w:val="-9"/>
        </w:rPr>
        <w:t> </w:t>
      </w:r>
      <w:r>
        <w:rPr/>
        <w:t>%</w:t>
      </w:r>
      <w:r>
        <w:rPr>
          <w:spacing w:val="-9"/>
        </w:rPr>
        <w:t> </w:t>
      </w:r>
      <w:r>
        <w:rPr/>
        <w:t>de</w:t>
      </w:r>
      <w:r>
        <w:rPr>
          <w:spacing w:val="-10"/>
        </w:rPr>
        <w:t> </w:t>
      </w:r>
      <w:r>
        <w:rPr/>
        <w:t>la</w:t>
      </w:r>
      <w:r>
        <w:rPr>
          <w:spacing w:val="-9"/>
        </w:rPr>
        <w:t> </w:t>
      </w:r>
      <w:r>
        <w:rPr/>
        <w:t>producción</w:t>
      </w:r>
      <w:r>
        <w:rPr>
          <w:spacing w:val="-8"/>
        </w:rPr>
        <w:t> </w:t>
      </w:r>
      <w:r>
        <w:rPr/>
        <w:t>nacional.</w:t>
      </w:r>
      <w:r>
        <w:rPr>
          <w:spacing w:val="-6"/>
        </w:rPr>
        <w:t> </w:t>
      </w:r>
      <w:r>
        <w:rPr>
          <w:spacing w:val="-3"/>
        </w:rPr>
        <w:t>La</w:t>
      </w:r>
      <w:r>
        <w:rPr>
          <w:spacing w:val="-10"/>
        </w:rPr>
        <w:t> </w:t>
      </w:r>
      <w:r>
        <w:rPr/>
        <w:t>producción</w:t>
      </w:r>
      <w:r>
        <w:rPr>
          <w:spacing w:val="-6"/>
        </w:rPr>
        <w:t> </w:t>
      </w:r>
      <w:r>
        <w:rPr/>
        <w:t>en</w:t>
      </w:r>
      <w:r>
        <w:rPr>
          <w:spacing w:val="-9"/>
        </w:rPr>
        <w:t> </w:t>
      </w:r>
      <w:r>
        <w:rPr/>
        <w:t>México</w:t>
      </w:r>
      <w:r>
        <w:rPr>
          <w:spacing w:val="-9"/>
        </w:rPr>
        <w:t> </w:t>
      </w:r>
      <w:r>
        <w:rPr/>
        <w:t>se</w:t>
      </w:r>
      <w:r>
        <w:rPr>
          <w:spacing w:val="-9"/>
        </w:rPr>
        <w:t> </w:t>
      </w:r>
      <w:r>
        <w:rPr/>
        <w:t>da</w:t>
      </w:r>
      <w:r>
        <w:rPr>
          <w:spacing w:val="-10"/>
        </w:rPr>
        <w:t> </w:t>
      </w:r>
      <w:r>
        <w:rPr/>
        <w:t>a</w:t>
      </w:r>
      <w:r>
        <w:rPr>
          <w:spacing w:val="-10"/>
        </w:rPr>
        <w:t> </w:t>
      </w:r>
      <w:r>
        <w:rPr/>
        <w:t>través de</w:t>
      </w:r>
      <w:r>
        <w:rPr>
          <w:spacing w:val="-17"/>
        </w:rPr>
        <w:t> </w:t>
      </w:r>
      <w:r>
        <w:rPr/>
        <w:t>1</w:t>
      </w:r>
      <w:r>
        <w:rPr>
          <w:spacing w:val="-16"/>
        </w:rPr>
        <w:t> </w:t>
      </w:r>
      <w:r>
        <w:rPr/>
        <w:t>millón</w:t>
      </w:r>
      <w:r>
        <w:rPr>
          <w:spacing w:val="-16"/>
        </w:rPr>
        <w:t> </w:t>
      </w:r>
      <w:r>
        <w:rPr/>
        <w:t>de</w:t>
      </w:r>
      <w:r>
        <w:rPr>
          <w:spacing w:val="-17"/>
        </w:rPr>
        <w:t> </w:t>
      </w:r>
      <w:r>
        <w:rPr/>
        <w:t>unidades</w:t>
      </w:r>
      <w:r>
        <w:rPr>
          <w:spacing w:val="-16"/>
        </w:rPr>
        <w:t> </w:t>
      </w:r>
      <w:r>
        <w:rPr/>
        <w:t>de</w:t>
      </w:r>
      <w:r>
        <w:rPr>
          <w:spacing w:val="-17"/>
        </w:rPr>
        <w:t> </w:t>
      </w:r>
      <w:r>
        <w:rPr/>
        <w:t>producción</w:t>
      </w:r>
      <w:r>
        <w:rPr>
          <w:spacing w:val="-15"/>
        </w:rPr>
        <w:t> </w:t>
      </w:r>
      <w:r>
        <w:rPr/>
        <w:t>porcina,</w:t>
      </w:r>
      <w:r>
        <w:rPr>
          <w:spacing w:val="-14"/>
        </w:rPr>
        <w:t> </w:t>
      </w:r>
      <w:r>
        <w:rPr/>
        <w:t>con</w:t>
      </w:r>
      <w:r>
        <w:rPr>
          <w:spacing w:val="-14"/>
        </w:rPr>
        <w:t> </w:t>
      </w:r>
      <w:r>
        <w:rPr/>
        <w:t>una</w:t>
      </w:r>
      <w:r>
        <w:rPr>
          <w:spacing w:val="-17"/>
        </w:rPr>
        <w:t> </w:t>
      </w:r>
      <w:r>
        <w:rPr/>
        <w:t>piara</w:t>
      </w:r>
      <w:r>
        <w:rPr>
          <w:spacing w:val="-17"/>
        </w:rPr>
        <w:t> </w:t>
      </w:r>
      <w:r>
        <w:rPr/>
        <w:t>de</w:t>
      </w:r>
      <w:r>
        <w:rPr>
          <w:spacing w:val="-17"/>
        </w:rPr>
        <w:t> </w:t>
      </w:r>
      <w:r>
        <w:rPr/>
        <w:t>más</w:t>
      </w:r>
      <w:r>
        <w:rPr>
          <w:spacing w:val="-14"/>
        </w:rPr>
        <w:t> </w:t>
      </w:r>
      <w:r>
        <w:rPr/>
        <w:t>de</w:t>
      </w:r>
      <w:r>
        <w:rPr>
          <w:spacing w:val="-17"/>
        </w:rPr>
        <w:t> </w:t>
      </w:r>
      <w:r>
        <w:rPr/>
        <w:t>16.2</w:t>
      </w:r>
      <w:r>
        <w:rPr>
          <w:spacing w:val="-13"/>
        </w:rPr>
        <w:t> </w:t>
      </w:r>
      <w:r>
        <w:rPr/>
        <w:t>millones</w:t>
      </w:r>
      <w:r>
        <w:rPr>
          <w:spacing w:val="-16"/>
        </w:rPr>
        <w:t> </w:t>
      </w:r>
      <w:r>
        <w:rPr/>
        <w:t>de</w:t>
      </w:r>
      <w:r>
        <w:rPr>
          <w:spacing w:val="-17"/>
        </w:rPr>
        <w:t> </w:t>
      </w:r>
      <w:r>
        <w:rPr/>
        <w:t>cabezas. Alrededor</w:t>
      </w:r>
      <w:r>
        <w:rPr>
          <w:spacing w:val="-2"/>
        </w:rPr>
        <w:t> </w:t>
      </w:r>
      <w:r>
        <w:rPr/>
        <w:t>de</w:t>
      </w:r>
      <w:r>
        <w:rPr>
          <w:spacing w:val="-5"/>
        </w:rPr>
        <w:t> </w:t>
      </w:r>
      <w:r>
        <w:rPr/>
        <w:t>2</w:t>
      </w:r>
      <w:r>
        <w:rPr>
          <w:spacing w:val="-2"/>
        </w:rPr>
        <w:t> </w:t>
      </w:r>
      <w:r>
        <w:rPr/>
        <w:t>millones</w:t>
      </w:r>
      <w:r>
        <w:rPr>
          <w:spacing w:val="-4"/>
        </w:rPr>
        <w:t> </w:t>
      </w:r>
      <w:r>
        <w:rPr/>
        <w:t>de</w:t>
      </w:r>
      <w:r>
        <w:rPr>
          <w:spacing w:val="-5"/>
        </w:rPr>
        <w:t> </w:t>
      </w:r>
      <w:r>
        <w:rPr/>
        <w:t>familias</w:t>
      </w:r>
      <w:r>
        <w:rPr>
          <w:spacing w:val="-4"/>
        </w:rPr>
        <w:t> </w:t>
      </w:r>
      <w:r>
        <w:rPr/>
        <w:t>dependen</w:t>
      </w:r>
      <w:r>
        <w:rPr>
          <w:spacing w:val="-2"/>
        </w:rPr>
        <w:t> </w:t>
      </w:r>
      <w:r>
        <w:rPr/>
        <w:t>de</w:t>
      </w:r>
      <w:r>
        <w:rPr>
          <w:spacing w:val="-2"/>
        </w:rPr>
        <w:t> </w:t>
      </w:r>
      <w:r>
        <w:rPr/>
        <w:t>esta</w:t>
      </w:r>
      <w:r>
        <w:rPr>
          <w:spacing w:val="-4"/>
        </w:rPr>
        <w:t> </w:t>
      </w:r>
      <w:r>
        <w:rPr/>
        <w:t>actividad,</w:t>
      </w:r>
      <w:r>
        <w:rPr>
          <w:spacing w:val="-4"/>
        </w:rPr>
        <w:t> </w:t>
      </w:r>
      <w:r>
        <w:rPr/>
        <w:t>la</w:t>
      </w:r>
      <w:r>
        <w:rPr>
          <w:spacing w:val="-4"/>
        </w:rPr>
        <w:t> </w:t>
      </w:r>
      <w:r>
        <w:rPr/>
        <w:t>cual</w:t>
      </w:r>
      <w:r>
        <w:rPr>
          <w:spacing w:val="-1"/>
        </w:rPr>
        <w:t> </w:t>
      </w:r>
      <w:r>
        <w:rPr/>
        <w:t>genera</w:t>
      </w:r>
      <w:r>
        <w:rPr>
          <w:spacing w:val="-6"/>
        </w:rPr>
        <w:t> </w:t>
      </w:r>
      <w:r>
        <w:rPr/>
        <w:t>350,000</w:t>
      </w:r>
      <w:r>
        <w:rPr>
          <w:spacing w:val="-2"/>
        </w:rPr>
        <w:t> </w:t>
      </w:r>
      <w:r>
        <w:rPr/>
        <w:t>empleos directos y más de 1.7 millones de empleos indirectos, el valor de la producción e importaciones ascendió a 71,490 millones de pesos (FIRA</w:t>
      </w:r>
      <w:r>
        <w:rPr>
          <w:spacing w:val="-12"/>
        </w:rPr>
        <w:t> </w:t>
      </w:r>
      <w:r>
        <w:rPr/>
        <w:t>2016).</w:t>
      </w:r>
    </w:p>
    <w:p>
      <w:pPr>
        <w:pStyle w:val="BodyText"/>
        <w:spacing w:line="360" w:lineRule="auto" w:before="206"/>
        <w:ind w:left="118" w:right="266" w:firstLine="707"/>
        <w:jc w:val="both"/>
      </w:pPr>
      <w:r>
        <w:rPr/>
        <w:t>Debido a lo anterior, es importante generar una investigación del mercado de carne de cerdo en México utilizando un modelo de programación no lineal que permita optimizar este mercado, maximizando el Valor Social Neto (VSN) que es el excedente económico (excedente al consumidor más excedente al productor) menos los costos de transporte, y sirve como indicador que permite analizar los cambios que se provocan en el bienestar de la sociedad por</w:t>
      </w:r>
      <w:r>
        <w:rPr>
          <w:spacing w:val="-24"/>
        </w:rPr>
        <w:t> </w:t>
      </w:r>
      <w:r>
        <w:rPr/>
        <w:t>la instrumentación de una política determinada. Esta metodología no se ha empleado en especies pecuarias, solo se ha utilizado en algunos productos agrícolas</w:t>
      </w:r>
      <w:r>
        <w:rPr>
          <w:strike/>
        </w:rPr>
        <w:t>, </w:t>
      </w:r>
      <w:r>
        <w:rPr>
          <w:strike w:val="0"/>
        </w:rPr>
        <w:t>siendo una buena herramienta</w:t>
      </w:r>
      <w:r>
        <w:rPr>
          <w:strike w:val="0"/>
          <w:spacing w:val="13"/>
        </w:rPr>
        <w:t> </w:t>
      </w:r>
      <w:r>
        <w:rPr>
          <w:strike w:val="0"/>
        </w:rPr>
        <w:t>en</w:t>
      </w:r>
    </w:p>
    <w:p>
      <w:pPr>
        <w:spacing w:after="0" w:line="360" w:lineRule="auto"/>
        <w:jc w:val="both"/>
        <w:sectPr>
          <w:pgSz w:w="12240" w:h="15840"/>
          <w:pgMar w:header="984" w:footer="986" w:top="1280" w:bottom="1180" w:left="1300" w:right="1340"/>
        </w:sectPr>
      </w:pPr>
    </w:p>
    <w:p>
      <w:pPr>
        <w:pStyle w:val="BodyText"/>
        <w:spacing w:line="360" w:lineRule="auto" w:before="125"/>
        <w:ind w:left="118" w:right="267"/>
        <w:jc w:val="both"/>
      </w:pPr>
      <w:r>
        <w:rPr/>
        <w:t>la</w:t>
      </w:r>
      <w:r>
        <w:rPr>
          <w:spacing w:val="-9"/>
        </w:rPr>
        <w:t> </w:t>
      </w:r>
      <w:r>
        <w:rPr/>
        <w:t>toma</w:t>
      </w:r>
      <w:r>
        <w:rPr>
          <w:spacing w:val="-10"/>
        </w:rPr>
        <w:t> </w:t>
      </w:r>
      <w:r>
        <w:rPr/>
        <w:t>de</w:t>
      </w:r>
      <w:r>
        <w:rPr>
          <w:spacing w:val="-10"/>
        </w:rPr>
        <w:t> </w:t>
      </w:r>
      <w:r>
        <w:rPr/>
        <w:t>decisiones</w:t>
      </w:r>
      <w:r>
        <w:rPr>
          <w:spacing w:val="-8"/>
        </w:rPr>
        <w:t> </w:t>
      </w:r>
      <w:r>
        <w:rPr/>
        <w:t>de</w:t>
      </w:r>
      <w:r>
        <w:rPr>
          <w:spacing w:val="-7"/>
        </w:rPr>
        <w:t> </w:t>
      </w:r>
      <w:r>
        <w:rPr/>
        <w:t>políticas</w:t>
      </w:r>
      <w:r>
        <w:rPr>
          <w:spacing w:val="-8"/>
        </w:rPr>
        <w:t> </w:t>
      </w:r>
      <w:r>
        <w:rPr/>
        <w:t>económicas</w:t>
      </w:r>
      <w:r>
        <w:rPr>
          <w:spacing w:val="-4"/>
        </w:rPr>
        <w:t> </w:t>
      </w:r>
      <w:r>
        <w:rPr/>
        <w:t>y/o</w:t>
      </w:r>
      <w:r>
        <w:rPr>
          <w:spacing w:val="-6"/>
        </w:rPr>
        <w:t> </w:t>
      </w:r>
      <w:r>
        <w:rPr/>
        <w:t>comerciales</w:t>
      </w:r>
      <w:r>
        <w:rPr>
          <w:spacing w:val="-8"/>
        </w:rPr>
        <w:t> </w:t>
      </w:r>
      <w:r>
        <w:rPr/>
        <w:t>de</w:t>
      </w:r>
      <w:r>
        <w:rPr>
          <w:spacing w:val="-10"/>
        </w:rPr>
        <w:t> </w:t>
      </w:r>
      <w:r>
        <w:rPr/>
        <w:t>los</w:t>
      </w:r>
      <w:r>
        <w:rPr>
          <w:spacing w:val="-8"/>
        </w:rPr>
        <w:t> </w:t>
      </w:r>
      <w:r>
        <w:rPr/>
        <w:t>productos,</w:t>
      </w:r>
      <w:r>
        <w:rPr>
          <w:spacing w:val="-6"/>
        </w:rPr>
        <w:t> </w:t>
      </w:r>
      <w:r>
        <w:rPr>
          <w:spacing w:val="-3"/>
        </w:rPr>
        <w:t>ya</w:t>
      </w:r>
      <w:r>
        <w:rPr>
          <w:spacing w:val="-7"/>
        </w:rPr>
        <w:t> </w:t>
      </w:r>
      <w:r>
        <w:rPr/>
        <w:t>que</w:t>
      </w:r>
      <w:r>
        <w:rPr>
          <w:spacing w:val="-10"/>
        </w:rPr>
        <w:t> </w:t>
      </w:r>
      <w:r>
        <w:rPr/>
        <w:t>mediante ella es posible conocer el efecto que pueda tenerse en el mercado por la aplicación de aranceles, subsidios, fluctuaciones en el tipo de cambio,</w:t>
      </w:r>
      <w:r>
        <w:rPr>
          <w:spacing w:val="-14"/>
        </w:rPr>
        <w:t> </w:t>
      </w:r>
      <w:r>
        <w:rPr/>
        <w:t>etc.</w:t>
      </w:r>
    </w:p>
    <w:p>
      <w:pPr>
        <w:pStyle w:val="BodyText"/>
        <w:spacing w:line="360" w:lineRule="auto" w:before="205"/>
        <w:ind w:left="118" w:right="266" w:firstLine="707"/>
        <w:jc w:val="both"/>
      </w:pPr>
      <w:r>
        <w:rPr/>
        <w:t>Gómez </w:t>
      </w:r>
      <w:r>
        <w:rPr>
          <w:i/>
        </w:rPr>
        <w:t>et al. </w:t>
      </w:r>
      <w:r>
        <w:rPr/>
        <w:t>(2011) calcularon el efecto de la aplicación de aranceles sobre variables como producción y precio de la carne en México pero utilizaron un modelo espacial Armington y no un modelo de optimización, por ello, el objetivo de la presente investigación fue estimar, bajo condiciones óptimas de forma regional, la producción, consumo y distribución de la carne de cerdo en México para el año 2015, utilizando un modelo que maximice el VSN del mercado nacional de esta carne.</w:t>
      </w:r>
    </w:p>
    <w:p>
      <w:pPr>
        <w:pStyle w:val="BodyText"/>
        <w:spacing w:line="360" w:lineRule="auto" w:before="205"/>
        <w:ind w:left="118" w:right="268" w:firstLine="707"/>
        <w:jc w:val="both"/>
      </w:pPr>
      <w:r>
        <w:rPr/>
        <w:t>La hipótesis central considera que el mercado de carne de cerdo en México para el año 2015 no fue el óptimo debido a que no maximizó el VSN.</w:t>
      </w:r>
    </w:p>
    <w:p>
      <w:pPr>
        <w:pStyle w:val="Heading4"/>
        <w:spacing w:before="210"/>
        <w:ind w:left="826" w:right="410"/>
        <w:jc w:val="left"/>
      </w:pPr>
      <w:r>
        <w:rPr/>
        <w:t>Metodología</w:t>
      </w:r>
    </w:p>
    <w:p>
      <w:pPr>
        <w:pStyle w:val="BodyText"/>
        <w:rPr>
          <w:b/>
          <w:sz w:val="29"/>
        </w:rPr>
      </w:pPr>
    </w:p>
    <w:p>
      <w:pPr>
        <w:pStyle w:val="BodyText"/>
        <w:ind w:left="118"/>
        <w:jc w:val="both"/>
      </w:pPr>
      <w:r>
        <w:rPr/>
        <w:t>Se formuló un modelo de programación no lineal, que maximiza el VSN</w:t>
      </w:r>
      <w:r>
        <w:rPr>
          <w:color w:val="FF0000"/>
        </w:rPr>
        <w:t>.</w:t>
      </w:r>
    </w:p>
    <w:p>
      <w:pPr>
        <w:pStyle w:val="BodyText"/>
        <w:spacing w:before="4"/>
        <w:rPr>
          <w:sz w:val="29"/>
        </w:rPr>
      </w:pPr>
    </w:p>
    <w:p>
      <w:pPr>
        <w:pStyle w:val="BodyText"/>
        <w:spacing w:line="360" w:lineRule="auto" w:before="1"/>
        <w:ind w:left="118" w:right="269"/>
        <w:jc w:val="both"/>
      </w:pPr>
      <w:r>
        <w:rPr/>
        <w:t>La función objetivo (Valor Social Neto) maximiza las áreas bajo las curvas de las demandas, menos</w:t>
      </w:r>
      <w:r>
        <w:rPr>
          <w:spacing w:val="-11"/>
        </w:rPr>
        <w:t> </w:t>
      </w:r>
      <w:r>
        <w:rPr/>
        <w:t>las</w:t>
      </w:r>
      <w:r>
        <w:rPr>
          <w:spacing w:val="-11"/>
        </w:rPr>
        <w:t> </w:t>
      </w:r>
      <w:r>
        <w:rPr/>
        <w:t>áreas</w:t>
      </w:r>
      <w:r>
        <w:rPr>
          <w:spacing w:val="-11"/>
        </w:rPr>
        <w:t> </w:t>
      </w:r>
      <w:r>
        <w:rPr/>
        <w:t>bajo</w:t>
      </w:r>
      <w:r>
        <w:rPr>
          <w:spacing w:val="-11"/>
        </w:rPr>
        <w:t> </w:t>
      </w:r>
      <w:r>
        <w:rPr/>
        <w:t>las</w:t>
      </w:r>
      <w:r>
        <w:rPr>
          <w:spacing w:val="-11"/>
        </w:rPr>
        <w:t> </w:t>
      </w:r>
      <w:r>
        <w:rPr/>
        <w:t>curvas</w:t>
      </w:r>
      <w:r>
        <w:rPr>
          <w:spacing w:val="-11"/>
        </w:rPr>
        <w:t> </w:t>
      </w:r>
      <w:r>
        <w:rPr/>
        <w:t>de</w:t>
      </w:r>
      <w:r>
        <w:rPr>
          <w:spacing w:val="-12"/>
        </w:rPr>
        <w:t> </w:t>
      </w:r>
      <w:r>
        <w:rPr/>
        <w:t>las</w:t>
      </w:r>
      <w:r>
        <w:rPr>
          <w:spacing w:val="-11"/>
        </w:rPr>
        <w:t> </w:t>
      </w:r>
      <w:r>
        <w:rPr/>
        <w:t>ofertas,</w:t>
      </w:r>
      <w:r>
        <w:rPr>
          <w:spacing w:val="-11"/>
        </w:rPr>
        <w:t> </w:t>
      </w:r>
      <w:r>
        <w:rPr/>
        <w:t>las</w:t>
      </w:r>
      <w:r>
        <w:rPr>
          <w:spacing w:val="-11"/>
        </w:rPr>
        <w:t> </w:t>
      </w:r>
      <w:r>
        <w:rPr/>
        <w:t>cuales</w:t>
      </w:r>
      <w:r>
        <w:rPr>
          <w:spacing w:val="-11"/>
        </w:rPr>
        <w:t> </w:t>
      </w:r>
      <w:r>
        <w:rPr/>
        <w:t>se</w:t>
      </w:r>
      <w:r>
        <w:rPr>
          <w:spacing w:val="-12"/>
        </w:rPr>
        <w:t> </w:t>
      </w:r>
      <w:r>
        <w:rPr/>
        <w:t>obtienen</w:t>
      </w:r>
      <w:r>
        <w:rPr>
          <w:spacing w:val="-11"/>
        </w:rPr>
        <w:t> </w:t>
      </w:r>
      <w:r>
        <w:rPr/>
        <w:t>integrando</w:t>
      </w:r>
      <w:r>
        <w:rPr>
          <w:spacing w:val="-11"/>
        </w:rPr>
        <w:t> </w:t>
      </w:r>
      <w:r>
        <w:rPr/>
        <w:t>matemáticamente la funciones inversas de demanda y de oferta, menos los costos de transporte (Figura 1) (Takayama </w:t>
      </w:r>
      <w:r>
        <w:rPr>
          <w:i/>
        </w:rPr>
        <w:t>et al</w:t>
      </w:r>
      <w:r>
        <w:rPr/>
        <w:t>.,</w:t>
      </w:r>
      <w:r>
        <w:rPr>
          <w:spacing w:val="-5"/>
        </w:rPr>
        <w:t> </w:t>
      </w:r>
      <w:r>
        <w:rPr/>
        <w:t>1964).</w:t>
      </w:r>
    </w:p>
    <w:p>
      <w:pPr>
        <w:pStyle w:val="BodyText"/>
        <w:spacing w:before="205"/>
        <w:ind w:left="118"/>
        <w:jc w:val="both"/>
      </w:pPr>
      <w:r>
        <w:rPr/>
        <w:t>Figura 1: Representación gráfica del modelo</w:t>
      </w:r>
    </w:p>
    <w:p>
      <w:pPr>
        <w:pStyle w:val="BodyText"/>
        <w:rPr>
          <w:sz w:val="20"/>
        </w:rPr>
      </w:pPr>
    </w:p>
    <w:p>
      <w:pPr>
        <w:pStyle w:val="BodyText"/>
        <w:spacing w:before="4"/>
        <w:rPr>
          <w:sz w:val="19"/>
        </w:rPr>
      </w:pPr>
      <w:r>
        <w:rPr/>
        <w:pict>
          <v:group style="position:absolute;margin-left:70.944pt;margin-top:13.075274pt;width:302.650pt;height:167.9pt;mso-position-horizontal-relative:page;mso-position-vertical-relative:paragraph;z-index:5608;mso-wrap-distance-left:0;mso-wrap-distance-right:0" coordorigin="1419,262" coordsize="6053,3358">
            <v:line style="position:absolute" from="1922,619" to="1922,3168" stroked="true" strokeweight=".48pt" strokecolor="#000000"/>
            <v:line style="position:absolute" from="1922,3168" to="4476,3168" stroked="true" strokeweight=".48pt" strokecolor="#000000"/>
            <v:line style="position:absolute" from="1922,910" to="3040,3186" stroked="true" strokeweight=".48pt" strokecolor="#000000"/>
            <v:line style="position:absolute" from="2052,3268" to="3796,1142" stroked="true" strokeweight=".48pt" strokecolor="#000000"/>
            <v:shape style="position:absolute;left:1783;top:262;width:384;height:439" type="#_x0000_t75" stroked="false">
              <v:imagedata r:id="rId40" o:title=""/>
            </v:shape>
            <v:shape style="position:absolute;left:4426;top:3012;width:434;height:439" type="#_x0000_t75" stroked="false">
              <v:imagedata r:id="rId41" o:title=""/>
            </v:shape>
            <v:shape style="position:absolute;left:1783;top:586;width:4709;height:612" type="#_x0000_t75" stroked="false">
              <v:imagedata r:id="rId42" o:title=""/>
            </v:shape>
            <v:shape style="position:absolute;left:3379;top:1358;width:4092;height:610" type="#_x0000_t75" stroked="false">
              <v:imagedata r:id="rId110" o:title=""/>
            </v:shape>
            <v:shape style="position:absolute;left:2402;top:2647;width:4426;height:550" type="#_x0000_t75" stroked="false">
              <v:imagedata r:id="rId44" o:title=""/>
            </v:shape>
            <v:shape style="position:absolute;left:1634;top:3182;width:386;height:437" type="#_x0000_t75" stroked="false">
              <v:imagedata r:id="rId46" o:title=""/>
            </v:shape>
            <v:shape style="position:absolute;left:1928;top:289;width:161;height:240" type="#_x0000_t202" filled="false" stroked="false">
              <v:textbox inset="0,0,0,0">
                <w:txbxContent>
                  <w:p>
                    <w:pPr>
                      <w:spacing w:line="240" w:lineRule="exact" w:before="0"/>
                      <w:ind w:left="0" w:right="0" w:firstLine="0"/>
                      <w:jc w:val="left"/>
                      <w:rPr>
                        <w:rFonts w:ascii="Arial"/>
                        <w:i/>
                        <w:sz w:val="24"/>
                      </w:rPr>
                    </w:pPr>
                    <w:r>
                      <w:rPr>
                        <w:rFonts w:ascii="Arial"/>
                        <w:i/>
                        <w:w w:val="100"/>
                        <w:sz w:val="24"/>
                      </w:rPr>
                      <w:t>P</w:t>
                    </w:r>
                  </w:p>
                </w:txbxContent>
              </v:textbox>
              <w10:wrap type="none"/>
            </v:shape>
            <v:shape style="position:absolute;left:2568;top:664;width:3020;height:240" type="#_x0000_t202" filled="false" stroked="false">
              <v:textbox inset="0,0,0,0">
                <w:txbxContent>
                  <w:p>
                    <w:pPr>
                      <w:spacing w:line="240" w:lineRule="exact" w:before="0"/>
                      <w:ind w:left="0" w:right="0" w:firstLine="0"/>
                      <w:jc w:val="left"/>
                      <w:rPr>
                        <w:rFonts w:ascii="Cambria Math" w:hAnsi="Cambria Math" w:eastAsia="Cambria Math"/>
                        <w:sz w:val="24"/>
                      </w:rPr>
                    </w:pPr>
                    <w:r>
                      <w:rPr>
                        <w:rFonts w:ascii="Cambria Math" w:hAnsi="Cambria Math" w:eastAsia="Cambria Math"/>
                        <w:sz w:val="24"/>
                      </w:rPr>
                      <w:t>���𝑎��𝑎 = 𝜆 � + ⁄   𝜔 �</w:t>
                    </w:r>
                  </w:p>
                </w:txbxContent>
              </v:textbox>
              <w10:wrap type="none"/>
            </v:shape>
            <v:shape style="position:absolute;left:4095;top:768;width:361;height:171" type="#_x0000_t202" filled="false" stroked="false">
              <v:textbox inset="0,0,0,0">
                <w:txbxContent>
                  <w:p>
                    <w:pPr>
                      <w:spacing w:line="170" w:lineRule="exact" w:before="0"/>
                      <w:ind w:left="0" w:right="0" w:firstLine="0"/>
                      <w:jc w:val="left"/>
                      <w:rPr>
                        <w:rFonts w:ascii="Cambria Math" w:eastAsia="Cambria Math"/>
                        <w:sz w:val="17"/>
                      </w:rPr>
                    </w:pPr>
                    <w:r>
                      <w:rPr>
                        <w:rFonts w:ascii="Cambria Math" w:eastAsia="Cambria Math"/>
                        <w:w w:val="110"/>
                        <w:sz w:val="17"/>
                      </w:rPr>
                      <w:t>𝑑 𝑑</w:t>
                    </w:r>
                  </w:p>
                </w:txbxContent>
              </v:textbox>
              <w10:wrap type="none"/>
            </v:shape>
            <v:shape style="position:absolute;left:4758;top:587;width:113;height:240" type="#_x0000_t202" filled="false" stroked="false">
              <v:textbox inset="0,0,0,0">
                <w:txbxContent>
                  <w:p>
                    <w:pPr>
                      <w:spacing w:line="240" w:lineRule="exact" w:before="0"/>
                      <w:ind w:left="0" w:right="0" w:firstLine="0"/>
                      <w:jc w:val="left"/>
                      <w:rPr>
                        <w:rFonts w:ascii="Cambria Math"/>
                        <w:sz w:val="24"/>
                      </w:rPr>
                    </w:pPr>
                    <w:r>
                      <w:rPr>
                        <w:rFonts w:ascii="Cambria Math"/>
                        <w:spacing w:val="-21"/>
                        <w:w w:val="100"/>
                        <w:sz w:val="24"/>
                      </w:rPr>
                      <w:t>1</w:t>
                    </w:r>
                  </w:p>
                </w:txbxContent>
              </v:textbox>
              <w10:wrap type="none"/>
            </v:shape>
            <v:shape style="position:absolute;left:5600;top:626;width:99;height:171" type="#_x0000_t202" filled="false" stroked="false">
              <v:textbox inset="0,0,0,0">
                <w:txbxContent>
                  <w:p>
                    <w:pPr>
                      <w:spacing w:line="170" w:lineRule="exact" w:before="0"/>
                      <w:ind w:left="0" w:right="0" w:firstLine="0"/>
                      <w:jc w:val="left"/>
                      <w:rPr>
                        <w:rFonts w:ascii="Cambria Math"/>
                        <w:sz w:val="17"/>
                      </w:rPr>
                    </w:pPr>
                    <w:r>
                      <w:rPr>
                        <w:rFonts w:ascii="Cambria Math"/>
                        <w:w w:val="104"/>
                        <w:sz w:val="17"/>
                      </w:rPr>
                      <w:t>2</w:t>
                    </w:r>
                  </w:p>
                </w:txbxContent>
              </v:textbox>
              <w10:wrap type="none"/>
            </v:shape>
            <v:shape style="position:absolute;left:4983;top:762;width:133;height:240" type="#_x0000_t202" filled="false" stroked="false">
              <v:textbox inset="0,0,0,0">
                <w:txbxContent>
                  <w:p>
                    <w:pPr>
                      <w:spacing w:line="240" w:lineRule="exact" w:before="0"/>
                      <w:ind w:left="0" w:right="0" w:firstLine="0"/>
                      <w:jc w:val="left"/>
                      <w:rPr>
                        <w:rFonts w:ascii="Cambria Math"/>
                        <w:sz w:val="24"/>
                      </w:rPr>
                    </w:pPr>
                    <w:r>
                      <w:rPr>
                        <w:rFonts w:ascii="Cambria Math"/>
                        <w:w w:val="100"/>
                        <w:sz w:val="24"/>
                      </w:rPr>
                      <w:t>2</w:t>
                    </w:r>
                  </w:p>
                </w:txbxContent>
              </v:textbox>
              <w10:wrap type="none"/>
            </v:shape>
            <v:shape style="position:absolute;left:5331;top:768;width:109;height:171" type="#_x0000_t202" filled="false" stroked="false">
              <v:textbox inset="0,0,0,0">
                <w:txbxContent>
                  <w:p>
                    <w:pPr>
                      <w:spacing w:line="170" w:lineRule="exact" w:before="0"/>
                      <w:ind w:left="0" w:right="-99" w:firstLine="0"/>
                      <w:jc w:val="left"/>
                      <w:rPr>
                        <w:rFonts w:ascii="Cambria Math" w:eastAsia="Cambria Math"/>
                        <w:sz w:val="17"/>
                      </w:rPr>
                    </w:pPr>
                    <w:r>
                      <w:rPr>
                        <w:rFonts w:ascii="Cambria Math" w:eastAsia="Cambria Math"/>
                        <w:w w:val="110"/>
                        <w:sz w:val="17"/>
                      </w:rPr>
                      <w:t>𝑑</w:t>
                    </w:r>
                  </w:p>
                </w:txbxContent>
              </v:textbox>
              <w10:wrap type="none"/>
            </v:shape>
            <v:shape style="position:absolute;left:5581;top:775;width:109;height:171" type="#_x0000_t202" filled="false" stroked="false">
              <v:textbox inset="0,0,0,0">
                <w:txbxContent>
                  <w:p>
                    <w:pPr>
                      <w:spacing w:line="170" w:lineRule="exact" w:before="0"/>
                      <w:ind w:left="0" w:right="-99" w:firstLine="0"/>
                      <w:jc w:val="left"/>
                      <w:rPr>
                        <w:rFonts w:ascii="Cambria Math" w:eastAsia="Cambria Math"/>
                        <w:sz w:val="17"/>
                      </w:rPr>
                    </w:pPr>
                    <w:r>
                      <w:rPr>
                        <w:rFonts w:ascii="Cambria Math" w:eastAsia="Cambria Math"/>
                        <w:w w:val="110"/>
                        <w:sz w:val="17"/>
                      </w:rPr>
                      <w:t>𝑑</w:t>
                    </w:r>
                  </w:p>
                </w:txbxContent>
              </v:textbox>
              <w10:wrap type="none"/>
            </v:shape>
            <v:shape style="position:absolute;left:4069;top:1435;width:2593;height:240" type="#_x0000_t202" filled="false" stroked="false">
              <v:textbox inset="0,0,0,0">
                <w:txbxContent>
                  <w:p>
                    <w:pPr>
                      <w:spacing w:line="240" w:lineRule="exact" w:before="0"/>
                      <w:ind w:left="0" w:right="0" w:firstLine="0"/>
                      <w:jc w:val="left"/>
                      <w:rPr>
                        <w:rFonts w:ascii="Cambria Math" w:hAnsi="Cambria Math" w:eastAsia="Cambria Math"/>
                        <w:sz w:val="24"/>
                      </w:rPr>
                    </w:pPr>
                    <w:r>
                      <w:rPr>
                        <w:rFonts w:ascii="Cambria Math" w:hAnsi="Cambria Math" w:eastAsia="Cambria Math"/>
                        <w:sz w:val="24"/>
                      </w:rPr>
                      <w:t>�����𝑎 = 𝜈 � + ⁄  𝜂 �</w:t>
                    </w:r>
                  </w:p>
                </w:txbxContent>
              </v:textbox>
              <w10:wrap type="none"/>
            </v:shape>
            <v:shape style="position:absolute;left:5310;top:1539;width:304;height:171" type="#_x0000_t202" filled="false" stroked="false">
              <v:textbox inset="0,0,0,0">
                <w:txbxContent>
                  <w:p>
                    <w:pPr>
                      <w:spacing w:line="170" w:lineRule="exact" w:before="0"/>
                      <w:ind w:left="0" w:right="0" w:firstLine="0"/>
                      <w:jc w:val="left"/>
                      <w:rPr>
                        <w:rFonts w:ascii="Cambria Math" w:eastAsia="Cambria Math"/>
                        <w:sz w:val="17"/>
                      </w:rPr>
                    </w:pPr>
                    <w:r>
                      <w:rPr>
                        <w:rFonts w:ascii="Cambria Math" w:eastAsia="Cambria Math"/>
                        <w:w w:val="105"/>
                        <w:sz w:val="17"/>
                      </w:rPr>
                      <w:t>𝑠 𝑠</w:t>
                    </w:r>
                  </w:p>
                </w:txbxContent>
              </v:textbox>
              <w10:wrap type="none"/>
            </v:shape>
            <v:shape style="position:absolute;left:5912;top:1358;width:113;height:240" type="#_x0000_t202" filled="false" stroked="false">
              <v:textbox inset="0,0,0,0">
                <w:txbxContent>
                  <w:p>
                    <w:pPr>
                      <w:spacing w:line="240" w:lineRule="exact" w:before="0"/>
                      <w:ind w:left="0" w:right="0" w:firstLine="0"/>
                      <w:jc w:val="left"/>
                      <w:rPr>
                        <w:rFonts w:ascii="Cambria Math"/>
                        <w:sz w:val="24"/>
                      </w:rPr>
                    </w:pPr>
                    <w:r>
                      <w:rPr>
                        <w:rFonts w:ascii="Cambria Math"/>
                        <w:spacing w:val="-21"/>
                        <w:w w:val="100"/>
                        <w:sz w:val="24"/>
                      </w:rPr>
                      <w:t>1</w:t>
                    </w:r>
                  </w:p>
                </w:txbxContent>
              </v:textbox>
              <w10:wrap type="none"/>
            </v:shape>
            <v:shape style="position:absolute;left:6673;top:1402;width:99;height:171" type="#_x0000_t202" filled="false" stroked="false">
              <v:textbox inset="0,0,0,0">
                <w:txbxContent>
                  <w:p>
                    <w:pPr>
                      <w:spacing w:line="170" w:lineRule="exact" w:before="0"/>
                      <w:ind w:left="0" w:right="0" w:firstLine="0"/>
                      <w:jc w:val="left"/>
                      <w:rPr>
                        <w:rFonts w:ascii="Cambria Math"/>
                        <w:sz w:val="17"/>
                      </w:rPr>
                    </w:pPr>
                    <w:r>
                      <w:rPr>
                        <w:rFonts w:ascii="Cambria Math"/>
                        <w:w w:val="104"/>
                        <w:sz w:val="17"/>
                      </w:rPr>
                      <w:t>2</w:t>
                    </w:r>
                  </w:p>
                </w:txbxContent>
              </v:textbox>
              <w10:wrap type="none"/>
            </v:shape>
            <v:shape style="position:absolute;left:6138;top:1533;width:133;height:240" type="#_x0000_t202" filled="false" stroked="false">
              <v:textbox inset="0,0,0,0">
                <w:txbxContent>
                  <w:p>
                    <w:pPr>
                      <w:spacing w:line="240" w:lineRule="exact" w:before="0"/>
                      <w:ind w:left="0" w:right="0" w:firstLine="0"/>
                      <w:jc w:val="left"/>
                      <w:rPr>
                        <w:rFonts w:ascii="Cambria Math"/>
                        <w:sz w:val="24"/>
                      </w:rPr>
                    </w:pPr>
                    <w:r>
                      <w:rPr>
                        <w:rFonts w:ascii="Cambria Math"/>
                        <w:w w:val="100"/>
                        <w:sz w:val="24"/>
                      </w:rPr>
                      <w:t>2</w:t>
                    </w:r>
                  </w:p>
                </w:txbxContent>
              </v:textbox>
              <w10:wrap type="none"/>
            </v:shape>
            <v:shape style="position:absolute;left:6436;top:1539;width:306;height:171" type="#_x0000_t202" filled="false" stroked="false">
              <v:textbox inset="0,0,0,0">
                <w:txbxContent>
                  <w:p>
                    <w:pPr>
                      <w:spacing w:line="170" w:lineRule="exact" w:before="0"/>
                      <w:ind w:left="0" w:right="-19" w:firstLine="0"/>
                      <w:jc w:val="left"/>
                      <w:rPr>
                        <w:rFonts w:ascii="Cambria Math" w:eastAsia="Cambria Math"/>
                        <w:sz w:val="17"/>
                      </w:rPr>
                    </w:pPr>
                    <w:r>
                      <w:rPr>
                        <w:rFonts w:ascii="Cambria Math" w:eastAsia="Cambria Math"/>
                        <w:w w:val="105"/>
                        <w:sz w:val="17"/>
                      </w:rPr>
                      <w:t>𝑠 𝑠</w:t>
                    </w:r>
                  </w:p>
                </w:txbxContent>
              </v:textbox>
              <w10:wrap type="none"/>
            </v:shape>
            <v:shape style="position:absolute;left:1419;top:2719;width:4668;height:731" type="#_x0000_t202" filled="false" stroked="false">
              <v:textbox inset="0,0,0,0">
                <w:txbxContent>
                  <w:p>
                    <w:pPr>
                      <w:spacing w:line="282" w:lineRule="exact" w:before="0"/>
                      <w:ind w:left="1880" w:right="155" w:firstLine="0"/>
                      <w:jc w:val="center"/>
                      <w:rPr>
                        <w:rFonts w:ascii="Cambria Math" w:eastAsia="Cambria Math"/>
                        <w:sz w:val="24"/>
                      </w:rPr>
                    </w:pPr>
                    <w:r>
                      <w:rPr>
                        <w:rFonts w:ascii="Cambria Math" w:eastAsia="Cambria Math"/>
                        <w:spacing w:val="-9"/>
                        <w:w w:val="75"/>
                        <w:sz w:val="24"/>
                      </w:rPr>
                      <w:t>����� </w:t>
                    </w:r>
                    <w:r>
                      <w:rPr>
                        <w:rFonts w:ascii="Cambria Math" w:eastAsia="Cambria Math"/>
                        <w:spacing w:val="-8"/>
                        <w:w w:val="75"/>
                        <w:sz w:val="24"/>
                      </w:rPr>
                      <w:t>��𝑎������ = </w:t>
                    </w:r>
                    <w:r>
                      <w:rPr>
                        <w:rFonts w:ascii="Cambria Math" w:eastAsia="Cambria Math"/>
                        <w:spacing w:val="-46"/>
                        <w:sz w:val="24"/>
                      </w:rPr>
                      <w:t>[�</w:t>
                    </w:r>
                    <w:r>
                      <w:rPr>
                        <w:rFonts w:ascii="Cambria Math" w:eastAsia="Cambria Math"/>
                        <w:spacing w:val="-46"/>
                        <w:position w:val="-4"/>
                        <w:sz w:val="17"/>
                      </w:rPr>
                      <w:t>𝑠𝑑</w:t>
                    </w:r>
                    <w:r>
                      <w:rPr>
                        <w:rFonts w:ascii="Cambria Math" w:eastAsia="Cambria Math"/>
                        <w:spacing w:val="24"/>
                        <w:position w:val="-4"/>
                        <w:sz w:val="17"/>
                      </w:rPr>
                      <w:t> </w:t>
                    </w:r>
                    <w:r>
                      <w:rPr>
                        <w:rFonts w:ascii="Cambria Math" w:eastAsia="Cambria Math"/>
                        <w:spacing w:val="-45"/>
                        <w:sz w:val="24"/>
                      </w:rPr>
                      <w:t>�</w:t>
                    </w:r>
                    <w:r>
                      <w:rPr>
                        <w:rFonts w:ascii="Cambria Math" w:eastAsia="Cambria Math"/>
                        <w:spacing w:val="-45"/>
                        <w:position w:val="-4"/>
                        <w:sz w:val="17"/>
                      </w:rPr>
                      <w:t>𝑠𝑑</w:t>
                    </w:r>
                    <w:r>
                      <w:rPr>
                        <w:rFonts w:ascii="Cambria Math" w:eastAsia="Cambria Math"/>
                        <w:spacing w:val="-45"/>
                        <w:sz w:val="24"/>
                      </w:rPr>
                      <w:t>]</w:t>
                    </w:r>
                  </w:p>
                  <w:p>
                    <w:pPr>
                      <w:spacing w:line="222" w:lineRule="exact" w:before="8"/>
                      <w:ind w:left="0" w:right="1327" w:firstLine="0"/>
                      <w:jc w:val="right"/>
                      <w:rPr>
                        <w:rFonts w:ascii="Arial"/>
                        <w:i/>
                        <w:sz w:val="24"/>
                      </w:rPr>
                    </w:pPr>
                    <w:r>
                      <w:rPr>
                        <w:rFonts w:ascii="Arial"/>
                        <w:i/>
                        <w:w w:val="100"/>
                        <w:sz w:val="24"/>
                      </w:rPr>
                      <w:t>Q</w:t>
                    </w:r>
                  </w:p>
                  <w:p>
                    <w:pPr>
                      <w:spacing w:line="218" w:lineRule="exact" w:before="0"/>
                      <w:ind w:left="0" w:right="0" w:firstLine="0"/>
                      <w:jc w:val="left"/>
                      <w:rPr>
                        <w:sz w:val="24"/>
                      </w:rPr>
                    </w:pPr>
                    <w:r>
                      <w:rPr>
                        <w:sz w:val="24"/>
                      </w:rPr>
                      <w:t>R</w:t>
                    </w:r>
                    <w:r>
                      <w:rPr>
                        <w:spacing w:val="-1"/>
                        <w:sz w:val="24"/>
                      </w:rPr>
                      <w:t>e</w:t>
                    </w:r>
                    <w:r>
                      <w:rPr>
                        <w:spacing w:val="-27"/>
                        <w:sz w:val="24"/>
                      </w:rPr>
                      <w:t>p</w:t>
                    </w:r>
                    <w:r>
                      <w:rPr>
                        <w:rFonts w:ascii="Arial" w:hAnsi="Arial"/>
                        <w:i/>
                        <w:spacing w:val="-108"/>
                        <w:w w:val="99"/>
                        <w:sz w:val="24"/>
                      </w:rPr>
                      <w:t>0</w:t>
                    </w:r>
                    <w:r>
                      <w:rPr>
                        <w:w w:val="99"/>
                        <w:sz w:val="24"/>
                      </w:rPr>
                      <w:t>r</w:t>
                    </w:r>
                    <w:r>
                      <w:rPr>
                        <w:spacing w:val="-2"/>
                        <w:w w:val="99"/>
                        <w:sz w:val="24"/>
                      </w:rPr>
                      <w:t>e</w:t>
                    </w:r>
                    <w:r>
                      <w:rPr>
                        <w:w w:val="99"/>
                        <w:sz w:val="24"/>
                      </w:rPr>
                      <w:t>s</w:t>
                    </w:r>
                    <w:r>
                      <w:rPr>
                        <w:spacing w:val="-1"/>
                        <w:w w:val="99"/>
                        <w:sz w:val="24"/>
                      </w:rPr>
                      <w:t>e</w:t>
                    </w:r>
                    <w:r>
                      <w:rPr>
                        <w:sz w:val="24"/>
                      </w:rPr>
                      <w:t>nt</w:t>
                    </w:r>
                    <w:r>
                      <w:rPr>
                        <w:spacing w:val="1"/>
                        <w:sz w:val="24"/>
                      </w:rPr>
                      <w:t>a</w:t>
                    </w:r>
                    <w:r>
                      <w:rPr>
                        <w:spacing w:val="-1"/>
                        <w:sz w:val="24"/>
                      </w:rPr>
                      <w:t>c</w:t>
                    </w:r>
                    <w:r>
                      <w:rPr>
                        <w:sz w:val="24"/>
                      </w:rPr>
                      <w:t>ión</w:t>
                    </w:r>
                    <w:r>
                      <w:rPr>
                        <w:spacing w:val="-1"/>
                        <w:sz w:val="24"/>
                      </w:rPr>
                      <w:t> </w:t>
                    </w:r>
                    <w:r>
                      <w:rPr>
                        <w:sz w:val="24"/>
                      </w:rPr>
                      <w:t>m</w:t>
                    </w:r>
                    <w:r>
                      <w:rPr>
                        <w:spacing w:val="-1"/>
                        <w:sz w:val="24"/>
                      </w:rPr>
                      <w:t>a</w:t>
                    </w:r>
                    <w:r>
                      <w:rPr>
                        <w:sz w:val="24"/>
                      </w:rPr>
                      <w:t>tem</w:t>
                    </w:r>
                    <w:r>
                      <w:rPr>
                        <w:spacing w:val="-1"/>
                        <w:sz w:val="24"/>
                      </w:rPr>
                      <w:t>á</w:t>
                    </w:r>
                    <w:r>
                      <w:rPr>
                        <w:sz w:val="24"/>
                      </w:rPr>
                      <w:t>t</w:t>
                    </w:r>
                    <w:r>
                      <w:rPr>
                        <w:spacing w:val="3"/>
                        <w:sz w:val="24"/>
                      </w:rPr>
                      <w:t>i</w:t>
                    </w:r>
                    <w:r>
                      <w:rPr>
                        <w:spacing w:val="-1"/>
                        <w:sz w:val="24"/>
                      </w:rPr>
                      <w:t>c</w:t>
                    </w:r>
                    <w:r>
                      <w:rPr>
                        <w:sz w:val="24"/>
                      </w:rPr>
                      <w:t>a</w:t>
                    </w:r>
                    <w:r>
                      <w:rPr>
                        <w:spacing w:val="-1"/>
                        <w:sz w:val="24"/>
                      </w:rPr>
                      <w:t> </w:t>
                    </w:r>
                    <w:r>
                      <w:rPr>
                        <w:sz w:val="24"/>
                      </w:rPr>
                      <w:t>d</w:t>
                    </w:r>
                    <w:r>
                      <w:rPr>
                        <w:spacing w:val="-1"/>
                        <w:sz w:val="24"/>
                      </w:rPr>
                      <w:t>e</w:t>
                    </w:r>
                    <w:r>
                      <w:rPr>
                        <w:sz w:val="24"/>
                      </w:rPr>
                      <w:t>l mod</w:t>
                    </w:r>
                    <w:r>
                      <w:rPr>
                        <w:spacing w:val="-1"/>
                        <w:sz w:val="24"/>
                      </w:rPr>
                      <w:t>e</w:t>
                    </w:r>
                    <w:r>
                      <w:rPr>
                        <w:sz w:val="24"/>
                      </w:rPr>
                      <w:t>lo.</w:t>
                    </w:r>
                  </w:p>
                </w:txbxContent>
              </v:textbox>
              <w10:wrap type="none"/>
            </v:shape>
            <w10:wrap type="topAndBottom"/>
          </v:group>
        </w:pict>
      </w:r>
    </w:p>
    <w:p>
      <w:pPr>
        <w:pStyle w:val="BodyText"/>
        <w:spacing w:before="1"/>
        <w:rPr>
          <w:sz w:val="6"/>
        </w:rPr>
      </w:pPr>
    </w:p>
    <w:p>
      <w:pPr>
        <w:spacing w:after="0"/>
        <w:rPr>
          <w:sz w:val="6"/>
        </w:rPr>
        <w:sectPr>
          <w:pgSz w:w="12240" w:h="15840"/>
          <w:pgMar w:header="984" w:footer="986" w:top="1280" w:bottom="1180" w:left="1300" w:right="1340"/>
        </w:sectPr>
      </w:pPr>
    </w:p>
    <w:p>
      <w:pPr>
        <w:pStyle w:val="BodyText"/>
        <w:tabs>
          <w:tab w:pos="1913" w:val="left" w:leader="none"/>
        </w:tabs>
        <w:spacing w:line="225" w:lineRule="exact" w:before="43"/>
        <w:ind w:left="118"/>
        <w:rPr>
          <w:rFonts w:ascii="Cambria Math" w:hAnsi="Cambria Math" w:eastAsia="Cambria Math"/>
        </w:rPr>
      </w:pPr>
      <w:r>
        <w:rPr>
          <w:rFonts w:ascii="Cambria Math" w:hAnsi="Cambria Math" w:eastAsia="Cambria Math"/>
          <w:spacing w:val="-46"/>
        </w:rPr>
        <w:t>�𝑎�      𝑉𝑆�      </w:t>
      </w:r>
      <w:r>
        <w:rPr>
          <w:rFonts w:ascii="Cambria Math" w:hAnsi="Cambria Math" w:eastAsia="Cambria Math"/>
          <w:spacing w:val="-42"/>
        </w:rPr>
        <w:t> </w:t>
      </w:r>
      <w:r>
        <w:rPr>
          <w:rFonts w:ascii="Cambria Math" w:hAnsi="Cambria Math" w:eastAsia="Cambria Math"/>
          <w:spacing w:val="-46"/>
        </w:rPr>
        <w:t>=      </w:t>
      </w:r>
      <w:r>
        <w:rPr>
          <w:rFonts w:ascii="Cambria Math" w:hAnsi="Cambria Math" w:eastAsia="Cambria Math"/>
          <w:spacing w:val="-45"/>
        </w:rPr>
        <w:t> </w:t>
      </w:r>
      <w:r>
        <w:rPr>
          <w:rFonts w:ascii="Cambria Math" w:hAnsi="Cambria Math" w:eastAsia="Cambria Math"/>
          <w:spacing w:val="-46"/>
          <w:position w:val="1"/>
        </w:rPr>
        <w:t>∑</w:t>
      </w:r>
      <w:r>
        <w:rPr>
          <w:rFonts w:ascii="Cambria Math" w:hAnsi="Cambria Math" w:eastAsia="Cambria Math"/>
          <w:spacing w:val="-46"/>
          <w:position w:val="10"/>
          <w:sz w:val="17"/>
        </w:rPr>
        <w:t>8</w:t>
        <w:tab/>
      </w:r>
      <w:r>
        <w:rPr>
          <w:rFonts w:ascii="Cambria Math" w:hAnsi="Cambria Math" w:eastAsia="Cambria Math"/>
          <w:spacing w:val="-45"/>
        </w:rPr>
        <w:t>[𝜆</w:t>
      </w:r>
      <w:r>
        <w:rPr>
          <w:rFonts w:ascii="Cambria Math" w:hAnsi="Cambria Math" w:eastAsia="Cambria Math"/>
          <w:spacing w:val="-45"/>
          <w:position w:val="-4"/>
          <w:sz w:val="17"/>
        </w:rPr>
        <w:t>𝑑</w:t>
      </w:r>
      <w:r>
        <w:rPr>
          <w:rFonts w:ascii="Cambria Math" w:hAnsi="Cambria Math" w:eastAsia="Cambria Math"/>
          <w:spacing w:val="-45"/>
        </w:rPr>
        <w:t>�</w:t>
      </w:r>
      <w:r>
        <w:rPr>
          <w:rFonts w:ascii="Cambria Math" w:hAnsi="Cambria Math" w:eastAsia="Cambria Math"/>
          <w:spacing w:val="-45"/>
          <w:position w:val="-4"/>
          <w:sz w:val="17"/>
        </w:rPr>
        <w:t>𝑑</w:t>
      </w:r>
      <w:r>
        <w:rPr>
          <w:rFonts w:ascii="Cambria Math" w:hAnsi="Cambria Math" w:eastAsia="Cambria Math"/>
          <w:spacing w:val="14"/>
          <w:position w:val="-4"/>
          <w:sz w:val="17"/>
        </w:rPr>
        <w:t> </w:t>
      </w:r>
      <w:r>
        <w:rPr>
          <w:rFonts w:ascii="Cambria Math" w:hAnsi="Cambria Math" w:eastAsia="Cambria Math"/>
          <w:spacing w:val="-45"/>
        </w:rPr>
        <w:t>+     </w:t>
      </w:r>
      <w:r>
        <w:rPr>
          <w:rFonts w:ascii="Cambria Math" w:hAnsi="Cambria Math" w:eastAsia="Cambria Math"/>
          <w:spacing w:val="-45"/>
          <w:position w:val="8"/>
        </w:rPr>
        <w:t>1</w:t>
      </w:r>
      <w:r>
        <w:rPr>
          <w:rFonts w:ascii="Cambria Math" w:hAnsi="Cambria Math" w:eastAsia="Cambria Math"/>
          <w:spacing w:val="-45"/>
        </w:rPr>
        <w:t>⁄</w:t>
      </w:r>
      <w:r>
        <w:rPr>
          <w:rFonts w:ascii="Cambria Math" w:hAnsi="Cambria Math" w:eastAsia="Cambria Math"/>
          <w:spacing w:val="-45"/>
          <w:position w:val="-9"/>
        </w:rPr>
        <w:t>2</w:t>
      </w:r>
      <w:r>
        <w:rPr>
          <w:rFonts w:ascii="Cambria Math" w:hAnsi="Cambria Math" w:eastAsia="Cambria Math"/>
          <w:spacing w:val="-11"/>
          <w:position w:val="-9"/>
        </w:rPr>
        <w:t> </w:t>
      </w:r>
      <w:r>
        <w:rPr>
          <w:rFonts w:ascii="Cambria Math" w:hAnsi="Cambria Math" w:eastAsia="Cambria Math"/>
          <w:spacing w:val="6"/>
        </w:rPr>
        <w:t>𝜛</w:t>
      </w:r>
      <w:r>
        <w:rPr>
          <w:rFonts w:ascii="Cambria Math" w:hAnsi="Cambria Math" w:eastAsia="Cambria Math"/>
          <w:spacing w:val="6"/>
          <w:position w:val="-4"/>
          <w:sz w:val="17"/>
        </w:rPr>
        <w:t>𝑑</w:t>
      </w:r>
      <w:r>
        <w:rPr>
          <w:rFonts w:ascii="Cambria Math" w:hAnsi="Cambria Math" w:eastAsia="Cambria Math"/>
          <w:spacing w:val="6"/>
        </w:rPr>
        <w:t>�</w:t>
      </w:r>
      <w:r>
        <w:rPr>
          <w:rFonts w:ascii="Cambria Math" w:hAnsi="Cambria Math" w:eastAsia="Cambria Math"/>
          <w:spacing w:val="6"/>
          <w:position w:val="9"/>
          <w:sz w:val="17"/>
        </w:rPr>
        <w:t>2</w:t>
      </w:r>
      <w:r>
        <w:rPr>
          <w:rFonts w:ascii="Cambria Math" w:hAnsi="Cambria Math" w:eastAsia="Cambria Math"/>
          <w:spacing w:val="6"/>
          <w:position w:val="-4"/>
          <w:sz w:val="17"/>
        </w:rPr>
        <w:t>𝑑</w:t>
      </w:r>
      <w:r>
        <w:rPr>
          <w:rFonts w:ascii="Cambria Math" w:hAnsi="Cambria Math" w:eastAsia="Cambria Math"/>
          <w:spacing w:val="6"/>
        </w:rPr>
        <w:t>]</w:t>
      </w:r>
    </w:p>
    <w:p>
      <w:pPr>
        <w:pStyle w:val="BodyText"/>
        <w:spacing w:line="141" w:lineRule="exact" w:before="127"/>
        <w:ind w:left="118"/>
      </w:pPr>
      <w:r>
        <w:rPr/>
        <w:br w:type="column"/>
      </w:r>
      <w:r>
        <w:rPr/>
        <w:t>Área bajo la curva de la demanda</w:t>
      </w:r>
    </w:p>
    <w:p>
      <w:pPr>
        <w:spacing w:after="0" w:line="141" w:lineRule="exact"/>
        <w:sectPr>
          <w:type w:val="continuous"/>
          <w:pgSz w:w="12240" w:h="15840"/>
          <w:pgMar w:top="3260" w:bottom="280" w:left="1300" w:right="1340"/>
          <w:cols w:num="2" w:equalWidth="0">
            <w:col w:w="3945" w:space="779"/>
            <w:col w:w="4876"/>
          </w:cols>
        </w:sectPr>
      </w:pPr>
    </w:p>
    <w:p>
      <w:pPr>
        <w:spacing w:line="176" w:lineRule="exact" w:before="0"/>
        <w:ind w:left="1578" w:right="410" w:firstLine="0"/>
        <w:jc w:val="left"/>
        <w:rPr>
          <w:rFonts w:ascii="Cambria Math" w:eastAsia="Cambria Math"/>
          <w:sz w:val="17"/>
        </w:rPr>
      </w:pPr>
      <w:r>
        <w:rPr>
          <w:rFonts w:ascii="Cambria Math" w:eastAsia="Cambria Math"/>
          <w:w w:val="105"/>
          <w:sz w:val="17"/>
        </w:rPr>
        <w:t>𝑑=1</w:t>
      </w:r>
    </w:p>
    <w:p>
      <w:pPr>
        <w:spacing w:after="0" w:line="176" w:lineRule="exact"/>
        <w:jc w:val="left"/>
        <w:rPr>
          <w:rFonts w:ascii="Cambria Math" w:eastAsia="Cambria Math"/>
          <w:sz w:val="17"/>
        </w:rPr>
        <w:sectPr>
          <w:type w:val="continuous"/>
          <w:pgSz w:w="12240" w:h="15840"/>
          <w:pgMar w:top="3260" w:bottom="280" w:left="1300" w:right="1340"/>
        </w:sectPr>
      </w:pPr>
    </w:p>
    <w:p>
      <w:pPr>
        <w:pStyle w:val="BodyText"/>
        <w:rPr>
          <w:rFonts w:ascii="Cambria Math"/>
          <w:sz w:val="20"/>
        </w:rPr>
      </w:pPr>
    </w:p>
    <w:p>
      <w:pPr>
        <w:pStyle w:val="BodyText"/>
        <w:rPr>
          <w:rFonts w:ascii="Cambria Math"/>
          <w:sz w:val="20"/>
        </w:rPr>
      </w:pPr>
    </w:p>
    <w:p>
      <w:pPr>
        <w:spacing w:after="0"/>
        <w:rPr>
          <w:rFonts w:ascii="Cambria Math"/>
          <w:sz w:val="20"/>
        </w:rPr>
        <w:sectPr>
          <w:pgSz w:w="12240" w:h="15840"/>
          <w:pgMar w:header="984" w:footer="986" w:top="1280" w:bottom="1180" w:left="1300" w:right="1340"/>
        </w:sectPr>
      </w:pPr>
    </w:p>
    <w:p>
      <w:pPr>
        <w:pStyle w:val="BodyText"/>
        <w:spacing w:before="8"/>
        <w:rPr>
          <w:rFonts w:ascii="Cambria Math"/>
        </w:rPr>
      </w:pPr>
    </w:p>
    <w:p>
      <w:pPr>
        <w:spacing w:line="175" w:lineRule="exact" w:before="0"/>
        <w:ind w:left="0" w:right="0" w:firstLine="0"/>
        <w:jc w:val="right"/>
        <w:rPr>
          <w:rFonts w:ascii="Cambria Math" w:hAnsi="Cambria Math"/>
          <w:sz w:val="17"/>
        </w:rPr>
      </w:pPr>
      <w:r>
        <w:rPr>
          <w:rFonts w:ascii="Cambria Math" w:hAnsi="Cambria Math"/>
          <w:position w:val="-9"/>
          <w:sz w:val="24"/>
        </w:rPr>
        <w:t>− </w:t>
      </w:r>
      <w:r>
        <w:rPr>
          <w:rFonts w:ascii="Cambria Math" w:hAnsi="Cambria Math"/>
          <w:position w:val="-8"/>
          <w:sz w:val="24"/>
        </w:rPr>
        <w:t>∑</w:t>
      </w:r>
      <w:r>
        <w:rPr>
          <w:rFonts w:ascii="Cambria Math" w:hAnsi="Cambria Math"/>
          <w:sz w:val="17"/>
        </w:rPr>
        <w:t>10</w:t>
      </w:r>
    </w:p>
    <w:p>
      <w:pPr>
        <w:spacing w:line="225" w:lineRule="exact" w:before="239"/>
        <w:ind w:left="98" w:right="0" w:firstLine="0"/>
        <w:jc w:val="left"/>
        <w:rPr>
          <w:rFonts w:ascii="Cambria Math" w:hAnsi="Cambria Math" w:eastAsia="Cambria Math"/>
          <w:sz w:val="24"/>
        </w:rPr>
      </w:pPr>
      <w:r>
        <w:rPr/>
        <w:br w:type="column"/>
      </w:r>
      <w:r>
        <w:rPr>
          <w:rFonts w:ascii="Cambria Math" w:hAnsi="Cambria Math" w:eastAsia="Cambria Math"/>
          <w:w w:val="101"/>
          <w:sz w:val="24"/>
        </w:rPr>
        <w:t>[</w:t>
      </w:r>
      <w:r>
        <w:rPr>
          <w:rFonts w:ascii="Cambria Math" w:hAnsi="Cambria Math" w:eastAsia="Cambria Math"/>
          <w:spacing w:val="-57"/>
          <w:w w:val="99"/>
          <w:sz w:val="24"/>
        </w:rPr>
        <w:t>𝑉</w:t>
      </w:r>
      <w:r>
        <w:rPr>
          <w:rFonts w:ascii="Cambria Math" w:hAnsi="Cambria Math" w:eastAsia="Cambria Math"/>
          <w:spacing w:val="11"/>
          <w:w w:val="105"/>
          <w:position w:val="-4"/>
          <w:sz w:val="17"/>
        </w:rPr>
        <w:t>𝑠</w:t>
      </w:r>
      <w:r>
        <w:rPr>
          <w:rFonts w:ascii="Cambria Math" w:hAnsi="Cambria Math" w:eastAsia="Cambria Math"/>
          <w:spacing w:val="-8"/>
          <w:w w:val="97"/>
          <w:sz w:val="24"/>
        </w:rPr>
        <w:t>�</w:t>
      </w:r>
      <w:r>
        <w:rPr>
          <w:rFonts w:ascii="Cambria Math" w:hAnsi="Cambria Math" w:eastAsia="Cambria Math"/>
          <w:w w:val="105"/>
          <w:position w:val="-4"/>
          <w:sz w:val="17"/>
        </w:rPr>
        <w:t>𝑠</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spacing w:val="-21"/>
          <w:w w:val="100"/>
          <w:position w:val="8"/>
          <w:sz w:val="24"/>
        </w:rPr>
        <w:t>1</w:t>
      </w:r>
      <w:r>
        <w:rPr>
          <w:rFonts w:ascii="Cambria Math" w:hAnsi="Cambria Math" w:eastAsia="Cambria Math"/>
          <w:spacing w:val="-20"/>
          <w:w w:val="99"/>
          <w:sz w:val="24"/>
        </w:rPr>
        <w:t>⁄</w:t>
      </w:r>
      <w:r>
        <w:rPr>
          <w:rFonts w:ascii="Cambria Math" w:hAnsi="Cambria Math" w:eastAsia="Cambria Math"/>
          <w:w w:val="100"/>
          <w:position w:val="-9"/>
          <w:sz w:val="24"/>
        </w:rPr>
        <w:t>2</w:t>
      </w:r>
      <w:r>
        <w:rPr>
          <w:rFonts w:ascii="Cambria Math" w:hAnsi="Cambria Math" w:eastAsia="Cambria Math"/>
          <w:spacing w:val="-13"/>
          <w:position w:val="-9"/>
          <w:sz w:val="24"/>
        </w:rPr>
        <w:t> </w:t>
      </w:r>
      <w:r>
        <w:rPr>
          <w:rFonts w:ascii="Cambria Math" w:hAnsi="Cambria Math" w:eastAsia="Cambria Math"/>
          <w:spacing w:val="7"/>
          <w:sz w:val="24"/>
        </w:rPr>
        <w:t>𝜂</w:t>
      </w:r>
      <w:r>
        <w:rPr>
          <w:rFonts w:ascii="Cambria Math" w:hAnsi="Cambria Math" w:eastAsia="Cambria Math"/>
          <w:spacing w:val="7"/>
          <w:position w:val="-4"/>
          <w:sz w:val="17"/>
        </w:rPr>
        <w:t>𝑠</w:t>
      </w:r>
      <w:r>
        <w:rPr>
          <w:rFonts w:ascii="Cambria Math" w:hAnsi="Cambria Math" w:eastAsia="Cambria Math"/>
          <w:spacing w:val="7"/>
          <w:sz w:val="24"/>
        </w:rPr>
        <w:t>�</w:t>
      </w:r>
      <w:r>
        <w:rPr>
          <w:rFonts w:ascii="Cambria Math" w:hAnsi="Cambria Math" w:eastAsia="Cambria Math"/>
          <w:spacing w:val="7"/>
          <w:position w:val="9"/>
          <w:sz w:val="17"/>
        </w:rPr>
        <w:t>2</w:t>
      </w:r>
      <w:r>
        <w:rPr>
          <w:rFonts w:ascii="Cambria Math" w:hAnsi="Cambria Math" w:eastAsia="Cambria Math"/>
          <w:spacing w:val="7"/>
          <w:position w:val="-4"/>
          <w:sz w:val="17"/>
        </w:rPr>
        <w:t>𝑠</w:t>
      </w:r>
      <w:r>
        <w:rPr>
          <w:rFonts w:ascii="Cambria Math" w:hAnsi="Cambria Math" w:eastAsia="Cambria Math"/>
          <w:spacing w:val="7"/>
          <w:sz w:val="24"/>
        </w:rPr>
        <w:t>]</w:t>
      </w:r>
    </w:p>
    <w:p>
      <w:pPr>
        <w:pStyle w:val="BodyText"/>
        <w:spacing w:before="6"/>
        <w:rPr>
          <w:rFonts w:ascii="Cambria Math"/>
          <w:sz w:val="27"/>
        </w:rPr>
      </w:pPr>
      <w:r>
        <w:rPr/>
        <w:br w:type="column"/>
      </w:r>
      <w:r>
        <w:rPr>
          <w:rFonts w:ascii="Cambria Math"/>
          <w:sz w:val="27"/>
        </w:rPr>
      </w:r>
    </w:p>
    <w:p>
      <w:pPr>
        <w:pStyle w:val="BodyText"/>
        <w:spacing w:line="141" w:lineRule="exact"/>
        <w:ind w:left="738"/>
      </w:pPr>
      <w:r>
        <w:rPr/>
        <w:t>Área bajo la curva de la oferta</w:t>
      </w:r>
    </w:p>
    <w:p>
      <w:pPr>
        <w:spacing w:after="0" w:line="141" w:lineRule="exact"/>
        <w:sectPr>
          <w:type w:val="continuous"/>
          <w:pgSz w:w="12240" w:h="15840"/>
          <w:pgMar w:top="3260" w:bottom="280" w:left="1300" w:right="1340"/>
          <w:cols w:num="3" w:equalWidth="0">
            <w:col w:w="1975" w:space="40"/>
            <w:col w:w="1978" w:space="40"/>
            <w:col w:w="5567"/>
          </w:cols>
        </w:sectPr>
      </w:pPr>
    </w:p>
    <w:p>
      <w:pPr>
        <w:spacing w:line="176" w:lineRule="exact" w:before="0"/>
        <w:ind w:left="1777" w:right="410" w:firstLine="0"/>
        <w:jc w:val="left"/>
        <w:rPr>
          <w:rFonts w:ascii="Cambria Math" w:eastAsia="Cambria Math"/>
          <w:sz w:val="17"/>
        </w:rPr>
      </w:pPr>
      <w:r>
        <w:rPr>
          <w:rFonts w:ascii="Cambria Math" w:eastAsia="Cambria Math"/>
          <w:w w:val="105"/>
          <w:sz w:val="17"/>
        </w:rPr>
        <w:t>𝑑=1</w:t>
      </w:r>
    </w:p>
    <w:p>
      <w:pPr>
        <w:pStyle w:val="BodyText"/>
        <w:rPr>
          <w:rFonts w:ascii="Cambria Math"/>
          <w:sz w:val="20"/>
        </w:rPr>
      </w:pPr>
    </w:p>
    <w:p>
      <w:pPr>
        <w:pStyle w:val="BodyText"/>
        <w:spacing w:before="10"/>
        <w:rPr>
          <w:rFonts w:ascii="Cambria Math"/>
          <w:sz w:val="26"/>
        </w:rPr>
      </w:pPr>
    </w:p>
    <w:p>
      <w:pPr>
        <w:spacing w:after="0"/>
        <w:rPr>
          <w:rFonts w:ascii="Cambria Math"/>
          <w:sz w:val="26"/>
        </w:rPr>
        <w:sectPr>
          <w:type w:val="continuous"/>
          <w:pgSz w:w="12240" w:h="15840"/>
          <w:pgMar w:top="3260" w:bottom="280" w:left="1300" w:right="1340"/>
        </w:sectPr>
      </w:pPr>
    </w:p>
    <w:p>
      <w:pPr>
        <w:spacing w:line="175" w:lineRule="exact" w:before="77"/>
        <w:ind w:left="0" w:right="0" w:firstLine="0"/>
        <w:jc w:val="right"/>
        <w:rPr>
          <w:rFonts w:ascii="Cambria Math" w:hAnsi="Cambria Math"/>
          <w:sz w:val="17"/>
        </w:rPr>
      </w:pPr>
      <w:r>
        <w:rPr>
          <w:rFonts w:ascii="Cambria Math" w:hAnsi="Cambria Math"/>
          <w:position w:val="-9"/>
          <w:sz w:val="24"/>
        </w:rPr>
        <w:t>− </w:t>
      </w:r>
      <w:r>
        <w:rPr>
          <w:rFonts w:ascii="Cambria Math" w:hAnsi="Cambria Math"/>
          <w:position w:val="-8"/>
          <w:sz w:val="24"/>
        </w:rPr>
        <w:t>∑</w:t>
      </w:r>
      <w:r>
        <w:rPr>
          <w:rFonts w:ascii="Cambria Math" w:hAnsi="Cambria Math"/>
          <w:sz w:val="17"/>
        </w:rPr>
        <w:t>10</w:t>
      </w:r>
    </w:p>
    <w:p>
      <w:pPr>
        <w:spacing w:line="145" w:lineRule="exact" w:before="106"/>
        <w:ind w:left="98" w:right="0" w:firstLine="0"/>
        <w:jc w:val="left"/>
        <w:rPr>
          <w:rFonts w:ascii="Cambria Math" w:eastAsia="Cambria Math"/>
          <w:sz w:val="24"/>
        </w:rPr>
      </w:pPr>
      <w:r>
        <w:rPr/>
        <w:br w:type="column"/>
      </w:r>
      <w:r>
        <w:rPr>
          <w:rFonts w:ascii="Cambria Math" w:eastAsia="Cambria Math"/>
          <w:w w:val="95"/>
          <w:sz w:val="24"/>
        </w:rPr>
        <w:t>[�</w:t>
      </w:r>
      <w:r>
        <w:rPr>
          <w:rFonts w:ascii="Cambria Math" w:eastAsia="Cambria Math"/>
          <w:w w:val="95"/>
          <w:position w:val="-4"/>
          <w:sz w:val="17"/>
        </w:rPr>
        <w:t>𝑠𝑑 </w:t>
      </w:r>
      <w:r>
        <w:rPr>
          <w:rFonts w:ascii="Cambria Math" w:eastAsia="Cambria Math"/>
          <w:sz w:val="24"/>
        </w:rPr>
        <w:t>�</w:t>
      </w:r>
      <w:r>
        <w:rPr>
          <w:rFonts w:ascii="Cambria Math" w:eastAsia="Cambria Math"/>
          <w:position w:val="-4"/>
          <w:sz w:val="17"/>
        </w:rPr>
        <w:t>𝑠𝑑</w:t>
      </w:r>
      <w:r>
        <w:rPr>
          <w:rFonts w:ascii="Cambria Math" w:eastAsia="Cambria Math"/>
          <w:sz w:val="24"/>
        </w:rPr>
        <w:t>]</w:t>
      </w:r>
    </w:p>
    <w:p>
      <w:pPr>
        <w:pStyle w:val="BodyText"/>
        <w:spacing w:line="141" w:lineRule="exact" w:before="110"/>
        <w:ind w:left="1493"/>
      </w:pPr>
      <w:r>
        <w:rPr/>
        <w:br w:type="column"/>
      </w:r>
      <w:r>
        <w:rPr/>
        <w:t>Costo de transporte</w:t>
      </w:r>
    </w:p>
    <w:p>
      <w:pPr>
        <w:spacing w:after="0" w:line="141" w:lineRule="exact"/>
        <w:sectPr>
          <w:type w:val="continuous"/>
          <w:pgSz w:w="12240" w:h="15840"/>
          <w:pgMar w:top="3260" w:bottom="280" w:left="1300" w:right="1340"/>
          <w:cols w:num="3" w:equalWidth="0">
            <w:col w:w="2080" w:space="40"/>
            <w:col w:w="1023" w:space="66"/>
            <w:col w:w="6391"/>
          </w:cols>
        </w:sectPr>
      </w:pPr>
    </w:p>
    <w:p>
      <w:pPr>
        <w:spacing w:line="176" w:lineRule="exact" w:before="0"/>
        <w:ind w:left="1882" w:right="410" w:firstLine="0"/>
        <w:jc w:val="left"/>
        <w:rPr>
          <w:rFonts w:ascii="Cambria Math" w:eastAsia="Cambria Math"/>
          <w:sz w:val="17"/>
        </w:rPr>
      </w:pPr>
      <w:r>
        <w:rPr>
          <w:rFonts w:ascii="Cambria Math" w:eastAsia="Cambria Math"/>
          <w:w w:val="105"/>
          <w:sz w:val="17"/>
        </w:rPr>
        <w:t>𝑑=1</w:t>
      </w:r>
    </w:p>
    <w:p>
      <w:pPr>
        <w:pStyle w:val="BodyText"/>
        <w:rPr>
          <w:rFonts w:ascii="Cambria Math"/>
          <w:sz w:val="20"/>
        </w:rPr>
      </w:pPr>
    </w:p>
    <w:p>
      <w:pPr>
        <w:pStyle w:val="BodyText"/>
        <w:spacing w:before="10"/>
        <w:rPr>
          <w:rFonts w:ascii="Cambria Math"/>
        </w:rPr>
      </w:pPr>
    </w:p>
    <w:p>
      <w:pPr>
        <w:pStyle w:val="BodyText"/>
        <w:spacing w:before="69"/>
        <w:ind w:left="118" w:right="410"/>
      </w:pPr>
      <w:r>
        <w:rPr/>
        <w:t>Donde:</w:t>
      </w:r>
    </w:p>
    <w:p>
      <w:pPr>
        <w:pStyle w:val="BodyText"/>
        <w:spacing w:before="5"/>
        <w:rPr>
          <w:sz w:val="29"/>
        </w:rPr>
      </w:pPr>
    </w:p>
    <w:p>
      <w:pPr>
        <w:pStyle w:val="BodyText"/>
        <w:ind w:left="118" w:right="410"/>
      </w:pPr>
      <w:r>
        <w:rPr>
          <w:rFonts w:ascii="Cambria Math" w:eastAsia="Cambria Math"/>
        </w:rPr>
        <w:t>�   = </w:t>
      </w:r>
      <w:r>
        <w:rPr/>
        <w:t>Regiones consumidoras</w:t>
      </w:r>
    </w:p>
    <w:p>
      <w:pPr>
        <w:pStyle w:val="BodyText"/>
        <w:spacing w:before="7"/>
        <w:rPr>
          <w:sz w:val="29"/>
        </w:rPr>
      </w:pPr>
    </w:p>
    <w:p>
      <w:pPr>
        <w:pStyle w:val="BodyText"/>
        <w:tabs>
          <w:tab w:pos="438" w:val="left" w:leader="none"/>
        </w:tabs>
        <w:ind w:left="118" w:right="410"/>
      </w:pPr>
      <w:r>
        <w:rPr>
          <w:rFonts w:ascii="Cambria Math" w:eastAsia="Cambria Math"/>
        </w:rPr>
        <w:t>�</w:t>
        <w:tab/>
        <w:t>= </w:t>
      </w:r>
      <w:r>
        <w:rPr/>
        <w:t>Regiones</w:t>
      </w:r>
      <w:r>
        <w:rPr>
          <w:spacing w:val="-1"/>
        </w:rPr>
        <w:t> </w:t>
      </w:r>
      <w:r>
        <w:rPr/>
        <w:t>productoras</w:t>
      </w:r>
    </w:p>
    <w:p>
      <w:pPr>
        <w:pStyle w:val="BodyText"/>
        <w:spacing w:before="6"/>
        <w:rPr>
          <w:sz w:val="29"/>
        </w:rPr>
      </w:pPr>
    </w:p>
    <w:p>
      <w:pPr>
        <w:pStyle w:val="BodyText"/>
        <w:ind w:left="118" w:right="410"/>
      </w:pPr>
      <w:r>
        <w:rPr>
          <w:rFonts w:ascii="Cambria Math" w:hAnsi="Cambria Math" w:eastAsia="Cambria Math"/>
        </w:rPr>
        <w:t>𝜆</w:t>
      </w:r>
      <w:r>
        <w:rPr>
          <w:rFonts w:ascii="Cambria Math" w:hAnsi="Cambria Math" w:eastAsia="Cambria Math"/>
          <w:position w:val="-4"/>
          <w:sz w:val="17"/>
        </w:rPr>
        <w:t>𝑑  </w:t>
      </w:r>
      <w:r>
        <w:rPr>
          <w:rFonts w:ascii="Cambria Math" w:hAnsi="Cambria Math" w:eastAsia="Cambria Math"/>
        </w:rPr>
        <w:t>= </w:t>
      </w:r>
      <w:r>
        <w:rPr/>
        <w:t>Intercepto de función inversa de la demanda</w:t>
      </w:r>
    </w:p>
    <w:p>
      <w:pPr>
        <w:pStyle w:val="BodyText"/>
        <w:spacing w:before="6"/>
        <w:rPr>
          <w:sz w:val="26"/>
        </w:rPr>
      </w:pPr>
    </w:p>
    <w:p>
      <w:pPr>
        <w:pStyle w:val="BodyText"/>
        <w:spacing w:before="1"/>
        <w:ind w:left="118" w:right="410"/>
      </w:pPr>
      <w:r>
        <w:rPr>
          <w:rFonts w:ascii="Cambria Math" w:hAnsi="Cambria Math" w:eastAsia="Cambria Math"/>
        </w:rPr>
        <w:t>𝜛</w:t>
      </w:r>
      <w:r>
        <w:rPr>
          <w:rFonts w:ascii="Cambria Math" w:hAnsi="Cambria Math" w:eastAsia="Cambria Math"/>
          <w:position w:val="-4"/>
          <w:sz w:val="17"/>
        </w:rPr>
        <w:t>𝑑  </w:t>
      </w:r>
      <w:r>
        <w:rPr>
          <w:rFonts w:ascii="Cambria Math" w:hAnsi="Cambria Math" w:eastAsia="Cambria Math"/>
        </w:rPr>
        <w:t>= </w:t>
      </w:r>
      <w:r>
        <w:rPr/>
        <w:t>Pendiente de la función inversa de la demanda</w:t>
      </w:r>
    </w:p>
    <w:p>
      <w:pPr>
        <w:pStyle w:val="BodyText"/>
        <w:spacing w:before="6"/>
        <w:rPr>
          <w:sz w:val="26"/>
        </w:rPr>
      </w:pPr>
    </w:p>
    <w:p>
      <w:pPr>
        <w:spacing w:before="1"/>
        <w:ind w:left="118" w:right="410" w:firstLine="0"/>
        <w:jc w:val="left"/>
        <w:rPr>
          <w:i/>
          <w:sz w:val="24"/>
        </w:rPr>
      </w:pPr>
      <w:r>
        <w:rPr>
          <w:rFonts w:ascii="Cambria Math" w:hAnsi="Cambria Math" w:eastAsia="Cambria Math"/>
          <w:sz w:val="24"/>
        </w:rPr>
        <w:t>�</w:t>
      </w:r>
      <w:r>
        <w:rPr>
          <w:rFonts w:ascii="Cambria Math" w:hAnsi="Cambria Math" w:eastAsia="Cambria Math"/>
          <w:position w:val="-4"/>
          <w:sz w:val="17"/>
        </w:rPr>
        <w:t>𝑑           </w:t>
      </w:r>
      <w:r>
        <w:rPr>
          <w:rFonts w:ascii="Cambria Math" w:hAnsi="Cambria Math" w:eastAsia="Cambria Math"/>
          <w:sz w:val="24"/>
        </w:rPr>
        <w:t>= </w:t>
      </w:r>
      <w:r>
        <w:rPr>
          <w:sz w:val="24"/>
        </w:rPr>
        <w:t>Cantidad demandada de carne en la región </w:t>
      </w:r>
      <w:r>
        <w:rPr>
          <w:i/>
          <w:sz w:val="24"/>
        </w:rPr>
        <w:t>d</w:t>
      </w:r>
    </w:p>
    <w:p>
      <w:pPr>
        <w:pStyle w:val="BodyText"/>
        <w:spacing w:before="9"/>
        <w:rPr>
          <w:i/>
          <w:sz w:val="26"/>
        </w:rPr>
      </w:pPr>
    </w:p>
    <w:p>
      <w:pPr>
        <w:spacing w:before="0"/>
        <w:ind w:left="118" w:right="410" w:firstLine="0"/>
        <w:jc w:val="left"/>
        <w:rPr>
          <w:sz w:val="24"/>
        </w:rPr>
      </w:pPr>
      <w:r>
        <w:rPr>
          <w:rFonts w:ascii="Cambria Math" w:hAnsi="Cambria Math" w:eastAsia="Cambria Math"/>
          <w:sz w:val="24"/>
        </w:rPr>
        <w:t>𝑉</w:t>
      </w:r>
      <w:r>
        <w:rPr>
          <w:rFonts w:ascii="Cambria Math" w:hAnsi="Cambria Math" w:eastAsia="Cambria Math"/>
          <w:position w:val="-4"/>
          <w:sz w:val="17"/>
        </w:rPr>
        <w:t>𝑠                                                                                            </w:t>
      </w:r>
      <w:r>
        <w:rPr>
          <w:rFonts w:ascii="Cambria Math" w:hAnsi="Cambria Math" w:eastAsia="Cambria Math"/>
          <w:sz w:val="24"/>
        </w:rPr>
        <w:t>= </w:t>
      </w:r>
      <w:r>
        <w:rPr>
          <w:sz w:val="24"/>
        </w:rPr>
        <w:t>Intercepto de función inversa de la oferta</w:t>
      </w:r>
    </w:p>
    <w:p>
      <w:pPr>
        <w:pStyle w:val="BodyText"/>
        <w:spacing w:before="7"/>
        <w:rPr>
          <w:sz w:val="26"/>
        </w:rPr>
      </w:pPr>
    </w:p>
    <w:p>
      <w:pPr>
        <w:pStyle w:val="BodyText"/>
        <w:ind w:left="118" w:right="410"/>
      </w:pPr>
      <w:r>
        <w:rPr>
          <w:rFonts w:ascii="Cambria Math" w:hAnsi="Cambria Math" w:eastAsia="Cambria Math"/>
        </w:rPr>
        <w:t>𝜂</w:t>
      </w:r>
      <w:r>
        <w:rPr>
          <w:rFonts w:ascii="Cambria Math" w:hAnsi="Cambria Math" w:eastAsia="Cambria Math"/>
          <w:position w:val="-4"/>
          <w:sz w:val="17"/>
        </w:rPr>
        <w:t>𝑠   </w:t>
      </w:r>
      <w:r>
        <w:rPr>
          <w:rFonts w:ascii="Cambria Math" w:hAnsi="Cambria Math" w:eastAsia="Cambria Math"/>
        </w:rPr>
        <w:t>= </w:t>
      </w:r>
      <w:r>
        <w:rPr/>
        <w:t>Pendiente de la función inversa de la oferta</w:t>
      </w:r>
    </w:p>
    <w:p>
      <w:pPr>
        <w:pStyle w:val="BodyText"/>
        <w:spacing w:before="6"/>
        <w:rPr>
          <w:sz w:val="26"/>
        </w:rPr>
      </w:pPr>
    </w:p>
    <w:p>
      <w:pPr>
        <w:pStyle w:val="BodyText"/>
        <w:spacing w:before="1"/>
        <w:ind w:left="118" w:right="410"/>
        <w:rPr>
          <w:i/>
        </w:rPr>
      </w:pPr>
      <w:r>
        <w:rPr>
          <w:rFonts w:ascii="Cambria Math" w:hAnsi="Cambria Math" w:eastAsia="Cambria Math"/>
        </w:rPr>
        <w:t>�</w:t>
      </w:r>
      <w:r>
        <w:rPr>
          <w:rFonts w:ascii="Cambria Math" w:hAnsi="Cambria Math" w:eastAsia="Cambria Math"/>
          <w:position w:val="-4"/>
          <w:sz w:val="17"/>
        </w:rPr>
        <w:t>𝑠      </w:t>
      </w:r>
      <w:r>
        <w:rPr>
          <w:rFonts w:ascii="Cambria Math" w:hAnsi="Cambria Math" w:eastAsia="Cambria Math"/>
        </w:rPr>
        <w:t>= </w:t>
      </w:r>
      <w:r>
        <w:rPr/>
        <w:t>Cantidad ofertada de carne en la región </w:t>
      </w:r>
      <w:r>
        <w:rPr>
          <w:i/>
        </w:rPr>
        <w:t>s</w:t>
      </w:r>
    </w:p>
    <w:p>
      <w:pPr>
        <w:pStyle w:val="BodyText"/>
        <w:spacing w:before="6"/>
        <w:rPr>
          <w:i/>
          <w:sz w:val="26"/>
        </w:rPr>
      </w:pPr>
    </w:p>
    <w:p>
      <w:pPr>
        <w:spacing w:before="1"/>
        <w:ind w:left="118" w:right="410" w:firstLine="0"/>
        <w:jc w:val="left"/>
        <w:rPr>
          <w:i/>
          <w:sz w:val="24"/>
        </w:rPr>
      </w:pPr>
      <w:r>
        <w:rPr>
          <w:rFonts w:ascii="Cambria Math" w:eastAsia="Cambria Math"/>
          <w:sz w:val="24"/>
        </w:rPr>
        <w:t>�</w:t>
      </w:r>
      <w:r>
        <w:rPr>
          <w:rFonts w:ascii="Cambria Math" w:eastAsia="Cambria Math"/>
          <w:position w:val="-4"/>
          <w:sz w:val="17"/>
        </w:rPr>
        <w:t>𝑠𝑑  </w:t>
      </w:r>
      <w:r>
        <w:rPr>
          <w:rFonts w:ascii="Cambria Math" w:eastAsia="Cambria Math"/>
          <w:sz w:val="24"/>
        </w:rPr>
        <w:t>= </w:t>
      </w:r>
      <w:r>
        <w:rPr>
          <w:sz w:val="24"/>
        </w:rPr>
        <w:t>Costo de transporte de </w:t>
      </w:r>
      <w:r>
        <w:rPr>
          <w:i/>
          <w:sz w:val="24"/>
        </w:rPr>
        <w:t>s </w:t>
      </w:r>
      <w:r>
        <w:rPr>
          <w:sz w:val="24"/>
        </w:rPr>
        <w:t>a </w:t>
      </w:r>
      <w:r>
        <w:rPr>
          <w:i/>
          <w:sz w:val="24"/>
        </w:rPr>
        <w:t>d</w:t>
      </w:r>
    </w:p>
    <w:p>
      <w:pPr>
        <w:pStyle w:val="BodyText"/>
        <w:spacing w:before="6"/>
        <w:rPr>
          <w:i/>
          <w:sz w:val="26"/>
        </w:rPr>
      </w:pPr>
    </w:p>
    <w:p>
      <w:pPr>
        <w:spacing w:before="1"/>
        <w:ind w:left="118" w:right="410" w:firstLine="0"/>
        <w:jc w:val="left"/>
        <w:rPr>
          <w:i/>
          <w:sz w:val="24"/>
        </w:rPr>
      </w:pPr>
      <w:r>
        <w:rPr>
          <w:rFonts w:ascii="Cambria Math" w:hAnsi="Cambria Math" w:eastAsia="Cambria Math"/>
          <w:sz w:val="24"/>
        </w:rPr>
        <w:t>�</w:t>
      </w:r>
      <w:r>
        <w:rPr>
          <w:rFonts w:ascii="Cambria Math" w:hAnsi="Cambria Math" w:eastAsia="Cambria Math"/>
          <w:position w:val="-4"/>
          <w:sz w:val="17"/>
        </w:rPr>
        <w:t>𝑠𝑑  </w:t>
      </w:r>
      <w:r>
        <w:rPr>
          <w:rFonts w:ascii="Cambria Math" w:hAnsi="Cambria Math" w:eastAsia="Cambria Math"/>
          <w:sz w:val="24"/>
        </w:rPr>
        <w:t>= </w:t>
      </w:r>
      <w:r>
        <w:rPr>
          <w:sz w:val="24"/>
        </w:rPr>
        <w:t>Cantidad de envíos de </w:t>
      </w:r>
      <w:r>
        <w:rPr>
          <w:i/>
          <w:sz w:val="24"/>
        </w:rPr>
        <w:t>s </w:t>
      </w:r>
      <w:r>
        <w:rPr>
          <w:sz w:val="24"/>
        </w:rPr>
        <w:t>a </w:t>
      </w:r>
      <w:r>
        <w:rPr>
          <w:i/>
          <w:sz w:val="24"/>
        </w:rPr>
        <w:t>d</w:t>
      </w:r>
    </w:p>
    <w:p>
      <w:pPr>
        <w:pStyle w:val="BodyText"/>
        <w:rPr>
          <w:i/>
          <w:sz w:val="26"/>
        </w:rPr>
      </w:pPr>
    </w:p>
    <w:p>
      <w:pPr>
        <w:pStyle w:val="BodyText"/>
        <w:rPr>
          <w:i/>
          <w:sz w:val="26"/>
        </w:rPr>
      </w:pPr>
    </w:p>
    <w:p>
      <w:pPr>
        <w:pStyle w:val="BodyText"/>
        <w:spacing w:before="10"/>
        <w:rPr>
          <w:i/>
          <w:sz w:val="27"/>
        </w:rPr>
      </w:pPr>
    </w:p>
    <w:p>
      <w:pPr>
        <w:pStyle w:val="BodyText"/>
        <w:spacing w:before="1"/>
        <w:ind w:left="118" w:right="410"/>
      </w:pPr>
      <w:r>
        <w:rPr/>
        <w:t>Este modelo está sujeto a las siguientes restricciones:</w:t>
      </w:r>
    </w:p>
    <w:p>
      <w:pPr>
        <w:pStyle w:val="BodyText"/>
        <w:spacing w:before="5"/>
        <w:rPr>
          <w:sz w:val="29"/>
        </w:rPr>
      </w:pPr>
    </w:p>
    <w:p>
      <w:pPr>
        <w:pStyle w:val="ListParagraph"/>
        <w:numPr>
          <w:ilvl w:val="0"/>
          <w:numId w:val="13"/>
        </w:numPr>
        <w:tabs>
          <w:tab w:pos="839" w:val="left" w:leader="none"/>
        </w:tabs>
        <w:spacing w:line="360" w:lineRule="auto" w:before="0" w:after="0"/>
        <w:ind w:left="838" w:right="266" w:hanging="360"/>
        <w:jc w:val="both"/>
        <w:rPr>
          <w:sz w:val="24"/>
        </w:rPr>
      </w:pPr>
      <w:r>
        <w:rPr>
          <w:sz w:val="24"/>
        </w:rPr>
        <w:t>La</w:t>
      </w:r>
      <w:r>
        <w:rPr>
          <w:spacing w:val="-7"/>
          <w:sz w:val="24"/>
        </w:rPr>
        <w:t> </w:t>
      </w:r>
      <w:r>
        <w:rPr>
          <w:sz w:val="24"/>
        </w:rPr>
        <w:t>cantidad</w:t>
      </w:r>
      <w:r>
        <w:rPr>
          <w:spacing w:val="-9"/>
          <w:sz w:val="24"/>
        </w:rPr>
        <w:t> </w:t>
      </w:r>
      <w:r>
        <w:rPr>
          <w:sz w:val="24"/>
        </w:rPr>
        <w:t>demandada</w:t>
      </w:r>
      <w:r>
        <w:rPr>
          <w:spacing w:val="-10"/>
          <w:sz w:val="24"/>
        </w:rPr>
        <w:t> </w:t>
      </w:r>
      <w:r>
        <w:rPr>
          <w:sz w:val="24"/>
        </w:rPr>
        <w:t>de</w:t>
      </w:r>
      <w:r>
        <w:rPr>
          <w:spacing w:val="-10"/>
          <w:sz w:val="24"/>
        </w:rPr>
        <w:t> </w:t>
      </w:r>
      <w:r>
        <w:rPr>
          <w:sz w:val="24"/>
        </w:rPr>
        <w:t>producto</w:t>
      </w:r>
      <w:r>
        <w:rPr>
          <w:spacing w:val="-8"/>
          <w:sz w:val="24"/>
        </w:rPr>
        <w:t> </w:t>
      </w:r>
      <w:r>
        <w:rPr>
          <w:sz w:val="24"/>
        </w:rPr>
        <w:t>(toneladas</w:t>
      </w:r>
      <w:r>
        <w:rPr>
          <w:spacing w:val="-6"/>
          <w:sz w:val="24"/>
        </w:rPr>
        <w:t> </w:t>
      </w:r>
      <w:r>
        <w:rPr>
          <w:sz w:val="24"/>
        </w:rPr>
        <w:t>de</w:t>
      </w:r>
      <w:r>
        <w:rPr>
          <w:spacing w:val="-7"/>
          <w:sz w:val="24"/>
        </w:rPr>
        <w:t> </w:t>
      </w:r>
      <w:r>
        <w:rPr>
          <w:sz w:val="24"/>
        </w:rPr>
        <w:t>carne</w:t>
      </w:r>
      <w:r>
        <w:rPr>
          <w:spacing w:val="-10"/>
          <w:sz w:val="24"/>
        </w:rPr>
        <w:t> </w:t>
      </w:r>
      <w:r>
        <w:rPr>
          <w:sz w:val="24"/>
        </w:rPr>
        <w:t>de</w:t>
      </w:r>
      <w:r>
        <w:rPr>
          <w:spacing w:val="-10"/>
          <w:sz w:val="24"/>
        </w:rPr>
        <w:t> </w:t>
      </w:r>
      <w:r>
        <w:rPr>
          <w:sz w:val="24"/>
        </w:rPr>
        <w:t>cerdo)</w:t>
      </w:r>
      <w:r>
        <w:rPr>
          <w:spacing w:val="-10"/>
          <w:sz w:val="24"/>
        </w:rPr>
        <w:t> </w:t>
      </w:r>
      <w:r>
        <w:rPr>
          <w:sz w:val="24"/>
        </w:rPr>
        <w:t>debe</w:t>
      </w:r>
      <w:r>
        <w:rPr>
          <w:spacing w:val="-10"/>
          <w:sz w:val="24"/>
        </w:rPr>
        <w:t> </w:t>
      </w:r>
      <w:r>
        <w:rPr>
          <w:sz w:val="24"/>
        </w:rPr>
        <w:t>ser</w:t>
      </w:r>
      <w:r>
        <w:rPr>
          <w:spacing w:val="-7"/>
          <w:sz w:val="24"/>
        </w:rPr>
        <w:t> </w:t>
      </w:r>
      <w:r>
        <w:rPr>
          <w:sz w:val="24"/>
        </w:rPr>
        <w:t>menor</w:t>
      </w:r>
      <w:r>
        <w:rPr>
          <w:spacing w:val="-10"/>
          <w:sz w:val="24"/>
        </w:rPr>
        <w:t> </w:t>
      </w:r>
      <w:r>
        <w:rPr>
          <w:sz w:val="24"/>
        </w:rPr>
        <w:t>o</w:t>
      </w:r>
      <w:r>
        <w:rPr>
          <w:spacing w:val="-9"/>
          <w:sz w:val="24"/>
        </w:rPr>
        <w:t> </w:t>
      </w:r>
      <w:r>
        <w:rPr>
          <w:sz w:val="24"/>
        </w:rPr>
        <w:t>igual que</w:t>
      </w:r>
      <w:r>
        <w:rPr>
          <w:spacing w:val="-5"/>
          <w:sz w:val="24"/>
        </w:rPr>
        <w:t> </w:t>
      </w:r>
      <w:r>
        <w:rPr>
          <w:sz w:val="24"/>
        </w:rPr>
        <w:t>la</w:t>
      </w:r>
      <w:r>
        <w:rPr>
          <w:spacing w:val="-4"/>
          <w:sz w:val="24"/>
        </w:rPr>
        <w:t> </w:t>
      </w:r>
      <w:r>
        <w:rPr>
          <w:sz w:val="24"/>
        </w:rPr>
        <w:t>sumatoria</w:t>
      </w:r>
      <w:r>
        <w:rPr>
          <w:spacing w:val="-5"/>
          <w:sz w:val="24"/>
        </w:rPr>
        <w:t> </w:t>
      </w:r>
      <w:r>
        <w:rPr>
          <w:sz w:val="24"/>
        </w:rPr>
        <w:t>de</w:t>
      </w:r>
      <w:r>
        <w:rPr>
          <w:spacing w:val="-5"/>
          <w:sz w:val="24"/>
        </w:rPr>
        <w:t> </w:t>
      </w:r>
      <w:r>
        <w:rPr>
          <w:sz w:val="24"/>
        </w:rPr>
        <w:t>las</w:t>
      </w:r>
      <w:r>
        <w:rPr>
          <w:spacing w:val="-4"/>
          <w:sz w:val="24"/>
        </w:rPr>
        <w:t> </w:t>
      </w:r>
      <w:r>
        <w:rPr>
          <w:sz w:val="24"/>
        </w:rPr>
        <w:t>cantidades</w:t>
      </w:r>
      <w:r>
        <w:rPr>
          <w:spacing w:val="-4"/>
          <w:sz w:val="24"/>
        </w:rPr>
        <w:t> </w:t>
      </w:r>
      <w:r>
        <w:rPr>
          <w:sz w:val="24"/>
        </w:rPr>
        <w:t>enviadas</w:t>
      </w:r>
      <w:r>
        <w:rPr>
          <w:spacing w:val="-4"/>
          <w:sz w:val="24"/>
        </w:rPr>
        <w:t> </w:t>
      </w:r>
      <w:r>
        <w:rPr>
          <w:sz w:val="24"/>
        </w:rPr>
        <w:t>de</w:t>
      </w:r>
      <w:r>
        <w:rPr>
          <w:spacing w:val="-5"/>
          <w:sz w:val="24"/>
        </w:rPr>
        <w:t> </w:t>
      </w:r>
      <w:r>
        <w:rPr>
          <w:sz w:val="24"/>
        </w:rPr>
        <w:t>las</w:t>
      </w:r>
      <w:r>
        <w:rPr>
          <w:spacing w:val="-2"/>
          <w:sz w:val="24"/>
        </w:rPr>
        <w:t> </w:t>
      </w:r>
      <w:r>
        <w:rPr>
          <w:sz w:val="24"/>
        </w:rPr>
        <w:t>regiones</w:t>
      </w:r>
      <w:r>
        <w:rPr>
          <w:spacing w:val="-4"/>
          <w:sz w:val="24"/>
        </w:rPr>
        <w:t> </w:t>
      </w:r>
      <w:r>
        <w:rPr>
          <w:sz w:val="24"/>
        </w:rPr>
        <w:t>productoras</w:t>
      </w:r>
      <w:r>
        <w:rPr>
          <w:spacing w:val="-4"/>
          <w:sz w:val="24"/>
        </w:rPr>
        <w:t> </w:t>
      </w:r>
      <w:r>
        <w:rPr>
          <w:sz w:val="24"/>
        </w:rPr>
        <w:t>(</w:t>
      </w:r>
      <w:r>
        <w:rPr>
          <w:i/>
          <w:sz w:val="24"/>
        </w:rPr>
        <w:t>s</w:t>
      </w:r>
      <w:r>
        <w:rPr>
          <w:sz w:val="24"/>
        </w:rPr>
        <w:t>)</w:t>
      </w:r>
      <w:r>
        <w:rPr>
          <w:spacing w:val="-1"/>
          <w:sz w:val="24"/>
        </w:rPr>
        <w:t> </w:t>
      </w:r>
      <w:r>
        <w:rPr>
          <w:sz w:val="24"/>
        </w:rPr>
        <w:t>a</w:t>
      </w:r>
      <w:r>
        <w:rPr>
          <w:spacing w:val="-6"/>
          <w:sz w:val="24"/>
        </w:rPr>
        <w:t> </w:t>
      </w:r>
      <w:r>
        <w:rPr>
          <w:sz w:val="24"/>
        </w:rPr>
        <w:t>las</w:t>
      </w:r>
      <w:r>
        <w:rPr>
          <w:spacing w:val="-4"/>
          <w:sz w:val="24"/>
        </w:rPr>
        <w:t> </w:t>
      </w:r>
      <w:r>
        <w:rPr>
          <w:sz w:val="24"/>
        </w:rPr>
        <w:t>regiones demandantes</w:t>
      </w:r>
      <w:r>
        <w:rPr>
          <w:spacing w:val="-4"/>
          <w:sz w:val="24"/>
        </w:rPr>
        <w:t> </w:t>
      </w:r>
      <w:r>
        <w:rPr>
          <w:sz w:val="24"/>
        </w:rPr>
        <w:t>(</w:t>
      </w:r>
      <w:r>
        <w:rPr>
          <w:i/>
          <w:sz w:val="24"/>
        </w:rPr>
        <w:t>d</w:t>
      </w:r>
      <w:r>
        <w:rPr>
          <w:sz w:val="24"/>
        </w:rPr>
        <w:t>).</w:t>
      </w:r>
    </w:p>
    <w:p>
      <w:pPr>
        <w:spacing w:after="0" w:line="360" w:lineRule="auto"/>
        <w:jc w:val="both"/>
        <w:rPr>
          <w:sz w:val="24"/>
        </w:rPr>
        <w:sectPr>
          <w:type w:val="continuous"/>
          <w:pgSz w:w="12240" w:h="15840"/>
          <w:pgMar w:top="3260" w:bottom="280" w:left="1300" w:right="1340"/>
        </w:sectPr>
      </w:pPr>
    </w:p>
    <w:p>
      <w:pPr>
        <w:spacing w:line="189" w:lineRule="exact" w:before="0"/>
        <w:ind w:left="0" w:right="494" w:firstLine="0"/>
        <w:jc w:val="right"/>
        <w:rPr>
          <w:rFonts w:ascii="Cambria Math"/>
          <w:sz w:val="17"/>
        </w:rPr>
      </w:pPr>
      <w:r>
        <w:rPr>
          <w:rFonts w:ascii="Cambria Math"/>
          <w:w w:val="104"/>
          <w:sz w:val="17"/>
        </w:rPr>
        <w:t>8</w:t>
      </w:r>
    </w:p>
    <w:p>
      <w:pPr>
        <w:spacing w:before="91"/>
        <w:ind w:left="0" w:right="0" w:firstLine="0"/>
        <w:jc w:val="right"/>
        <w:rPr>
          <w:rFonts w:ascii="Cambria Math" w:hAnsi="Cambria Math" w:eastAsia="Cambria Math"/>
          <w:sz w:val="17"/>
        </w:rPr>
      </w:pPr>
      <w:r>
        <w:rPr>
          <w:rFonts w:ascii="Cambria Math" w:hAnsi="Cambria Math" w:eastAsia="Cambria Math"/>
          <w:w w:val="110"/>
          <w:sz w:val="24"/>
        </w:rPr>
        <w:t>�</w:t>
      </w:r>
      <w:r>
        <w:rPr>
          <w:rFonts w:ascii="Cambria Math" w:hAnsi="Cambria Math" w:eastAsia="Cambria Math"/>
          <w:w w:val="110"/>
          <w:position w:val="-4"/>
          <w:sz w:val="17"/>
        </w:rPr>
        <w:t>𝑑    </w:t>
      </w:r>
      <w:r>
        <w:rPr>
          <w:rFonts w:ascii="Cambria Math" w:hAnsi="Cambria Math" w:eastAsia="Cambria Math"/>
          <w:w w:val="110"/>
          <w:sz w:val="24"/>
        </w:rPr>
        <w:t>≤ ∑ �</w:t>
      </w:r>
      <w:r>
        <w:rPr>
          <w:rFonts w:ascii="Cambria Math" w:hAnsi="Cambria Math" w:eastAsia="Cambria Math"/>
          <w:w w:val="110"/>
          <w:position w:val="-4"/>
          <w:sz w:val="17"/>
        </w:rPr>
        <w:t>𝑠𝑑</w:t>
      </w:r>
    </w:p>
    <w:p>
      <w:pPr>
        <w:spacing w:before="58"/>
        <w:ind w:left="0" w:right="372" w:firstLine="0"/>
        <w:jc w:val="right"/>
        <w:rPr>
          <w:rFonts w:ascii="Cambria Math" w:eastAsia="Cambria Math"/>
          <w:sz w:val="17"/>
        </w:rPr>
      </w:pPr>
      <w:r>
        <w:rPr>
          <w:rFonts w:ascii="Cambria Math" w:eastAsia="Cambria Math"/>
          <w:w w:val="105"/>
          <w:sz w:val="17"/>
        </w:rPr>
        <w:t>𝑑=1</w:t>
      </w:r>
    </w:p>
    <w:p>
      <w:pPr>
        <w:pStyle w:val="BodyText"/>
        <w:spacing w:before="11"/>
        <w:rPr>
          <w:rFonts w:ascii="Cambria Math"/>
          <w:sz w:val="23"/>
        </w:rPr>
      </w:pPr>
      <w:r>
        <w:rPr/>
        <w:br w:type="column"/>
      </w:r>
      <w:r>
        <w:rPr>
          <w:rFonts w:ascii="Cambria Math"/>
          <w:sz w:val="23"/>
        </w:rPr>
      </w:r>
    </w:p>
    <w:p>
      <w:pPr>
        <w:pStyle w:val="BodyText"/>
        <w:ind w:left="226"/>
        <w:rPr>
          <w:rFonts w:ascii="Cambria Math" w:hAnsi="Cambria Math" w:eastAsia="Cambria Math"/>
        </w:rPr>
      </w:pPr>
      <w:r>
        <w:rPr>
          <w:rFonts w:ascii="Cambria Math" w:hAnsi="Cambria Math" w:eastAsia="Cambria Math"/>
        </w:rPr>
        <w:t>� = 1, 2,3 … … … … 8</w:t>
      </w:r>
    </w:p>
    <w:p>
      <w:pPr>
        <w:spacing w:after="0"/>
        <w:rPr>
          <w:rFonts w:ascii="Cambria Math" w:hAnsi="Cambria Math" w:eastAsia="Cambria Math"/>
        </w:rPr>
        <w:sectPr>
          <w:type w:val="continuous"/>
          <w:pgSz w:w="12240" w:h="15840"/>
          <w:pgMar w:top="3260" w:bottom="280" w:left="1300" w:right="1340"/>
          <w:cols w:num="2" w:equalWidth="0">
            <w:col w:w="4248" w:space="40"/>
            <w:col w:w="5312"/>
          </w:cols>
        </w:sectPr>
      </w:pPr>
    </w:p>
    <w:p>
      <w:pPr>
        <w:pStyle w:val="ListParagraph"/>
        <w:numPr>
          <w:ilvl w:val="0"/>
          <w:numId w:val="13"/>
        </w:numPr>
        <w:tabs>
          <w:tab w:pos="839" w:val="left" w:leader="none"/>
        </w:tabs>
        <w:spacing w:line="360" w:lineRule="auto" w:before="125" w:after="0"/>
        <w:ind w:left="838" w:right="266" w:hanging="360"/>
        <w:jc w:val="both"/>
        <w:rPr>
          <w:sz w:val="24"/>
        </w:rPr>
      </w:pPr>
      <w:r>
        <w:rPr>
          <w:sz w:val="24"/>
        </w:rPr>
        <w:t>La cantidad ofertada de producto (toneladas de carne de cerdo) debe ser mayor o igual que</w:t>
      </w:r>
      <w:r>
        <w:rPr>
          <w:spacing w:val="-5"/>
          <w:sz w:val="24"/>
        </w:rPr>
        <w:t> </w:t>
      </w:r>
      <w:r>
        <w:rPr>
          <w:sz w:val="24"/>
        </w:rPr>
        <w:t>la</w:t>
      </w:r>
      <w:r>
        <w:rPr>
          <w:spacing w:val="-4"/>
          <w:sz w:val="24"/>
        </w:rPr>
        <w:t> </w:t>
      </w:r>
      <w:r>
        <w:rPr>
          <w:sz w:val="24"/>
        </w:rPr>
        <w:t>sumatoria</w:t>
      </w:r>
      <w:r>
        <w:rPr>
          <w:spacing w:val="-5"/>
          <w:sz w:val="24"/>
        </w:rPr>
        <w:t> </w:t>
      </w:r>
      <w:r>
        <w:rPr>
          <w:sz w:val="24"/>
        </w:rPr>
        <w:t>de</w:t>
      </w:r>
      <w:r>
        <w:rPr>
          <w:spacing w:val="-5"/>
          <w:sz w:val="24"/>
        </w:rPr>
        <w:t> </w:t>
      </w:r>
      <w:r>
        <w:rPr>
          <w:sz w:val="24"/>
        </w:rPr>
        <w:t>las</w:t>
      </w:r>
      <w:r>
        <w:rPr>
          <w:spacing w:val="-4"/>
          <w:sz w:val="24"/>
        </w:rPr>
        <w:t> </w:t>
      </w:r>
      <w:r>
        <w:rPr>
          <w:sz w:val="24"/>
        </w:rPr>
        <w:t>cantidades</w:t>
      </w:r>
      <w:r>
        <w:rPr>
          <w:spacing w:val="-4"/>
          <w:sz w:val="24"/>
        </w:rPr>
        <w:t> </w:t>
      </w:r>
      <w:r>
        <w:rPr>
          <w:sz w:val="24"/>
        </w:rPr>
        <w:t>enviadas</w:t>
      </w:r>
      <w:r>
        <w:rPr>
          <w:spacing w:val="-4"/>
          <w:sz w:val="24"/>
        </w:rPr>
        <w:t> </w:t>
      </w:r>
      <w:r>
        <w:rPr>
          <w:sz w:val="24"/>
        </w:rPr>
        <w:t>de</w:t>
      </w:r>
      <w:r>
        <w:rPr>
          <w:spacing w:val="-5"/>
          <w:sz w:val="24"/>
        </w:rPr>
        <w:t> </w:t>
      </w:r>
      <w:r>
        <w:rPr>
          <w:sz w:val="24"/>
        </w:rPr>
        <w:t>las</w:t>
      </w:r>
      <w:r>
        <w:rPr>
          <w:spacing w:val="-2"/>
          <w:sz w:val="24"/>
        </w:rPr>
        <w:t> </w:t>
      </w:r>
      <w:r>
        <w:rPr>
          <w:sz w:val="24"/>
        </w:rPr>
        <w:t>regiones</w:t>
      </w:r>
      <w:r>
        <w:rPr>
          <w:spacing w:val="-4"/>
          <w:sz w:val="24"/>
        </w:rPr>
        <w:t> </w:t>
      </w:r>
      <w:r>
        <w:rPr>
          <w:sz w:val="24"/>
        </w:rPr>
        <w:t>productoras</w:t>
      </w:r>
      <w:r>
        <w:rPr>
          <w:spacing w:val="-4"/>
          <w:sz w:val="24"/>
        </w:rPr>
        <w:t> </w:t>
      </w:r>
      <w:r>
        <w:rPr>
          <w:sz w:val="24"/>
        </w:rPr>
        <w:t>(</w:t>
      </w:r>
      <w:r>
        <w:rPr>
          <w:i/>
          <w:sz w:val="24"/>
        </w:rPr>
        <w:t>s</w:t>
      </w:r>
      <w:r>
        <w:rPr>
          <w:sz w:val="24"/>
        </w:rPr>
        <w:t>)</w:t>
      </w:r>
      <w:r>
        <w:rPr>
          <w:spacing w:val="-1"/>
          <w:sz w:val="24"/>
        </w:rPr>
        <w:t> </w:t>
      </w:r>
      <w:r>
        <w:rPr>
          <w:sz w:val="24"/>
        </w:rPr>
        <w:t>a</w:t>
      </w:r>
      <w:r>
        <w:rPr>
          <w:spacing w:val="-6"/>
          <w:sz w:val="24"/>
        </w:rPr>
        <w:t> </w:t>
      </w:r>
      <w:r>
        <w:rPr>
          <w:sz w:val="24"/>
        </w:rPr>
        <w:t>las</w:t>
      </w:r>
      <w:r>
        <w:rPr>
          <w:spacing w:val="-4"/>
          <w:sz w:val="24"/>
        </w:rPr>
        <w:t> </w:t>
      </w:r>
      <w:r>
        <w:rPr>
          <w:sz w:val="24"/>
        </w:rPr>
        <w:t>regiones demandantes</w:t>
      </w:r>
      <w:r>
        <w:rPr>
          <w:spacing w:val="-4"/>
          <w:sz w:val="24"/>
        </w:rPr>
        <w:t> </w:t>
      </w:r>
      <w:r>
        <w:rPr>
          <w:sz w:val="24"/>
        </w:rPr>
        <w:t>(</w:t>
      </w:r>
      <w:r>
        <w:rPr>
          <w:i/>
          <w:sz w:val="24"/>
        </w:rPr>
        <w:t>d</w:t>
      </w:r>
      <w:r>
        <w:rPr>
          <w:sz w:val="24"/>
        </w:rPr>
        <w:t>).</w:t>
      </w:r>
    </w:p>
    <w:p>
      <w:pPr>
        <w:spacing w:after="0" w:line="360" w:lineRule="auto"/>
        <w:jc w:val="both"/>
        <w:rPr>
          <w:sz w:val="24"/>
        </w:rPr>
        <w:sectPr>
          <w:pgSz w:w="12240" w:h="15840"/>
          <w:pgMar w:header="984" w:footer="986" w:top="1280" w:bottom="1180" w:left="1300" w:right="1340"/>
        </w:sectPr>
      </w:pPr>
    </w:p>
    <w:p>
      <w:pPr>
        <w:spacing w:line="187" w:lineRule="exact" w:before="0"/>
        <w:ind w:left="0" w:right="446" w:firstLine="0"/>
        <w:jc w:val="right"/>
        <w:rPr>
          <w:rFonts w:ascii="Cambria Math"/>
          <w:sz w:val="17"/>
        </w:rPr>
      </w:pPr>
      <w:r>
        <w:rPr>
          <w:rFonts w:ascii="Cambria Math"/>
          <w:w w:val="105"/>
          <w:sz w:val="17"/>
        </w:rPr>
        <w:t>10</w:t>
      </w:r>
    </w:p>
    <w:p>
      <w:pPr>
        <w:spacing w:before="91"/>
        <w:ind w:left="0" w:right="0" w:firstLine="0"/>
        <w:jc w:val="right"/>
        <w:rPr>
          <w:rFonts w:ascii="Cambria Math" w:hAnsi="Cambria Math" w:eastAsia="Cambria Math"/>
          <w:sz w:val="17"/>
        </w:rPr>
      </w:pPr>
      <w:r>
        <w:rPr>
          <w:rFonts w:ascii="Cambria Math" w:hAnsi="Cambria Math" w:eastAsia="Cambria Math"/>
          <w:w w:val="110"/>
          <w:sz w:val="24"/>
        </w:rPr>
        <w:t>�</w:t>
      </w:r>
      <w:r>
        <w:rPr>
          <w:rFonts w:ascii="Cambria Math" w:hAnsi="Cambria Math" w:eastAsia="Cambria Math"/>
          <w:w w:val="110"/>
          <w:position w:val="-4"/>
          <w:sz w:val="17"/>
        </w:rPr>
        <w:t>𝑠  </w:t>
      </w:r>
      <w:r>
        <w:rPr>
          <w:rFonts w:ascii="Cambria Math" w:hAnsi="Cambria Math" w:eastAsia="Cambria Math"/>
          <w:w w:val="110"/>
          <w:sz w:val="24"/>
        </w:rPr>
        <w:t>≥ ∑ �</w:t>
      </w:r>
      <w:r>
        <w:rPr>
          <w:rFonts w:ascii="Cambria Math" w:hAnsi="Cambria Math" w:eastAsia="Cambria Math"/>
          <w:w w:val="110"/>
          <w:position w:val="-4"/>
          <w:sz w:val="17"/>
        </w:rPr>
        <w:t>𝑠𝑑</w:t>
      </w:r>
    </w:p>
    <w:p>
      <w:pPr>
        <w:spacing w:before="58"/>
        <w:ind w:left="0" w:right="372" w:firstLine="0"/>
        <w:jc w:val="right"/>
        <w:rPr>
          <w:rFonts w:ascii="Cambria Math" w:eastAsia="Cambria Math"/>
          <w:sz w:val="17"/>
        </w:rPr>
      </w:pPr>
      <w:r>
        <w:rPr>
          <w:rFonts w:ascii="Cambria Math" w:eastAsia="Cambria Math"/>
          <w:w w:val="105"/>
          <w:sz w:val="17"/>
        </w:rPr>
        <w:t>𝑑=1</w:t>
      </w:r>
    </w:p>
    <w:p>
      <w:pPr>
        <w:pStyle w:val="BodyText"/>
        <w:spacing w:before="8"/>
        <w:rPr>
          <w:rFonts w:ascii="Cambria Math"/>
          <w:sz w:val="23"/>
        </w:rPr>
      </w:pPr>
      <w:r>
        <w:rPr/>
        <w:br w:type="column"/>
      </w:r>
      <w:r>
        <w:rPr>
          <w:rFonts w:ascii="Cambria Math"/>
          <w:sz w:val="23"/>
        </w:rPr>
      </w:r>
    </w:p>
    <w:p>
      <w:pPr>
        <w:pStyle w:val="BodyText"/>
        <w:ind w:left="331"/>
        <w:rPr>
          <w:rFonts w:ascii="Cambria Math" w:hAnsi="Cambria Math" w:eastAsia="Cambria Math"/>
        </w:rPr>
      </w:pPr>
      <w:r>
        <w:rPr>
          <w:rFonts w:ascii="Cambria Math" w:hAnsi="Cambria Math" w:eastAsia="Cambria Math"/>
        </w:rPr>
        <w:t>� = 1, 2,3 … … … … 10</w:t>
      </w:r>
    </w:p>
    <w:p>
      <w:pPr>
        <w:spacing w:after="0"/>
        <w:rPr>
          <w:rFonts w:ascii="Cambria Math" w:hAnsi="Cambria Math" w:eastAsia="Cambria Math"/>
        </w:rPr>
        <w:sectPr>
          <w:type w:val="continuous"/>
          <w:pgSz w:w="12240" w:h="15840"/>
          <w:pgMar w:top="3260" w:bottom="280" w:left="1300" w:right="1340"/>
          <w:cols w:num="2" w:equalWidth="0">
            <w:col w:w="4150" w:space="40"/>
            <w:col w:w="5410"/>
          </w:cols>
        </w:sectPr>
      </w:pPr>
    </w:p>
    <w:p>
      <w:pPr>
        <w:pStyle w:val="BodyText"/>
        <w:spacing w:before="10"/>
        <w:rPr>
          <w:rFonts w:ascii="Cambria Math"/>
          <w:sz w:val="19"/>
        </w:rPr>
      </w:pPr>
    </w:p>
    <w:p>
      <w:pPr>
        <w:pStyle w:val="ListParagraph"/>
        <w:numPr>
          <w:ilvl w:val="0"/>
          <w:numId w:val="13"/>
        </w:numPr>
        <w:tabs>
          <w:tab w:pos="838" w:val="left" w:leader="none"/>
          <w:tab w:pos="839" w:val="left" w:leader="none"/>
        </w:tabs>
        <w:spacing w:line="360" w:lineRule="auto" w:before="69" w:after="0"/>
        <w:ind w:left="838" w:right="268" w:hanging="360"/>
        <w:jc w:val="left"/>
        <w:rPr>
          <w:sz w:val="24"/>
        </w:rPr>
      </w:pPr>
      <w:r>
        <w:rPr>
          <w:sz w:val="24"/>
        </w:rPr>
        <w:t>La cantidad demandada, la cantidad ofertada y los envíos de las regiones productoras (</w:t>
      </w:r>
      <w:r>
        <w:rPr>
          <w:i/>
          <w:sz w:val="24"/>
        </w:rPr>
        <w:t>s</w:t>
      </w:r>
      <w:r>
        <w:rPr>
          <w:sz w:val="24"/>
        </w:rPr>
        <w:t>) a las regiones demandantes (</w:t>
      </w:r>
      <w:r>
        <w:rPr>
          <w:i/>
          <w:sz w:val="24"/>
        </w:rPr>
        <w:t>d</w:t>
      </w:r>
      <w:r>
        <w:rPr>
          <w:sz w:val="24"/>
        </w:rPr>
        <w:t>), debe ser mayor o igual a</w:t>
      </w:r>
      <w:r>
        <w:rPr>
          <w:spacing w:val="-10"/>
          <w:sz w:val="24"/>
        </w:rPr>
        <w:t> </w:t>
      </w:r>
      <w:r>
        <w:rPr>
          <w:sz w:val="24"/>
        </w:rPr>
        <w:t>cero.</w:t>
      </w:r>
    </w:p>
    <w:p>
      <w:pPr>
        <w:spacing w:before="12"/>
        <w:ind w:left="0" w:right="410"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𝑑  </w:t>
      </w:r>
      <w:r>
        <w:rPr>
          <w:rFonts w:ascii="Cambria Math" w:hAnsi="Cambria Math" w:eastAsia="Cambria Math"/>
          <w:sz w:val="24"/>
        </w:rPr>
        <w:t>, �</w:t>
      </w:r>
      <w:r>
        <w:rPr>
          <w:rFonts w:ascii="Cambria Math" w:hAnsi="Cambria Math" w:eastAsia="Cambria Math"/>
          <w:position w:val="-4"/>
          <w:sz w:val="17"/>
        </w:rPr>
        <w:t>𝑠 </w:t>
      </w:r>
      <w:r>
        <w:rPr>
          <w:rFonts w:ascii="Cambria Math" w:hAnsi="Cambria Math" w:eastAsia="Cambria Math"/>
          <w:sz w:val="24"/>
        </w:rPr>
        <w:t>, �</w:t>
      </w:r>
      <w:r>
        <w:rPr>
          <w:rFonts w:ascii="Cambria Math" w:hAnsi="Cambria Math" w:eastAsia="Cambria Math"/>
          <w:position w:val="-4"/>
          <w:sz w:val="17"/>
        </w:rPr>
        <w:t>𝑠𝑑  </w:t>
      </w:r>
      <w:r>
        <w:rPr>
          <w:rFonts w:ascii="Cambria Math" w:hAnsi="Cambria Math" w:eastAsia="Cambria Math"/>
          <w:sz w:val="24"/>
        </w:rPr>
        <w:t>≥ 0</w:t>
      </w:r>
    </w:p>
    <w:p>
      <w:pPr>
        <w:pStyle w:val="BodyText"/>
        <w:spacing w:before="7"/>
        <w:rPr>
          <w:rFonts w:ascii="Cambria Math"/>
          <w:sz w:val="25"/>
        </w:rPr>
      </w:pPr>
    </w:p>
    <w:p>
      <w:pPr>
        <w:pStyle w:val="BodyText"/>
        <w:ind w:left="118" w:right="410"/>
      </w:pPr>
      <w:r>
        <w:rPr/>
        <w:t>Los supuestos económicos considerados en el modelo fueron:</w:t>
      </w:r>
    </w:p>
    <w:p>
      <w:pPr>
        <w:pStyle w:val="BodyText"/>
        <w:spacing w:before="4"/>
        <w:rPr>
          <w:sz w:val="29"/>
        </w:rPr>
      </w:pPr>
    </w:p>
    <w:p>
      <w:pPr>
        <w:pStyle w:val="ListParagraph"/>
        <w:numPr>
          <w:ilvl w:val="2"/>
          <w:numId w:val="18"/>
        </w:numPr>
        <w:tabs>
          <w:tab w:pos="838" w:val="left" w:leader="none"/>
          <w:tab w:pos="839" w:val="left" w:leader="none"/>
        </w:tabs>
        <w:spacing w:line="240" w:lineRule="auto" w:before="0" w:after="0"/>
        <w:ind w:left="838" w:right="0" w:hanging="360"/>
        <w:jc w:val="left"/>
        <w:rPr>
          <w:sz w:val="24"/>
        </w:rPr>
      </w:pPr>
      <w:r>
        <w:rPr>
          <w:sz w:val="24"/>
        </w:rPr>
        <w:t>Hay 2 o más regiones que comercian un bien</w:t>
      </w:r>
      <w:r>
        <w:rPr>
          <w:spacing w:val="-7"/>
          <w:sz w:val="24"/>
        </w:rPr>
        <w:t> </w:t>
      </w:r>
      <w:r>
        <w:rPr>
          <w:sz w:val="24"/>
        </w:rPr>
        <w:t>homogéneo</w:t>
      </w:r>
    </w:p>
    <w:p>
      <w:pPr>
        <w:pStyle w:val="ListParagraph"/>
        <w:numPr>
          <w:ilvl w:val="2"/>
          <w:numId w:val="18"/>
        </w:numPr>
        <w:tabs>
          <w:tab w:pos="838" w:val="left" w:leader="none"/>
          <w:tab w:pos="839" w:val="left" w:leader="none"/>
        </w:tabs>
        <w:spacing w:line="240" w:lineRule="auto" w:before="138" w:after="0"/>
        <w:ind w:left="838" w:right="0" w:hanging="360"/>
        <w:jc w:val="left"/>
        <w:rPr>
          <w:sz w:val="24"/>
        </w:rPr>
      </w:pPr>
      <w:r>
        <w:rPr>
          <w:sz w:val="24"/>
        </w:rPr>
        <w:t>Cada región constituye un solo y distinto</w:t>
      </w:r>
      <w:r>
        <w:rPr>
          <w:spacing w:val="-12"/>
          <w:sz w:val="24"/>
        </w:rPr>
        <w:t> </w:t>
      </w:r>
      <w:r>
        <w:rPr>
          <w:sz w:val="24"/>
        </w:rPr>
        <w:t>mercado</w:t>
      </w:r>
    </w:p>
    <w:p>
      <w:pPr>
        <w:pStyle w:val="ListParagraph"/>
        <w:numPr>
          <w:ilvl w:val="2"/>
          <w:numId w:val="18"/>
        </w:numPr>
        <w:tabs>
          <w:tab w:pos="838" w:val="left" w:leader="none"/>
          <w:tab w:pos="839" w:val="left" w:leader="none"/>
        </w:tabs>
        <w:spacing w:line="352" w:lineRule="auto" w:before="135" w:after="0"/>
        <w:ind w:left="838" w:right="272" w:hanging="360"/>
        <w:jc w:val="left"/>
        <w:rPr>
          <w:sz w:val="24"/>
        </w:rPr>
      </w:pPr>
      <w:r>
        <w:rPr>
          <w:sz w:val="24"/>
        </w:rPr>
        <w:t>Las regiones están separadas pero no aisladas por los costos de transporte por unidad física, lo cual es independiente del</w:t>
      </w:r>
      <w:r>
        <w:rPr>
          <w:spacing w:val="-5"/>
          <w:sz w:val="24"/>
        </w:rPr>
        <w:t> </w:t>
      </w:r>
      <w:r>
        <w:rPr>
          <w:sz w:val="24"/>
        </w:rPr>
        <w:t>volumen</w:t>
      </w:r>
    </w:p>
    <w:p>
      <w:pPr>
        <w:pStyle w:val="ListParagraph"/>
        <w:numPr>
          <w:ilvl w:val="2"/>
          <w:numId w:val="18"/>
        </w:numPr>
        <w:tabs>
          <w:tab w:pos="838" w:val="left" w:leader="none"/>
          <w:tab w:pos="839" w:val="left" w:leader="none"/>
        </w:tabs>
        <w:spacing w:line="240" w:lineRule="auto" w:before="11" w:after="0"/>
        <w:ind w:left="838" w:right="0" w:hanging="360"/>
        <w:jc w:val="left"/>
        <w:rPr>
          <w:sz w:val="24"/>
        </w:rPr>
      </w:pPr>
      <w:r>
        <w:rPr>
          <w:sz w:val="24"/>
        </w:rPr>
        <w:t>Para cada región las funciones de oferta y demanda son</w:t>
      </w:r>
      <w:r>
        <w:rPr>
          <w:spacing w:val="-17"/>
          <w:sz w:val="24"/>
        </w:rPr>
        <w:t> </w:t>
      </w:r>
      <w:r>
        <w:rPr>
          <w:sz w:val="24"/>
        </w:rPr>
        <w:t>conocidas</w:t>
      </w:r>
    </w:p>
    <w:p>
      <w:pPr>
        <w:pStyle w:val="ListParagraph"/>
        <w:numPr>
          <w:ilvl w:val="2"/>
          <w:numId w:val="18"/>
        </w:numPr>
        <w:tabs>
          <w:tab w:pos="838" w:val="left" w:leader="none"/>
          <w:tab w:pos="839" w:val="left" w:leader="none"/>
        </w:tabs>
        <w:spacing w:line="240" w:lineRule="auto" w:before="138" w:after="0"/>
        <w:ind w:left="838" w:right="0" w:hanging="360"/>
        <w:jc w:val="left"/>
        <w:rPr>
          <w:sz w:val="24"/>
        </w:rPr>
      </w:pPr>
      <w:r>
        <w:rPr>
          <w:sz w:val="24"/>
        </w:rPr>
        <w:t>considerando 10 regiones productoras y 8 regiones</w:t>
      </w:r>
      <w:r>
        <w:rPr>
          <w:spacing w:val="-10"/>
          <w:sz w:val="24"/>
        </w:rPr>
        <w:t> </w:t>
      </w:r>
      <w:r>
        <w:rPr>
          <w:sz w:val="24"/>
        </w:rPr>
        <w:t>consumidoras.</w:t>
      </w:r>
    </w:p>
    <w:p>
      <w:pPr>
        <w:pStyle w:val="BodyText"/>
        <w:spacing w:line="360" w:lineRule="auto" w:before="139"/>
        <w:ind w:left="118" w:right="410"/>
      </w:pPr>
      <w:r>
        <w:rPr/>
        <w:t>Se utilizó la regionalización económica y geográfica propuesta por Bassols (1995), como se muestra en el Cuadro 1.</w:t>
      </w:r>
    </w:p>
    <w:p>
      <w:pPr>
        <w:spacing w:after="0" w:line="360" w:lineRule="auto"/>
        <w:sectPr>
          <w:type w:val="continuous"/>
          <w:pgSz w:w="12240" w:h="15840"/>
          <w:pgMar w:top="3260" w:bottom="280" w:left="1300" w:right="1340"/>
        </w:sectPr>
      </w:pPr>
    </w:p>
    <w:p>
      <w:pPr>
        <w:pStyle w:val="BodyText"/>
        <w:spacing w:before="125"/>
        <w:ind w:left="118"/>
        <w:jc w:val="both"/>
      </w:pPr>
      <w:r>
        <w:rPr/>
        <w:t>Cuadro 1: Regiones y entidades de México</w:t>
      </w:r>
    </w:p>
    <w:p>
      <w:pPr>
        <w:pStyle w:val="BodyText"/>
        <w:spacing w:before="9"/>
        <w:rPr>
          <w:sz w:val="29"/>
        </w:rPr>
      </w:pPr>
    </w:p>
    <w:p>
      <w:pPr>
        <w:tabs>
          <w:tab w:pos="4505" w:val="left" w:leader="none"/>
        </w:tabs>
        <w:spacing w:before="0"/>
        <w:ind w:left="0" w:right="2026" w:firstLine="0"/>
        <w:jc w:val="center"/>
        <w:rPr>
          <w:sz w:val="24"/>
        </w:rPr>
      </w:pPr>
      <w:r>
        <w:rPr>
          <w:b/>
          <w:sz w:val="24"/>
        </w:rPr>
        <w:t>Región</w:t>
        <w:tab/>
      </w:r>
      <w:r>
        <w:rPr>
          <w:sz w:val="24"/>
        </w:rPr>
        <w:t>Estado</w:t>
      </w:r>
    </w:p>
    <w:p>
      <w:pPr>
        <w:pStyle w:val="BodyText"/>
        <w:tabs>
          <w:tab w:pos="3392" w:val="left" w:leader="none"/>
        </w:tabs>
        <w:spacing w:before="137"/>
        <w:ind w:left="226" w:right="172"/>
      </w:pPr>
      <w:r>
        <w:rPr>
          <w:b/>
        </w:rPr>
        <w:t>Noroeste</w:t>
      </w:r>
      <w:r>
        <w:rPr>
          <w:b/>
          <w:spacing w:val="-3"/>
        </w:rPr>
        <w:t> </w:t>
      </w:r>
      <w:r>
        <w:rPr>
          <w:b/>
        </w:rPr>
        <w:t>(NO)</w:t>
        <w:tab/>
      </w:r>
      <w:r>
        <w:rPr/>
        <w:t>Baja  California,  Baja  California  Sur,  Sonora,  Sinaloa  </w:t>
      </w:r>
      <w:r>
        <w:rPr>
          <w:spacing w:val="58"/>
        </w:rPr>
        <w:t> </w:t>
      </w:r>
      <w:r>
        <w:rPr/>
        <w:t>y</w:t>
      </w:r>
    </w:p>
    <w:p>
      <w:pPr>
        <w:pStyle w:val="BodyText"/>
        <w:spacing w:before="134"/>
        <w:ind w:right="2034"/>
        <w:jc w:val="center"/>
      </w:pPr>
      <w:r>
        <w:rPr/>
        <w:t>Nayarit.</w:t>
      </w:r>
    </w:p>
    <w:p>
      <w:pPr>
        <w:pStyle w:val="BodyText"/>
        <w:tabs>
          <w:tab w:pos="3392" w:val="left" w:leader="none"/>
        </w:tabs>
        <w:spacing w:before="141"/>
        <w:ind w:left="226" w:right="172"/>
      </w:pPr>
      <w:r>
        <w:rPr>
          <w:b/>
        </w:rPr>
        <w:t>Norte</w:t>
      </w:r>
      <w:r>
        <w:rPr>
          <w:b/>
          <w:spacing w:val="-2"/>
        </w:rPr>
        <w:t> </w:t>
      </w:r>
      <w:r>
        <w:rPr>
          <w:b/>
        </w:rPr>
        <w:t>(NR)</w:t>
        <w:tab/>
      </w:r>
      <w:r>
        <w:rPr/>
        <w:t>Chihuahua, Coahuila, Durango, San Luis potosí y</w:t>
      </w:r>
      <w:r>
        <w:rPr>
          <w:spacing w:val="-14"/>
        </w:rPr>
        <w:t> </w:t>
      </w:r>
      <w:r>
        <w:rPr/>
        <w:t>Zacatecas</w:t>
      </w:r>
    </w:p>
    <w:p>
      <w:pPr>
        <w:tabs>
          <w:tab w:pos="3392" w:val="left" w:leader="none"/>
        </w:tabs>
        <w:spacing w:before="139"/>
        <w:ind w:left="226" w:right="410" w:firstLine="0"/>
        <w:jc w:val="left"/>
        <w:rPr>
          <w:sz w:val="24"/>
        </w:rPr>
      </w:pPr>
      <w:r>
        <w:rPr>
          <w:b/>
          <w:sz w:val="24"/>
        </w:rPr>
        <w:t>Noreste</w:t>
      </w:r>
      <w:r>
        <w:rPr>
          <w:b/>
          <w:spacing w:val="-3"/>
          <w:sz w:val="24"/>
        </w:rPr>
        <w:t> </w:t>
      </w:r>
      <w:r>
        <w:rPr>
          <w:b/>
          <w:sz w:val="24"/>
        </w:rPr>
        <w:t>(NE)</w:t>
        <w:tab/>
      </w:r>
      <w:r>
        <w:rPr>
          <w:sz w:val="24"/>
        </w:rPr>
        <w:t>Nuevo León y</w:t>
      </w:r>
      <w:r>
        <w:rPr>
          <w:spacing w:val="-6"/>
          <w:sz w:val="24"/>
        </w:rPr>
        <w:t> </w:t>
      </w:r>
      <w:r>
        <w:rPr>
          <w:sz w:val="24"/>
        </w:rPr>
        <w:t>Tamaulipas.</w:t>
      </w:r>
    </w:p>
    <w:p>
      <w:pPr>
        <w:tabs>
          <w:tab w:pos="3392" w:val="left" w:leader="none"/>
        </w:tabs>
        <w:spacing w:before="137"/>
        <w:ind w:left="226" w:right="410" w:firstLine="0"/>
        <w:jc w:val="left"/>
        <w:rPr>
          <w:sz w:val="24"/>
        </w:rPr>
      </w:pPr>
      <w:r>
        <w:rPr>
          <w:b/>
          <w:sz w:val="24"/>
        </w:rPr>
        <w:t>Centro-Occidente</w:t>
      </w:r>
      <w:r>
        <w:rPr>
          <w:b/>
          <w:spacing w:val="-4"/>
          <w:sz w:val="24"/>
        </w:rPr>
        <w:t> </w:t>
      </w:r>
      <w:r>
        <w:rPr>
          <w:b/>
          <w:sz w:val="24"/>
        </w:rPr>
        <w:t>(CO)</w:t>
        <w:tab/>
      </w:r>
      <w:r>
        <w:rPr>
          <w:sz w:val="24"/>
        </w:rPr>
        <w:t>Aguascalientes , Colima, Guanajuato, Jalisco y</w:t>
      </w:r>
      <w:r>
        <w:rPr>
          <w:spacing w:val="-14"/>
          <w:sz w:val="24"/>
        </w:rPr>
        <w:t> </w:t>
      </w:r>
      <w:r>
        <w:rPr>
          <w:sz w:val="24"/>
        </w:rPr>
        <w:t>Michoacán</w:t>
      </w:r>
    </w:p>
    <w:p>
      <w:pPr>
        <w:pStyle w:val="BodyText"/>
        <w:tabs>
          <w:tab w:pos="3392" w:val="left" w:leader="none"/>
        </w:tabs>
        <w:spacing w:line="355" w:lineRule="auto" w:before="139"/>
        <w:ind w:left="3393" w:right="376" w:hanging="3167"/>
      </w:pPr>
      <w:r>
        <w:rPr>
          <w:b/>
        </w:rPr>
        <w:t>Centro-Este</w:t>
      </w:r>
      <w:r>
        <w:rPr>
          <w:b/>
          <w:spacing w:val="-3"/>
        </w:rPr>
        <w:t> </w:t>
      </w:r>
      <w:r>
        <w:rPr>
          <w:b/>
        </w:rPr>
        <w:t>(CE)</w:t>
        <w:tab/>
      </w:r>
      <w:r>
        <w:rPr/>
        <w:t>Distrito   Federal,   Hidalgo,   Estado   de</w:t>
      </w:r>
      <w:r>
        <w:rPr>
          <w:spacing w:val="5"/>
        </w:rPr>
        <w:t> </w:t>
      </w:r>
      <w:r>
        <w:rPr/>
        <w:t>México, </w:t>
      </w:r>
      <w:r>
        <w:rPr>
          <w:spacing w:val="36"/>
        </w:rPr>
        <w:t> </w:t>
      </w:r>
      <w:r>
        <w:rPr/>
        <w:t>Morelos,</w:t>
      </w:r>
      <w:r>
        <w:rPr>
          <w:w w:val="99"/>
        </w:rPr>
        <w:t> </w:t>
      </w:r>
      <w:r>
        <w:rPr/>
        <w:t>Puebla, Querétaro y</w:t>
      </w:r>
      <w:r>
        <w:rPr>
          <w:spacing w:val="-8"/>
        </w:rPr>
        <w:t> </w:t>
      </w:r>
      <w:r>
        <w:rPr/>
        <w:t>Tlaxcala.</w:t>
      </w:r>
    </w:p>
    <w:p>
      <w:pPr>
        <w:tabs>
          <w:tab w:pos="3392" w:val="left" w:leader="none"/>
        </w:tabs>
        <w:spacing w:before="16"/>
        <w:ind w:left="226" w:right="410" w:firstLine="0"/>
        <w:jc w:val="left"/>
        <w:rPr>
          <w:sz w:val="24"/>
        </w:rPr>
      </w:pPr>
      <w:r>
        <w:rPr>
          <w:b/>
          <w:sz w:val="24"/>
        </w:rPr>
        <w:t>Sur</w:t>
      </w:r>
      <w:r>
        <w:rPr>
          <w:b/>
          <w:spacing w:val="-2"/>
          <w:sz w:val="24"/>
        </w:rPr>
        <w:t> </w:t>
      </w:r>
      <w:r>
        <w:rPr>
          <w:b/>
          <w:sz w:val="24"/>
        </w:rPr>
        <w:t>(SU)</w:t>
        <w:tab/>
      </w:r>
      <w:r>
        <w:rPr>
          <w:sz w:val="24"/>
        </w:rPr>
        <w:t>Chiapas, Guerrero y</w:t>
      </w:r>
      <w:r>
        <w:rPr>
          <w:spacing w:val="-9"/>
          <w:sz w:val="24"/>
        </w:rPr>
        <w:t> </w:t>
      </w:r>
      <w:r>
        <w:rPr>
          <w:sz w:val="24"/>
        </w:rPr>
        <w:t>Oaxaca.</w:t>
      </w:r>
    </w:p>
    <w:p>
      <w:pPr>
        <w:tabs>
          <w:tab w:pos="3392" w:val="left" w:leader="none"/>
        </w:tabs>
        <w:spacing w:before="137"/>
        <w:ind w:left="226" w:right="410" w:firstLine="0"/>
        <w:jc w:val="left"/>
        <w:rPr>
          <w:sz w:val="24"/>
        </w:rPr>
      </w:pPr>
      <w:r>
        <w:rPr>
          <w:b/>
          <w:sz w:val="24"/>
        </w:rPr>
        <w:t>Oriente</w:t>
      </w:r>
      <w:r>
        <w:rPr>
          <w:b/>
          <w:spacing w:val="-3"/>
          <w:sz w:val="24"/>
        </w:rPr>
        <w:t> </w:t>
      </w:r>
      <w:r>
        <w:rPr>
          <w:b/>
          <w:sz w:val="24"/>
        </w:rPr>
        <w:t>(OR)</w:t>
        <w:tab/>
      </w:r>
      <w:r>
        <w:rPr>
          <w:sz w:val="24"/>
        </w:rPr>
        <w:t>Tabasco y</w:t>
      </w:r>
      <w:r>
        <w:rPr>
          <w:spacing w:val="-7"/>
          <w:sz w:val="24"/>
        </w:rPr>
        <w:t> </w:t>
      </w:r>
      <w:r>
        <w:rPr>
          <w:sz w:val="24"/>
        </w:rPr>
        <w:t>Veracruz</w:t>
      </w:r>
    </w:p>
    <w:p>
      <w:pPr>
        <w:tabs>
          <w:tab w:pos="3392" w:val="left" w:leader="none"/>
        </w:tabs>
        <w:spacing w:line="355" w:lineRule="auto" w:before="139"/>
        <w:ind w:left="118" w:right="2636" w:firstLine="108"/>
        <w:jc w:val="left"/>
        <w:rPr>
          <w:sz w:val="24"/>
        </w:rPr>
      </w:pPr>
      <w:r>
        <w:rPr>
          <w:b/>
          <w:sz w:val="24"/>
        </w:rPr>
        <w:t>Península de</w:t>
      </w:r>
      <w:r>
        <w:rPr>
          <w:b/>
          <w:spacing w:val="-5"/>
          <w:sz w:val="24"/>
        </w:rPr>
        <w:t> </w:t>
      </w:r>
      <w:r>
        <w:rPr>
          <w:b/>
          <w:sz w:val="24"/>
        </w:rPr>
        <w:t>Yucatán</w:t>
      </w:r>
      <w:r>
        <w:rPr>
          <w:b/>
          <w:spacing w:val="-2"/>
          <w:sz w:val="24"/>
        </w:rPr>
        <w:t> </w:t>
      </w:r>
      <w:r>
        <w:rPr>
          <w:b/>
          <w:sz w:val="24"/>
        </w:rPr>
        <w:t>(PE)</w:t>
        <w:tab/>
      </w:r>
      <w:r>
        <w:rPr>
          <w:sz w:val="24"/>
        </w:rPr>
        <w:t>Campeche, Quintana Roo</w:t>
      </w:r>
      <w:r>
        <w:rPr>
          <w:spacing w:val="-3"/>
          <w:sz w:val="24"/>
        </w:rPr>
        <w:t> </w:t>
      </w:r>
      <w:r>
        <w:rPr>
          <w:sz w:val="24"/>
        </w:rPr>
        <w:t>y</w:t>
      </w:r>
      <w:r>
        <w:rPr>
          <w:spacing w:val="-6"/>
          <w:sz w:val="24"/>
        </w:rPr>
        <w:t> </w:t>
      </w:r>
      <w:r>
        <w:rPr>
          <w:sz w:val="24"/>
        </w:rPr>
        <w:t>Yucatán. Fuente: Bassols,</w:t>
      </w:r>
      <w:r>
        <w:rPr>
          <w:spacing w:val="-5"/>
          <w:sz w:val="24"/>
        </w:rPr>
        <w:t> </w:t>
      </w:r>
      <w:r>
        <w:rPr>
          <w:sz w:val="24"/>
        </w:rPr>
        <w:t>1995.</w:t>
      </w:r>
    </w:p>
    <w:p>
      <w:pPr>
        <w:pStyle w:val="BodyText"/>
        <w:spacing w:before="211"/>
        <w:ind w:left="118"/>
        <w:jc w:val="both"/>
      </w:pPr>
      <w:r>
        <w:rPr/>
        <w:t>La información utilizada se obtuvo de la siguiente manera:</w:t>
      </w:r>
    </w:p>
    <w:p>
      <w:pPr>
        <w:pStyle w:val="BodyText"/>
        <w:spacing w:before="4"/>
        <w:rPr>
          <w:sz w:val="29"/>
        </w:rPr>
      </w:pPr>
    </w:p>
    <w:p>
      <w:pPr>
        <w:pStyle w:val="BodyText"/>
        <w:spacing w:line="360" w:lineRule="auto" w:before="1"/>
        <w:ind w:left="118" w:right="267"/>
        <w:jc w:val="both"/>
      </w:pPr>
      <w:r>
        <w:rPr/>
        <w:t>La producción y las exportaciones se obtuvieron por estado del Servicio de Información Agroalimentaria y Pesquera (SIAP, 2016), se restó la exportación a la producción de los</w:t>
      </w:r>
      <w:r>
        <w:rPr>
          <w:spacing w:val="-26"/>
        </w:rPr>
        <w:t> </w:t>
      </w:r>
      <w:r>
        <w:rPr/>
        <w:t>estados que reportaron, y se sumó la producción de los estados que integran cada una de las regiones para obtener la producción</w:t>
      </w:r>
      <w:r>
        <w:rPr>
          <w:spacing w:val="-7"/>
        </w:rPr>
        <w:t> </w:t>
      </w:r>
      <w:r>
        <w:rPr/>
        <w:t>regional.</w:t>
      </w:r>
    </w:p>
    <w:p>
      <w:pPr>
        <w:pStyle w:val="BodyText"/>
        <w:spacing w:line="360" w:lineRule="auto" w:before="205"/>
        <w:ind w:left="118" w:right="266"/>
        <w:jc w:val="both"/>
      </w:pPr>
      <w:r>
        <w:rPr/>
        <w:t>La</w:t>
      </w:r>
      <w:r>
        <w:rPr>
          <w:spacing w:val="-15"/>
        </w:rPr>
        <w:t> </w:t>
      </w:r>
      <w:r>
        <w:rPr/>
        <w:t>importación</w:t>
      </w:r>
      <w:r>
        <w:rPr>
          <w:spacing w:val="-15"/>
        </w:rPr>
        <w:t> </w:t>
      </w:r>
      <w:r>
        <w:rPr/>
        <w:t>se</w:t>
      </w:r>
      <w:r>
        <w:rPr>
          <w:spacing w:val="-17"/>
        </w:rPr>
        <w:t> </w:t>
      </w:r>
      <w:r>
        <w:rPr/>
        <w:t>obtuvo</w:t>
      </w:r>
      <w:r>
        <w:rPr>
          <w:spacing w:val="31"/>
        </w:rPr>
        <w:t> </w:t>
      </w:r>
      <w:r>
        <w:rPr/>
        <w:t>del</w:t>
      </w:r>
      <w:r>
        <w:rPr>
          <w:spacing w:val="29"/>
        </w:rPr>
        <w:t> </w:t>
      </w:r>
      <w:r>
        <w:rPr/>
        <w:t>Servicio</w:t>
      </w:r>
      <w:r>
        <w:rPr>
          <w:spacing w:val="-15"/>
        </w:rPr>
        <w:t> </w:t>
      </w:r>
      <w:r>
        <w:rPr/>
        <w:t>de</w:t>
      </w:r>
      <w:r>
        <w:rPr>
          <w:spacing w:val="-13"/>
        </w:rPr>
        <w:t> </w:t>
      </w:r>
      <w:r>
        <w:rPr/>
        <w:t>Información</w:t>
      </w:r>
      <w:r>
        <w:rPr>
          <w:spacing w:val="-15"/>
        </w:rPr>
        <w:t> </w:t>
      </w:r>
      <w:r>
        <w:rPr/>
        <w:t>Agroalimentaria</w:t>
      </w:r>
      <w:r>
        <w:rPr>
          <w:spacing w:val="-13"/>
        </w:rPr>
        <w:t> </w:t>
      </w:r>
      <w:r>
        <w:rPr/>
        <w:t>y</w:t>
      </w:r>
      <w:r>
        <w:rPr>
          <w:spacing w:val="-21"/>
        </w:rPr>
        <w:t> </w:t>
      </w:r>
      <w:r>
        <w:rPr/>
        <w:t>Pesquera</w:t>
      </w:r>
      <w:r>
        <w:rPr>
          <w:spacing w:val="-15"/>
        </w:rPr>
        <w:t> </w:t>
      </w:r>
      <w:r>
        <w:rPr/>
        <w:t>(SIAP,</w:t>
      </w:r>
      <w:r>
        <w:rPr>
          <w:spacing w:val="-15"/>
        </w:rPr>
        <w:t> </w:t>
      </w:r>
      <w:r>
        <w:rPr/>
        <w:t>2016) según las claves arancelarias y puntos de acceso (aduanas). Se establecieron 2 puntos de internación de carne importada, el primero lo componen las aduanas de Colombia en Nuevo León,</w:t>
      </w:r>
      <w:r>
        <w:rPr>
          <w:spacing w:val="-5"/>
        </w:rPr>
        <w:t> </w:t>
      </w:r>
      <w:r>
        <w:rPr/>
        <w:t>Nuevo</w:t>
      </w:r>
      <w:r>
        <w:rPr>
          <w:spacing w:val="-5"/>
        </w:rPr>
        <w:t> </w:t>
      </w:r>
      <w:r>
        <w:rPr/>
        <w:t>Laredo y</w:t>
      </w:r>
      <w:r>
        <w:rPr>
          <w:spacing w:val="-11"/>
        </w:rPr>
        <w:t> </w:t>
      </w:r>
      <w:r>
        <w:rPr/>
        <w:t>Reynosa</w:t>
      </w:r>
      <w:r>
        <w:rPr>
          <w:spacing w:val="-6"/>
        </w:rPr>
        <w:t> </w:t>
      </w:r>
      <w:r>
        <w:rPr/>
        <w:t>en</w:t>
      </w:r>
      <w:r>
        <w:rPr>
          <w:spacing w:val="-7"/>
        </w:rPr>
        <w:t> </w:t>
      </w:r>
      <w:r>
        <w:rPr/>
        <w:t>Tamaulipas</w:t>
      </w:r>
      <w:r>
        <w:rPr>
          <w:spacing w:val="-2"/>
        </w:rPr>
        <w:t> </w:t>
      </w:r>
      <w:r>
        <w:rPr/>
        <w:t>y</w:t>
      </w:r>
      <w:r>
        <w:rPr>
          <w:spacing w:val="-9"/>
        </w:rPr>
        <w:t> </w:t>
      </w:r>
      <w:r>
        <w:rPr/>
        <w:t>Piedras</w:t>
      </w:r>
      <w:r>
        <w:rPr>
          <w:spacing w:val="-7"/>
        </w:rPr>
        <w:t> </w:t>
      </w:r>
      <w:r>
        <w:rPr/>
        <w:t>Negras</w:t>
      </w:r>
      <w:r>
        <w:rPr>
          <w:spacing w:val="-5"/>
        </w:rPr>
        <w:t> </w:t>
      </w:r>
      <w:r>
        <w:rPr/>
        <w:t>en</w:t>
      </w:r>
      <w:r>
        <w:rPr>
          <w:spacing w:val="-7"/>
        </w:rPr>
        <w:t> </w:t>
      </w:r>
      <w:r>
        <w:rPr/>
        <w:t>Coahuila.</w:t>
      </w:r>
      <w:r>
        <w:rPr>
          <w:spacing w:val="-7"/>
        </w:rPr>
        <w:t> </w:t>
      </w:r>
      <w:r>
        <w:rPr/>
        <w:t>Este</w:t>
      </w:r>
      <w:r>
        <w:rPr>
          <w:spacing w:val="-8"/>
        </w:rPr>
        <w:t> </w:t>
      </w:r>
      <w:r>
        <w:rPr/>
        <w:t>primer</w:t>
      </w:r>
      <w:r>
        <w:rPr>
          <w:spacing w:val="-8"/>
        </w:rPr>
        <w:t> </w:t>
      </w:r>
      <w:r>
        <w:rPr/>
        <w:t>punto registra</w:t>
      </w:r>
      <w:r>
        <w:rPr>
          <w:spacing w:val="-15"/>
        </w:rPr>
        <w:t> </w:t>
      </w:r>
      <w:r>
        <w:rPr/>
        <w:t>el</w:t>
      </w:r>
      <w:r>
        <w:rPr>
          <w:spacing w:val="-13"/>
        </w:rPr>
        <w:t> </w:t>
      </w:r>
      <w:r>
        <w:rPr/>
        <w:t>ingreso</w:t>
      </w:r>
      <w:r>
        <w:rPr>
          <w:spacing w:val="-13"/>
        </w:rPr>
        <w:t> </w:t>
      </w:r>
      <w:r>
        <w:rPr/>
        <w:t>del</w:t>
      </w:r>
      <w:r>
        <w:rPr>
          <w:spacing w:val="-13"/>
        </w:rPr>
        <w:t> </w:t>
      </w:r>
      <w:r>
        <w:rPr/>
        <w:t>90.1%</w:t>
      </w:r>
      <w:r>
        <w:rPr>
          <w:spacing w:val="-14"/>
        </w:rPr>
        <w:t> </w:t>
      </w:r>
      <w:r>
        <w:rPr/>
        <w:t>de</w:t>
      </w:r>
      <w:r>
        <w:rPr>
          <w:spacing w:val="-14"/>
        </w:rPr>
        <w:t> </w:t>
      </w:r>
      <w:r>
        <w:rPr/>
        <w:t>la</w:t>
      </w:r>
      <w:r>
        <w:rPr>
          <w:spacing w:val="-14"/>
        </w:rPr>
        <w:t> </w:t>
      </w:r>
      <w:r>
        <w:rPr/>
        <w:t>carne</w:t>
      </w:r>
      <w:r>
        <w:rPr>
          <w:spacing w:val="-13"/>
        </w:rPr>
        <w:t> </w:t>
      </w:r>
      <w:r>
        <w:rPr/>
        <w:t>importada.</w:t>
      </w:r>
      <w:r>
        <w:rPr>
          <w:spacing w:val="-13"/>
        </w:rPr>
        <w:t> </w:t>
      </w:r>
      <w:r>
        <w:rPr/>
        <w:t>El</w:t>
      </w:r>
      <w:r>
        <w:rPr>
          <w:spacing w:val="-13"/>
        </w:rPr>
        <w:t> </w:t>
      </w:r>
      <w:r>
        <w:rPr/>
        <w:t>segundo</w:t>
      </w:r>
      <w:r>
        <w:rPr>
          <w:spacing w:val="-13"/>
        </w:rPr>
        <w:t> </w:t>
      </w:r>
      <w:r>
        <w:rPr/>
        <w:t>punto</w:t>
      </w:r>
      <w:r>
        <w:rPr>
          <w:spacing w:val="-13"/>
        </w:rPr>
        <w:t> </w:t>
      </w:r>
      <w:r>
        <w:rPr/>
        <w:t>de</w:t>
      </w:r>
      <w:r>
        <w:rPr>
          <w:spacing w:val="-14"/>
        </w:rPr>
        <w:t> </w:t>
      </w:r>
      <w:r>
        <w:rPr/>
        <w:t>internación</w:t>
      </w:r>
      <w:r>
        <w:rPr>
          <w:spacing w:val="-13"/>
        </w:rPr>
        <w:t> </w:t>
      </w:r>
      <w:r>
        <w:rPr/>
        <w:t>los</w:t>
      </w:r>
      <w:r>
        <w:rPr>
          <w:spacing w:val="-13"/>
        </w:rPr>
        <w:t> </w:t>
      </w:r>
      <w:r>
        <w:rPr/>
        <w:t>compone las aduanas de Mexicali y Tijuana en Baja California, Nogales y San Luis Rio Colorado en Sonora y Ciudad Juárez en Chihuahua por este punto ingresa el 9.9% de la</w:t>
      </w:r>
      <w:r>
        <w:rPr>
          <w:spacing w:val="-19"/>
        </w:rPr>
        <w:t> </w:t>
      </w:r>
      <w:r>
        <w:rPr/>
        <w:t>importación.</w:t>
      </w:r>
    </w:p>
    <w:p>
      <w:pPr>
        <w:pStyle w:val="BodyText"/>
        <w:spacing w:line="360" w:lineRule="auto" w:before="205"/>
        <w:ind w:left="118" w:right="267"/>
        <w:jc w:val="both"/>
      </w:pPr>
      <w:r>
        <w:rPr/>
        <w:t>De esta manera se establecieron 10 regiones productoras 8 en el interior del país y 2 puntos fronterizos de internación de carne de cerdo.</w:t>
      </w:r>
    </w:p>
    <w:p>
      <w:pPr>
        <w:spacing w:after="0" w:line="360" w:lineRule="auto"/>
        <w:jc w:val="both"/>
        <w:sectPr>
          <w:pgSz w:w="12240" w:h="15840"/>
          <w:pgMar w:header="984" w:footer="986" w:top="1280" w:bottom="1180" w:left="1300" w:right="1340"/>
        </w:sectPr>
      </w:pPr>
    </w:p>
    <w:p>
      <w:pPr>
        <w:pStyle w:val="BodyText"/>
        <w:spacing w:line="360" w:lineRule="auto" w:before="125"/>
        <w:ind w:left="118" w:right="264"/>
        <w:jc w:val="both"/>
      </w:pPr>
      <w:r>
        <w:rPr/>
        <w:t>Para</w:t>
      </w:r>
      <w:r>
        <w:rPr>
          <w:spacing w:val="-15"/>
        </w:rPr>
        <w:t> </w:t>
      </w:r>
      <w:r>
        <w:rPr/>
        <w:t>conocer</w:t>
      </w:r>
      <w:r>
        <w:rPr>
          <w:spacing w:val="-14"/>
        </w:rPr>
        <w:t> </w:t>
      </w:r>
      <w:r>
        <w:rPr/>
        <w:t>el</w:t>
      </w:r>
      <w:r>
        <w:rPr>
          <w:spacing w:val="-13"/>
        </w:rPr>
        <w:t> </w:t>
      </w:r>
      <w:r>
        <w:rPr/>
        <w:t>consumo</w:t>
      </w:r>
      <w:r>
        <w:rPr>
          <w:spacing w:val="-11"/>
        </w:rPr>
        <w:t> </w:t>
      </w:r>
      <w:r>
        <w:rPr/>
        <w:t>(demanda)</w:t>
      </w:r>
      <w:r>
        <w:rPr>
          <w:spacing w:val="33"/>
        </w:rPr>
        <w:t> </w:t>
      </w:r>
      <w:r>
        <w:rPr/>
        <w:t>de</w:t>
      </w:r>
      <w:r>
        <w:rPr>
          <w:spacing w:val="-14"/>
        </w:rPr>
        <w:t> </w:t>
      </w:r>
      <w:r>
        <w:rPr/>
        <w:t>cada</w:t>
      </w:r>
      <w:r>
        <w:rPr>
          <w:spacing w:val="-14"/>
        </w:rPr>
        <w:t> </w:t>
      </w:r>
      <w:r>
        <w:rPr/>
        <w:t>una</w:t>
      </w:r>
      <w:r>
        <w:rPr>
          <w:spacing w:val="-14"/>
        </w:rPr>
        <w:t> </w:t>
      </w:r>
      <w:r>
        <w:rPr/>
        <w:t>de</w:t>
      </w:r>
      <w:r>
        <w:rPr>
          <w:spacing w:val="-14"/>
        </w:rPr>
        <w:t> </w:t>
      </w:r>
      <w:r>
        <w:rPr/>
        <w:t>las</w:t>
      </w:r>
      <w:r>
        <w:rPr>
          <w:spacing w:val="-14"/>
        </w:rPr>
        <w:t> </w:t>
      </w:r>
      <w:r>
        <w:rPr/>
        <w:t>8</w:t>
      </w:r>
      <w:r>
        <w:rPr>
          <w:spacing w:val="-13"/>
        </w:rPr>
        <w:t> </w:t>
      </w:r>
      <w:r>
        <w:rPr/>
        <w:t>regiones</w:t>
      </w:r>
      <w:r>
        <w:rPr>
          <w:spacing w:val="-14"/>
        </w:rPr>
        <w:t> </w:t>
      </w:r>
      <w:r>
        <w:rPr/>
        <w:t>del</w:t>
      </w:r>
      <w:r>
        <w:rPr>
          <w:spacing w:val="-13"/>
        </w:rPr>
        <w:t> </w:t>
      </w:r>
      <w:r>
        <w:rPr/>
        <w:t>país</w:t>
      </w:r>
      <w:r>
        <w:rPr>
          <w:spacing w:val="-13"/>
        </w:rPr>
        <w:t> </w:t>
      </w:r>
      <w:r>
        <w:rPr/>
        <w:t>se</w:t>
      </w:r>
      <w:r>
        <w:rPr>
          <w:spacing w:val="-14"/>
        </w:rPr>
        <w:t> </w:t>
      </w:r>
      <w:r>
        <w:rPr/>
        <w:t>obtuvo</w:t>
      </w:r>
      <w:r>
        <w:rPr>
          <w:spacing w:val="-10"/>
        </w:rPr>
        <w:t> </w:t>
      </w:r>
      <w:r>
        <w:rPr/>
        <w:t>la</w:t>
      </w:r>
      <w:r>
        <w:rPr>
          <w:spacing w:val="-14"/>
        </w:rPr>
        <w:t> </w:t>
      </w:r>
      <w:r>
        <w:rPr/>
        <w:t>población de</w:t>
      </w:r>
      <w:r>
        <w:rPr>
          <w:spacing w:val="-17"/>
        </w:rPr>
        <w:t> </w:t>
      </w:r>
      <w:r>
        <w:rPr/>
        <w:t>cada</w:t>
      </w:r>
      <w:r>
        <w:rPr>
          <w:spacing w:val="-14"/>
        </w:rPr>
        <w:t> </w:t>
      </w:r>
      <w:r>
        <w:rPr/>
        <w:t>estado</w:t>
      </w:r>
      <w:r>
        <w:rPr>
          <w:spacing w:val="-16"/>
        </w:rPr>
        <w:t> </w:t>
      </w:r>
      <w:r>
        <w:rPr/>
        <w:t>del</w:t>
      </w:r>
      <w:r>
        <w:rPr>
          <w:spacing w:val="-15"/>
        </w:rPr>
        <w:t> </w:t>
      </w:r>
      <w:r>
        <w:rPr/>
        <w:t>año</w:t>
      </w:r>
      <w:r>
        <w:rPr>
          <w:spacing w:val="-16"/>
        </w:rPr>
        <w:t> </w:t>
      </w:r>
      <w:r>
        <w:rPr/>
        <w:t>2015</w:t>
      </w:r>
      <w:r>
        <w:rPr>
          <w:spacing w:val="-16"/>
        </w:rPr>
        <w:t> </w:t>
      </w:r>
      <w:r>
        <w:rPr/>
        <w:t>del</w:t>
      </w:r>
      <w:r>
        <w:rPr>
          <w:spacing w:val="-15"/>
        </w:rPr>
        <w:t> </w:t>
      </w:r>
      <w:r>
        <w:rPr/>
        <w:t>Consejo</w:t>
      </w:r>
      <w:r>
        <w:rPr>
          <w:spacing w:val="-15"/>
        </w:rPr>
        <w:t> </w:t>
      </w:r>
      <w:r>
        <w:rPr/>
        <w:t>Nacional</w:t>
      </w:r>
      <w:r>
        <w:rPr>
          <w:spacing w:val="-16"/>
        </w:rPr>
        <w:t> </w:t>
      </w:r>
      <w:r>
        <w:rPr/>
        <w:t>de</w:t>
      </w:r>
      <w:r>
        <w:rPr>
          <w:spacing w:val="-17"/>
        </w:rPr>
        <w:t> </w:t>
      </w:r>
      <w:r>
        <w:rPr/>
        <w:t>Población</w:t>
      </w:r>
      <w:r>
        <w:rPr>
          <w:spacing w:val="-15"/>
        </w:rPr>
        <w:t> </w:t>
      </w:r>
      <w:r>
        <w:rPr/>
        <w:t>(CONAPO</w:t>
      </w:r>
      <w:r>
        <w:rPr>
          <w:spacing w:val="-13"/>
        </w:rPr>
        <w:t> </w:t>
      </w:r>
      <w:r>
        <w:rPr/>
        <w:t>2016).</w:t>
      </w:r>
      <w:r>
        <w:rPr>
          <w:spacing w:val="-16"/>
        </w:rPr>
        <w:t> </w:t>
      </w:r>
      <w:r>
        <w:rPr/>
        <w:t>Esta</w:t>
      </w:r>
      <w:r>
        <w:rPr>
          <w:spacing w:val="-17"/>
        </w:rPr>
        <w:t> </w:t>
      </w:r>
      <w:r>
        <w:rPr/>
        <w:t>población se multiplicó por el consumo </w:t>
      </w:r>
      <w:r>
        <w:rPr>
          <w:i/>
        </w:rPr>
        <w:t>per cápita </w:t>
      </w:r>
      <w:r>
        <w:rPr/>
        <w:t>reportado para la zona por la Confederación de Porcicultores Norte 5.8 kg., Centro 17.4 kg., y sur 29.5 kg. (CONFEPORC, 2016), y se sumó el consumo de cada uno de los estados que integran cada</w:t>
      </w:r>
      <w:r>
        <w:rPr>
          <w:spacing w:val="-12"/>
        </w:rPr>
        <w:t> </w:t>
      </w:r>
      <w:r>
        <w:rPr/>
        <w:t>región.</w:t>
      </w:r>
    </w:p>
    <w:p>
      <w:pPr>
        <w:pStyle w:val="BodyText"/>
        <w:spacing w:line="360" w:lineRule="auto" w:before="205"/>
        <w:ind w:left="118" w:right="265"/>
        <w:jc w:val="both"/>
      </w:pPr>
      <w:r>
        <w:rPr/>
        <w:t>El precio regional de cerdo en canal se obtuvo conociendo el precio de cada estado que integra la región, el cual fue ponderado con la producción (SIAP, 2016), el precio de los puntos de internación se obtuvo del Sistema Nacional de Información e Integración de Mercados (SNIIM, 2016)</w:t>
      </w:r>
    </w:p>
    <w:p>
      <w:pPr>
        <w:pStyle w:val="BodyText"/>
        <w:spacing w:line="360" w:lineRule="auto" w:before="205"/>
        <w:ind w:left="118" w:right="266"/>
        <w:jc w:val="both"/>
      </w:pPr>
      <w:r>
        <w:rPr/>
        <w:t>El costo de transporte dentro y entre regiones se calculó multiplicando la distancia por el costo por</w:t>
      </w:r>
      <w:r>
        <w:rPr>
          <w:spacing w:val="-17"/>
        </w:rPr>
        <w:t> </w:t>
      </w:r>
      <w:r>
        <w:rPr/>
        <w:t>kilómetro;</w:t>
      </w:r>
      <w:r>
        <w:rPr>
          <w:spacing w:val="-15"/>
        </w:rPr>
        <w:t> </w:t>
      </w:r>
      <w:r>
        <w:rPr/>
        <w:t>las</w:t>
      </w:r>
      <w:r>
        <w:rPr>
          <w:spacing w:val="-16"/>
        </w:rPr>
        <w:t> </w:t>
      </w:r>
      <w:r>
        <w:rPr/>
        <w:t>distancias</w:t>
      </w:r>
      <w:r>
        <w:rPr>
          <w:spacing w:val="-16"/>
        </w:rPr>
        <w:t> </w:t>
      </w:r>
      <w:r>
        <w:rPr/>
        <w:t>se</w:t>
      </w:r>
      <w:r>
        <w:rPr>
          <w:spacing w:val="-17"/>
        </w:rPr>
        <w:t> </w:t>
      </w:r>
      <w:r>
        <w:rPr/>
        <w:t>obtuvieron</w:t>
      </w:r>
      <w:r>
        <w:rPr>
          <w:spacing w:val="-17"/>
        </w:rPr>
        <w:t> </w:t>
      </w:r>
      <w:r>
        <w:rPr/>
        <w:t>con</w:t>
      </w:r>
      <w:r>
        <w:rPr>
          <w:spacing w:val="-16"/>
        </w:rPr>
        <w:t> </w:t>
      </w:r>
      <w:r>
        <w:rPr/>
        <w:t>la</w:t>
      </w:r>
      <w:r>
        <w:rPr>
          <w:spacing w:val="-16"/>
        </w:rPr>
        <w:t> </w:t>
      </w:r>
      <w:r>
        <w:rPr/>
        <w:t>herramienta</w:t>
      </w:r>
      <w:r>
        <w:rPr>
          <w:spacing w:val="-17"/>
        </w:rPr>
        <w:t> </w:t>
      </w:r>
      <w:r>
        <w:rPr/>
        <w:t>de</w:t>
      </w:r>
      <w:r>
        <w:rPr>
          <w:spacing w:val="-17"/>
        </w:rPr>
        <w:t> </w:t>
      </w:r>
      <w:r>
        <w:rPr/>
        <w:t>la</w:t>
      </w:r>
      <w:r>
        <w:rPr>
          <w:spacing w:val="-16"/>
        </w:rPr>
        <w:t> </w:t>
      </w:r>
      <w:r>
        <w:rPr/>
        <w:t>Secretaría</w:t>
      </w:r>
      <w:r>
        <w:rPr>
          <w:spacing w:val="-17"/>
        </w:rPr>
        <w:t> </w:t>
      </w:r>
      <w:r>
        <w:rPr/>
        <w:t>de</w:t>
      </w:r>
      <w:r>
        <w:rPr>
          <w:spacing w:val="-17"/>
        </w:rPr>
        <w:t> </w:t>
      </w:r>
      <w:r>
        <w:rPr/>
        <w:t>Comunicaciones y Trasportes punto a punto (SCT 2016), se consideró cada capital del estado como punto de referencia y se ponderaron las distancias en cada región. El transporte de canales de cerdo es especializado y tiene un costo por km de 2 dólares el equivalente a 35 pesos en el momento de la investigación. Este costo se obtuvo de forma directa a través de una entrevista realizada a</w:t>
      </w:r>
      <w:r>
        <w:rPr>
          <w:spacing w:val="-25"/>
        </w:rPr>
        <w:t> </w:t>
      </w:r>
      <w:r>
        <w:rPr/>
        <w:t>una empresa particular que realiza servicios de transporte de carga</w:t>
      </w:r>
      <w:r>
        <w:rPr>
          <w:spacing w:val="-18"/>
        </w:rPr>
        <w:t> </w:t>
      </w:r>
      <w:r>
        <w:rPr/>
        <w:t>especializada.</w:t>
      </w:r>
    </w:p>
    <w:p>
      <w:pPr>
        <w:pStyle w:val="BodyText"/>
        <w:spacing w:line="360" w:lineRule="auto" w:before="206"/>
        <w:ind w:left="118" w:right="265"/>
        <w:jc w:val="both"/>
      </w:pPr>
      <w:r>
        <w:rPr/>
        <w:t>Las elasticidades regionales se obtuvieron de Rebollar </w:t>
      </w:r>
      <w:r>
        <w:rPr>
          <w:i/>
        </w:rPr>
        <w:t>et. al</w:t>
      </w:r>
      <w:r>
        <w:rPr/>
        <w:t>. (2014) y para los puntos de internación se consideraron las elasticidades nacionales reportadas por Pérez, 2010).</w:t>
      </w:r>
    </w:p>
    <w:p>
      <w:pPr>
        <w:pStyle w:val="BodyText"/>
        <w:spacing w:before="205"/>
        <w:ind w:left="118"/>
        <w:jc w:val="both"/>
      </w:pPr>
      <w:r>
        <w:rPr/>
        <w:t>Las funciones precio-cantidad se calcularon como lo indican Alston, </w:t>
      </w:r>
      <w:r>
        <w:rPr>
          <w:i/>
        </w:rPr>
        <w:t>et. al</w:t>
      </w:r>
      <w:r>
        <w:rPr/>
        <w:t>., (1995) y Kawaguchi,</w:t>
      </w:r>
    </w:p>
    <w:p>
      <w:pPr>
        <w:spacing w:before="137"/>
        <w:ind w:left="118" w:right="0" w:firstLine="0"/>
        <w:jc w:val="both"/>
        <w:rPr>
          <w:sz w:val="24"/>
        </w:rPr>
      </w:pPr>
      <w:r>
        <w:rPr>
          <w:i/>
          <w:sz w:val="24"/>
        </w:rPr>
        <w:t>et. al</w:t>
      </w:r>
      <w:r>
        <w:rPr>
          <w:sz w:val="24"/>
        </w:rPr>
        <w:t>., (1997).</w:t>
      </w:r>
    </w:p>
    <w:p>
      <w:pPr>
        <w:pStyle w:val="BodyText"/>
        <w:spacing w:before="4"/>
        <w:rPr>
          <w:sz w:val="29"/>
        </w:rPr>
      </w:pPr>
    </w:p>
    <w:p>
      <w:pPr>
        <w:pStyle w:val="BodyText"/>
        <w:spacing w:line="360" w:lineRule="auto" w:before="1"/>
        <w:ind w:left="118" w:right="264"/>
        <w:jc w:val="both"/>
      </w:pPr>
      <w:r>
        <w:rPr/>
        <w:t>Para</w:t>
      </w:r>
      <w:r>
        <w:rPr>
          <w:spacing w:val="-13"/>
        </w:rPr>
        <w:t> </w:t>
      </w:r>
      <w:r>
        <w:rPr/>
        <w:t>el</w:t>
      </w:r>
      <w:r>
        <w:rPr>
          <w:spacing w:val="-11"/>
        </w:rPr>
        <w:t> </w:t>
      </w:r>
      <w:r>
        <w:rPr/>
        <w:t>análisis</w:t>
      </w:r>
      <w:r>
        <w:rPr>
          <w:spacing w:val="-10"/>
        </w:rPr>
        <w:t> </w:t>
      </w:r>
      <w:r>
        <w:rPr/>
        <w:t>de</w:t>
      </w:r>
      <w:r>
        <w:rPr>
          <w:spacing w:val="-12"/>
        </w:rPr>
        <w:t> </w:t>
      </w:r>
      <w:r>
        <w:rPr/>
        <w:t>la</w:t>
      </w:r>
      <w:r>
        <w:rPr>
          <w:spacing w:val="-12"/>
        </w:rPr>
        <w:t> </w:t>
      </w:r>
      <w:r>
        <w:rPr/>
        <w:t>información</w:t>
      </w:r>
      <w:r>
        <w:rPr>
          <w:spacing w:val="-11"/>
        </w:rPr>
        <w:t> </w:t>
      </w:r>
      <w:r>
        <w:rPr/>
        <w:t>se</w:t>
      </w:r>
      <w:r>
        <w:rPr>
          <w:spacing w:val="-12"/>
        </w:rPr>
        <w:t> </w:t>
      </w:r>
      <w:r>
        <w:rPr/>
        <w:t>utilizó</w:t>
      </w:r>
      <w:r>
        <w:rPr>
          <w:spacing w:val="-11"/>
        </w:rPr>
        <w:t> </w:t>
      </w:r>
      <w:r>
        <w:rPr/>
        <w:t>el</w:t>
      </w:r>
      <w:r>
        <w:rPr>
          <w:spacing w:val="-11"/>
        </w:rPr>
        <w:t> </w:t>
      </w:r>
      <w:r>
        <w:rPr/>
        <w:t>software</w:t>
      </w:r>
      <w:r>
        <w:rPr>
          <w:spacing w:val="-13"/>
        </w:rPr>
        <w:t> </w:t>
      </w:r>
      <w:r>
        <w:rPr/>
        <w:t>Solver</w:t>
      </w:r>
      <w:r>
        <w:rPr>
          <w:spacing w:val="-12"/>
        </w:rPr>
        <w:t> </w:t>
      </w:r>
      <w:r>
        <w:rPr/>
        <w:t>Premium</w:t>
      </w:r>
      <w:r>
        <w:rPr>
          <w:spacing w:val="-11"/>
        </w:rPr>
        <w:t> </w:t>
      </w:r>
      <w:r>
        <w:rPr/>
        <w:t>Platform</w:t>
      </w:r>
      <w:r>
        <w:rPr>
          <w:spacing w:val="-11"/>
        </w:rPr>
        <w:t> </w:t>
      </w:r>
      <w:r>
        <w:rPr/>
        <w:t>2014-R2</w:t>
      </w:r>
      <w:r>
        <w:rPr>
          <w:spacing w:val="-11"/>
        </w:rPr>
        <w:t> </w:t>
      </w:r>
      <w:r>
        <w:rPr/>
        <w:t>el</w:t>
      </w:r>
      <w:r>
        <w:rPr>
          <w:spacing w:val="-11"/>
        </w:rPr>
        <w:t> </w:t>
      </w:r>
      <w:r>
        <w:rPr/>
        <w:t>cual desarrolla modelos de programación lineal y no lineal (cuadrática) que se utilizan en la optimización de</w:t>
      </w:r>
      <w:r>
        <w:rPr>
          <w:spacing w:val="-6"/>
        </w:rPr>
        <w:t> </w:t>
      </w:r>
      <w:r>
        <w:rPr/>
        <w:t>recursos.</w:t>
      </w:r>
    </w:p>
    <w:p>
      <w:pPr>
        <w:spacing w:after="0" w:line="360" w:lineRule="auto"/>
        <w:jc w:val="both"/>
        <w:sectPr>
          <w:pgSz w:w="12240" w:h="15840"/>
          <w:pgMar w:header="984" w:footer="986" w:top="1280" w:bottom="1180" w:left="1300" w:right="1340"/>
        </w:sectPr>
      </w:pPr>
    </w:p>
    <w:p>
      <w:pPr>
        <w:pStyle w:val="Heading4"/>
        <w:jc w:val="both"/>
      </w:pPr>
      <w:r>
        <w:rPr/>
        <w:t>Resultados</w:t>
      </w:r>
    </w:p>
    <w:p>
      <w:pPr>
        <w:pStyle w:val="BodyText"/>
        <w:rPr>
          <w:b/>
          <w:sz w:val="29"/>
        </w:rPr>
      </w:pPr>
    </w:p>
    <w:p>
      <w:pPr>
        <w:pStyle w:val="BodyText"/>
        <w:spacing w:line="360" w:lineRule="auto"/>
        <w:ind w:left="118" w:right="265"/>
        <w:jc w:val="both"/>
      </w:pPr>
      <w:r>
        <w:rPr/>
        <w:t>En el Cuadro 2 se puede observar que el modelo obtenido puede validarse como base, ya que la mayor discrepancia entre los valores observados y los arrojados por el modelo fue de -3.79% (punto de internación 2).</w:t>
      </w:r>
    </w:p>
    <w:p>
      <w:pPr>
        <w:pStyle w:val="BodyText"/>
        <w:spacing w:line="360" w:lineRule="auto" w:before="203"/>
        <w:ind w:left="118" w:right="271"/>
        <w:jc w:val="both"/>
      </w:pPr>
      <w:r>
        <w:rPr/>
        <w:t>En el modelo se muestra que el VSN en condiciones óptimas genera un aumento del 0.11 %</w:t>
      </w:r>
      <w:r>
        <w:rPr>
          <w:spacing w:val="-41"/>
        </w:rPr>
        <w:t> </w:t>
      </w:r>
      <w:r>
        <w:rPr/>
        <w:t>que representa un valor de 4,086,903,320 millones de pesos para</w:t>
      </w:r>
      <w:r>
        <w:rPr>
          <w:spacing w:val="-11"/>
        </w:rPr>
        <w:t> </w:t>
      </w:r>
      <w:r>
        <w:rPr/>
        <w:t>2015.</w:t>
      </w:r>
    </w:p>
    <w:p>
      <w:pPr>
        <w:pStyle w:val="BodyText"/>
        <w:spacing w:line="360" w:lineRule="auto" w:before="205"/>
        <w:ind w:left="118" w:right="267"/>
        <w:jc w:val="both"/>
      </w:pPr>
      <w:r>
        <w:rPr/>
        <w:t>El modelo sobreestimó la producción nacional en 0.28%, la diferencia entre el nivel observado de</w:t>
      </w:r>
      <w:r>
        <w:rPr>
          <w:spacing w:val="-5"/>
        </w:rPr>
        <w:t> </w:t>
      </w:r>
      <w:r>
        <w:rPr/>
        <w:t>1,</w:t>
      </w:r>
      <w:r>
        <w:rPr>
          <w:spacing w:val="-4"/>
        </w:rPr>
        <w:t> </w:t>
      </w:r>
      <w:r>
        <w:rPr/>
        <w:t>225,042</w:t>
      </w:r>
      <w:r>
        <w:rPr>
          <w:spacing w:val="-4"/>
        </w:rPr>
        <w:t> </w:t>
      </w:r>
      <w:r>
        <w:rPr/>
        <w:t>toneladas</w:t>
      </w:r>
      <w:r>
        <w:rPr>
          <w:spacing w:val="-1"/>
        </w:rPr>
        <w:t> </w:t>
      </w:r>
      <w:r>
        <w:rPr/>
        <w:t>y</w:t>
      </w:r>
      <w:r>
        <w:rPr>
          <w:spacing w:val="-8"/>
        </w:rPr>
        <w:t> </w:t>
      </w:r>
      <w:r>
        <w:rPr/>
        <w:t>el</w:t>
      </w:r>
      <w:r>
        <w:rPr>
          <w:spacing w:val="-3"/>
        </w:rPr>
        <w:t> </w:t>
      </w:r>
      <w:r>
        <w:rPr/>
        <w:t>nivel</w:t>
      </w:r>
      <w:r>
        <w:rPr>
          <w:spacing w:val="-4"/>
        </w:rPr>
        <w:t> </w:t>
      </w:r>
      <w:r>
        <w:rPr/>
        <w:t>óptimo</w:t>
      </w:r>
      <w:r>
        <w:rPr>
          <w:spacing w:val="-4"/>
        </w:rPr>
        <w:t> </w:t>
      </w:r>
      <w:r>
        <w:rPr/>
        <w:t>de</w:t>
      </w:r>
      <w:r>
        <w:rPr>
          <w:spacing w:val="-5"/>
        </w:rPr>
        <w:t> </w:t>
      </w:r>
      <w:r>
        <w:rPr/>
        <w:t>1,228,524</w:t>
      </w:r>
      <w:r>
        <w:rPr>
          <w:spacing w:val="-4"/>
        </w:rPr>
        <w:t> </w:t>
      </w:r>
      <w:r>
        <w:rPr/>
        <w:t>toneladas</w:t>
      </w:r>
      <w:r>
        <w:rPr>
          <w:spacing w:val="-4"/>
        </w:rPr>
        <w:t> </w:t>
      </w:r>
      <w:r>
        <w:rPr/>
        <w:t>fue</w:t>
      </w:r>
      <w:r>
        <w:rPr>
          <w:spacing w:val="-6"/>
        </w:rPr>
        <w:t> </w:t>
      </w:r>
      <w:r>
        <w:rPr/>
        <w:t>de</w:t>
      </w:r>
      <w:r>
        <w:rPr>
          <w:spacing w:val="-5"/>
        </w:rPr>
        <w:t> </w:t>
      </w:r>
      <w:r>
        <w:rPr/>
        <w:t>3,482.</w:t>
      </w:r>
      <w:r>
        <w:rPr>
          <w:spacing w:val="-4"/>
        </w:rPr>
        <w:t> </w:t>
      </w:r>
      <w:r>
        <w:rPr/>
        <w:t>De</w:t>
      </w:r>
      <w:r>
        <w:rPr>
          <w:spacing w:val="-5"/>
        </w:rPr>
        <w:t> </w:t>
      </w:r>
      <w:r>
        <w:rPr/>
        <w:t>las</w:t>
      </w:r>
      <w:r>
        <w:rPr>
          <w:spacing w:val="-4"/>
        </w:rPr>
        <w:t> </w:t>
      </w:r>
      <w:r>
        <w:rPr/>
        <w:t>8</w:t>
      </w:r>
      <w:r>
        <w:rPr>
          <w:spacing w:val="-4"/>
        </w:rPr>
        <w:t> </w:t>
      </w:r>
      <w:r>
        <w:rPr/>
        <w:t>regiones productoras de la república, en la región Noroeste, Norte y Noreste la producción óptima indica una</w:t>
      </w:r>
      <w:r>
        <w:rPr>
          <w:spacing w:val="-17"/>
        </w:rPr>
        <w:t> </w:t>
      </w:r>
      <w:r>
        <w:rPr/>
        <w:t>ligera</w:t>
      </w:r>
      <w:r>
        <w:rPr>
          <w:spacing w:val="-15"/>
        </w:rPr>
        <w:t> </w:t>
      </w:r>
      <w:r>
        <w:rPr/>
        <w:t>disminución</w:t>
      </w:r>
      <w:r>
        <w:rPr>
          <w:spacing w:val="-16"/>
        </w:rPr>
        <w:t> </w:t>
      </w:r>
      <w:r>
        <w:rPr/>
        <w:t>en</w:t>
      </w:r>
      <w:r>
        <w:rPr>
          <w:spacing w:val="-14"/>
        </w:rPr>
        <w:t> </w:t>
      </w:r>
      <w:r>
        <w:rPr/>
        <w:t>la</w:t>
      </w:r>
      <w:r>
        <w:rPr>
          <w:spacing w:val="-16"/>
        </w:rPr>
        <w:t> </w:t>
      </w:r>
      <w:r>
        <w:rPr/>
        <w:t>producción,</w:t>
      </w:r>
      <w:r>
        <w:rPr>
          <w:spacing w:val="-15"/>
        </w:rPr>
        <w:t> </w:t>
      </w:r>
      <w:r>
        <w:rPr/>
        <w:t>para</w:t>
      </w:r>
      <w:r>
        <w:rPr>
          <w:spacing w:val="-15"/>
        </w:rPr>
        <w:t> </w:t>
      </w:r>
      <w:r>
        <w:rPr/>
        <w:t>el</w:t>
      </w:r>
      <w:r>
        <w:rPr>
          <w:spacing w:val="-15"/>
        </w:rPr>
        <w:t> </w:t>
      </w:r>
      <w:r>
        <w:rPr/>
        <w:t>resto</w:t>
      </w:r>
      <w:r>
        <w:rPr>
          <w:spacing w:val="-15"/>
        </w:rPr>
        <w:t> </w:t>
      </w:r>
      <w:r>
        <w:rPr/>
        <w:t>de</w:t>
      </w:r>
      <w:r>
        <w:rPr>
          <w:spacing w:val="-17"/>
        </w:rPr>
        <w:t> </w:t>
      </w:r>
      <w:r>
        <w:rPr/>
        <w:t>las</w:t>
      </w:r>
      <w:r>
        <w:rPr>
          <w:spacing w:val="-14"/>
        </w:rPr>
        <w:t> </w:t>
      </w:r>
      <w:r>
        <w:rPr/>
        <w:t>regiones</w:t>
      </w:r>
      <w:r>
        <w:rPr>
          <w:spacing w:val="-16"/>
        </w:rPr>
        <w:t> </w:t>
      </w:r>
      <w:r>
        <w:rPr/>
        <w:t>del</w:t>
      </w:r>
      <w:r>
        <w:rPr>
          <w:spacing w:val="-15"/>
        </w:rPr>
        <w:t> </w:t>
      </w:r>
      <w:r>
        <w:rPr/>
        <w:t>país</w:t>
      </w:r>
      <w:r>
        <w:rPr>
          <w:spacing w:val="-13"/>
        </w:rPr>
        <w:t> </w:t>
      </w:r>
      <w:r>
        <w:rPr/>
        <w:t>muestra</w:t>
      </w:r>
      <w:r>
        <w:rPr>
          <w:spacing w:val="-17"/>
        </w:rPr>
        <w:t> </w:t>
      </w:r>
      <w:r>
        <w:rPr/>
        <w:t>un</w:t>
      </w:r>
      <w:r>
        <w:rPr>
          <w:spacing w:val="-16"/>
        </w:rPr>
        <w:t> </w:t>
      </w:r>
      <w:r>
        <w:rPr/>
        <w:t>pequeño incremento en sus volúmenes de producción, siendo la región Oriente la que aparece con mayor aumento en su producción con 1.72%, tales porcentajes de variación son muy pequeños, por lo tanto, no se consideran significativos sobre la producción</w:t>
      </w:r>
      <w:r>
        <w:rPr>
          <w:spacing w:val="-13"/>
        </w:rPr>
        <w:t> </w:t>
      </w:r>
      <w:r>
        <w:rPr/>
        <w:t>total.</w:t>
      </w:r>
    </w:p>
    <w:p>
      <w:pPr>
        <w:pStyle w:val="BodyText"/>
        <w:spacing w:line="360" w:lineRule="auto" w:before="203"/>
        <w:ind w:left="118" w:right="264"/>
        <w:jc w:val="both"/>
      </w:pPr>
      <w:r>
        <w:rPr/>
        <w:t>Por</w:t>
      </w:r>
      <w:r>
        <w:rPr>
          <w:spacing w:val="-5"/>
        </w:rPr>
        <w:t> </w:t>
      </w:r>
      <w:r>
        <w:rPr/>
        <w:t>otra</w:t>
      </w:r>
      <w:r>
        <w:rPr>
          <w:spacing w:val="-5"/>
        </w:rPr>
        <w:t> </w:t>
      </w:r>
      <w:r>
        <w:rPr/>
        <w:t>parte,</w:t>
      </w:r>
      <w:r>
        <w:rPr>
          <w:spacing w:val="-4"/>
        </w:rPr>
        <w:t> </w:t>
      </w:r>
      <w:r>
        <w:rPr/>
        <w:t>el</w:t>
      </w:r>
      <w:r>
        <w:rPr>
          <w:spacing w:val="-3"/>
        </w:rPr>
        <w:t> </w:t>
      </w:r>
      <w:r>
        <w:rPr/>
        <w:t>modelo</w:t>
      </w:r>
      <w:r>
        <w:rPr>
          <w:spacing w:val="-4"/>
        </w:rPr>
        <w:t> </w:t>
      </w:r>
      <w:r>
        <w:rPr/>
        <w:t>óptimo</w:t>
      </w:r>
      <w:r>
        <w:rPr>
          <w:spacing w:val="-3"/>
        </w:rPr>
        <w:t> </w:t>
      </w:r>
      <w:r>
        <w:rPr/>
        <w:t>subestimó</w:t>
      </w:r>
      <w:r>
        <w:rPr>
          <w:spacing w:val="-6"/>
        </w:rPr>
        <w:t> </w:t>
      </w:r>
      <w:r>
        <w:rPr/>
        <w:t>las</w:t>
      </w:r>
      <w:r>
        <w:rPr>
          <w:spacing w:val="-4"/>
        </w:rPr>
        <w:t> </w:t>
      </w:r>
      <w:r>
        <w:rPr/>
        <w:t>importaciones</w:t>
      </w:r>
      <w:r>
        <w:rPr>
          <w:spacing w:val="-4"/>
        </w:rPr>
        <w:t> </w:t>
      </w:r>
      <w:r>
        <w:rPr/>
        <w:t>nacionales</w:t>
      </w:r>
      <w:r>
        <w:rPr>
          <w:spacing w:val="-4"/>
        </w:rPr>
        <w:t> </w:t>
      </w:r>
      <w:r>
        <w:rPr/>
        <w:t>en</w:t>
      </w:r>
      <w:r>
        <w:rPr>
          <w:spacing w:val="-4"/>
        </w:rPr>
        <w:t> </w:t>
      </w:r>
      <w:r>
        <w:rPr/>
        <w:t>14,419</w:t>
      </w:r>
      <w:r>
        <w:rPr>
          <w:spacing w:val="-4"/>
        </w:rPr>
        <w:t> </w:t>
      </w:r>
      <w:r>
        <w:rPr/>
        <w:t>toneladas,</w:t>
      </w:r>
      <w:r>
        <w:rPr>
          <w:spacing w:val="-4"/>
        </w:rPr>
        <w:t> </w:t>
      </w:r>
      <w:r>
        <w:rPr/>
        <w:t>lo que representa una disminución de 1.65% del total, el punto de internación 1 mostró una disminución</w:t>
      </w:r>
      <w:r>
        <w:rPr>
          <w:spacing w:val="-16"/>
        </w:rPr>
        <w:t> </w:t>
      </w:r>
      <w:r>
        <w:rPr/>
        <w:t>del</w:t>
      </w:r>
      <w:r>
        <w:rPr>
          <w:spacing w:val="-15"/>
        </w:rPr>
        <w:t> </w:t>
      </w:r>
      <w:r>
        <w:rPr/>
        <w:t>ingreso</w:t>
      </w:r>
      <w:r>
        <w:rPr>
          <w:spacing w:val="-16"/>
        </w:rPr>
        <w:t> </w:t>
      </w:r>
      <w:r>
        <w:rPr/>
        <w:t>de</w:t>
      </w:r>
      <w:r>
        <w:rPr>
          <w:spacing w:val="-17"/>
        </w:rPr>
        <w:t> </w:t>
      </w:r>
      <w:r>
        <w:rPr/>
        <w:t>carne</w:t>
      </w:r>
      <w:r>
        <w:rPr>
          <w:spacing w:val="-17"/>
        </w:rPr>
        <w:t> </w:t>
      </w:r>
      <w:r>
        <w:rPr/>
        <w:t>de</w:t>
      </w:r>
      <w:r>
        <w:rPr>
          <w:spacing w:val="-17"/>
        </w:rPr>
        <w:t> </w:t>
      </w:r>
      <w:r>
        <w:rPr/>
        <w:t>cerdo</w:t>
      </w:r>
      <w:r>
        <w:rPr>
          <w:spacing w:val="-17"/>
        </w:rPr>
        <w:t> </w:t>
      </w:r>
      <w:r>
        <w:rPr/>
        <w:t>de</w:t>
      </w:r>
      <w:r>
        <w:rPr>
          <w:spacing w:val="-17"/>
        </w:rPr>
        <w:t> </w:t>
      </w:r>
      <w:r>
        <w:rPr/>
        <w:t>1.41%,</w:t>
      </w:r>
      <w:r>
        <w:rPr>
          <w:spacing w:val="-16"/>
        </w:rPr>
        <w:t> </w:t>
      </w:r>
      <w:r>
        <w:rPr/>
        <w:t>mientras</w:t>
      </w:r>
      <w:r>
        <w:rPr>
          <w:spacing w:val="-16"/>
        </w:rPr>
        <w:t> </w:t>
      </w:r>
      <w:r>
        <w:rPr/>
        <w:t>que</w:t>
      </w:r>
      <w:r>
        <w:rPr>
          <w:spacing w:val="-17"/>
        </w:rPr>
        <w:t> </w:t>
      </w:r>
      <w:r>
        <w:rPr/>
        <w:t>el</w:t>
      </w:r>
      <w:r>
        <w:rPr>
          <w:spacing w:val="-15"/>
        </w:rPr>
        <w:t> </w:t>
      </w:r>
      <w:r>
        <w:rPr/>
        <w:t>punto</w:t>
      </w:r>
      <w:r>
        <w:rPr>
          <w:spacing w:val="-13"/>
        </w:rPr>
        <w:t> </w:t>
      </w:r>
      <w:r>
        <w:rPr/>
        <w:t>de</w:t>
      </w:r>
      <w:r>
        <w:rPr>
          <w:spacing w:val="-17"/>
        </w:rPr>
        <w:t> </w:t>
      </w:r>
      <w:r>
        <w:rPr/>
        <w:t>internación</w:t>
      </w:r>
      <w:r>
        <w:rPr>
          <w:spacing w:val="-15"/>
        </w:rPr>
        <w:t> </w:t>
      </w:r>
      <w:r>
        <w:rPr/>
        <w:t>número 2 de</w:t>
      </w:r>
      <w:r>
        <w:rPr>
          <w:spacing w:val="-1"/>
        </w:rPr>
        <w:t> </w:t>
      </w:r>
      <w:r>
        <w:rPr/>
        <w:t>3.79%</w:t>
      </w:r>
    </w:p>
    <w:p>
      <w:pPr>
        <w:pStyle w:val="BodyText"/>
        <w:spacing w:line="360" w:lineRule="auto" w:before="205"/>
        <w:ind w:left="118" w:right="265"/>
        <w:jc w:val="both"/>
      </w:pPr>
      <w:r>
        <w:rPr/>
        <w:t>Además,</w:t>
      </w:r>
      <w:r>
        <w:rPr>
          <w:spacing w:val="-9"/>
        </w:rPr>
        <w:t> </w:t>
      </w:r>
      <w:r>
        <w:rPr/>
        <w:t>el</w:t>
      </w:r>
      <w:r>
        <w:rPr>
          <w:spacing w:val="-8"/>
        </w:rPr>
        <w:t> </w:t>
      </w:r>
      <w:r>
        <w:rPr/>
        <w:t>modelo</w:t>
      </w:r>
      <w:r>
        <w:rPr>
          <w:spacing w:val="-9"/>
        </w:rPr>
        <w:t> </w:t>
      </w:r>
      <w:r>
        <w:rPr/>
        <w:t>subestimó</w:t>
      </w:r>
      <w:r>
        <w:rPr>
          <w:spacing w:val="-8"/>
        </w:rPr>
        <w:t> </w:t>
      </w:r>
      <w:r>
        <w:rPr/>
        <w:t>el</w:t>
      </w:r>
      <w:r>
        <w:rPr>
          <w:spacing w:val="-8"/>
        </w:rPr>
        <w:t> </w:t>
      </w:r>
      <w:r>
        <w:rPr/>
        <w:t>consumo</w:t>
      </w:r>
      <w:r>
        <w:rPr>
          <w:spacing w:val="-9"/>
        </w:rPr>
        <w:t> </w:t>
      </w:r>
      <w:r>
        <w:rPr/>
        <w:t>y</w:t>
      </w:r>
      <w:r>
        <w:rPr>
          <w:spacing w:val="-16"/>
        </w:rPr>
        <w:t> </w:t>
      </w:r>
      <w:r>
        <w:rPr/>
        <w:t>lo</w:t>
      </w:r>
      <w:r>
        <w:rPr>
          <w:spacing w:val="-8"/>
        </w:rPr>
        <w:t> </w:t>
      </w:r>
      <w:r>
        <w:rPr/>
        <w:t>disminuyó</w:t>
      </w:r>
      <w:r>
        <w:rPr>
          <w:spacing w:val="-7"/>
        </w:rPr>
        <w:t> </w:t>
      </w:r>
      <w:r>
        <w:rPr/>
        <w:t>10,938</w:t>
      </w:r>
      <w:r>
        <w:rPr>
          <w:spacing w:val="-9"/>
        </w:rPr>
        <w:t> </w:t>
      </w:r>
      <w:r>
        <w:rPr/>
        <w:t>toneladas</w:t>
      </w:r>
      <w:r>
        <w:rPr>
          <w:spacing w:val="-8"/>
        </w:rPr>
        <w:t> </w:t>
      </w:r>
      <w:r>
        <w:rPr/>
        <w:t>equivalente</w:t>
      </w:r>
      <w:r>
        <w:rPr>
          <w:spacing w:val="-9"/>
        </w:rPr>
        <w:t> </w:t>
      </w:r>
      <w:r>
        <w:rPr/>
        <w:t>al</w:t>
      </w:r>
      <w:r>
        <w:rPr>
          <w:spacing w:val="-8"/>
        </w:rPr>
        <w:t> </w:t>
      </w:r>
      <w:r>
        <w:rPr/>
        <w:t>0.52% del nacional, pero no en todas las regiones disminuyó, como se muestra en el Cuadro 2, en las regiones</w:t>
      </w:r>
      <w:r>
        <w:rPr>
          <w:spacing w:val="-9"/>
        </w:rPr>
        <w:t> </w:t>
      </w:r>
      <w:r>
        <w:rPr/>
        <w:t>Noroeste</w:t>
      </w:r>
      <w:r>
        <w:rPr>
          <w:spacing w:val="-7"/>
        </w:rPr>
        <w:t> </w:t>
      </w:r>
      <w:r>
        <w:rPr/>
        <w:t>y</w:t>
      </w:r>
      <w:r>
        <w:rPr>
          <w:spacing w:val="-13"/>
        </w:rPr>
        <w:t> </w:t>
      </w:r>
      <w:r>
        <w:rPr/>
        <w:t>Noreste</w:t>
      </w:r>
      <w:r>
        <w:rPr>
          <w:spacing w:val="-9"/>
        </w:rPr>
        <w:t> </w:t>
      </w:r>
      <w:r>
        <w:rPr/>
        <w:t>se</w:t>
      </w:r>
      <w:r>
        <w:rPr>
          <w:spacing w:val="-9"/>
        </w:rPr>
        <w:t> </w:t>
      </w:r>
      <w:r>
        <w:rPr/>
        <w:t>incrementó</w:t>
      </w:r>
      <w:r>
        <w:rPr>
          <w:spacing w:val="-9"/>
        </w:rPr>
        <w:t> </w:t>
      </w:r>
      <w:r>
        <w:rPr/>
        <w:t>en</w:t>
      </w:r>
      <w:r>
        <w:rPr>
          <w:spacing w:val="-9"/>
        </w:rPr>
        <w:t> </w:t>
      </w:r>
      <w:r>
        <w:rPr/>
        <w:t>cantidades</w:t>
      </w:r>
      <w:r>
        <w:rPr>
          <w:spacing w:val="-8"/>
        </w:rPr>
        <w:t> </w:t>
      </w:r>
      <w:r>
        <w:rPr/>
        <w:t>mínimas,</w:t>
      </w:r>
      <w:r>
        <w:rPr>
          <w:spacing w:val="-6"/>
        </w:rPr>
        <w:t> </w:t>
      </w:r>
      <w:r>
        <w:rPr/>
        <w:t>y</w:t>
      </w:r>
      <w:r>
        <w:rPr>
          <w:spacing w:val="-16"/>
        </w:rPr>
        <w:t> </w:t>
      </w:r>
      <w:r>
        <w:rPr/>
        <w:t>para</w:t>
      </w:r>
      <w:r>
        <w:rPr>
          <w:spacing w:val="-8"/>
        </w:rPr>
        <w:t> </w:t>
      </w:r>
      <w:r>
        <w:rPr/>
        <w:t>el</w:t>
      </w:r>
      <w:r>
        <w:rPr>
          <w:spacing w:val="-8"/>
        </w:rPr>
        <w:t> </w:t>
      </w:r>
      <w:r>
        <w:rPr/>
        <w:t>resto</w:t>
      </w:r>
      <w:r>
        <w:rPr>
          <w:spacing w:val="-8"/>
        </w:rPr>
        <w:t> </w:t>
      </w:r>
      <w:r>
        <w:rPr/>
        <w:t>de</w:t>
      </w:r>
      <w:r>
        <w:rPr>
          <w:spacing w:val="-10"/>
        </w:rPr>
        <w:t> </w:t>
      </w:r>
      <w:r>
        <w:rPr/>
        <w:t>las</w:t>
      </w:r>
      <w:r>
        <w:rPr>
          <w:spacing w:val="-9"/>
        </w:rPr>
        <w:t> </w:t>
      </w:r>
      <w:r>
        <w:rPr/>
        <w:t>regiones del país el modelo bajó, el caso más representativo es la región Centro- Este en la cual decreció 4,533 toneladas, sin embargo, esta cantidad solo refleja el 0.59% de la región debido a que</w:t>
      </w:r>
      <w:r>
        <w:rPr>
          <w:spacing w:val="-30"/>
        </w:rPr>
        <w:t> </w:t>
      </w:r>
      <w:r>
        <w:rPr/>
        <w:t>tiene la mayor participación del consumo nacional con el 36.6% y se debe a que en ella se encuentra el Distrito Federal (ahora Cd de México), y el estado de México siendo la zona urbana más grande del</w:t>
      </w:r>
      <w:r>
        <w:rPr>
          <w:spacing w:val="-5"/>
        </w:rPr>
        <w:t> </w:t>
      </w:r>
      <w:r>
        <w:rPr/>
        <w:t>país.</w:t>
      </w:r>
    </w:p>
    <w:p>
      <w:pPr>
        <w:spacing w:after="0" w:line="360" w:lineRule="auto"/>
        <w:jc w:val="both"/>
        <w:sectPr>
          <w:pgSz w:w="12240" w:h="15840"/>
          <w:pgMar w:header="984" w:footer="986" w:top="1280" w:bottom="1180" w:left="1300" w:right="1340"/>
        </w:sectPr>
      </w:pPr>
    </w:p>
    <w:p>
      <w:pPr>
        <w:pStyle w:val="BodyText"/>
        <w:spacing w:before="125"/>
        <w:ind w:left="118" w:right="410"/>
      </w:pPr>
      <w:r>
        <w:rPr/>
        <w:pict>
          <v:group style="position:absolute;margin-left:210.630005pt;margin-top:49.713135pt;width:265.8pt;height:1pt;mso-position-horizontal-relative:page;mso-position-vertical-relative:paragraph;z-index:-143968" coordorigin="4213,994" coordsize="5316,20">
            <v:line style="position:absolute" from="4223,1004" to="6126,1004" stroked="true" strokeweight=".96001pt" strokecolor="#000000"/>
            <v:line style="position:absolute" from="6126,1004" to="6145,1004" stroked="true" strokeweight=".96001pt" strokecolor="#000000"/>
            <v:line style="position:absolute" from="6145,1004" to="8029,1004" stroked="true" strokeweight=".96001pt" strokecolor="#000000"/>
            <v:line style="position:absolute" from="8029,1004" to="8049,1004" stroked="true" strokeweight=".96001pt" strokecolor="#000000"/>
            <v:line style="position:absolute" from="8049,1004" to="9518,1004" stroked="true" strokeweight=".96001pt" strokecolor="#000000"/>
            <w10:wrap type="none"/>
          </v:group>
        </w:pict>
      </w:r>
      <w:r>
        <w:rPr/>
        <w:t>Cuadro 2: Optimización del mercado de carne de cerdo</w:t>
      </w:r>
    </w:p>
    <w:p>
      <w:pPr>
        <w:pStyle w:val="BodyText"/>
        <w:spacing w:before="10"/>
        <w:rPr>
          <w:sz w:val="29"/>
        </w:rPr>
      </w:pPr>
    </w:p>
    <w:tbl>
      <w:tblPr>
        <w:tblW w:w="0" w:type="auto"/>
        <w:jc w:val="left"/>
        <w:tblInd w:w="1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506"/>
        <w:gridCol w:w="2323"/>
        <w:gridCol w:w="1870"/>
        <w:gridCol w:w="1419"/>
        <w:gridCol w:w="1076"/>
      </w:tblGrid>
      <w:tr>
        <w:trPr>
          <w:trHeight w:val="749" w:hRule="exact"/>
        </w:trPr>
        <w:tc>
          <w:tcPr>
            <w:tcW w:w="2506" w:type="dxa"/>
            <w:tcBorders>
              <w:right w:val="nil"/>
            </w:tcBorders>
          </w:tcPr>
          <w:p>
            <w:pPr>
              <w:pStyle w:val="TableParagraph"/>
              <w:spacing w:before="127"/>
              <w:ind w:left="1096"/>
              <w:rPr>
                <w:sz w:val="20"/>
              </w:rPr>
            </w:pPr>
            <w:r>
              <w:rPr>
                <w:sz w:val="20"/>
              </w:rPr>
              <w:t>Región</w:t>
            </w:r>
          </w:p>
        </w:tc>
        <w:tc>
          <w:tcPr>
            <w:tcW w:w="4193" w:type="dxa"/>
            <w:gridSpan w:val="2"/>
            <w:tcBorders>
              <w:left w:val="nil"/>
              <w:right w:val="nil"/>
            </w:tcBorders>
          </w:tcPr>
          <w:p>
            <w:pPr>
              <w:pStyle w:val="TableParagraph"/>
              <w:tabs>
                <w:tab w:pos="2628" w:val="left" w:leader="none"/>
              </w:tabs>
              <w:spacing w:line="223" w:lineRule="exact"/>
              <w:ind w:left="581"/>
              <w:rPr>
                <w:sz w:val="20"/>
              </w:rPr>
            </w:pPr>
            <w:r>
              <w:rPr>
                <w:sz w:val="20"/>
              </w:rPr>
              <w:t>Observado 2015</w:t>
              <w:tab/>
              <w:t>Modelo base</w:t>
            </w:r>
          </w:p>
          <w:p>
            <w:pPr>
              <w:pStyle w:val="TableParagraph"/>
              <w:tabs>
                <w:tab w:pos="2523" w:val="left" w:leader="none"/>
                <w:tab w:pos="5583" w:val="left" w:leader="none"/>
              </w:tabs>
              <w:spacing w:line="261" w:lineRule="auto" w:before="19"/>
              <w:ind w:left="782" w:right="-1392" w:hanging="495"/>
              <w:rPr>
                <w:sz w:val="20"/>
              </w:rPr>
            </w:pPr>
            <w:r>
              <w:rPr>
                <w:w w:val="99"/>
                <w:sz w:val="20"/>
                <w:u w:val="single"/>
              </w:rPr>
              <w:t> </w:t>
            </w:r>
            <w:r>
              <w:rPr>
                <w:sz w:val="20"/>
                <w:u w:val="single"/>
              </w:rPr>
              <w:tab/>
              <w:tab/>
            </w:r>
            <w:r>
              <w:rPr>
                <w:spacing w:val="3"/>
                <w:w w:val="99"/>
                <w:sz w:val="20"/>
                <w:u w:val="single"/>
              </w:rPr>
              <w:t>T</w:t>
            </w:r>
            <w:r>
              <w:rPr>
                <w:spacing w:val="1"/>
                <w:w w:val="99"/>
                <w:sz w:val="20"/>
                <w:u w:val="single"/>
              </w:rPr>
              <w:t>o</w:t>
            </w:r>
            <w:r>
              <w:rPr>
                <w:spacing w:val="-2"/>
                <w:w w:val="99"/>
                <w:sz w:val="20"/>
                <w:u w:val="single"/>
              </w:rPr>
              <w:t>n</w:t>
            </w:r>
            <w:r>
              <w:rPr>
                <w:w w:val="99"/>
                <w:sz w:val="20"/>
                <w:u w:val="single"/>
              </w:rPr>
              <w:t>ela</w:t>
            </w:r>
            <w:r>
              <w:rPr>
                <w:spacing w:val="1"/>
                <w:w w:val="99"/>
                <w:sz w:val="20"/>
                <w:u w:val="single"/>
              </w:rPr>
              <w:t>d</w:t>
            </w:r>
            <w:r>
              <w:rPr>
                <w:w w:val="99"/>
                <w:sz w:val="20"/>
                <w:u w:val="single"/>
              </w:rPr>
              <w:t>a</w:t>
            </w:r>
            <w:r>
              <w:rPr>
                <w:w w:val="99"/>
                <w:sz w:val="20"/>
                <w:u w:val="single"/>
              </w:rPr>
              <w:t>s</w:t>
            </w:r>
            <w:r>
              <w:rPr>
                <w:sz w:val="20"/>
                <w:u w:val="single"/>
              </w:rPr>
              <w:tab/>
            </w:r>
            <w:r>
              <w:rPr>
                <w:sz w:val="20"/>
              </w:rPr>
              <w:t> </w:t>
            </w:r>
            <w:r>
              <w:rPr>
                <w:spacing w:val="1"/>
                <w:w w:val="99"/>
                <w:sz w:val="20"/>
              </w:rPr>
              <w:t>P</w:t>
            </w:r>
            <w:r>
              <w:rPr>
                <w:w w:val="99"/>
                <w:sz w:val="20"/>
              </w:rPr>
              <w:t>r</w:t>
            </w:r>
            <w:r>
              <w:rPr>
                <w:spacing w:val="-2"/>
                <w:w w:val="99"/>
                <w:sz w:val="20"/>
              </w:rPr>
              <w:t>o</w:t>
            </w:r>
            <w:r>
              <w:rPr>
                <w:spacing w:val="1"/>
                <w:w w:val="99"/>
                <w:sz w:val="20"/>
              </w:rPr>
              <w:t>d</w:t>
            </w:r>
            <w:r>
              <w:rPr>
                <w:spacing w:val="-2"/>
                <w:w w:val="99"/>
                <w:sz w:val="20"/>
              </w:rPr>
              <w:t>u</w:t>
            </w:r>
            <w:r>
              <w:rPr>
                <w:w w:val="99"/>
                <w:sz w:val="20"/>
              </w:rPr>
              <w:t>cción</w:t>
            </w:r>
          </w:p>
        </w:tc>
        <w:tc>
          <w:tcPr>
            <w:tcW w:w="1419" w:type="dxa"/>
            <w:tcBorders>
              <w:left w:val="nil"/>
              <w:right w:val="nil"/>
            </w:tcBorders>
          </w:tcPr>
          <w:p>
            <w:pPr>
              <w:pStyle w:val="TableParagraph"/>
              <w:spacing w:line="223" w:lineRule="exact"/>
              <w:ind w:left="327"/>
              <w:rPr>
                <w:sz w:val="20"/>
              </w:rPr>
            </w:pPr>
            <w:r>
              <w:rPr>
                <w:sz w:val="20"/>
              </w:rPr>
              <w:t>Cambio</w:t>
            </w:r>
          </w:p>
        </w:tc>
        <w:tc>
          <w:tcPr>
            <w:tcW w:w="1076" w:type="dxa"/>
            <w:tcBorders>
              <w:left w:val="nil"/>
            </w:tcBorders>
          </w:tcPr>
          <w:p>
            <w:pPr>
              <w:pStyle w:val="TableParagraph"/>
              <w:spacing w:before="118"/>
              <w:ind w:right="118"/>
              <w:jc w:val="right"/>
              <w:rPr>
                <w:sz w:val="20"/>
              </w:rPr>
            </w:pPr>
            <w:r>
              <w:rPr>
                <w:sz w:val="20"/>
              </w:rPr>
              <w:t>Cambio %</w:t>
            </w:r>
          </w:p>
        </w:tc>
      </w:tr>
      <w:tr>
        <w:trPr>
          <w:trHeight w:val="244" w:hRule="exact"/>
        </w:trPr>
        <w:tc>
          <w:tcPr>
            <w:tcW w:w="2506" w:type="dxa"/>
            <w:tcBorders>
              <w:bottom w:val="nil"/>
              <w:right w:val="nil"/>
            </w:tcBorders>
          </w:tcPr>
          <w:p>
            <w:pPr>
              <w:pStyle w:val="TableParagraph"/>
              <w:spacing w:line="223" w:lineRule="exact"/>
              <w:ind w:left="60"/>
              <w:rPr>
                <w:sz w:val="20"/>
              </w:rPr>
            </w:pPr>
            <w:r>
              <w:rPr>
                <w:sz w:val="20"/>
              </w:rPr>
              <w:t>Noroeste (NO)</w:t>
            </w:r>
          </w:p>
        </w:tc>
        <w:tc>
          <w:tcPr>
            <w:tcW w:w="2323" w:type="dxa"/>
            <w:tcBorders>
              <w:left w:val="nil"/>
              <w:bottom w:val="nil"/>
              <w:right w:val="nil"/>
            </w:tcBorders>
          </w:tcPr>
          <w:p>
            <w:pPr>
              <w:pStyle w:val="TableParagraph"/>
              <w:spacing w:line="223" w:lineRule="exact"/>
              <w:ind w:right="201"/>
              <w:jc w:val="right"/>
              <w:rPr>
                <w:sz w:val="20"/>
              </w:rPr>
            </w:pPr>
            <w:r>
              <w:rPr>
                <w:sz w:val="20"/>
              </w:rPr>
              <w:t>193,739</w:t>
            </w:r>
          </w:p>
        </w:tc>
        <w:tc>
          <w:tcPr>
            <w:tcW w:w="1870" w:type="dxa"/>
            <w:tcBorders>
              <w:left w:val="nil"/>
              <w:bottom w:val="nil"/>
              <w:right w:val="nil"/>
            </w:tcBorders>
          </w:tcPr>
          <w:p>
            <w:pPr>
              <w:pStyle w:val="TableParagraph"/>
              <w:spacing w:line="223" w:lineRule="exact"/>
              <w:ind w:right="167"/>
              <w:jc w:val="right"/>
              <w:rPr>
                <w:sz w:val="20"/>
              </w:rPr>
            </w:pPr>
            <w:r>
              <w:rPr>
                <w:w w:val="95"/>
                <w:sz w:val="20"/>
              </w:rPr>
              <w:t>193,570</w:t>
            </w:r>
          </w:p>
        </w:tc>
        <w:tc>
          <w:tcPr>
            <w:tcW w:w="1419" w:type="dxa"/>
            <w:tcBorders>
              <w:left w:val="nil"/>
              <w:bottom w:val="nil"/>
              <w:right w:val="nil"/>
            </w:tcBorders>
          </w:tcPr>
          <w:p>
            <w:pPr>
              <w:pStyle w:val="TableParagraph"/>
              <w:spacing w:line="223" w:lineRule="exact"/>
              <w:ind w:right="99"/>
              <w:jc w:val="right"/>
              <w:rPr>
                <w:sz w:val="20"/>
              </w:rPr>
            </w:pPr>
            <w:r>
              <w:rPr>
                <w:w w:val="95"/>
                <w:sz w:val="20"/>
              </w:rPr>
              <w:t>-169</w:t>
            </w:r>
          </w:p>
        </w:tc>
        <w:tc>
          <w:tcPr>
            <w:tcW w:w="1076" w:type="dxa"/>
            <w:tcBorders>
              <w:left w:val="nil"/>
              <w:bottom w:val="nil"/>
            </w:tcBorders>
          </w:tcPr>
          <w:p>
            <w:pPr>
              <w:pStyle w:val="TableParagraph"/>
              <w:spacing w:line="223" w:lineRule="exact"/>
              <w:ind w:right="59"/>
              <w:jc w:val="right"/>
              <w:rPr>
                <w:sz w:val="20"/>
              </w:rPr>
            </w:pPr>
            <w:r>
              <w:rPr>
                <w:w w:val="95"/>
                <w:sz w:val="20"/>
              </w:rPr>
              <w:t>-0.09</w:t>
            </w:r>
          </w:p>
        </w:tc>
      </w:tr>
      <w:tr>
        <w:trPr>
          <w:trHeight w:val="230" w:hRule="exact"/>
        </w:trPr>
        <w:tc>
          <w:tcPr>
            <w:tcW w:w="2506" w:type="dxa"/>
            <w:tcBorders>
              <w:top w:val="nil"/>
              <w:bottom w:val="nil"/>
              <w:right w:val="nil"/>
            </w:tcBorders>
          </w:tcPr>
          <w:p>
            <w:pPr>
              <w:pStyle w:val="TableParagraph"/>
              <w:spacing w:line="219" w:lineRule="exact"/>
              <w:ind w:left="60"/>
              <w:rPr>
                <w:sz w:val="20"/>
              </w:rPr>
            </w:pPr>
            <w:r>
              <w:rPr>
                <w:sz w:val="20"/>
              </w:rPr>
              <w:t>Norte (NR)</w:t>
            </w:r>
          </w:p>
        </w:tc>
        <w:tc>
          <w:tcPr>
            <w:tcW w:w="2323" w:type="dxa"/>
            <w:tcBorders>
              <w:top w:val="nil"/>
              <w:left w:val="nil"/>
              <w:bottom w:val="nil"/>
              <w:right w:val="nil"/>
            </w:tcBorders>
          </w:tcPr>
          <w:p>
            <w:pPr>
              <w:pStyle w:val="TableParagraph"/>
              <w:spacing w:line="219" w:lineRule="exact"/>
              <w:ind w:right="200"/>
              <w:jc w:val="right"/>
              <w:rPr>
                <w:sz w:val="20"/>
              </w:rPr>
            </w:pPr>
            <w:r>
              <w:rPr>
                <w:w w:val="95"/>
                <w:sz w:val="20"/>
              </w:rPr>
              <w:t>33,393</w:t>
            </w:r>
          </w:p>
        </w:tc>
        <w:tc>
          <w:tcPr>
            <w:tcW w:w="1870" w:type="dxa"/>
            <w:tcBorders>
              <w:top w:val="nil"/>
              <w:left w:val="nil"/>
              <w:bottom w:val="nil"/>
              <w:right w:val="nil"/>
            </w:tcBorders>
          </w:tcPr>
          <w:p>
            <w:pPr>
              <w:pStyle w:val="TableParagraph"/>
              <w:spacing w:line="219" w:lineRule="exact"/>
              <w:ind w:right="166"/>
              <w:jc w:val="right"/>
              <w:rPr>
                <w:sz w:val="20"/>
              </w:rPr>
            </w:pPr>
            <w:r>
              <w:rPr>
                <w:sz w:val="20"/>
              </w:rPr>
              <w:t>33,373</w:t>
            </w:r>
          </w:p>
        </w:tc>
        <w:tc>
          <w:tcPr>
            <w:tcW w:w="1419" w:type="dxa"/>
            <w:tcBorders>
              <w:top w:val="nil"/>
              <w:left w:val="nil"/>
              <w:bottom w:val="nil"/>
              <w:right w:val="nil"/>
            </w:tcBorders>
          </w:tcPr>
          <w:p>
            <w:pPr>
              <w:pStyle w:val="TableParagraph"/>
              <w:spacing w:line="219" w:lineRule="exact"/>
              <w:ind w:right="99"/>
              <w:jc w:val="right"/>
              <w:rPr>
                <w:sz w:val="20"/>
              </w:rPr>
            </w:pPr>
            <w:r>
              <w:rPr>
                <w:sz w:val="20"/>
              </w:rPr>
              <w:t>-20</w:t>
            </w:r>
          </w:p>
        </w:tc>
        <w:tc>
          <w:tcPr>
            <w:tcW w:w="1076" w:type="dxa"/>
            <w:tcBorders>
              <w:top w:val="nil"/>
              <w:left w:val="nil"/>
              <w:bottom w:val="nil"/>
            </w:tcBorders>
          </w:tcPr>
          <w:p>
            <w:pPr>
              <w:pStyle w:val="TableParagraph"/>
              <w:spacing w:line="219" w:lineRule="exact"/>
              <w:ind w:right="59"/>
              <w:jc w:val="right"/>
              <w:rPr>
                <w:sz w:val="20"/>
              </w:rPr>
            </w:pPr>
            <w:r>
              <w:rPr>
                <w:w w:val="95"/>
                <w:sz w:val="20"/>
              </w:rPr>
              <w:t>-0.06</w:t>
            </w:r>
          </w:p>
        </w:tc>
      </w:tr>
      <w:tr>
        <w:trPr>
          <w:trHeight w:val="230" w:hRule="exact"/>
        </w:trPr>
        <w:tc>
          <w:tcPr>
            <w:tcW w:w="2506" w:type="dxa"/>
            <w:tcBorders>
              <w:top w:val="nil"/>
              <w:bottom w:val="nil"/>
              <w:right w:val="nil"/>
            </w:tcBorders>
          </w:tcPr>
          <w:p>
            <w:pPr>
              <w:pStyle w:val="TableParagraph"/>
              <w:spacing w:line="219" w:lineRule="exact"/>
              <w:ind w:left="60"/>
              <w:rPr>
                <w:sz w:val="20"/>
              </w:rPr>
            </w:pPr>
            <w:r>
              <w:rPr>
                <w:sz w:val="20"/>
              </w:rPr>
              <w:t>Noreste (NE)</w:t>
            </w:r>
          </w:p>
        </w:tc>
        <w:tc>
          <w:tcPr>
            <w:tcW w:w="2323" w:type="dxa"/>
            <w:tcBorders>
              <w:top w:val="nil"/>
              <w:left w:val="nil"/>
              <w:bottom w:val="nil"/>
              <w:right w:val="nil"/>
            </w:tcBorders>
          </w:tcPr>
          <w:p>
            <w:pPr>
              <w:pStyle w:val="TableParagraph"/>
              <w:spacing w:line="219" w:lineRule="exact"/>
              <w:ind w:right="198"/>
              <w:jc w:val="right"/>
              <w:rPr>
                <w:sz w:val="20"/>
              </w:rPr>
            </w:pPr>
            <w:r>
              <w:rPr>
                <w:w w:val="95"/>
                <w:sz w:val="20"/>
              </w:rPr>
              <w:t>31,633</w:t>
            </w:r>
          </w:p>
        </w:tc>
        <w:tc>
          <w:tcPr>
            <w:tcW w:w="1870" w:type="dxa"/>
            <w:tcBorders>
              <w:top w:val="nil"/>
              <w:left w:val="nil"/>
              <w:bottom w:val="nil"/>
              <w:right w:val="nil"/>
            </w:tcBorders>
          </w:tcPr>
          <w:p>
            <w:pPr>
              <w:pStyle w:val="TableParagraph"/>
              <w:spacing w:line="219" w:lineRule="exact"/>
              <w:ind w:right="166"/>
              <w:jc w:val="right"/>
              <w:rPr>
                <w:sz w:val="20"/>
              </w:rPr>
            </w:pPr>
            <w:r>
              <w:rPr>
                <w:sz w:val="20"/>
              </w:rPr>
              <w:t>31,604</w:t>
            </w:r>
          </w:p>
        </w:tc>
        <w:tc>
          <w:tcPr>
            <w:tcW w:w="1419" w:type="dxa"/>
            <w:tcBorders>
              <w:top w:val="nil"/>
              <w:left w:val="nil"/>
              <w:bottom w:val="nil"/>
              <w:right w:val="nil"/>
            </w:tcBorders>
          </w:tcPr>
          <w:p>
            <w:pPr>
              <w:pStyle w:val="TableParagraph"/>
              <w:spacing w:line="219" w:lineRule="exact"/>
              <w:ind w:right="99"/>
              <w:jc w:val="right"/>
              <w:rPr>
                <w:sz w:val="20"/>
              </w:rPr>
            </w:pPr>
            <w:r>
              <w:rPr>
                <w:w w:val="95"/>
                <w:sz w:val="20"/>
              </w:rPr>
              <w:t>-29</w:t>
            </w:r>
          </w:p>
        </w:tc>
        <w:tc>
          <w:tcPr>
            <w:tcW w:w="1076" w:type="dxa"/>
            <w:tcBorders>
              <w:top w:val="nil"/>
              <w:left w:val="nil"/>
              <w:bottom w:val="nil"/>
            </w:tcBorders>
          </w:tcPr>
          <w:p>
            <w:pPr>
              <w:pStyle w:val="TableParagraph"/>
              <w:spacing w:line="219" w:lineRule="exact"/>
              <w:ind w:right="59"/>
              <w:jc w:val="right"/>
              <w:rPr>
                <w:sz w:val="20"/>
              </w:rPr>
            </w:pPr>
            <w:r>
              <w:rPr>
                <w:w w:val="95"/>
                <w:sz w:val="20"/>
              </w:rPr>
              <w:t>-0.09</w:t>
            </w:r>
          </w:p>
        </w:tc>
      </w:tr>
      <w:tr>
        <w:trPr>
          <w:trHeight w:val="230" w:hRule="exact"/>
        </w:trPr>
        <w:tc>
          <w:tcPr>
            <w:tcW w:w="2506" w:type="dxa"/>
            <w:tcBorders>
              <w:top w:val="nil"/>
              <w:bottom w:val="nil"/>
              <w:right w:val="nil"/>
            </w:tcBorders>
          </w:tcPr>
          <w:p>
            <w:pPr>
              <w:pStyle w:val="TableParagraph"/>
              <w:spacing w:line="219" w:lineRule="exact"/>
              <w:ind w:left="60"/>
              <w:rPr>
                <w:sz w:val="20"/>
              </w:rPr>
            </w:pPr>
            <w:r>
              <w:rPr>
                <w:sz w:val="20"/>
              </w:rPr>
              <w:t>Centro-Occidente (CO)</w:t>
            </w:r>
          </w:p>
        </w:tc>
        <w:tc>
          <w:tcPr>
            <w:tcW w:w="2323" w:type="dxa"/>
            <w:tcBorders>
              <w:top w:val="nil"/>
              <w:left w:val="nil"/>
              <w:bottom w:val="nil"/>
              <w:right w:val="nil"/>
            </w:tcBorders>
          </w:tcPr>
          <w:p>
            <w:pPr>
              <w:pStyle w:val="TableParagraph"/>
              <w:spacing w:line="219" w:lineRule="exact"/>
              <w:ind w:right="198"/>
              <w:jc w:val="right"/>
              <w:rPr>
                <w:sz w:val="20"/>
              </w:rPr>
            </w:pPr>
            <w:r>
              <w:rPr>
                <w:sz w:val="20"/>
              </w:rPr>
              <w:t>419,748</w:t>
            </w:r>
          </w:p>
        </w:tc>
        <w:tc>
          <w:tcPr>
            <w:tcW w:w="1870" w:type="dxa"/>
            <w:tcBorders>
              <w:top w:val="nil"/>
              <w:left w:val="nil"/>
              <w:bottom w:val="nil"/>
              <w:right w:val="nil"/>
            </w:tcBorders>
          </w:tcPr>
          <w:p>
            <w:pPr>
              <w:pStyle w:val="TableParagraph"/>
              <w:spacing w:line="219" w:lineRule="exact"/>
              <w:ind w:right="166"/>
              <w:jc w:val="right"/>
              <w:rPr>
                <w:sz w:val="20"/>
              </w:rPr>
            </w:pPr>
            <w:r>
              <w:rPr>
                <w:sz w:val="20"/>
              </w:rPr>
              <w:t>419,765</w:t>
            </w:r>
          </w:p>
        </w:tc>
        <w:tc>
          <w:tcPr>
            <w:tcW w:w="1419" w:type="dxa"/>
            <w:tcBorders>
              <w:top w:val="nil"/>
              <w:left w:val="nil"/>
              <w:bottom w:val="nil"/>
              <w:right w:val="nil"/>
            </w:tcBorders>
          </w:tcPr>
          <w:p>
            <w:pPr>
              <w:pStyle w:val="TableParagraph"/>
              <w:spacing w:line="219" w:lineRule="exact"/>
              <w:ind w:right="99"/>
              <w:jc w:val="right"/>
              <w:rPr>
                <w:sz w:val="20"/>
              </w:rPr>
            </w:pPr>
            <w:r>
              <w:rPr>
                <w:sz w:val="20"/>
              </w:rPr>
              <w:t>17</w:t>
            </w:r>
          </w:p>
        </w:tc>
        <w:tc>
          <w:tcPr>
            <w:tcW w:w="1076" w:type="dxa"/>
            <w:tcBorders>
              <w:top w:val="nil"/>
              <w:left w:val="nil"/>
              <w:bottom w:val="nil"/>
            </w:tcBorders>
          </w:tcPr>
          <w:p>
            <w:pPr>
              <w:pStyle w:val="TableParagraph"/>
              <w:spacing w:line="219" w:lineRule="exact"/>
              <w:ind w:right="59"/>
              <w:jc w:val="right"/>
              <w:rPr>
                <w:sz w:val="20"/>
              </w:rPr>
            </w:pPr>
            <w:r>
              <w:rPr>
                <w:sz w:val="20"/>
              </w:rPr>
              <w:t>0.00</w:t>
            </w:r>
          </w:p>
        </w:tc>
      </w:tr>
      <w:tr>
        <w:trPr>
          <w:trHeight w:val="230" w:hRule="exact"/>
        </w:trPr>
        <w:tc>
          <w:tcPr>
            <w:tcW w:w="2506" w:type="dxa"/>
            <w:tcBorders>
              <w:top w:val="nil"/>
              <w:bottom w:val="nil"/>
              <w:right w:val="nil"/>
            </w:tcBorders>
          </w:tcPr>
          <w:p>
            <w:pPr>
              <w:pStyle w:val="TableParagraph"/>
              <w:spacing w:line="219" w:lineRule="exact"/>
              <w:ind w:left="60"/>
              <w:rPr>
                <w:sz w:val="20"/>
              </w:rPr>
            </w:pPr>
            <w:r>
              <w:rPr>
                <w:sz w:val="20"/>
              </w:rPr>
              <w:t>Centro – Este (CE)</w:t>
            </w:r>
          </w:p>
        </w:tc>
        <w:tc>
          <w:tcPr>
            <w:tcW w:w="2323" w:type="dxa"/>
            <w:tcBorders>
              <w:top w:val="nil"/>
              <w:left w:val="nil"/>
              <w:bottom w:val="nil"/>
              <w:right w:val="nil"/>
            </w:tcBorders>
          </w:tcPr>
          <w:p>
            <w:pPr>
              <w:pStyle w:val="TableParagraph"/>
              <w:spacing w:line="219" w:lineRule="exact"/>
              <w:ind w:right="198"/>
              <w:jc w:val="right"/>
              <w:rPr>
                <w:sz w:val="20"/>
              </w:rPr>
            </w:pPr>
            <w:r>
              <w:rPr>
                <w:sz w:val="20"/>
              </w:rPr>
              <w:t>233,277</w:t>
            </w:r>
          </w:p>
        </w:tc>
        <w:tc>
          <w:tcPr>
            <w:tcW w:w="1870" w:type="dxa"/>
            <w:tcBorders>
              <w:top w:val="nil"/>
              <w:left w:val="nil"/>
              <w:bottom w:val="nil"/>
              <w:right w:val="nil"/>
            </w:tcBorders>
          </w:tcPr>
          <w:p>
            <w:pPr>
              <w:pStyle w:val="TableParagraph"/>
              <w:spacing w:line="219" w:lineRule="exact"/>
              <w:ind w:right="166"/>
              <w:jc w:val="right"/>
              <w:rPr>
                <w:sz w:val="20"/>
              </w:rPr>
            </w:pPr>
            <w:r>
              <w:rPr>
                <w:sz w:val="20"/>
              </w:rPr>
              <w:t>233,870</w:t>
            </w:r>
          </w:p>
        </w:tc>
        <w:tc>
          <w:tcPr>
            <w:tcW w:w="1419" w:type="dxa"/>
            <w:tcBorders>
              <w:top w:val="nil"/>
              <w:left w:val="nil"/>
              <w:bottom w:val="nil"/>
              <w:right w:val="nil"/>
            </w:tcBorders>
          </w:tcPr>
          <w:p>
            <w:pPr>
              <w:pStyle w:val="TableParagraph"/>
              <w:spacing w:line="219" w:lineRule="exact"/>
              <w:ind w:right="97"/>
              <w:jc w:val="right"/>
              <w:rPr>
                <w:sz w:val="20"/>
              </w:rPr>
            </w:pPr>
            <w:r>
              <w:rPr>
                <w:sz w:val="20"/>
              </w:rPr>
              <w:t>593</w:t>
            </w:r>
          </w:p>
        </w:tc>
        <w:tc>
          <w:tcPr>
            <w:tcW w:w="1076" w:type="dxa"/>
            <w:tcBorders>
              <w:top w:val="nil"/>
              <w:left w:val="nil"/>
              <w:bottom w:val="nil"/>
            </w:tcBorders>
          </w:tcPr>
          <w:p>
            <w:pPr>
              <w:pStyle w:val="TableParagraph"/>
              <w:spacing w:line="219" w:lineRule="exact"/>
              <w:ind w:right="59"/>
              <w:jc w:val="right"/>
              <w:rPr>
                <w:sz w:val="20"/>
              </w:rPr>
            </w:pPr>
            <w:r>
              <w:rPr>
                <w:w w:val="95"/>
                <w:sz w:val="20"/>
              </w:rPr>
              <w:t>0.25</w:t>
            </w:r>
          </w:p>
        </w:tc>
      </w:tr>
      <w:tr>
        <w:trPr>
          <w:trHeight w:val="229" w:hRule="exact"/>
        </w:trPr>
        <w:tc>
          <w:tcPr>
            <w:tcW w:w="2506" w:type="dxa"/>
            <w:tcBorders>
              <w:top w:val="nil"/>
              <w:bottom w:val="nil"/>
              <w:right w:val="nil"/>
            </w:tcBorders>
          </w:tcPr>
          <w:p>
            <w:pPr>
              <w:pStyle w:val="TableParagraph"/>
              <w:spacing w:line="219" w:lineRule="exact"/>
              <w:ind w:left="60"/>
              <w:rPr>
                <w:sz w:val="20"/>
              </w:rPr>
            </w:pPr>
            <w:r>
              <w:rPr>
                <w:sz w:val="20"/>
              </w:rPr>
              <w:t>Sur (SU)</w:t>
            </w:r>
          </w:p>
        </w:tc>
        <w:tc>
          <w:tcPr>
            <w:tcW w:w="2323" w:type="dxa"/>
            <w:tcBorders>
              <w:top w:val="nil"/>
              <w:left w:val="nil"/>
              <w:bottom w:val="nil"/>
              <w:right w:val="nil"/>
            </w:tcBorders>
          </w:tcPr>
          <w:p>
            <w:pPr>
              <w:pStyle w:val="TableParagraph"/>
              <w:spacing w:line="219" w:lineRule="exact"/>
              <w:ind w:right="200"/>
              <w:jc w:val="right"/>
              <w:rPr>
                <w:sz w:val="20"/>
              </w:rPr>
            </w:pPr>
            <w:r>
              <w:rPr>
                <w:sz w:val="20"/>
              </w:rPr>
              <w:t>76,240</w:t>
            </w:r>
          </w:p>
        </w:tc>
        <w:tc>
          <w:tcPr>
            <w:tcW w:w="1870" w:type="dxa"/>
            <w:tcBorders>
              <w:top w:val="nil"/>
              <w:left w:val="nil"/>
              <w:bottom w:val="nil"/>
              <w:right w:val="nil"/>
            </w:tcBorders>
          </w:tcPr>
          <w:p>
            <w:pPr>
              <w:pStyle w:val="TableParagraph"/>
              <w:spacing w:line="219" w:lineRule="exact"/>
              <w:ind w:right="166"/>
              <w:jc w:val="right"/>
              <w:rPr>
                <w:sz w:val="20"/>
              </w:rPr>
            </w:pPr>
            <w:r>
              <w:rPr>
                <w:sz w:val="20"/>
              </w:rPr>
              <w:t>76,296</w:t>
            </w:r>
          </w:p>
        </w:tc>
        <w:tc>
          <w:tcPr>
            <w:tcW w:w="1419" w:type="dxa"/>
            <w:tcBorders>
              <w:top w:val="nil"/>
              <w:left w:val="nil"/>
              <w:bottom w:val="nil"/>
              <w:right w:val="nil"/>
            </w:tcBorders>
          </w:tcPr>
          <w:p>
            <w:pPr>
              <w:pStyle w:val="TableParagraph"/>
              <w:spacing w:line="219" w:lineRule="exact"/>
              <w:ind w:right="99"/>
              <w:jc w:val="right"/>
              <w:rPr>
                <w:sz w:val="20"/>
              </w:rPr>
            </w:pPr>
            <w:r>
              <w:rPr>
                <w:sz w:val="20"/>
              </w:rPr>
              <w:t>56</w:t>
            </w:r>
          </w:p>
        </w:tc>
        <w:tc>
          <w:tcPr>
            <w:tcW w:w="1076" w:type="dxa"/>
            <w:tcBorders>
              <w:top w:val="nil"/>
              <w:left w:val="nil"/>
              <w:bottom w:val="nil"/>
            </w:tcBorders>
          </w:tcPr>
          <w:p>
            <w:pPr>
              <w:pStyle w:val="TableParagraph"/>
              <w:spacing w:line="219" w:lineRule="exact"/>
              <w:ind w:right="59"/>
              <w:jc w:val="right"/>
              <w:rPr>
                <w:sz w:val="20"/>
              </w:rPr>
            </w:pPr>
            <w:r>
              <w:rPr>
                <w:w w:val="95"/>
                <w:sz w:val="20"/>
              </w:rPr>
              <w:t>0.07</w:t>
            </w:r>
          </w:p>
        </w:tc>
      </w:tr>
      <w:tr>
        <w:trPr>
          <w:trHeight w:val="229" w:hRule="exact"/>
        </w:trPr>
        <w:tc>
          <w:tcPr>
            <w:tcW w:w="2506" w:type="dxa"/>
            <w:tcBorders>
              <w:top w:val="nil"/>
              <w:bottom w:val="nil"/>
              <w:right w:val="nil"/>
            </w:tcBorders>
          </w:tcPr>
          <w:p>
            <w:pPr>
              <w:pStyle w:val="TableParagraph"/>
              <w:spacing w:line="218" w:lineRule="exact"/>
              <w:ind w:left="60"/>
              <w:rPr>
                <w:sz w:val="20"/>
              </w:rPr>
            </w:pPr>
            <w:r>
              <w:rPr>
                <w:sz w:val="20"/>
              </w:rPr>
              <w:t>Oriente (OR)</w:t>
            </w:r>
          </w:p>
        </w:tc>
        <w:tc>
          <w:tcPr>
            <w:tcW w:w="2323" w:type="dxa"/>
            <w:tcBorders>
              <w:top w:val="nil"/>
              <w:left w:val="nil"/>
              <w:bottom w:val="nil"/>
              <w:right w:val="nil"/>
            </w:tcBorders>
          </w:tcPr>
          <w:p>
            <w:pPr>
              <w:pStyle w:val="TableParagraph"/>
              <w:spacing w:line="218" w:lineRule="exact"/>
              <w:ind w:right="200"/>
              <w:jc w:val="right"/>
              <w:rPr>
                <w:sz w:val="20"/>
              </w:rPr>
            </w:pPr>
            <w:r>
              <w:rPr>
                <w:sz w:val="20"/>
              </w:rPr>
              <w:t>130,667</w:t>
            </w:r>
          </w:p>
        </w:tc>
        <w:tc>
          <w:tcPr>
            <w:tcW w:w="1870" w:type="dxa"/>
            <w:tcBorders>
              <w:top w:val="nil"/>
              <w:left w:val="nil"/>
              <w:bottom w:val="nil"/>
              <w:right w:val="nil"/>
            </w:tcBorders>
          </w:tcPr>
          <w:p>
            <w:pPr>
              <w:pStyle w:val="TableParagraph"/>
              <w:spacing w:line="218" w:lineRule="exact"/>
              <w:ind w:right="166"/>
              <w:jc w:val="right"/>
              <w:rPr>
                <w:sz w:val="20"/>
              </w:rPr>
            </w:pPr>
            <w:r>
              <w:rPr>
                <w:sz w:val="20"/>
              </w:rPr>
              <w:t>132,918</w:t>
            </w:r>
          </w:p>
        </w:tc>
        <w:tc>
          <w:tcPr>
            <w:tcW w:w="1419" w:type="dxa"/>
            <w:tcBorders>
              <w:top w:val="nil"/>
              <w:left w:val="nil"/>
              <w:bottom w:val="nil"/>
              <w:right w:val="nil"/>
            </w:tcBorders>
          </w:tcPr>
          <w:p>
            <w:pPr>
              <w:pStyle w:val="TableParagraph"/>
              <w:spacing w:line="218" w:lineRule="exact"/>
              <w:ind w:right="99"/>
              <w:jc w:val="right"/>
              <w:rPr>
                <w:sz w:val="20"/>
              </w:rPr>
            </w:pPr>
            <w:r>
              <w:rPr>
                <w:sz w:val="20"/>
              </w:rPr>
              <w:t>2,251</w:t>
            </w:r>
          </w:p>
        </w:tc>
        <w:tc>
          <w:tcPr>
            <w:tcW w:w="1076" w:type="dxa"/>
            <w:tcBorders>
              <w:top w:val="nil"/>
              <w:left w:val="nil"/>
              <w:bottom w:val="nil"/>
            </w:tcBorders>
          </w:tcPr>
          <w:p>
            <w:pPr>
              <w:pStyle w:val="TableParagraph"/>
              <w:spacing w:line="218" w:lineRule="exact"/>
              <w:ind w:right="59"/>
              <w:jc w:val="right"/>
              <w:rPr>
                <w:sz w:val="20"/>
              </w:rPr>
            </w:pPr>
            <w:r>
              <w:rPr>
                <w:sz w:val="20"/>
              </w:rPr>
              <w:t>1.72</w:t>
            </w:r>
          </w:p>
        </w:tc>
      </w:tr>
      <w:tr>
        <w:trPr>
          <w:trHeight w:val="230" w:hRule="exact"/>
        </w:trPr>
        <w:tc>
          <w:tcPr>
            <w:tcW w:w="2506" w:type="dxa"/>
            <w:tcBorders>
              <w:top w:val="nil"/>
              <w:bottom w:val="nil"/>
              <w:right w:val="nil"/>
            </w:tcBorders>
          </w:tcPr>
          <w:p>
            <w:pPr>
              <w:pStyle w:val="TableParagraph"/>
              <w:spacing w:line="219" w:lineRule="exact"/>
              <w:ind w:left="60"/>
              <w:rPr>
                <w:sz w:val="20"/>
              </w:rPr>
            </w:pPr>
            <w:r>
              <w:rPr>
                <w:sz w:val="20"/>
              </w:rPr>
              <w:t>Península de Yucatán (PE)</w:t>
            </w:r>
          </w:p>
        </w:tc>
        <w:tc>
          <w:tcPr>
            <w:tcW w:w="2323" w:type="dxa"/>
            <w:tcBorders>
              <w:top w:val="nil"/>
              <w:left w:val="nil"/>
              <w:bottom w:val="nil"/>
              <w:right w:val="nil"/>
            </w:tcBorders>
          </w:tcPr>
          <w:p>
            <w:pPr>
              <w:pStyle w:val="TableParagraph"/>
              <w:spacing w:line="219" w:lineRule="exact"/>
              <w:ind w:right="201"/>
              <w:jc w:val="right"/>
              <w:rPr>
                <w:sz w:val="20"/>
              </w:rPr>
            </w:pPr>
            <w:r>
              <w:rPr>
                <w:w w:val="95"/>
                <w:sz w:val="20"/>
              </w:rPr>
              <w:t>106,345</w:t>
            </w:r>
          </w:p>
        </w:tc>
        <w:tc>
          <w:tcPr>
            <w:tcW w:w="1870" w:type="dxa"/>
            <w:tcBorders>
              <w:top w:val="nil"/>
              <w:left w:val="nil"/>
              <w:bottom w:val="nil"/>
              <w:right w:val="nil"/>
            </w:tcBorders>
          </w:tcPr>
          <w:p>
            <w:pPr>
              <w:pStyle w:val="TableParagraph"/>
              <w:spacing w:line="219" w:lineRule="exact"/>
              <w:ind w:right="167"/>
              <w:jc w:val="right"/>
              <w:rPr>
                <w:sz w:val="20"/>
              </w:rPr>
            </w:pPr>
            <w:r>
              <w:rPr>
                <w:w w:val="95"/>
                <w:sz w:val="20"/>
              </w:rPr>
              <w:t>107,128</w:t>
            </w:r>
          </w:p>
        </w:tc>
        <w:tc>
          <w:tcPr>
            <w:tcW w:w="1419" w:type="dxa"/>
            <w:tcBorders>
              <w:top w:val="nil"/>
              <w:left w:val="nil"/>
              <w:bottom w:val="nil"/>
              <w:right w:val="nil"/>
            </w:tcBorders>
          </w:tcPr>
          <w:p>
            <w:pPr>
              <w:pStyle w:val="TableParagraph"/>
              <w:spacing w:line="219" w:lineRule="exact"/>
              <w:ind w:right="99"/>
              <w:jc w:val="right"/>
              <w:rPr>
                <w:sz w:val="20"/>
              </w:rPr>
            </w:pPr>
            <w:r>
              <w:rPr>
                <w:sz w:val="20"/>
              </w:rPr>
              <w:t>783</w:t>
            </w:r>
          </w:p>
        </w:tc>
        <w:tc>
          <w:tcPr>
            <w:tcW w:w="1076" w:type="dxa"/>
            <w:tcBorders>
              <w:top w:val="nil"/>
              <w:left w:val="nil"/>
              <w:bottom w:val="nil"/>
            </w:tcBorders>
          </w:tcPr>
          <w:p>
            <w:pPr>
              <w:pStyle w:val="TableParagraph"/>
              <w:spacing w:line="219" w:lineRule="exact"/>
              <w:ind w:right="59"/>
              <w:jc w:val="right"/>
              <w:rPr>
                <w:sz w:val="20"/>
              </w:rPr>
            </w:pPr>
            <w:r>
              <w:rPr>
                <w:sz w:val="20"/>
              </w:rPr>
              <w:t>0.74</w:t>
            </w:r>
          </w:p>
        </w:tc>
      </w:tr>
      <w:tr>
        <w:trPr>
          <w:trHeight w:val="231" w:hRule="exact"/>
        </w:trPr>
        <w:tc>
          <w:tcPr>
            <w:tcW w:w="2506" w:type="dxa"/>
            <w:tcBorders>
              <w:top w:val="nil"/>
              <w:bottom w:val="nil"/>
              <w:right w:val="nil"/>
            </w:tcBorders>
          </w:tcPr>
          <w:p>
            <w:pPr>
              <w:pStyle w:val="TableParagraph"/>
              <w:spacing w:line="219" w:lineRule="exact"/>
              <w:ind w:left="60"/>
              <w:rPr>
                <w:sz w:val="20"/>
              </w:rPr>
            </w:pPr>
            <w:r>
              <w:rPr>
                <w:sz w:val="20"/>
              </w:rPr>
              <w:t>Nacional</w:t>
            </w:r>
          </w:p>
        </w:tc>
        <w:tc>
          <w:tcPr>
            <w:tcW w:w="2323" w:type="dxa"/>
            <w:tcBorders>
              <w:top w:val="nil"/>
              <w:left w:val="nil"/>
              <w:bottom w:val="nil"/>
              <w:right w:val="nil"/>
            </w:tcBorders>
          </w:tcPr>
          <w:p>
            <w:pPr>
              <w:pStyle w:val="TableParagraph"/>
              <w:spacing w:line="219" w:lineRule="exact"/>
              <w:ind w:right="201"/>
              <w:jc w:val="right"/>
              <w:rPr>
                <w:sz w:val="20"/>
              </w:rPr>
            </w:pPr>
            <w:r>
              <w:rPr>
                <w:w w:val="95"/>
                <w:sz w:val="20"/>
              </w:rPr>
              <w:t>1,225,042</w:t>
            </w:r>
          </w:p>
        </w:tc>
        <w:tc>
          <w:tcPr>
            <w:tcW w:w="1870" w:type="dxa"/>
            <w:tcBorders>
              <w:top w:val="nil"/>
              <w:left w:val="nil"/>
              <w:bottom w:val="nil"/>
              <w:right w:val="nil"/>
            </w:tcBorders>
          </w:tcPr>
          <w:p>
            <w:pPr>
              <w:pStyle w:val="TableParagraph"/>
              <w:spacing w:line="219" w:lineRule="exact"/>
              <w:ind w:right="167"/>
              <w:jc w:val="right"/>
              <w:rPr>
                <w:sz w:val="20"/>
              </w:rPr>
            </w:pPr>
            <w:r>
              <w:rPr>
                <w:sz w:val="20"/>
              </w:rPr>
              <w:t>1,228,524</w:t>
            </w:r>
          </w:p>
        </w:tc>
        <w:tc>
          <w:tcPr>
            <w:tcW w:w="1419" w:type="dxa"/>
            <w:tcBorders>
              <w:top w:val="nil"/>
              <w:left w:val="nil"/>
              <w:bottom w:val="nil"/>
              <w:right w:val="nil"/>
            </w:tcBorders>
          </w:tcPr>
          <w:p>
            <w:pPr>
              <w:pStyle w:val="TableParagraph"/>
              <w:spacing w:line="219" w:lineRule="exact"/>
              <w:ind w:right="99"/>
              <w:jc w:val="right"/>
              <w:rPr>
                <w:sz w:val="20"/>
              </w:rPr>
            </w:pPr>
            <w:r>
              <w:rPr>
                <w:w w:val="95"/>
                <w:sz w:val="20"/>
              </w:rPr>
              <w:t>3,482</w:t>
            </w:r>
          </w:p>
        </w:tc>
        <w:tc>
          <w:tcPr>
            <w:tcW w:w="1076" w:type="dxa"/>
            <w:tcBorders>
              <w:top w:val="nil"/>
              <w:left w:val="nil"/>
              <w:bottom w:val="nil"/>
            </w:tcBorders>
          </w:tcPr>
          <w:p>
            <w:pPr>
              <w:pStyle w:val="TableParagraph"/>
              <w:spacing w:line="219" w:lineRule="exact"/>
              <w:ind w:right="57"/>
              <w:jc w:val="right"/>
              <w:rPr>
                <w:sz w:val="20"/>
              </w:rPr>
            </w:pPr>
            <w:r>
              <w:rPr>
                <w:sz w:val="20"/>
              </w:rPr>
              <w:t>0.28</w:t>
            </w:r>
          </w:p>
        </w:tc>
      </w:tr>
      <w:tr>
        <w:trPr>
          <w:trHeight w:val="236" w:hRule="exact"/>
        </w:trPr>
        <w:tc>
          <w:tcPr>
            <w:tcW w:w="2506" w:type="dxa"/>
            <w:tcBorders>
              <w:top w:val="nil"/>
              <w:right w:val="nil"/>
            </w:tcBorders>
          </w:tcPr>
          <w:p>
            <w:pPr/>
          </w:p>
        </w:tc>
        <w:tc>
          <w:tcPr>
            <w:tcW w:w="2323" w:type="dxa"/>
            <w:tcBorders>
              <w:top w:val="nil"/>
              <w:left w:val="nil"/>
              <w:right w:val="nil"/>
            </w:tcBorders>
          </w:tcPr>
          <w:p>
            <w:pPr>
              <w:pStyle w:val="TableParagraph"/>
              <w:spacing w:line="219" w:lineRule="exact"/>
              <w:ind w:left="751"/>
              <w:rPr>
                <w:sz w:val="20"/>
              </w:rPr>
            </w:pPr>
            <w:r>
              <w:rPr>
                <w:sz w:val="20"/>
              </w:rPr>
              <w:t>Importación</w:t>
            </w:r>
          </w:p>
        </w:tc>
        <w:tc>
          <w:tcPr>
            <w:tcW w:w="1870" w:type="dxa"/>
            <w:tcBorders>
              <w:top w:val="nil"/>
              <w:left w:val="nil"/>
              <w:right w:val="nil"/>
            </w:tcBorders>
          </w:tcPr>
          <w:p>
            <w:pPr/>
          </w:p>
        </w:tc>
        <w:tc>
          <w:tcPr>
            <w:tcW w:w="1419" w:type="dxa"/>
            <w:tcBorders>
              <w:top w:val="nil"/>
              <w:left w:val="nil"/>
              <w:right w:val="nil"/>
            </w:tcBorders>
          </w:tcPr>
          <w:p>
            <w:pPr/>
          </w:p>
        </w:tc>
        <w:tc>
          <w:tcPr>
            <w:tcW w:w="1076" w:type="dxa"/>
            <w:tcBorders>
              <w:top w:val="nil"/>
              <w:left w:val="nil"/>
            </w:tcBorders>
          </w:tcPr>
          <w:p>
            <w:pPr/>
          </w:p>
        </w:tc>
      </w:tr>
      <w:tr>
        <w:trPr>
          <w:trHeight w:val="244" w:hRule="exact"/>
        </w:trPr>
        <w:tc>
          <w:tcPr>
            <w:tcW w:w="2506" w:type="dxa"/>
            <w:tcBorders>
              <w:bottom w:val="nil"/>
              <w:right w:val="nil"/>
            </w:tcBorders>
          </w:tcPr>
          <w:p>
            <w:pPr>
              <w:pStyle w:val="TableParagraph"/>
              <w:spacing w:line="223" w:lineRule="exact"/>
              <w:ind w:left="60"/>
              <w:rPr>
                <w:sz w:val="20"/>
              </w:rPr>
            </w:pPr>
            <w:r>
              <w:rPr>
                <w:sz w:val="20"/>
              </w:rPr>
              <w:t>Punto de internación 1</w:t>
            </w:r>
          </w:p>
        </w:tc>
        <w:tc>
          <w:tcPr>
            <w:tcW w:w="2323" w:type="dxa"/>
            <w:tcBorders>
              <w:left w:val="nil"/>
              <w:bottom w:val="nil"/>
              <w:right w:val="nil"/>
            </w:tcBorders>
          </w:tcPr>
          <w:p>
            <w:pPr>
              <w:pStyle w:val="TableParagraph"/>
              <w:spacing w:line="223" w:lineRule="exact"/>
              <w:ind w:right="198"/>
              <w:jc w:val="right"/>
              <w:rPr>
                <w:sz w:val="20"/>
              </w:rPr>
            </w:pPr>
            <w:r>
              <w:rPr>
                <w:w w:val="95"/>
                <w:sz w:val="20"/>
              </w:rPr>
              <w:t>788,977</w:t>
            </w:r>
          </w:p>
        </w:tc>
        <w:tc>
          <w:tcPr>
            <w:tcW w:w="1870" w:type="dxa"/>
            <w:tcBorders>
              <w:left w:val="nil"/>
              <w:bottom w:val="nil"/>
              <w:right w:val="nil"/>
            </w:tcBorders>
          </w:tcPr>
          <w:p>
            <w:pPr>
              <w:pStyle w:val="TableParagraph"/>
              <w:spacing w:line="223" w:lineRule="exact"/>
              <w:ind w:right="166"/>
              <w:jc w:val="right"/>
              <w:rPr>
                <w:sz w:val="20"/>
              </w:rPr>
            </w:pPr>
            <w:r>
              <w:rPr>
                <w:sz w:val="20"/>
              </w:rPr>
              <w:t>777,838</w:t>
            </w:r>
          </w:p>
        </w:tc>
        <w:tc>
          <w:tcPr>
            <w:tcW w:w="1419" w:type="dxa"/>
            <w:tcBorders>
              <w:left w:val="nil"/>
              <w:bottom w:val="nil"/>
              <w:right w:val="nil"/>
            </w:tcBorders>
          </w:tcPr>
          <w:p>
            <w:pPr>
              <w:pStyle w:val="TableParagraph"/>
              <w:spacing w:line="223" w:lineRule="exact"/>
              <w:ind w:right="100"/>
              <w:jc w:val="right"/>
              <w:rPr>
                <w:sz w:val="20"/>
              </w:rPr>
            </w:pPr>
            <w:r>
              <w:rPr>
                <w:sz w:val="20"/>
              </w:rPr>
              <w:t>-11,139</w:t>
            </w:r>
          </w:p>
        </w:tc>
        <w:tc>
          <w:tcPr>
            <w:tcW w:w="1076" w:type="dxa"/>
            <w:tcBorders>
              <w:left w:val="nil"/>
              <w:bottom w:val="nil"/>
            </w:tcBorders>
          </w:tcPr>
          <w:p>
            <w:pPr>
              <w:pStyle w:val="TableParagraph"/>
              <w:spacing w:line="223" w:lineRule="exact"/>
              <w:ind w:right="59"/>
              <w:jc w:val="right"/>
              <w:rPr>
                <w:sz w:val="20"/>
              </w:rPr>
            </w:pPr>
            <w:r>
              <w:rPr>
                <w:w w:val="95"/>
                <w:sz w:val="20"/>
              </w:rPr>
              <w:t>-1.41</w:t>
            </w:r>
          </w:p>
        </w:tc>
      </w:tr>
      <w:tr>
        <w:trPr>
          <w:trHeight w:val="230" w:hRule="exact"/>
        </w:trPr>
        <w:tc>
          <w:tcPr>
            <w:tcW w:w="2506" w:type="dxa"/>
            <w:tcBorders>
              <w:top w:val="nil"/>
              <w:bottom w:val="nil"/>
              <w:right w:val="nil"/>
            </w:tcBorders>
          </w:tcPr>
          <w:p>
            <w:pPr>
              <w:pStyle w:val="TableParagraph"/>
              <w:spacing w:line="219" w:lineRule="exact"/>
              <w:ind w:left="60"/>
              <w:rPr>
                <w:sz w:val="20"/>
              </w:rPr>
            </w:pPr>
            <w:r>
              <w:rPr>
                <w:sz w:val="20"/>
              </w:rPr>
              <w:t>Punto de internación 2</w:t>
            </w:r>
          </w:p>
        </w:tc>
        <w:tc>
          <w:tcPr>
            <w:tcW w:w="2323" w:type="dxa"/>
            <w:tcBorders>
              <w:top w:val="nil"/>
              <w:left w:val="nil"/>
              <w:bottom w:val="nil"/>
              <w:right w:val="nil"/>
            </w:tcBorders>
          </w:tcPr>
          <w:p>
            <w:pPr>
              <w:pStyle w:val="TableParagraph"/>
              <w:spacing w:line="219" w:lineRule="exact"/>
              <w:ind w:right="198"/>
              <w:jc w:val="right"/>
              <w:rPr>
                <w:sz w:val="20"/>
              </w:rPr>
            </w:pPr>
            <w:r>
              <w:rPr>
                <w:w w:val="95"/>
                <w:sz w:val="20"/>
              </w:rPr>
              <w:t>86,497</w:t>
            </w:r>
          </w:p>
        </w:tc>
        <w:tc>
          <w:tcPr>
            <w:tcW w:w="1870" w:type="dxa"/>
            <w:tcBorders>
              <w:top w:val="nil"/>
              <w:left w:val="nil"/>
              <w:bottom w:val="nil"/>
              <w:right w:val="nil"/>
            </w:tcBorders>
          </w:tcPr>
          <w:p>
            <w:pPr>
              <w:pStyle w:val="TableParagraph"/>
              <w:spacing w:line="219" w:lineRule="exact"/>
              <w:ind w:right="166"/>
              <w:jc w:val="right"/>
              <w:rPr>
                <w:sz w:val="20"/>
              </w:rPr>
            </w:pPr>
            <w:r>
              <w:rPr>
                <w:sz w:val="20"/>
              </w:rPr>
              <w:t>83,217</w:t>
            </w:r>
          </w:p>
        </w:tc>
        <w:tc>
          <w:tcPr>
            <w:tcW w:w="1419" w:type="dxa"/>
            <w:tcBorders>
              <w:top w:val="nil"/>
              <w:left w:val="nil"/>
              <w:bottom w:val="nil"/>
              <w:right w:val="nil"/>
            </w:tcBorders>
          </w:tcPr>
          <w:p>
            <w:pPr>
              <w:pStyle w:val="TableParagraph"/>
              <w:spacing w:line="219" w:lineRule="exact"/>
              <w:ind w:right="100"/>
              <w:jc w:val="right"/>
              <w:rPr>
                <w:sz w:val="20"/>
              </w:rPr>
            </w:pPr>
            <w:r>
              <w:rPr>
                <w:w w:val="95"/>
                <w:sz w:val="20"/>
              </w:rPr>
              <w:t>-3,280</w:t>
            </w:r>
          </w:p>
        </w:tc>
        <w:tc>
          <w:tcPr>
            <w:tcW w:w="1076" w:type="dxa"/>
            <w:tcBorders>
              <w:top w:val="nil"/>
              <w:left w:val="nil"/>
              <w:bottom w:val="nil"/>
            </w:tcBorders>
          </w:tcPr>
          <w:p>
            <w:pPr>
              <w:pStyle w:val="TableParagraph"/>
              <w:spacing w:line="219" w:lineRule="exact"/>
              <w:ind w:right="59"/>
              <w:jc w:val="right"/>
              <w:rPr>
                <w:sz w:val="20"/>
              </w:rPr>
            </w:pPr>
            <w:r>
              <w:rPr>
                <w:w w:val="95"/>
                <w:sz w:val="20"/>
              </w:rPr>
              <w:t>-3.79</w:t>
            </w:r>
          </w:p>
        </w:tc>
      </w:tr>
      <w:tr>
        <w:trPr>
          <w:trHeight w:val="230" w:hRule="exact"/>
        </w:trPr>
        <w:tc>
          <w:tcPr>
            <w:tcW w:w="2506" w:type="dxa"/>
            <w:tcBorders>
              <w:top w:val="nil"/>
              <w:bottom w:val="nil"/>
              <w:right w:val="nil"/>
            </w:tcBorders>
          </w:tcPr>
          <w:p>
            <w:pPr>
              <w:pStyle w:val="TableParagraph"/>
              <w:spacing w:line="219" w:lineRule="exact"/>
              <w:ind w:left="60"/>
              <w:rPr>
                <w:sz w:val="20"/>
              </w:rPr>
            </w:pPr>
            <w:r>
              <w:rPr>
                <w:sz w:val="20"/>
              </w:rPr>
              <w:t>Nacional</w:t>
            </w:r>
          </w:p>
        </w:tc>
        <w:tc>
          <w:tcPr>
            <w:tcW w:w="2323" w:type="dxa"/>
            <w:tcBorders>
              <w:top w:val="nil"/>
              <w:left w:val="nil"/>
              <w:bottom w:val="nil"/>
              <w:right w:val="nil"/>
            </w:tcBorders>
          </w:tcPr>
          <w:p>
            <w:pPr>
              <w:pStyle w:val="TableParagraph"/>
              <w:spacing w:line="219" w:lineRule="exact"/>
              <w:ind w:right="198"/>
              <w:jc w:val="right"/>
              <w:rPr>
                <w:sz w:val="20"/>
              </w:rPr>
            </w:pPr>
            <w:r>
              <w:rPr>
                <w:w w:val="95"/>
                <w:sz w:val="20"/>
              </w:rPr>
              <w:t>875,474</w:t>
            </w:r>
          </w:p>
        </w:tc>
        <w:tc>
          <w:tcPr>
            <w:tcW w:w="1870" w:type="dxa"/>
            <w:tcBorders>
              <w:top w:val="nil"/>
              <w:left w:val="nil"/>
              <w:bottom w:val="nil"/>
              <w:right w:val="nil"/>
            </w:tcBorders>
          </w:tcPr>
          <w:p>
            <w:pPr>
              <w:pStyle w:val="TableParagraph"/>
              <w:spacing w:line="219" w:lineRule="exact"/>
              <w:ind w:right="164"/>
              <w:jc w:val="right"/>
              <w:rPr>
                <w:sz w:val="20"/>
              </w:rPr>
            </w:pPr>
            <w:r>
              <w:rPr>
                <w:w w:val="95"/>
                <w:sz w:val="20"/>
              </w:rPr>
              <w:t>861,055</w:t>
            </w:r>
          </w:p>
        </w:tc>
        <w:tc>
          <w:tcPr>
            <w:tcW w:w="1419" w:type="dxa"/>
            <w:tcBorders>
              <w:top w:val="nil"/>
              <w:left w:val="nil"/>
              <w:bottom w:val="nil"/>
              <w:right w:val="nil"/>
            </w:tcBorders>
          </w:tcPr>
          <w:p>
            <w:pPr>
              <w:pStyle w:val="TableParagraph"/>
              <w:spacing w:line="219" w:lineRule="exact"/>
              <w:ind w:right="100"/>
              <w:jc w:val="right"/>
              <w:rPr>
                <w:sz w:val="20"/>
              </w:rPr>
            </w:pPr>
            <w:r>
              <w:rPr>
                <w:sz w:val="20"/>
              </w:rPr>
              <w:t>-14,419</w:t>
            </w:r>
          </w:p>
        </w:tc>
        <w:tc>
          <w:tcPr>
            <w:tcW w:w="1076" w:type="dxa"/>
            <w:tcBorders>
              <w:top w:val="nil"/>
              <w:left w:val="nil"/>
              <w:bottom w:val="nil"/>
            </w:tcBorders>
          </w:tcPr>
          <w:p>
            <w:pPr>
              <w:pStyle w:val="TableParagraph"/>
              <w:spacing w:line="219" w:lineRule="exact"/>
              <w:ind w:right="59"/>
              <w:jc w:val="right"/>
              <w:rPr>
                <w:sz w:val="20"/>
              </w:rPr>
            </w:pPr>
            <w:r>
              <w:rPr>
                <w:w w:val="95"/>
                <w:sz w:val="20"/>
              </w:rPr>
              <w:t>-1.65</w:t>
            </w:r>
          </w:p>
        </w:tc>
      </w:tr>
      <w:tr>
        <w:trPr>
          <w:trHeight w:val="233" w:hRule="exact"/>
        </w:trPr>
        <w:tc>
          <w:tcPr>
            <w:tcW w:w="2506" w:type="dxa"/>
            <w:tcBorders>
              <w:top w:val="nil"/>
              <w:right w:val="nil"/>
            </w:tcBorders>
          </w:tcPr>
          <w:p>
            <w:pPr/>
          </w:p>
        </w:tc>
        <w:tc>
          <w:tcPr>
            <w:tcW w:w="2323" w:type="dxa"/>
            <w:tcBorders>
              <w:top w:val="nil"/>
              <w:left w:val="nil"/>
              <w:right w:val="nil"/>
            </w:tcBorders>
          </w:tcPr>
          <w:p>
            <w:pPr>
              <w:pStyle w:val="TableParagraph"/>
              <w:spacing w:line="219" w:lineRule="exact"/>
              <w:ind w:left="854"/>
              <w:rPr>
                <w:sz w:val="20"/>
              </w:rPr>
            </w:pPr>
            <w:r>
              <w:rPr>
                <w:sz w:val="20"/>
              </w:rPr>
              <w:t>Consumo</w:t>
            </w:r>
          </w:p>
        </w:tc>
        <w:tc>
          <w:tcPr>
            <w:tcW w:w="1870" w:type="dxa"/>
            <w:tcBorders>
              <w:top w:val="nil"/>
              <w:left w:val="nil"/>
              <w:right w:val="nil"/>
            </w:tcBorders>
          </w:tcPr>
          <w:p>
            <w:pPr/>
          </w:p>
        </w:tc>
        <w:tc>
          <w:tcPr>
            <w:tcW w:w="1419" w:type="dxa"/>
            <w:tcBorders>
              <w:top w:val="nil"/>
              <w:left w:val="nil"/>
              <w:right w:val="nil"/>
            </w:tcBorders>
          </w:tcPr>
          <w:p>
            <w:pPr/>
          </w:p>
        </w:tc>
        <w:tc>
          <w:tcPr>
            <w:tcW w:w="1076" w:type="dxa"/>
            <w:tcBorders>
              <w:top w:val="nil"/>
              <w:left w:val="nil"/>
            </w:tcBorders>
          </w:tcPr>
          <w:p>
            <w:pPr/>
          </w:p>
        </w:tc>
      </w:tr>
      <w:tr>
        <w:trPr>
          <w:trHeight w:val="247" w:hRule="exact"/>
        </w:trPr>
        <w:tc>
          <w:tcPr>
            <w:tcW w:w="2506" w:type="dxa"/>
            <w:tcBorders>
              <w:bottom w:val="nil"/>
              <w:right w:val="nil"/>
            </w:tcBorders>
          </w:tcPr>
          <w:p>
            <w:pPr>
              <w:pStyle w:val="TableParagraph"/>
              <w:spacing w:line="226" w:lineRule="exact"/>
              <w:ind w:left="60"/>
              <w:rPr>
                <w:sz w:val="20"/>
              </w:rPr>
            </w:pPr>
            <w:r>
              <w:rPr>
                <w:sz w:val="20"/>
              </w:rPr>
              <w:t>Noroeste (NO)</w:t>
            </w:r>
          </w:p>
        </w:tc>
        <w:tc>
          <w:tcPr>
            <w:tcW w:w="2323" w:type="dxa"/>
            <w:tcBorders>
              <w:left w:val="nil"/>
              <w:bottom w:val="nil"/>
              <w:right w:val="nil"/>
            </w:tcBorders>
          </w:tcPr>
          <w:p>
            <w:pPr>
              <w:pStyle w:val="TableParagraph"/>
              <w:spacing w:line="226" w:lineRule="exact"/>
              <w:ind w:right="200"/>
              <w:jc w:val="right"/>
              <w:rPr>
                <w:sz w:val="20"/>
              </w:rPr>
            </w:pPr>
            <w:r>
              <w:rPr>
                <w:w w:val="95"/>
                <w:sz w:val="20"/>
              </w:rPr>
              <w:t>80,397</w:t>
            </w:r>
          </w:p>
        </w:tc>
        <w:tc>
          <w:tcPr>
            <w:tcW w:w="1870" w:type="dxa"/>
            <w:tcBorders>
              <w:left w:val="nil"/>
              <w:bottom w:val="nil"/>
              <w:right w:val="nil"/>
            </w:tcBorders>
          </w:tcPr>
          <w:p>
            <w:pPr>
              <w:pStyle w:val="TableParagraph"/>
              <w:spacing w:line="226" w:lineRule="exact"/>
              <w:ind w:right="166"/>
              <w:jc w:val="right"/>
              <w:rPr>
                <w:sz w:val="20"/>
              </w:rPr>
            </w:pPr>
            <w:r>
              <w:rPr>
                <w:w w:val="95"/>
                <w:sz w:val="20"/>
              </w:rPr>
              <w:t>80,418</w:t>
            </w:r>
          </w:p>
        </w:tc>
        <w:tc>
          <w:tcPr>
            <w:tcW w:w="1419" w:type="dxa"/>
            <w:tcBorders>
              <w:left w:val="nil"/>
              <w:bottom w:val="nil"/>
              <w:right w:val="nil"/>
            </w:tcBorders>
          </w:tcPr>
          <w:p>
            <w:pPr>
              <w:pStyle w:val="TableParagraph"/>
              <w:spacing w:line="226" w:lineRule="exact"/>
              <w:ind w:right="99"/>
              <w:jc w:val="right"/>
              <w:rPr>
                <w:sz w:val="20"/>
              </w:rPr>
            </w:pPr>
            <w:r>
              <w:rPr>
                <w:sz w:val="20"/>
              </w:rPr>
              <w:t>21</w:t>
            </w:r>
          </w:p>
        </w:tc>
        <w:tc>
          <w:tcPr>
            <w:tcW w:w="1076" w:type="dxa"/>
            <w:tcBorders>
              <w:left w:val="nil"/>
              <w:bottom w:val="nil"/>
            </w:tcBorders>
          </w:tcPr>
          <w:p>
            <w:pPr>
              <w:pStyle w:val="TableParagraph"/>
              <w:spacing w:line="226" w:lineRule="exact"/>
              <w:ind w:right="59"/>
              <w:jc w:val="right"/>
              <w:rPr>
                <w:sz w:val="20"/>
              </w:rPr>
            </w:pPr>
            <w:r>
              <w:rPr>
                <w:sz w:val="20"/>
              </w:rPr>
              <w:t>0.03</w:t>
            </w:r>
          </w:p>
        </w:tc>
      </w:tr>
      <w:tr>
        <w:trPr>
          <w:trHeight w:val="229" w:hRule="exact"/>
        </w:trPr>
        <w:tc>
          <w:tcPr>
            <w:tcW w:w="2506" w:type="dxa"/>
            <w:tcBorders>
              <w:top w:val="nil"/>
              <w:bottom w:val="nil"/>
              <w:right w:val="nil"/>
            </w:tcBorders>
          </w:tcPr>
          <w:p>
            <w:pPr>
              <w:pStyle w:val="TableParagraph"/>
              <w:spacing w:line="219" w:lineRule="exact"/>
              <w:ind w:left="60"/>
              <w:rPr>
                <w:sz w:val="20"/>
              </w:rPr>
            </w:pPr>
            <w:r>
              <w:rPr>
                <w:sz w:val="20"/>
              </w:rPr>
              <w:t>Norte (NR)</w:t>
            </w:r>
          </w:p>
        </w:tc>
        <w:tc>
          <w:tcPr>
            <w:tcW w:w="2323" w:type="dxa"/>
            <w:tcBorders>
              <w:top w:val="nil"/>
              <w:left w:val="nil"/>
              <w:bottom w:val="nil"/>
              <w:right w:val="nil"/>
            </w:tcBorders>
          </w:tcPr>
          <w:p>
            <w:pPr>
              <w:pStyle w:val="TableParagraph"/>
              <w:spacing w:line="219" w:lineRule="exact"/>
              <w:ind w:right="200"/>
              <w:jc w:val="right"/>
              <w:rPr>
                <w:sz w:val="20"/>
              </w:rPr>
            </w:pPr>
            <w:r>
              <w:rPr>
                <w:sz w:val="20"/>
              </w:rPr>
              <w:t>124,481</w:t>
            </w:r>
          </w:p>
        </w:tc>
        <w:tc>
          <w:tcPr>
            <w:tcW w:w="1870" w:type="dxa"/>
            <w:tcBorders>
              <w:top w:val="nil"/>
              <w:left w:val="nil"/>
              <w:bottom w:val="nil"/>
              <w:right w:val="nil"/>
            </w:tcBorders>
          </w:tcPr>
          <w:p>
            <w:pPr>
              <w:pStyle w:val="TableParagraph"/>
              <w:spacing w:line="219" w:lineRule="exact"/>
              <w:ind w:right="166"/>
              <w:jc w:val="right"/>
              <w:rPr>
                <w:sz w:val="20"/>
              </w:rPr>
            </w:pPr>
            <w:r>
              <w:rPr>
                <w:w w:val="95"/>
                <w:sz w:val="20"/>
              </w:rPr>
              <w:t>124,382</w:t>
            </w:r>
          </w:p>
        </w:tc>
        <w:tc>
          <w:tcPr>
            <w:tcW w:w="1419" w:type="dxa"/>
            <w:tcBorders>
              <w:top w:val="nil"/>
              <w:left w:val="nil"/>
              <w:bottom w:val="nil"/>
              <w:right w:val="nil"/>
            </w:tcBorders>
          </w:tcPr>
          <w:p>
            <w:pPr>
              <w:pStyle w:val="TableParagraph"/>
              <w:spacing w:line="219" w:lineRule="exact"/>
              <w:ind w:right="99"/>
              <w:jc w:val="right"/>
              <w:rPr>
                <w:sz w:val="20"/>
              </w:rPr>
            </w:pPr>
            <w:r>
              <w:rPr>
                <w:sz w:val="20"/>
              </w:rPr>
              <w:t>-99</w:t>
            </w:r>
          </w:p>
        </w:tc>
        <w:tc>
          <w:tcPr>
            <w:tcW w:w="1076" w:type="dxa"/>
            <w:tcBorders>
              <w:top w:val="nil"/>
              <w:left w:val="nil"/>
              <w:bottom w:val="nil"/>
            </w:tcBorders>
          </w:tcPr>
          <w:p>
            <w:pPr>
              <w:pStyle w:val="TableParagraph"/>
              <w:spacing w:line="219" w:lineRule="exact"/>
              <w:ind w:right="59"/>
              <w:jc w:val="right"/>
              <w:rPr>
                <w:sz w:val="20"/>
              </w:rPr>
            </w:pPr>
            <w:r>
              <w:rPr>
                <w:w w:val="95"/>
                <w:sz w:val="20"/>
              </w:rPr>
              <w:t>-0.08</w:t>
            </w:r>
          </w:p>
        </w:tc>
      </w:tr>
      <w:tr>
        <w:trPr>
          <w:trHeight w:val="229" w:hRule="exact"/>
        </w:trPr>
        <w:tc>
          <w:tcPr>
            <w:tcW w:w="2506" w:type="dxa"/>
            <w:tcBorders>
              <w:top w:val="nil"/>
              <w:bottom w:val="nil"/>
              <w:right w:val="nil"/>
            </w:tcBorders>
          </w:tcPr>
          <w:p>
            <w:pPr>
              <w:pStyle w:val="TableParagraph"/>
              <w:spacing w:line="218" w:lineRule="exact"/>
              <w:ind w:left="60"/>
              <w:rPr>
                <w:sz w:val="20"/>
              </w:rPr>
            </w:pPr>
            <w:r>
              <w:rPr>
                <w:sz w:val="20"/>
              </w:rPr>
              <w:t>Noreste (NE)</w:t>
            </w:r>
          </w:p>
        </w:tc>
        <w:tc>
          <w:tcPr>
            <w:tcW w:w="2323" w:type="dxa"/>
            <w:tcBorders>
              <w:top w:val="nil"/>
              <w:left w:val="nil"/>
              <w:bottom w:val="nil"/>
              <w:right w:val="nil"/>
            </w:tcBorders>
          </w:tcPr>
          <w:p>
            <w:pPr>
              <w:pStyle w:val="TableParagraph"/>
              <w:spacing w:line="218" w:lineRule="exact"/>
              <w:ind w:right="200"/>
              <w:jc w:val="right"/>
              <w:rPr>
                <w:sz w:val="20"/>
              </w:rPr>
            </w:pPr>
            <w:r>
              <w:rPr>
                <w:w w:val="95"/>
                <w:sz w:val="20"/>
              </w:rPr>
              <w:t>50,139</w:t>
            </w:r>
          </w:p>
        </w:tc>
        <w:tc>
          <w:tcPr>
            <w:tcW w:w="1870" w:type="dxa"/>
            <w:tcBorders>
              <w:top w:val="nil"/>
              <w:left w:val="nil"/>
              <w:bottom w:val="nil"/>
              <w:right w:val="nil"/>
            </w:tcBorders>
          </w:tcPr>
          <w:p>
            <w:pPr>
              <w:pStyle w:val="TableParagraph"/>
              <w:spacing w:line="218" w:lineRule="exact"/>
              <w:ind w:right="166"/>
              <w:jc w:val="right"/>
              <w:rPr>
                <w:sz w:val="20"/>
              </w:rPr>
            </w:pPr>
            <w:r>
              <w:rPr>
                <w:sz w:val="20"/>
              </w:rPr>
              <w:t>50,171</w:t>
            </w:r>
          </w:p>
        </w:tc>
        <w:tc>
          <w:tcPr>
            <w:tcW w:w="1419" w:type="dxa"/>
            <w:tcBorders>
              <w:top w:val="nil"/>
              <w:left w:val="nil"/>
              <w:bottom w:val="nil"/>
              <w:right w:val="nil"/>
            </w:tcBorders>
          </w:tcPr>
          <w:p>
            <w:pPr>
              <w:pStyle w:val="TableParagraph"/>
              <w:spacing w:line="218" w:lineRule="exact"/>
              <w:ind w:right="99"/>
              <w:jc w:val="right"/>
              <w:rPr>
                <w:sz w:val="20"/>
              </w:rPr>
            </w:pPr>
            <w:r>
              <w:rPr>
                <w:sz w:val="20"/>
              </w:rPr>
              <w:t>32</w:t>
            </w:r>
          </w:p>
        </w:tc>
        <w:tc>
          <w:tcPr>
            <w:tcW w:w="1076" w:type="dxa"/>
            <w:tcBorders>
              <w:top w:val="nil"/>
              <w:left w:val="nil"/>
              <w:bottom w:val="nil"/>
            </w:tcBorders>
          </w:tcPr>
          <w:p>
            <w:pPr>
              <w:pStyle w:val="TableParagraph"/>
              <w:spacing w:line="218" w:lineRule="exact"/>
              <w:ind w:right="59"/>
              <w:jc w:val="right"/>
              <w:rPr>
                <w:sz w:val="20"/>
              </w:rPr>
            </w:pPr>
            <w:r>
              <w:rPr>
                <w:sz w:val="20"/>
              </w:rPr>
              <w:t>0.06</w:t>
            </w:r>
          </w:p>
        </w:tc>
      </w:tr>
      <w:tr>
        <w:trPr>
          <w:trHeight w:val="230" w:hRule="exact"/>
        </w:trPr>
        <w:tc>
          <w:tcPr>
            <w:tcW w:w="2506" w:type="dxa"/>
            <w:tcBorders>
              <w:top w:val="nil"/>
              <w:bottom w:val="nil"/>
              <w:right w:val="nil"/>
            </w:tcBorders>
          </w:tcPr>
          <w:p>
            <w:pPr>
              <w:pStyle w:val="TableParagraph"/>
              <w:spacing w:line="219" w:lineRule="exact"/>
              <w:ind w:left="60"/>
              <w:rPr>
                <w:sz w:val="20"/>
              </w:rPr>
            </w:pPr>
            <w:r>
              <w:rPr>
                <w:sz w:val="20"/>
              </w:rPr>
              <w:t>Centro-Occidente (CO)</w:t>
            </w:r>
          </w:p>
        </w:tc>
        <w:tc>
          <w:tcPr>
            <w:tcW w:w="2323" w:type="dxa"/>
            <w:tcBorders>
              <w:top w:val="nil"/>
              <w:left w:val="nil"/>
              <w:bottom w:val="nil"/>
              <w:right w:val="nil"/>
            </w:tcBorders>
          </w:tcPr>
          <w:p>
            <w:pPr>
              <w:pStyle w:val="TableParagraph"/>
              <w:spacing w:line="219" w:lineRule="exact"/>
              <w:ind w:right="200"/>
              <w:jc w:val="right"/>
              <w:rPr>
                <w:sz w:val="20"/>
              </w:rPr>
            </w:pPr>
            <w:r>
              <w:rPr>
                <w:sz w:val="20"/>
              </w:rPr>
              <w:t>354,833</w:t>
            </w:r>
          </w:p>
        </w:tc>
        <w:tc>
          <w:tcPr>
            <w:tcW w:w="1870" w:type="dxa"/>
            <w:tcBorders>
              <w:top w:val="nil"/>
              <w:left w:val="nil"/>
              <w:bottom w:val="nil"/>
              <w:right w:val="nil"/>
            </w:tcBorders>
          </w:tcPr>
          <w:p>
            <w:pPr>
              <w:pStyle w:val="TableParagraph"/>
              <w:spacing w:line="219" w:lineRule="exact"/>
              <w:ind w:right="164"/>
              <w:jc w:val="right"/>
              <w:rPr>
                <w:sz w:val="20"/>
              </w:rPr>
            </w:pPr>
            <w:r>
              <w:rPr>
                <w:w w:val="95"/>
                <w:sz w:val="20"/>
              </w:rPr>
              <w:t>353,192</w:t>
            </w:r>
          </w:p>
        </w:tc>
        <w:tc>
          <w:tcPr>
            <w:tcW w:w="1419" w:type="dxa"/>
            <w:tcBorders>
              <w:top w:val="nil"/>
              <w:left w:val="nil"/>
              <w:bottom w:val="nil"/>
              <w:right w:val="nil"/>
            </w:tcBorders>
          </w:tcPr>
          <w:p>
            <w:pPr>
              <w:pStyle w:val="TableParagraph"/>
              <w:spacing w:line="219" w:lineRule="exact"/>
              <w:ind w:right="100"/>
              <w:jc w:val="right"/>
              <w:rPr>
                <w:sz w:val="20"/>
              </w:rPr>
            </w:pPr>
            <w:r>
              <w:rPr>
                <w:w w:val="95"/>
                <w:sz w:val="20"/>
              </w:rPr>
              <w:t>-1,641</w:t>
            </w:r>
          </w:p>
        </w:tc>
        <w:tc>
          <w:tcPr>
            <w:tcW w:w="1076" w:type="dxa"/>
            <w:tcBorders>
              <w:top w:val="nil"/>
              <w:left w:val="nil"/>
              <w:bottom w:val="nil"/>
            </w:tcBorders>
          </w:tcPr>
          <w:p>
            <w:pPr>
              <w:pStyle w:val="TableParagraph"/>
              <w:spacing w:line="219" w:lineRule="exact"/>
              <w:ind w:right="59"/>
              <w:jc w:val="right"/>
              <w:rPr>
                <w:sz w:val="20"/>
              </w:rPr>
            </w:pPr>
            <w:r>
              <w:rPr>
                <w:w w:val="95"/>
                <w:sz w:val="20"/>
              </w:rPr>
              <w:t>-0.46</w:t>
            </w:r>
          </w:p>
        </w:tc>
      </w:tr>
      <w:tr>
        <w:trPr>
          <w:trHeight w:val="230" w:hRule="exact"/>
        </w:trPr>
        <w:tc>
          <w:tcPr>
            <w:tcW w:w="2506" w:type="dxa"/>
            <w:tcBorders>
              <w:top w:val="nil"/>
              <w:bottom w:val="nil"/>
              <w:right w:val="nil"/>
            </w:tcBorders>
          </w:tcPr>
          <w:p>
            <w:pPr>
              <w:pStyle w:val="TableParagraph"/>
              <w:spacing w:line="219" w:lineRule="exact"/>
              <w:ind w:left="60"/>
              <w:rPr>
                <w:sz w:val="20"/>
              </w:rPr>
            </w:pPr>
            <w:r>
              <w:rPr>
                <w:sz w:val="20"/>
              </w:rPr>
              <w:t>Centro – Este (CE)</w:t>
            </w:r>
          </w:p>
        </w:tc>
        <w:tc>
          <w:tcPr>
            <w:tcW w:w="2323" w:type="dxa"/>
            <w:tcBorders>
              <w:top w:val="nil"/>
              <w:left w:val="nil"/>
              <w:bottom w:val="nil"/>
              <w:right w:val="nil"/>
            </w:tcBorders>
          </w:tcPr>
          <w:p>
            <w:pPr>
              <w:pStyle w:val="TableParagraph"/>
              <w:spacing w:line="219" w:lineRule="exact"/>
              <w:ind w:right="200"/>
              <w:jc w:val="right"/>
              <w:rPr>
                <w:sz w:val="20"/>
              </w:rPr>
            </w:pPr>
            <w:r>
              <w:rPr>
                <w:sz w:val="20"/>
              </w:rPr>
              <w:t>769,221</w:t>
            </w:r>
          </w:p>
        </w:tc>
        <w:tc>
          <w:tcPr>
            <w:tcW w:w="1870" w:type="dxa"/>
            <w:tcBorders>
              <w:top w:val="nil"/>
              <w:left w:val="nil"/>
              <w:bottom w:val="nil"/>
              <w:right w:val="nil"/>
            </w:tcBorders>
          </w:tcPr>
          <w:p>
            <w:pPr>
              <w:pStyle w:val="TableParagraph"/>
              <w:spacing w:line="219" w:lineRule="exact"/>
              <w:ind w:right="166"/>
              <w:jc w:val="right"/>
              <w:rPr>
                <w:sz w:val="20"/>
              </w:rPr>
            </w:pPr>
            <w:r>
              <w:rPr>
                <w:sz w:val="20"/>
              </w:rPr>
              <w:t>764,688</w:t>
            </w:r>
          </w:p>
        </w:tc>
        <w:tc>
          <w:tcPr>
            <w:tcW w:w="1419" w:type="dxa"/>
            <w:tcBorders>
              <w:top w:val="nil"/>
              <w:left w:val="nil"/>
              <w:bottom w:val="nil"/>
              <w:right w:val="nil"/>
            </w:tcBorders>
          </w:tcPr>
          <w:p>
            <w:pPr>
              <w:pStyle w:val="TableParagraph"/>
              <w:spacing w:line="219" w:lineRule="exact"/>
              <w:ind w:right="100"/>
              <w:jc w:val="right"/>
              <w:rPr>
                <w:sz w:val="20"/>
              </w:rPr>
            </w:pPr>
            <w:r>
              <w:rPr>
                <w:w w:val="95"/>
                <w:sz w:val="20"/>
              </w:rPr>
              <w:t>-4,533</w:t>
            </w:r>
          </w:p>
        </w:tc>
        <w:tc>
          <w:tcPr>
            <w:tcW w:w="1076" w:type="dxa"/>
            <w:tcBorders>
              <w:top w:val="nil"/>
              <w:left w:val="nil"/>
              <w:bottom w:val="nil"/>
            </w:tcBorders>
          </w:tcPr>
          <w:p>
            <w:pPr>
              <w:pStyle w:val="TableParagraph"/>
              <w:spacing w:line="219" w:lineRule="exact"/>
              <w:ind w:right="59"/>
              <w:jc w:val="right"/>
              <w:rPr>
                <w:sz w:val="20"/>
              </w:rPr>
            </w:pPr>
            <w:r>
              <w:rPr>
                <w:w w:val="95"/>
                <w:sz w:val="20"/>
              </w:rPr>
              <w:t>-0.59</w:t>
            </w:r>
          </w:p>
        </w:tc>
      </w:tr>
      <w:tr>
        <w:trPr>
          <w:trHeight w:val="230" w:hRule="exact"/>
        </w:trPr>
        <w:tc>
          <w:tcPr>
            <w:tcW w:w="2506" w:type="dxa"/>
            <w:tcBorders>
              <w:top w:val="nil"/>
              <w:bottom w:val="nil"/>
              <w:right w:val="nil"/>
            </w:tcBorders>
          </w:tcPr>
          <w:p>
            <w:pPr>
              <w:pStyle w:val="TableParagraph"/>
              <w:spacing w:line="219" w:lineRule="exact"/>
              <w:ind w:left="60"/>
              <w:rPr>
                <w:sz w:val="20"/>
              </w:rPr>
            </w:pPr>
            <w:r>
              <w:rPr>
                <w:sz w:val="20"/>
              </w:rPr>
              <w:t>Sur (SU)</w:t>
            </w:r>
          </w:p>
        </w:tc>
        <w:tc>
          <w:tcPr>
            <w:tcW w:w="2323" w:type="dxa"/>
            <w:tcBorders>
              <w:top w:val="nil"/>
              <w:left w:val="nil"/>
              <w:bottom w:val="nil"/>
              <w:right w:val="nil"/>
            </w:tcBorders>
          </w:tcPr>
          <w:p>
            <w:pPr>
              <w:pStyle w:val="TableParagraph"/>
              <w:spacing w:line="219" w:lineRule="exact"/>
              <w:ind w:right="200"/>
              <w:jc w:val="right"/>
              <w:rPr>
                <w:sz w:val="20"/>
              </w:rPr>
            </w:pPr>
            <w:r>
              <w:rPr>
                <w:sz w:val="20"/>
              </w:rPr>
              <w:t>284,737</w:t>
            </w:r>
          </w:p>
        </w:tc>
        <w:tc>
          <w:tcPr>
            <w:tcW w:w="1870" w:type="dxa"/>
            <w:tcBorders>
              <w:top w:val="nil"/>
              <w:left w:val="nil"/>
              <w:bottom w:val="nil"/>
              <w:right w:val="nil"/>
            </w:tcBorders>
          </w:tcPr>
          <w:p>
            <w:pPr>
              <w:pStyle w:val="TableParagraph"/>
              <w:spacing w:line="219" w:lineRule="exact"/>
              <w:ind w:right="166"/>
              <w:jc w:val="right"/>
              <w:rPr>
                <w:sz w:val="20"/>
              </w:rPr>
            </w:pPr>
            <w:r>
              <w:rPr>
                <w:sz w:val="20"/>
              </w:rPr>
              <w:t>283,299</w:t>
            </w:r>
          </w:p>
        </w:tc>
        <w:tc>
          <w:tcPr>
            <w:tcW w:w="1419" w:type="dxa"/>
            <w:tcBorders>
              <w:top w:val="nil"/>
              <w:left w:val="nil"/>
              <w:bottom w:val="nil"/>
              <w:right w:val="nil"/>
            </w:tcBorders>
          </w:tcPr>
          <w:p>
            <w:pPr>
              <w:pStyle w:val="TableParagraph"/>
              <w:spacing w:line="219" w:lineRule="exact"/>
              <w:ind w:right="100"/>
              <w:jc w:val="right"/>
              <w:rPr>
                <w:sz w:val="20"/>
              </w:rPr>
            </w:pPr>
            <w:r>
              <w:rPr>
                <w:w w:val="95"/>
                <w:sz w:val="20"/>
              </w:rPr>
              <w:t>-1,438</w:t>
            </w:r>
          </w:p>
        </w:tc>
        <w:tc>
          <w:tcPr>
            <w:tcW w:w="1076" w:type="dxa"/>
            <w:tcBorders>
              <w:top w:val="nil"/>
              <w:left w:val="nil"/>
              <w:bottom w:val="nil"/>
            </w:tcBorders>
          </w:tcPr>
          <w:p>
            <w:pPr>
              <w:pStyle w:val="TableParagraph"/>
              <w:spacing w:line="219" w:lineRule="exact"/>
              <w:ind w:right="59"/>
              <w:jc w:val="right"/>
              <w:rPr>
                <w:sz w:val="20"/>
              </w:rPr>
            </w:pPr>
            <w:r>
              <w:rPr>
                <w:w w:val="95"/>
                <w:sz w:val="20"/>
              </w:rPr>
              <w:t>-0.51</w:t>
            </w:r>
          </w:p>
        </w:tc>
      </w:tr>
      <w:tr>
        <w:trPr>
          <w:trHeight w:val="229" w:hRule="exact"/>
        </w:trPr>
        <w:tc>
          <w:tcPr>
            <w:tcW w:w="2506" w:type="dxa"/>
            <w:tcBorders>
              <w:top w:val="nil"/>
              <w:bottom w:val="nil"/>
              <w:right w:val="nil"/>
            </w:tcBorders>
          </w:tcPr>
          <w:p>
            <w:pPr>
              <w:pStyle w:val="TableParagraph"/>
              <w:spacing w:line="219" w:lineRule="exact"/>
              <w:ind w:left="60"/>
              <w:rPr>
                <w:sz w:val="20"/>
              </w:rPr>
            </w:pPr>
            <w:r>
              <w:rPr>
                <w:sz w:val="20"/>
              </w:rPr>
              <w:t>Oriente (OR)</w:t>
            </w:r>
          </w:p>
        </w:tc>
        <w:tc>
          <w:tcPr>
            <w:tcW w:w="2323" w:type="dxa"/>
            <w:tcBorders>
              <w:top w:val="nil"/>
              <w:left w:val="nil"/>
              <w:bottom w:val="nil"/>
              <w:right w:val="nil"/>
            </w:tcBorders>
          </w:tcPr>
          <w:p>
            <w:pPr>
              <w:pStyle w:val="TableParagraph"/>
              <w:spacing w:line="219" w:lineRule="exact"/>
              <w:ind w:right="200"/>
              <w:jc w:val="right"/>
              <w:rPr>
                <w:sz w:val="20"/>
              </w:rPr>
            </w:pPr>
            <w:r>
              <w:rPr>
                <w:sz w:val="20"/>
              </w:rPr>
              <w:t>303,029</w:t>
            </w:r>
          </w:p>
        </w:tc>
        <w:tc>
          <w:tcPr>
            <w:tcW w:w="1870" w:type="dxa"/>
            <w:tcBorders>
              <w:top w:val="nil"/>
              <w:left w:val="nil"/>
              <w:bottom w:val="nil"/>
              <w:right w:val="nil"/>
            </w:tcBorders>
          </w:tcPr>
          <w:p>
            <w:pPr>
              <w:pStyle w:val="TableParagraph"/>
              <w:spacing w:line="219" w:lineRule="exact"/>
              <w:ind w:right="166"/>
              <w:jc w:val="right"/>
              <w:rPr>
                <w:sz w:val="20"/>
              </w:rPr>
            </w:pPr>
            <w:r>
              <w:rPr>
                <w:sz w:val="20"/>
              </w:rPr>
              <w:t>300,128</w:t>
            </w:r>
          </w:p>
        </w:tc>
        <w:tc>
          <w:tcPr>
            <w:tcW w:w="1419" w:type="dxa"/>
            <w:tcBorders>
              <w:top w:val="nil"/>
              <w:left w:val="nil"/>
              <w:bottom w:val="nil"/>
              <w:right w:val="nil"/>
            </w:tcBorders>
          </w:tcPr>
          <w:p>
            <w:pPr>
              <w:pStyle w:val="TableParagraph"/>
              <w:spacing w:line="219" w:lineRule="exact"/>
              <w:ind w:right="100"/>
              <w:jc w:val="right"/>
              <w:rPr>
                <w:sz w:val="20"/>
              </w:rPr>
            </w:pPr>
            <w:r>
              <w:rPr>
                <w:w w:val="95"/>
                <w:sz w:val="20"/>
              </w:rPr>
              <w:t>-2,901</w:t>
            </w:r>
          </w:p>
        </w:tc>
        <w:tc>
          <w:tcPr>
            <w:tcW w:w="1076" w:type="dxa"/>
            <w:tcBorders>
              <w:top w:val="nil"/>
              <w:left w:val="nil"/>
              <w:bottom w:val="nil"/>
            </w:tcBorders>
          </w:tcPr>
          <w:p>
            <w:pPr>
              <w:pStyle w:val="TableParagraph"/>
              <w:spacing w:line="219" w:lineRule="exact"/>
              <w:ind w:right="59"/>
              <w:jc w:val="right"/>
              <w:rPr>
                <w:sz w:val="20"/>
              </w:rPr>
            </w:pPr>
            <w:r>
              <w:rPr>
                <w:w w:val="95"/>
                <w:sz w:val="20"/>
              </w:rPr>
              <w:t>-0.96</w:t>
            </w:r>
          </w:p>
        </w:tc>
      </w:tr>
      <w:tr>
        <w:trPr>
          <w:trHeight w:val="229" w:hRule="exact"/>
        </w:trPr>
        <w:tc>
          <w:tcPr>
            <w:tcW w:w="2506" w:type="dxa"/>
            <w:tcBorders>
              <w:top w:val="nil"/>
              <w:bottom w:val="nil"/>
              <w:right w:val="nil"/>
            </w:tcBorders>
          </w:tcPr>
          <w:p>
            <w:pPr>
              <w:pStyle w:val="TableParagraph"/>
              <w:spacing w:line="218" w:lineRule="exact"/>
              <w:ind w:left="60"/>
              <w:rPr>
                <w:sz w:val="20"/>
              </w:rPr>
            </w:pPr>
            <w:r>
              <w:rPr>
                <w:sz w:val="20"/>
              </w:rPr>
              <w:t>Península de Yucatán (PE)</w:t>
            </w:r>
          </w:p>
        </w:tc>
        <w:tc>
          <w:tcPr>
            <w:tcW w:w="2323" w:type="dxa"/>
            <w:tcBorders>
              <w:top w:val="nil"/>
              <w:left w:val="nil"/>
              <w:bottom w:val="nil"/>
              <w:right w:val="nil"/>
            </w:tcBorders>
          </w:tcPr>
          <w:p>
            <w:pPr>
              <w:pStyle w:val="TableParagraph"/>
              <w:spacing w:line="218" w:lineRule="exact"/>
              <w:ind w:right="200"/>
              <w:jc w:val="right"/>
              <w:rPr>
                <w:sz w:val="20"/>
              </w:rPr>
            </w:pPr>
            <w:r>
              <w:rPr>
                <w:w w:val="95"/>
                <w:sz w:val="20"/>
              </w:rPr>
              <w:t>133,680</w:t>
            </w:r>
          </w:p>
        </w:tc>
        <w:tc>
          <w:tcPr>
            <w:tcW w:w="1870" w:type="dxa"/>
            <w:tcBorders>
              <w:top w:val="nil"/>
              <w:left w:val="nil"/>
              <w:bottom w:val="nil"/>
              <w:right w:val="nil"/>
            </w:tcBorders>
          </w:tcPr>
          <w:p>
            <w:pPr>
              <w:pStyle w:val="TableParagraph"/>
              <w:spacing w:line="218" w:lineRule="exact"/>
              <w:ind w:right="167"/>
              <w:jc w:val="right"/>
              <w:rPr>
                <w:sz w:val="20"/>
              </w:rPr>
            </w:pPr>
            <w:r>
              <w:rPr>
                <w:w w:val="95"/>
                <w:sz w:val="20"/>
              </w:rPr>
              <w:t>133,300</w:t>
            </w:r>
          </w:p>
        </w:tc>
        <w:tc>
          <w:tcPr>
            <w:tcW w:w="1419" w:type="dxa"/>
            <w:tcBorders>
              <w:top w:val="nil"/>
              <w:left w:val="nil"/>
              <w:bottom w:val="nil"/>
              <w:right w:val="nil"/>
            </w:tcBorders>
          </w:tcPr>
          <w:p>
            <w:pPr>
              <w:pStyle w:val="TableParagraph"/>
              <w:spacing w:line="218" w:lineRule="exact"/>
              <w:ind w:right="99"/>
              <w:jc w:val="right"/>
              <w:rPr>
                <w:sz w:val="20"/>
              </w:rPr>
            </w:pPr>
            <w:r>
              <w:rPr>
                <w:w w:val="95"/>
                <w:sz w:val="20"/>
              </w:rPr>
              <w:t>-380</w:t>
            </w:r>
          </w:p>
        </w:tc>
        <w:tc>
          <w:tcPr>
            <w:tcW w:w="1076" w:type="dxa"/>
            <w:tcBorders>
              <w:top w:val="nil"/>
              <w:left w:val="nil"/>
              <w:bottom w:val="nil"/>
            </w:tcBorders>
          </w:tcPr>
          <w:p>
            <w:pPr>
              <w:pStyle w:val="TableParagraph"/>
              <w:spacing w:line="218" w:lineRule="exact"/>
              <w:ind w:right="59"/>
              <w:jc w:val="right"/>
              <w:rPr>
                <w:sz w:val="20"/>
              </w:rPr>
            </w:pPr>
            <w:r>
              <w:rPr>
                <w:w w:val="95"/>
                <w:sz w:val="20"/>
              </w:rPr>
              <w:t>-0.28</w:t>
            </w:r>
          </w:p>
        </w:tc>
      </w:tr>
      <w:tr>
        <w:trPr>
          <w:trHeight w:val="236" w:hRule="exact"/>
        </w:trPr>
        <w:tc>
          <w:tcPr>
            <w:tcW w:w="2506" w:type="dxa"/>
            <w:tcBorders>
              <w:top w:val="nil"/>
              <w:right w:val="nil"/>
            </w:tcBorders>
          </w:tcPr>
          <w:p>
            <w:pPr>
              <w:pStyle w:val="TableParagraph"/>
              <w:spacing w:line="219" w:lineRule="exact"/>
              <w:ind w:left="60"/>
              <w:rPr>
                <w:sz w:val="20"/>
              </w:rPr>
            </w:pPr>
            <w:r>
              <w:rPr>
                <w:sz w:val="20"/>
              </w:rPr>
              <w:t>Nacional</w:t>
            </w:r>
          </w:p>
        </w:tc>
        <w:tc>
          <w:tcPr>
            <w:tcW w:w="2323" w:type="dxa"/>
            <w:tcBorders>
              <w:top w:val="nil"/>
              <w:left w:val="nil"/>
              <w:right w:val="nil"/>
            </w:tcBorders>
          </w:tcPr>
          <w:p>
            <w:pPr>
              <w:pStyle w:val="TableParagraph"/>
              <w:spacing w:line="219" w:lineRule="exact"/>
              <w:ind w:right="198"/>
              <w:jc w:val="right"/>
              <w:rPr>
                <w:sz w:val="20"/>
              </w:rPr>
            </w:pPr>
            <w:r>
              <w:rPr>
                <w:w w:val="95"/>
                <w:sz w:val="20"/>
              </w:rPr>
              <w:t>2,100,516</w:t>
            </w:r>
          </w:p>
        </w:tc>
        <w:tc>
          <w:tcPr>
            <w:tcW w:w="1870" w:type="dxa"/>
            <w:tcBorders>
              <w:top w:val="nil"/>
              <w:left w:val="nil"/>
              <w:right w:val="nil"/>
            </w:tcBorders>
          </w:tcPr>
          <w:p>
            <w:pPr>
              <w:pStyle w:val="TableParagraph"/>
              <w:spacing w:line="219" w:lineRule="exact"/>
              <w:ind w:right="167"/>
              <w:jc w:val="right"/>
              <w:rPr>
                <w:sz w:val="20"/>
              </w:rPr>
            </w:pPr>
            <w:r>
              <w:rPr>
                <w:w w:val="95"/>
                <w:sz w:val="20"/>
              </w:rPr>
              <w:t>2,089,579</w:t>
            </w:r>
          </w:p>
        </w:tc>
        <w:tc>
          <w:tcPr>
            <w:tcW w:w="1419" w:type="dxa"/>
            <w:tcBorders>
              <w:top w:val="nil"/>
              <w:left w:val="nil"/>
              <w:right w:val="nil"/>
            </w:tcBorders>
          </w:tcPr>
          <w:p>
            <w:pPr>
              <w:pStyle w:val="TableParagraph"/>
              <w:spacing w:line="219" w:lineRule="exact"/>
              <w:ind w:right="100"/>
              <w:jc w:val="right"/>
              <w:rPr>
                <w:sz w:val="20"/>
              </w:rPr>
            </w:pPr>
            <w:r>
              <w:rPr>
                <w:sz w:val="20"/>
              </w:rPr>
              <w:t>-10,938</w:t>
            </w:r>
          </w:p>
        </w:tc>
        <w:tc>
          <w:tcPr>
            <w:tcW w:w="1076" w:type="dxa"/>
            <w:tcBorders>
              <w:top w:val="nil"/>
              <w:left w:val="nil"/>
            </w:tcBorders>
          </w:tcPr>
          <w:p>
            <w:pPr>
              <w:pStyle w:val="TableParagraph"/>
              <w:spacing w:line="219" w:lineRule="exact"/>
              <w:ind w:right="59"/>
              <w:jc w:val="right"/>
              <w:rPr>
                <w:sz w:val="20"/>
              </w:rPr>
            </w:pPr>
            <w:r>
              <w:rPr>
                <w:w w:val="95"/>
                <w:sz w:val="20"/>
              </w:rPr>
              <w:t>-0.52</w:t>
            </w:r>
          </w:p>
        </w:tc>
      </w:tr>
      <w:tr>
        <w:trPr>
          <w:trHeight w:val="252" w:hRule="exact"/>
        </w:trPr>
        <w:tc>
          <w:tcPr>
            <w:tcW w:w="2506" w:type="dxa"/>
            <w:tcBorders>
              <w:right w:val="nil"/>
            </w:tcBorders>
          </w:tcPr>
          <w:p>
            <w:pPr>
              <w:pStyle w:val="TableParagraph"/>
              <w:spacing w:line="224" w:lineRule="exact"/>
              <w:ind w:left="60"/>
              <w:rPr>
                <w:sz w:val="20"/>
              </w:rPr>
            </w:pPr>
            <w:r>
              <w:rPr>
                <w:sz w:val="20"/>
              </w:rPr>
              <w:t>Valor Social Neto</w:t>
            </w:r>
          </w:p>
        </w:tc>
        <w:tc>
          <w:tcPr>
            <w:tcW w:w="2323" w:type="dxa"/>
            <w:tcBorders>
              <w:left w:val="nil"/>
              <w:right w:val="nil"/>
            </w:tcBorders>
          </w:tcPr>
          <w:p>
            <w:pPr>
              <w:pStyle w:val="TableParagraph"/>
              <w:spacing w:line="224" w:lineRule="exact"/>
              <w:ind w:right="202"/>
              <w:jc w:val="right"/>
              <w:rPr>
                <w:sz w:val="20"/>
              </w:rPr>
            </w:pPr>
            <w:r>
              <w:rPr>
                <w:sz w:val="20"/>
              </w:rPr>
              <w:t>3,776,270,811,832</w:t>
            </w:r>
          </w:p>
        </w:tc>
        <w:tc>
          <w:tcPr>
            <w:tcW w:w="1870" w:type="dxa"/>
            <w:tcBorders>
              <w:left w:val="nil"/>
              <w:right w:val="nil"/>
            </w:tcBorders>
          </w:tcPr>
          <w:p>
            <w:pPr>
              <w:pStyle w:val="TableParagraph"/>
              <w:spacing w:line="224" w:lineRule="exact"/>
              <w:ind w:right="168"/>
              <w:jc w:val="right"/>
              <w:rPr>
                <w:sz w:val="20"/>
              </w:rPr>
            </w:pPr>
            <w:r>
              <w:rPr>
                <w:sz w:val="20"/>
              </w:rPr>
              <w:t>3,780,357,715,152</w:t>
            </w:r>
          </w:p>
        </w:tc>
        <w:tc>
          <w:tcPr>
            <w:tcW w:w="1419" w:type="dxa"/>
            <w:tcBorders>
              <w:left w:val="nil"/>
              <w:right w:val="nil"/>
            </w:tcBorders>
          </w:tcPr>
          <w:p>
            <w:pPr>
              <w:pStyle w:val="TableParagraph"/>
              <w:spacing w:line="224" w:lineRule="exact"/>
              <w:ind w:right="101"/>
              <w:jc w:val="right"/>
              <w:rPr>
                <w:sz w:val="20"/>
              </w:rPr>
            </w:pPr>
            <w:r>
              <w:rPr>
                <w:sz w:val="20"/>
              </w:rPr>
              <w:t>4,086,903,320</w:t>
            </w:r>
          </w:p>
        </w:tc>
        <w:tc>
          <w:tcPr>
            <w:tcW w:w="1076" w:type="dxa"/>
            <w:tcBorders>
              <w:left w:val="nil"/>
            </w:tcBorders>
          </w:tcPr>
          <w:p>
            <w:pPr>
              <w:pStyle w:val="TableParagraph"/>
              <w:spacing w:line="224" w:lineRule="exact"/>
              <w:ind w:right="57"/>
              <w:jc w:val="right"/>
              <w:rPr>
                <w:sz w:val="20"/>
              </w:rPr>
            </w:pPr>
            <w:r>
              <w:rPr>
                <w:sz w:val="20"/>
              </w:rPr>
              <w:t>0.11</w:t>
            </w:r>
          </w:p>
        </w:tc>
      </w:tr>
    </w:tbl>
    <w:p>
      <w:pPr>
        <w:pStyle w:val="BodyText"/>
        <w:spacing w:line="270" w:lineRule="exact"/>
        <w:ind w:left="118"/>
        <w:jc w:val="both"/>
      </w:pPr>
      <w:r>
        <w:rPr/>
        <w:t>Fuente: Elaboración propia con los resultados de modelo real y óptimo. 2016</w:t>
      </w:r>
    </w:p>
    <w:p>
      <w:pPr>
        <w:pStyle w:val="BodyText"/>
        <w:spacing w:before="2"/>
        <w:rPr>
          <w:sz w:val="29"/>
        </w:rPr>
      </w:pPr>
    </w:p>
    <w:p>
      <w:pPr>
        <w:pStyle w:val="BodyText"/>
        <w:spacing w:line="360" w:lineRule="auto"/>
        <w:ind w:left="118" w:right="266"/>
        <w:jc w:val="both"/>
      </w:pPr>
      <w:r>
        <w:rPr/>
        <w:t>En el Cuadro 3 se muestra la distribución óptima de carne de cerdo en México para 2015, el modelo sugiere que las demandas de carne de cerdo de cada una de las regiones, para tener el menor costo de distribución debe satisfacerse de la siguiente manera: la región Noroeste (NO) debería</w:t>
      </w:r>
      <w:r>
        <w:rPr>
          <w:spacing w:val="-10"/>
        </w:rPr>
        <w:t> </w:t>
      </w:r>
      <w:r>
        <w:rPr/>
        <w:t>satisfacer</w:t>
      </w:r>
      <w:r>
        <w:rPr>
          <w:spacing w:val="-9"/>
        </w:rPr>
        <w:t> </w:t>
      </w:r>
      <w:r>
        <w:rPr/>
        <w:t>su</w:t>
      </w:r>
      <w:r>
        <w:rPr>
          <w:spacing w:val="-8"/>
        </w:rPr>
        <w:t> </w:t>
      </w:r>
      <w:r>
        <w:rPr/>
        <w:t>demanda</w:t>
      </w:r>
      <w:r>
        <w:rPr>
          <w:spacing w:val="-10"/>
        </w:rPr>
        <w:t> </w:t>
      </w:r>
      <w:r>
        <w:rPr/>
        <w:t>con</w:t>
      </w:r>
      <w:r>
        <w:rPr>
          <w:spacing w:val="-9"/>
        </w:rPr>
        <w:t> </w:t>
      </w:r>
      <w:r>
        <w:rPr/>
        <w:t>el</w:t>
      </w:r>
      <w:r>
        <w:rPr>
          <w:spacing w:val="-8"/>
        </w:rPr>
        <w:t> </w:t>
      </w:r>
      <w:r>
        <w:rPr/>
        <w:t>92,74%</w:t>
      </w:r>
      <w:r>
        <w:rPr>
          <w:spacing w:val="-9"/>
        </w:rPr>
        <w:t> </w:t>
      </w:r>
      <w:r>
        <w:rPr/>
        <w:t>de</w:t>
      </w:r>
      <w:r>
        <w:rPr>
          <w:spacing w:val="-10"/>
        </w:rPr>
        <w:t> </w:t>
      </w:r>
      <w:r>
        <w:rPr/>
        <w:t>carne</w:t>
      </w:r>
      <w:r>
        <w:rPr>
          <w:spacing w:val="-10"/>
        </w:rPr>
        <w:t> </w:t>
      </w:r>
      <w:r>
        <w:rPr/>
        <w:t>de</w:t>
      </w:r>
      <w:r>
        <w:rPr>
          <w:spacing w:val="-10"/>
        </w:rPr>
        <w:t> </w:t>
      </w:r>
      <w:r>
        <w:rPr/>
        <w:t>esa</w:t>
      </w:r>
      <w:r>
        <w:rPr>
          <w:spacing w:val="-9"/>
        </w:rPr>
        <w:t> </w:t>
      </w:r>
      <w:r>
        <w:rPr/>
        <w:t>misma</w:t>
      </w:r>
      <w:r>
        <w:rPr>
          <w:spacing w:val="-9"/>
        </w:rPr>
        <w:t> </w:t>
      </w:r>
      <w:r>
        <w:rPr/>
        <w:t>región</w:t>
      </w:r>
      <w:r>
        <w:rPr>
          <w:spacing w:val="-8"/>
        </w:rPr>
        <w:t> </w:t>
      </w:r>
      <w:r>
        <w:rPr/>
        <w:t>y</w:t>
      </w:r>
      <w:r>
        <w:rPr>
          <w:spacing w:val="-11"/>
        </w:rPr>
        <w:t> </w:t>
      </w:r>
      <w:r>
        <w:rPr/>
        <w:t>un</w:t>
      </w:r>
      <w:r>
        <w:rPr>
          <w:spacing w:val="-9"/>
        </w:rPr>
        <w:t> </w:t>
      </w:r>
      <w:r>
        <w:rPr/>
        <w:t>7.26%</w:t>
      </w:r>
      <w:r>
        <w:rPr>
          <w:spacing w:val="-9"/>
        </w:rPr>
        <w:t> </w:t>
      </w:r>
      <w:r>
        <w:rPr/>
        <w:t>con</w:t>
      </w:r>
      <w:r>
        <w:rPr>
          <w:spacing w:val="-9"/>
        </w:rPr>
        <w:t> </w:t>
      </w:r>
      <w:r>
        <w:rPr/>
        <w:t>carne de cerdo que ingresa por el punto de internación 2. La región Norte (NR) debería satisfacer su mercado con un 18.05% de carne producida en esa región más carne importada de la cual el 19.74% ingresa del punto de internación número 1 y el 62.22 % por el punto de internación número</w:t>
      </w:r>
      <w:r>
        <w:rPr>
          <w:spacing w:val="-9"/>
        </w:rPr>
        <w:t> </w:t>
      </w:r>
      <w:r>
        <w:rPr/>
        <w:t>2.</w:t>
      </w:r>
      <w:r>
        <w:rPr>
          <w:spacing w:val="-9"/>
        </w:rPr>
        <w:t> </w:t>
      </w:r>
      <w:r>
        <w:rPr/>
        <w:t>El</w:t>
      </w:r>
      <w:r>
        <w:rPr>
          <w:spacing w:val="-8"/>
        </w:rPr>
        <w:t> </w:t>
      </w:r>
      <w:r>
        <w:rPr/>
        <w:t>100</w:t>
      </w:r>
      <w:r>
        <w:rPr>
          <w:spacing w:val="-9"/>
        </w:rPr>
        <w:t> </w:t>
      </w:r>
      <w:r>
        <w:rPr/>
        <w:t>%</w:t>
      </w:r>
      <w:r>
        <w:rPr>
          <w:spacing w:val="-9"/>
        </w:rPr>
        <w:t> </w:t>
      </w:r>
      <w:r>
        <w:rPr/>
        <w:t>de</w:t>
      </w:r>
      <w:r>
        <w:rPr>
          <w:spacing w:val="-10"/>
        </w:rPr>
        <w:t> </w:t>
      </w:r>
      <w:r>
        <w:rPr/>
        <w:t>la</w:t>
      </w:r>
      <w:r>
        <w:rPr>
          <w:spacing w:val="-7"/>
        </w:rPr>
        <w:t> </w:t>
      </w:r>
      <w:r>
        <w:rPr/>
        <w:t>carne</w:t>
      </w:r>
      <w:r>
        <w:rPr>
          <w:spacing w:val="-10"/>
        </w:rPr>
        <w:t> </w:t>
      </w:r>
      <w:r>
        <w:rPr/>
        <w:t>que</w:t>
      </w:r>
      <w:r>
        <w:rPr>
          <w:spacing w:val="-10"/>
        </w:rPr>
        <w:t> </w:t>
      </w:r>
      <w:r>
        <w:rPr/>
        <w:t>se</w:t>
      </w:r>
      <w:r>
        <w:rPr>
          <w:spacing w:val="-10"/>
        </w:rPr>
        <w:t> </w:t>
      </w:r>
      <w:r>
        <w:rPr/>
        <w:t>consume</w:t>
      </w:r>
      <w:r>
        <w:rPr>
          <w:spacing w:val="-7"/>
        </w:rPr>
        <w:t> </w:t>
      </w:r>
      <w:r>
        <w:rPr/>
        <w:t>en</w:t>
      </w:r>
      <w:r>
        <w:rPr>
          <w:spacing w:val="-7"/>
        </w:rPr>
        <w:t> </w:t>
      </w:r>
      <w:r>
        <w:rPr/>
        <w:t>la</w:t>
      </w:r>
      <w:r>
        <w:rPr>
          <w:spacing w:val="-9"/>
        </w:rPr>
        <w:t> </w:t>
      </w:r>
      <w:r>
        <w:rPr/>
        <w:t>región</w:t>
      </w:r>
      <w:r>
        <w:rPr>
          <w:spacing w:val="-8"/>
        </w:rPr>
        <w:t> </w:t>
      </w:r>
      <w:r>
        <w:rPr/>
        <w:t>Noreste</w:t>
      </w:r>
      <w:r>
        <w:rPr>
          <w:spacing w:val="-9"/>
        </w:rPr>
        <w:t> </w:t>
      </w:r>
      <w:r>
        <w:rPr/>
        <w:t>(NE)</w:t>
      </w:r>
      <w:r>
        <w:rPr>
          <w:spacing w:val="43"/>
        </w:rPr>
        <w:t> </w:t>
      </w:r>
      <w:r>
        <w:rPr/>
        <w:t>debería</w:t>
      </w:r>
      <w:r>
        <w:rPr>
          <w:spacing w:val="-10"/>
        </w:rPr>
        <w:t> </w:t>
      </w:r>
      <w:r>
        <w:rPr/>
        <w:t>ser</w:t>
      </w:r>
      <w:r>
        <w:rPr>
          <w:spacing w:val="-9"/>
        </w:rPr>
        <w:t> </w:t>
      </w:r>
      <w:r>
        <w:rPr/>
        <w:t>importada y</w:t>
      </w:r>
      <w:r>
        <w:rPr>
          <w:spacing w:val="-13"/>
        </w:rPr>
        <w:t> </w:t>
      </w:r>
      <w:r>
        <w:rPr/>
        <w:t>toda</w:t>
      </w:r>
      <w:r>
        <w:rPr>
          <w:spacing w:val="-12"/>
        </w:rPr>
        <w:t> </w:t>
      </w:r>
      <w:r>
        <w:rPr/>
        <w:t>ingresaría</w:t>
      </w:r>
      <w:r>
        <w:rPr>
          <w:spacing w:val="-12"/>
        </w:rPr>
        <w:t> </w:t>
      </w:r>
      <w:r>
        <w:rPr/>
        <w:t>por</w:t>
      </w:r>
      <w:r>
        <w:rPr>
          <w:spacing w:val="-9"/>
        </w:rPr>
        <w:t> </w:t>
      </w:r>
      <w:r>
        <w:rPr/>
        <w:t>el</w:t>
      </w:r>
      <w:r>
        <w:rPr>
          <w:spacing w:val="-11"/>
        </w:rPr>
        <w:t> </w:t>
      </w:r>
      <w:r>
        <w:rPr/>
        <w:t>punto</w:t>
      </w:r>
      <w:r>
        <w:rPr>
          <w:spacing w:val="-11"/>
        </w:rPr>
        <w:t> </w:t>
      </w:r>
      <w:r>
        <w:rPr/>
        <w:t>de</w:t>
      </w:r>
      <w:r>
        <w:rPr>
          <w:spacing w:val="-12"/>
        </w:rPr>
        <w:t> </w:t>
      </w:r>
      <w:r>
        <w:rPr/>
        <w:t>internación</w:t>
      </w:r>
      <w:r>
        <w:rPr>
          <w:spacing w:val="-11"/>
        </w:rPr>
        <w:t> </w:t>
      </w:r>
      <w:r>
        <w:rPr/>
        <w:t>número</w:t>
      </w:r>
      <w:r>
        <w:rPr>
          <w:spacing w:val="-12"/>
        </w:rPr>
        <w:t> </w:t>
      </w:r>
      <w:r>
        <w:rPr/>
        <w:t>1.</w:t>
      </w:r>
      <w:r>
        <w:rPr>
          <w:spacing w:val="-9"/>
        </w:rPr>
        <w:t> </w:t>
      </w:r>
      <w:r>
        <w:rPr/>
        <w:t>La</w:t>
      </w:r>
      <w:r>
        <w:rPr>
          <w:spacing w:val="-12"/>
        </w:rPr>
        <w:t> </w:t>
      </w:r>
      <w:r>
        <w:rPr/>
        <w:t>región</w:t>
      </w:r>
      <w:r>
        <w:rPr>
          <w:spacing w:val="-11"/>
        </w:rPr>
        <w:t> </w:t>
      </w:r>
      <w:r>
        <w:rPr/>
        <w:t>Centro-Occidente</w:t>
      </w:r>
      <w:r>
        <w:rPr>
          <w:spacing w:val="-12"/>
        </w:rPr>
        <w:t> </w:t>
      </w:r>
      <w:r>
        <w:rPr/>
        <w:t>(CO)</w:t>
      </w:r>
      <w:r>
        <w:rPr>
          <w:spacing w:val="-12"/>
        </w:rPr>
        <w:t> </w:t>
      </w:r>
      <w:r>
        <w:rPr/>
        <w:t>debería satisfacer su demanda con carne proveniente de la región Noroeste 33.69 %, del punto de internación</w:t>
      </w:r>
      <w:r>
        <w:rPr>
          <w:spacing w:val="-6"/>
        </w:rPr>
        <w:t> </w:t>
      </w:r>
      <w:r>
        <w:rPr/>
        <w:t>1</w:t>
      </w:r>
      <w:r>
        <w:rPr>
          <w:spacing w:val="-6"/>
        </w:rPr>
        <w:t> </w:t>
      </w:r>
      <w:r>
        <w:rPr/>
        <w:t>el</w:t>
      </w:r>
      <w:r>
        <w:rPr>
          <w:spacing w:val="-6"/>
        </w:rPr>
        <w:t> </w:t>
      </w:r>
      <w:r>
        <w:rPr/>
        <w:t>3.44</w:t>
      </w:r>
      <w:r>
        <w:rPr>
          <w:spacing w:val="-6"/>
        </w:rPr>
        <w:t> </w:t>
      </w:r>
      <w:r>
        <w:rPr/>
        <w:t>% y</w:t>
      </w:r>
      <w:r>
        <w:rPr>
          <w:spacing w:val="-9"/>
        </w:rPr>
        <w:t> </w:t>
      </w:r>
      <w:r>
        <w:rPr/>
        <w:t>el</w:t>
      </w:r>
      <w:r>
        <w:rPr>
          <w:spacing w:val="-6"/>
        </w:rPr>
        <w:t> </w:t>
      </w:r>
      <w:r>
        <w:rPr/>
        <w:t>62.87</w:t>
      </w:r>
      <w:r>
        <w:rPr>
          <w:spacing w:val="-6"/>
        </w:rPr>
        <w:t> </w:t>
      </w:r>
      <w:r>
        <w:rPr/>
        <w:t>%</w:t>
      </w:r>
      <w:r>
        <w:rPr>
          <w:spacing w:val="-7"/>
        </w:rPr>
        <w:t> </w:t>
      </w:r>
      <w:r>
        <w:rPr/>
        <w:t>con</w:t>
      </w:r>
      <w:r>
        <w:rPr>
          <w:spacing w:val="-6"/>
        </w:rPr>
        <w:t> </w:t>
      </w:r>
      <w:r>
        <w:rPr/>
        <w:t>carne</w:t>
      </w:r>
      <w:r>
        <w:rPr>
          <w:spacing w:val="-7"/>
        </w:rPr>
        <w:t> </w:t>
      </w:r>
      <w:r>
        <w:rPr/>
        <w:t>producida</w:t>
      </w:r>
      <w:r>
        <w:rPr>
          <w:spacing w:val="-7"/>
        </w:rPr>
        <w:t> </w:t>
      </w:r>
      <w:r>
        <w:rPr/>
        <w:t>en</w:t>
      </w:r>
      <w:r>
        <w:rPr>
          <w:spacing w:val="-6"/>
        </w:rPr>
        <w:t> </w:t>
      </w:r>
      <w:r>
        <w:rPr/>
        <w:t>esa</w:t>
      </w:r>
      <w:r>
        <w:rPr>
          <w:spacing w:val="-7"/>
        </w:rPr>
        <w:t> </w:t>
      </w:r>
      <w:r>
        <w:rPr/>
        <w:t>misma</w:t>
      </w:r>
      <w:r>
        <w:rPr>
          <w:spacing w:val="-6"/>
        </w:rPr>
        <w:t> </w:t>
      </w:r>
      <w:r>
        <w:rPr/>
        <w:t>región. La</w:t>
      </w:r>
      <w:r>
        <w:rPr>
          <w:spacing w:val="-7"/>
        </w:rPr>
        <w:t> </w:t>
      </w:r>
      <w:r>
        <w:rPr/>
        <w:t>región</w:t>
      </w:r>
      <w:r>
        <w:rPr>
          <w:spacing w:val="-6"/>
        </w:rPr>
        <w:t> </w:t>
      </w:r>
      <w:r>
        <w:rPr/>
        <w:t>Centro</w:t>
      </w:r>
    </w:p>
    <w:p>
      <w:pPr>
        <w:pStyle w:val="BodyText"/>
        <w:spacing w:line="360" w:lineRule="auto" w:before="6"/>
        <w:ind w:left="118" w:right="272"/>
        <w:jc w:val="both"/>
      </w:pPr>
      <w:r>
        <w:rPr/>
        <w:t>- Este (CE) debería recibir carne de otras 4 regiones Norte 1.43 %, Noreste 0.06 %, Centro Occidente 22.99 %, del punto de internación 1 el       73.60 %, complementa su demanda con la</w:t>
      </w:r>
    </w:p>
    <w:p>
      <w:pPr>
        <w:spacing w:after="0" w:line="360" w:lineRule="auto"/>
        <w:jc w:val="both"/>
        <w:sectPr>
          <w:pgSz w:w="12240" w:h="15840"/>
          <w:pgMar w:header="984" w:footer="986" w:top="1280" w:bottom="1180" w:left="1300" w:right="1340"/>
        </w:sectPr>
      </w:pPr>
    </w:p>
    <w:p>
      <w:pPr>
        <w:pStyle w:val="BodyText"/>
        <w:spacing w:line="360" w:lineRule="auto" w:before="125"/>
        <w:ind w:left="118" w:right="263"/>
        <w:jc w:val="both"/>
      </w:pPr>
      <w:r>
        <w:rPr/>
        <w:t>producción 1.92 % de esa misma región. La región Sur (SU) debería recibir carne de la región Noreste 1.73 %, del Centro - Este 73.08 %, del punto de internación 1 el 3.44 % y de esa</w:t>
      </w:r>
      <w:r>
        <w:rPr>
          <w:spacing w:val="-20"/>
        </w:rPr>
        <w:t> </w:t>
      </w:r>
      <w:r>
        <w:rPr/>
        <w:t>misma región el 21.75 %. Para la región Oriente (OR) el programa sugiere que debería recibir carne de las</w:t>
      </w:r>
      <w:r>
        <w:rPr>
          <w:spacing w:val="-9"/>
        </w:rPr>
        <w:t> </w:t>
      </w:r>
      <w:r>
        <w:rPr/>
        <w:t>regiones</w:t>
      </w:r>
      <w:r>
        <w:rPr>
          <w:spacing w:val="-9"/>
        </w:rPr>
        <w:t> </w:t>
      </w:r>
      <w:r>
        <w:rPr/>
        <w:t>Noreste</w:t>
      </w:r>
      <w:r>
        <w:rPr>
          <w:spacing w:val="-9"/>
        </w:rPr>
        <w:t> </w:t>
      </w:r>
      <w:r>
        <w:rPr/>
        <w:t>8.75</w:t>
      </w:r>
      <w:r>
        <w:rPr>
          <w:spacing w:val="-6"/>
        </w:rPr>
        <w:t> </w:t>
      </w:r>
      <w:r>
        <w:rPr/>
        <w:t>%,</w:t>
      </w:r>
      <w:r>
        <w:rPr>
          <w:spacing w:val="-8"/>
        </w:rPr>
        <w:t> </w:t>
      </w:r>
      <w:r>
        <w:rPr/>
        <w:t>Centro</w:t>
      </w:r>
      <w:r>
        <w:rPr>
          <w:spacing w:val="-9"/>
        </w:rPr>
        <w:t> </w:t>
      </w:r>
      <w:r>
        <w:rPr/>
        <w:t>Occidente</w:t>
      </w:r>
      <w:r>
        <w:rPr>
          <w:spacing w:val="-10"/>
        </w:rPr>
        <w:t> </w:t>
      </w:r>
      <w:r>
        <w:rPr/>
        <w:t>7.29</w:t>
      </w:r>
      <w:r>
        <w:rPr>
          <w:spacing w:val="-9"/>
        </w:rPr>
        <w:t> </w:t>
      </w:r>
      <w:r>
        <w:rPr/>
        <w:t>%,</w:t>
      </w:r>
      <w:r>
        <w:rPr>
          <w:spacing w:val="-9"/>
        </w:rPr>
        <w:t> </w:t>
      </w:r>
      <w:r>
        <w:rPr/>
        <w:t>Centro-Este</w:t>
      </w:r>
      <w:r>
        <w:rPr>
          <w:spacing w:val="-9"/>
        </w:rPr>
        <w:t> </w:t>
      </w:r>
      <w:r>
        <w:rPr/>
        <w:t>4.05</w:t>
      </w:r>
      <w:r>
        <w:rPr>
          <w:spacing w:val="-9"/>
        </w:rPr>
        <w:t> </w:t>
      </w:r>
      <w:r>
        <w:rPr/>
        <w:t>%,</w:t>
      </w:r>
      <w:r>
        <w:rPr>
          <w:spacing w:val="-9"/>
        </w:rPr>
        <w:t> </w:t>
      </w:r>
      <w:r>
        <w:rPr/>
        <w:t>Sur</w:t>
      </w:r>
      <w:r>
        <w:rPr>
          <w:spacing w:val="-9"/>
        </w:rPr>
        <w:t> </w:t>
      </w:r>
      <w:r>
        <w:rPr/>
        <w:t>4.89</w:t>
      </w:r>
      <w:r>
        <w:rPr>
          <w:spacing w:val="-9"/>
        </w:rPr>
        <w:t> </w:t>
      </w:r>
      <w:r>
        <w:rPr/>
        <w:t>%</w:t>
      </w:r>
      <w:r>
        <w:rPr>
          <w:spacing w:val="-9"/>
        </w:rPr>
        <w:t> </w:t>
      </w:r>
      <w:r>
        <w:rPr/>
        <w:t>la</w:t>
      </w:r>
      <w:r>
        <w:rPr>
          <w:spacing w:val="-9"/>
        </w:rPr>
        <w:t> </w:t>
      </w:r>
      <w:r>
        <w:rPr/>
        <w:t>propia región 35.57 % y con importaciones que ingresan por el punto de internación número 1 el</w:t>
      </w:r>
      <w:r>
        <w:rPr>
          <w:spacing w:val="-15"/>
        </w:rPr>
        <w:t> </w:t>
      </w:r>
      <w:r>
        <w:rPr/>
        <w:t>39.45</w:t>
      </w:r>
    </w:p>
    <w:p>
      <w:pPr>
        <w:pStyle w:val="BodyText"/>
        <w:spacing w:before="4"/>
        <w:ind w:left="118"/>
        <w:jc w:val="both"/>
      </w:pPr>
      <w:r>
        <w:rPr/>
        <w:t>%. La región de la Península de Yucatán (PE) debería recibir carne de la región Oriente el 19.63</w:t>
      </w:r>
    </w:p>
    <w:p>
      <w:pPr>
        <w:pStyle w:val="BodyText"/>
        <w:spacing w:before="139"/>
        <w:ind w:left="118"/>
        <w:jc w:val="both"/>
      </w:pPr>
      <w:r>
        <w:rPr/>
        <w:t>% y complementarla con carne de la misma región el 80.37 %.</w:t>
      </w:r>
    </w:p>
    <w:p>
      <w:pPr>
        <w:pStyle w:val="BodyText"/>
        <w:spacing w:before="4"/>
        <w:rPr>
          <w:sz w:val="29"/>
        </w:rPr>
      </w:pPr>
    </w:p>
    <w:p>
      <w:pPr>
        <w:pStyle w:val="BodyText"/>
        <w:spacing w:before="1"/>
        <w:ind w:left="118"/>
        <w:jc w:val="both"/>
      </w:pPr>
      <w:r>
        <w:rPr/>
        <w:t>Cuadro 3: Distribución óptima (toneladas) de carne de cerdo en México 2015</w:t>
      </w:r>
    </w:p>
    <w:p>
      <w:pPr>
        <w:pStyle w:val="BodyText"/>
        <w:spacing w:before="8" w:after="1"/>
        <w:rPr>
          <w:sz w:val="29"/>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6"/>
        <w:gridCol w:w="907"/>
        <w:gridCol w:w="907"/>
        <w:gridCol w:w="908"/>
        <w:gridCol w:w="907"/>
        <w:gridCol w:w="1376"/>
        <w:gridCol w:w="919"/>
        <w:gridCol w:w="922"/>
        <w:gridCol w:w="920"/>
        <w:gridCol w:w="922"/>
      </w:tblGrid>
      <w:tr>
        <w:trPr>
          <w:trHeight w:val="355" w:hRule="exact"/>
        </w:trPr>
        <w:tc>
          <w:tcPr>
            <w:tcW w:w="516" w:type="dxa"/>
          </w:tcPr>
          <w:p>
            <w:pPr/>
          </w:p>
        </w:tc>
        <w:tc>
          <w:tcPr>
            <w:tcW w:w="907" w:type="dxa"/>
          </w:tcPr>
          <w:p>
            <w:pPr>
              <w:pStyle w:val="TableParagraph"/>
              <w:spacing w:line="226" w:lineRule="exact"/>
              <w:ind w:left="284" w:right="284"/>
              <w:jc w:val="center"/>
              <w:rPr>
                <w:sz w:val="20"/>
              </w:rPr>
            </w:pPr>
            <w:r>
              <w:rPr>
                <w:sz w:val="20"/>
              </w:rPr>
              <w:t>NO</w:t>
            </w:r>
          </w:p>
        </w:tc>
        <w:tc>
          <w:tcPr>
            <w:tcW w:w="907" w:type="dxa"/>
            <w:tcBorders>
              <w:right w:val="single" w:sz="4" w:space="0" w:color="000000"/>
            </w:tcBorders>
          </w:tcPr>
          <w:p>
            <w:pPr>
              <w:pStyle w:val="TableParagraph"/>
              <w:spacing w:line="226" w:lineRule="exact"/>
              <w:ind w:left="286" w:right="290"/>
              <w:jc w:val="center"/>
              <w:rPr>
                <w:sz w:val="20"/>
              </w:rPr>
            </w:pPr>
            <w:r>
              <w:rPr>
                <w:sz w:val="20"/>
              </w:rPr>
              <w:t>NR</w:t>
            </w:r>
          </w:p>
        </w:tc>
        <w:tc>
          <w:tcPr>
            <w:tcW w:w="908" w:type="dxa"/>
            <w:tcBorders>
              <w:left w:val="single" w:sz="4" w:space="0" w:color="000000"/>
            </w:tcBorders>
          </w:tcPr>
          <w:p>
            <w:pPr>
              <w:pStyle w:val="TableParagraph"/>
              <w:spacing w:line="226" w:lineRule="exact"/>
              <w:ind w:left="295" w:right="295"/>
              <w:jc w:val="center"/>
              <w:rPr>
                <w:sz w:val="20"/>
              </w:rPr>
            </w:pPr>
            <w:r>
              <w:rPr>
                <w:sz w:val="20"/>
              </w:rPr>
              <w:t>NE</w:t>
            </w:r>
          </w:p>
        </w:tc>
        <w:tc>
          <w:tcPr>
            <w:tcW w:w="907" w:type="dxa"/>
          </w:tcPr>
          <w:p>
            <w:pPr>
              <w:pStyle w:val="TableParagraph"/>
              <w:spacing w:line="226" w:lineRule="exact"/>
              <w:ind w:left="287" w:right="288"/>
              <w:jc w:val="center"/>
              <w:rPr>
                <w:sz w:val="20"/>
              </w:rPr>
            </w:pPr>
            <w:r>
              <w:rPr>
                <w:sz w:val="20"/>
              </w:rPr>
              <w:t>CO</w:t>
            </w:r>
          </w:p>
        </w:tc>
        <w:tc>
          <w:tcPr>
            <w:tcW w:w="1376" w:type="dxa"/>
          </w:tcPr>
          <w:p>
            <w:pPr>
              <w:pStyle w:val="TableParagraph"/>
              <w:spacing w:line="226" w:lineRule="exact"/>
              <w:ind w:left="534" w:right="536"/>
              <w:jc w:val="center"/>
              <w:rPr>
                <w:sz w:val="20"/>
              </w:rPr>
            </w:pPr>
            <w:r>
              <w:rPr>
                <w:sz w:val="20"/>
              </w:rPr>
              <w:t>CE</w:t>
            </w:r>
          </w:p>
        </w:tc>
        <w:tc>
          <w:tcPr>
            <w:tcW w:w="919" w:type="dxa"/>
          </w:tcPr>
          <w:p>
            <w:pPr>
              <w:pStyle w:val="TableParagraph"/>
              <w:spacing w:line="226" w:lineRule="exact"/>
              <w:ind w:left="306" w:right="306"/>
              <w:jc w:val="center"/>
              <w:rPr>
                <w:sz w:val="20"/>
              </w:rPr>
            </w:pPr>
            <w:r>
              <w:rPr>
                <w:sz w:val="20"/>
              </w:rPr>
              <w:t>SU</w:t>
            </w:r>
          </w:p>
        </w:tc>
        <w:tc>
          <w:tcPr>
            <w:tcW w:w="922" w:type="dxa"/>
          </w:tcPr>
          <w:p>
            <w:pPr>
              <w:pStyle w:val="TableParagraph"/>
              <w:spacing w:line="226" w:lineRule="exact"/>
              <w:ind w:left="295" w:right="299"/>
              <w:jc w:val="center"/>
              <w:rPr>
                <w:sz w:val="20"/>
              </w:rPr>
            </w:pPr>
            <w:r>
              <w:rPr>
                <w:sz w:val="20"/>
              </w:rPr>
              <w:t>OR</w:t>
            </w:r>
          </w:p>
        </w:tc>
        <w:tc>
          <w:tcPr>
            <w:tcW w:w="920" w:type="dxa"/>
          </w:tcPr>
          <w:p>
            <w:pPr>
              <w:pStyle w:val="TableParagraph"/>
              <w:spacing w:line="226" w:lineRule="exact"/>
              <w:ind w:left="320" w:right="316"/>
              <w:jc w:val="center"/>
              <w:rPr>
                <w:sz w:val="20"/>
              </w:rPr>
            </w:pPr>
            <w:r>
              <w:rPr>
                <w:sz w:val="20"/>
              </w:rPr>
              <w:t>PE</w:t>
            </w:r>
          </w:p>
        </w:tc>
        <w:tc>
          <w:tcPr>
            <w:tcW w:w="922" w:type="dxa"/>
          </w:tcPr>
          <w:p>
            <w:pPr>
              <w:pStyle w:val="TableParagraph"/>
              <w:spacing w:line="230" w:lineRule="exact"/>
              <w:ind w:left="295" w:right="295"/>
              <w:jc w:val="center"/>
              <w:rPr>
                <w:i/>
                <w:sz w:val="13"/>
              </w:rPr>
            </w:pPr>
            <w:r>
              <w:rPr>
                <w:i/>
                <w:position w:val="2"/>
                <w:sz w:val="20"/>
              </w:rPr>
              <w:t>S</w:t>
            </w:r>
            <w:r>
              <w:rPr>
                <w:i/>
                <w:sz w:val="13"/>
              </w:rPr>
              <w:t>d</w:t>
            </w:r>
          </w:p>
        </w:tc>
      </w:tr>
      <w:tr>
        <w:trPr>
          <w:trHeight w:val="355" w:hRule="exact"/>
        </w:trPr>
        <w:tc>
          <w:tcPr>
            <w:tcW w:w="516" w:type="dxa"/>
            <w:shd w:val="clear" w:color="auto" w:fill="F1F1F1"/>
          </w:tcPr>
          <w:p>
            <w:pPr>
              <w:pStyle w:val="TableParagraph"/>
              <w:spacing w:line="223" w:lineRule="exact"/>
              <w:ind w:left="107"/>
              <w:rPr>
                <w:sz w:val="20"/>
              </w:rPr>
            </w:pPr>
            <w:r>
              <w:rPr>
                <w:sz w:val="20"/>
              </w:rPr>
              <w:t>NO</w:t>
            </w:r>
          </w:p>
        </w:tc>
        <w:tc>
          <w:tcPr>
            <w:tcW w:w="907" w:type="dxa"/>
            <w:shd w:val="clear" w:color="auto" w:fill="F1F1F1"/>
          </w:tcPr>
          <w:p>
            <w:pPr>
              <w:pStyle w:val="TableParagraph"/>
              <w:spacing w:line="223" w:lineRule="exact"/>
              <w:ind w:left="103"/>
              <w:rPr>
                <w:sz w:val="20"/>
              </w:rPr>
            </w:pPr>
            <w:r>
              <w:rPr>
                <w:sz w:val="20"/>
              </w:rPr>
              <w:t>74,586</w:t>
            </w:r>
          </w:p>
        </w:tc>
        <w:tc>
          <w:tcPr>
            <w:tcW w:w="907" w:type="dxa"/>
            <w:tcBorders>
              <w:right w:val="single" w:sz="4" w:space="0" w:color="000000"/>
            </w:tcBorders>
            <w:shd w:val="clear" w:color="auto" w:fill="F1F1F1"/>
          </w:tcPr>
          <w:p>
            <w:pPr>
              <w:pStyle w:val="TableParagraph"/>
              <w:spacing w:line="223" w:lineRule="exact"/>
              <w:ind w:left="100"/>
              <w:rPr>
                <w:sz w:val="20"/>
              </w:rPr>
            </w:pPr>
            <w:r>
              <w:rPr>
                <w:w w:val="99"/>
                <w:sz w:val="20"/>
              </w:rPr>
              <w:t>-</w:t>
            </w:r>
          </w:p>
        </w:tc>
        <w:tc>
          <w:tcPr>
            <w:tcW w:w="908" w:type="dxa"/>
            <w:tcBorders>
              <w:left w:val="single" w:sz="4" w:space="0" w:color="000000"/>
            </w:tcBorders>
            <w:shd w:val="clear" w:color="auto" w:fill="F1F1F1"/>
          </w:tcPr>
          <w:p>
            <w:pPr>
              <w:pStyle w:val="TableParagraph"/>
              <w:spacing w:line="223" w:lineRule="exact"/>
              <w:ind w:left="153"/>
              <w:rPr>
                <w:sz w:val="20"/>
              </w:rPr>
            </w:pPr>
            <w:r>
              <w:rPr>
                <w:w w:val="99"/>
                <w:sz w:val="20"/>
              </w:rPr>
              <w:t>-</w:t>
            </w:r>
          </w:p>
        </w:tc>
        <w:tc>
          <w:tcPr>
            <w:tcW w:w="907" w:type="dxa"/>
            <w:shd w:val="clear" w:color="auto" w:fill="F1F1F1"/>
          </w:tcPr>
          <w:p>
            <w:pPr>
              <w:pStyle w:val="TableParagraph"/>
              <w:spacing w:line="223" w:lineRule="exact"/>
              <w:ind w:left="103"/>
              <w:rPr>
                <w:sz w:val="20"/>
              </w:rPr>
            </w:pPr>
            <w:r>
              <w:rPr>
                <w:sz w:val="20"/>
              </w:rPr>
              <w:t>118,985</w:t>
            </w:r>
          </w:p>
        </w:tc>
        <w:tc>
          <w:tcPr>
            <w:tcW w:w="1376" w:type="dxa"/>
            <w:shd w:val="clear" w:color="auto" w:fill="F1F1F1"/>
          </w:tcPr>
          <w:p>
            <w:pPr>
              <w:pStyle w:val="TableParagraph"/>
              <w:spacing w:line="223" w:lineRule="exact"/>
              <w:ind w:left="103"/>
              <w:rPr>
                <w:sz w:val="20"/>
              </w:rPr>
            </w:pPr>
            <w:r>
              <w:rPr>
                <w:w w:val="99"/>
                <w:sz w:val="20"/>
              </w:rPr>
              <w:t>-</w:t>
            </w:r>
          </w:p>
        </w:tc>
        <w:tc>
          <w:tcPr>
            <w:tcW w:w="919" w:type="dxa"/>
            <w:shd w:val="clear" w:color="auto" w:fill="F1F1F1"/>
          </w:tcPr>
          <w:p>
            <w:pPr>
              <w:pStyle w:val="TableParagraph"/>
              <w:spacing w:line="223" w:lineRule="exact"/>
              <w:ind w:left="103"/>
              <w:rPr>
                <w:sz w:val="20"/>
              </w:rPr>
            </w:pPr>
            <w:r>
              <w:rPr>
                <w:w w:val="99"/>
                <w:sz w:val="20"/>
              </w:rPr>
              <w:t>-</w:t>
            </w:r>
          </w:p>
        </w:tc>
        <w:tc>
          <w:tcPr>
            <w:tcW w:w="922" w:type="dxa"/>
            <w:shd w:val="clear" w:color="auto" w:fill="F1F1F1"/>
          </w:tcPr>
          <w:p>
            <w:pPr>
              <w:pStyle w:val="TableParagraph"/>
              <w:spacing w:line="223" w:lineRule="exact"/>
              <w:ind w:left="103"/>
              <w:rPr>
                <w:sz w:val="20"/>
              </w:rPr>
            </w:pPr>
            <w:r>
              <w:rPr>
                <w:w w:val="99"/>
                <w:sz w:val="20"/>
              </w:rPr>
              <w:t>-</w:t>
            </w:r>
          </w:p>
        </w:tc>
        <w:tc>
          <w:tcPr>
            <w:tcW w:w="920" w:type="dxa"/>
            <w:shd w:val="clear" w:color="auto" w:fill="F1F1F1"/>
          </w:tcPr>
          <w:p>
            <w:pPr>
              <w:pStyle w:val="TableParagraph"/>
              <w:spacing w:line="223" w:lineRule="exact"/>
              <w:ind w:left="103"/>
              <w:rPr>
                <w:sz w:val="20"/>
              </w:rPr>
            </w:pPr>
            <w:r>
              <w:rPr>
                <w:w w:val="99"/>
                <w:sz w:val="20"/>
              </w:rPr>
              <w:t>-</w:t>
            </w:r>
          </w:p>
        </w:tc>
        <w:tc>
          <w:tcPr>
            <w:tcW w:w="922" w:type="dxa"/>
            <w:shd w:val="clear" w:color="auto" w:fill="F1F1F1"/>
          </w:tcPr>
          <w:p>
            <w:pPr>
              <w:pStyle w:val="TableParagraph"/>
              <w:spacing w:line="223" w:lineRule="exact"/>
              <w:ind w:left="103"/>
              <w:rPr>
                <w:sz w:val="20"/>
              </w:rPr>
            </w:pPr>
            <w:r>
              <w:rPr>
                <w:sz w:val="20"/>
              </w:rPr>
              <w:t>193,570</w:t>
            </w:r>
          </w:p>
        </w:tc>
      </w:tr>
      <w:tr>
        <w:trPr>
          <w:trHeight w:val="355" w:hRule="exact"/>
        </w:trPr>
        <w:tc>
          <w:tcPr>
            <w:tcW w:w="516" w:type="dxa"/>
          </w:tcPr>
          <w:p>
            <w:pPr>
              <w:pStyle w:val="TableParagraph"/>
              <w:spacing w:line="223" w:lineRule="exact"/>
              <w:ind w:left="112"/>
              <w:rPr>
                <w:sz w:val="20"/>
              </w:rPr>
            </w:pPr>
            <w:r>
              <w:rPr>
                <w:sz w:val="20"/>
              </w:rPr>
              <w:t>NR</w:t>
            </w:r>
          </w:p>
        </w:tc>
        <w:tc>
          <w:tcPr>
            <w:tcW w:w="907" w:type="dxa"/>
          </w:tcPr>
          <w:p>
            <w:pPr>
              <w:pStyle w:val="TableParagraph"/>
              <w:spacing w:line="223" w:lineRule="exact"/>
              <w:ind w:left="103"/>
              <w:rPr>
                <w:sz w:val="20"/>
              </w:rPr>
            </w:pPr>
            <w:r>
              <w:rPr>
                <w:w w:val="99"/>
                <w:sz w:val="20"/>
              </w:rPr>
              <w:t>-</w:t>
            </w:r>
          </w:p>
        </w:tc>
        <w:tc>
          <w:tcPr>
            <w:tcW w:w="907" w:type="dxa"/>
            <w:tcBorders>
              <w:right w:val="single" w:sz="4" w:space="0" w:color="000000"/>
            </w:tcBorders>
          </w:tcPr>
          <w:p>
            <w:pPr>
              <w:pStyle w:val="TableParagraph"/>
              <w:spacing w:line="223" w:lineRule="exact"/>
              <w:ind w:left="100"/>
              <w:rPr>
                <w:sz w:val="20"/>
              </w:rPr>
            </w:pPr>
            <w:r>
              <w:rPr>
                <w:sz w:val="20"/>
              </w:rPr>
              <w:t>22,445</w:t>
            </w:r>
          </w:p>
        </w:tc>
        <w:tc>
          <w:tcPr>
            <w:tcW w:w="908" w:type="dxa"/>
            <w:tcBorders>
              <w:left w:val="single" w:sz="4" w:space="0" w:color="000000"/>
            </w:tcBorders>
          </w:tcPr>
          <w:p>
            <w:pPr>
              <w:pStyle w:val="TableParagraph"/>
              <w:spacing w:line="223" w:lineRule="exact"/>
              <w:ind w:left="103"/>
              <w:rPr>
                <w:sz w:val="20"/>
              </w:rPr>
            </w:pPr>
            <w:r>
              <w:rPr>
                <w:w w:val="99"/>
                <w:sz w:val="20"/>
              </w:rPr>
              <w:t>-</w:t>
            </w:r>
          </w:p>
        </w:tc>
        <w:tc>
          <w:tcPr>
            <w:tcW w:w="907" w:type="dxa"/>
          </w:tcPr>
          <w:p>
            <w:pPr>
              <w:pStyle w:val="TableParagraph"/>
              <w:spacing w:line="223" w:lineRule="exact"/>
              <w:ind w:left="103"/>
              <w:rPr>
                <w:sz w:val="20"/>
              </w:rPr>
            </w:pPr>
            <w:r>
              <w:rPr>
                <w:w w:val="99"/>
                <w:sz w:val="20"/>
              </w:rPr>
              <w:t>-</w:t>
            </w:r>
          </w:p>
        </w:tc>
        <w:tc>
          <w:tcPr>
            <w:tcW w:w="1376" w:type="dxa"/>
          </w:tcPr>
          <w:p>
            <w:pPr>
              <w:pStyle w:val="TableParagraph"/>
              <w:spacing w:line="223" w:lineRule="exact"/>
              <w:ind w:left="103"/>
              <w:rPr>
                <w:sz w:val="20"/>
              </w:rPr>
            </w:pPr>
            <w:r>
              <w:rPr>
                <w:sz w:val="20"/>
              </w:rPr>
              <w:t>10,927</w:t>
            </w:r>
          </w:p>
        </w:tc>
        <w:tc>
          <w:tcPr>
            <w:tcW w:w="919" w:type="dxa"/>
          </w:tcPr>
          <w:p>
            <w:pPr>
              <w:pStyle w:val="TableParagraph"/>
              <w:spacing w:line="223" w:lineRule="exact"/>
              <w:ind w:left="103"/>
              <w:rPr>
                <w:sz w:val="20"/>
              </w:rPr>
            </w:pPr>
            <w:r>
              <w:rPr>
                <w:w w:val="99"/>
                <w:sz w:val="20"/>
              </w:rPr>
              <w:t>-</w:t>
            </w:r>
          </w:p>
        </w:tc>
        <w:tc>
          <w:tcPr>
            <w:tcW w:w="922" w:type="dxa"/>
          </w:tcPr>
          <w:p>
            <w:pPr>
              <w:pStyle w:val="TableParagraph"/>
              <w:spacing w:line="223" w:lineRule="exact"/>
              <w:ind w:left="103"/>
              <w:rPr>
                <w:sz w:val="20"/>
              </w:rPr>
            </w:pPr>
            <w:r>
              <w:rPr>
                <w:w w:val="99"/>
                <w:sz w:val="20"/>
              </w:rPr>
              <w:t>-</w:t>
            </w:r>
          </w:p>
        </w:tc>
        <w:tc>
          <w:tcPr>
            <w:tcW w:w="920" w:type="dxa"/>
          </w:tcPr>
          <w:p>
            <w:pPr>
              <w:pStyle w:val="TableParagraph"/>
              <w:spacing w:line="223" w:lineRule="exact"/>
              <w:ind w:left="103"/>
              <w:rPr>
                <w:sz w:val="20"/>
              </w:rPr>
            </w:pPr>
            <w:r>
              <w:rPr>
                <w:w w:val="99"/>
                <w:sz w:val="20"/>
              </w:rPr>
              <w:t>-</w:t>
            </w:r>
          </w:p>
        </w:tc>
        <w:tc>
          <w:tcPr>
            <w:tcW w:w="922" w:type="dxa"/>
          </w:tcPr>
          <w:p>
            <w:pPr>
              <w:pStyle w:val="TableParagraph"/>
              <w:spacing w:line="223" w:lineRule="exact"/>
              <w:ind w:left="103"/>
              <w:rPr>
                <w:sz w:val="20"/>
              </w:rPr>
            </w:pPr>
            <w:r>
              <w:rPr>
                <w:sz w:val="20"/>
              </w:rPr>
              <w:t>33,373</w:t>
            </w:r>
          </w:p>
        </w:tc>
      </w:tr>
      <w:tr>
        <w:trPr>
          <w:trHeight w:val="355" w:hRule="exact"/>
        </w:trPr>
        <w:tc>
          <w:tcPr>
            <w:tcW w:w="516" w:type="dxa"/>
            <w:shd w:val="clear" w:color="auto" w:fill="F1F1F1"/>
          </w:tcPr>
          <w:p>
            <w:pPr>
              <w:pStyle w:val="TableParagraph"/>
              <w:spacing w:line="223" w:lineRule="exact"/>
              <w:ind w:left="120"/>
              <w:rPr>
                <w:sz w:val="20"/>
              </w:rPr>
            </w:pPr>
            <w:r>
              <w:rPr>
                <w:sz w:val="20"/>
              </w:rPr>
              <w:t>NE</w:t>
            </w:r>
          </w:p>
        </w:tc>
        <w:tc>
          <w:tcPr>
            <w:tcW w:w="907" w:type="dxa"/>
            <w:shd w:val="clear" w:color="auto" w:fill="F1F1F1"/>
          </w:tcPr>
          <w:p>
            <w:pPr>
              <w:pStyle w:val="TableParagraph"/>
              <w:spacing w:line="223" w:lineRule="exact"/>
              <w:ind w:left="103"/>
              <w:rPr>
                <w:sz w:val="20"/>
              </w:rPr>
            </w:pPr>
            <w:r>
              <w:rPr>
                <w:w w:val="99"/>
                <w:sz w:val="20"/>
              </w:rPr>
              <w:t>-</w:t>
            </w:r>
          </w:p>
        </w:tc>
        <w:tc>
          <w:tcPr>
            <w:tcW w:w="907" w:type="dxa"/>
            <w:tcBorders>
              <w:right w:val="single" w:sz="4" w:space="0" w:color="000000"/>
            </w:tcBorders>
            <w:shd w:val="clear" w:color="auto" w:fill="F1F1F1"/>
          </w:tcPr>
          <w:p>
            <w:pPr>
              <w:pStyle w:val="TableParagraph"/>
              <w:spacing w:line="223" w:lineRule="exact"/>
              <w:ind w:left="100"/>
              <w:rPr>
                <w:sz w:val="20"/>
              </w:rPr>
            </w:pPr>
            <w:r>
              <w:rPr>
                <w:w w:val="99"/>
                <w:sz w:val="20"/>
              </w:rPr>
              <w:t>-</w:t>
            </w:r>
          </w:p>
        </w:tc>
        <w:tc>
          <w:tcPr>
            <w:tcW w:w="908" w:type="dxa"/>
            <w:tcBorders>
              <w:left w:val="single" w:sz="4" w:space="0" w:color="000000"/>
            </w:tcBorders>
            <w:shd w:val="clear" w:color="auto" w:fill="F1F1F1"/>
          </w:tcPr>
          <w:p>
            <w:pPr>
              <w:pStyle w:val="TableParagraph"/>
              <w:spacing w:line="223" w:lineRule="exact"/>
              <w:ind w:left="103"/>
              <w:rPr>
                <w:sz w:val="20"/>
              </w:rPr>
            </w:pPr>
            <w:r>
              <w:rPr>
                <w:w w:val="99"/>
                <w:sz w:val="20"/>
              </w:rPr>
              <w:t>-</w:t>
            </w:r>
          </w:p>
        </w:tc>
        <w:tc>
          <w:tcPr>
            <w:tcW w:w="907" w:type="dxa"/>
            <w:shd w:val="clear" w:color="auto" w:fill="F1F1F1"/>
          </w:tcPr>
          <w:p>
            <w:pPr>
              <w:pStyle w:val="TableParagraph"/>
              <w:spacing w:line="223" w:lineRule="exact"/>
              <w:ind w:left="103"/>
              <w:rPr>
                <w:sz w:val="20"/>
              </w:rPr>
            </w:pPr>
            <w:r>
              <w:rPr>
                <w:w w:val="99"/>
                <w:sz w:val="20"/>
              </w:rPr>
              <w:t>-</w:t>
            </w:r>
          </w:p>
        </w:tc>
        <w:tc>
          <w:tcPr>
            <w:tcW w:w="1376" w:type="dxa"/>
            <w:shd w:val="clear" w:color="auto" w:fill="F1F1F1"/>
          </w:tcPr>
          <w:p>
            <w:pPr>
              <w:pStyle w:val="TableParagraph"/>
              <w:spacing w:line="223" w:lineRule="exact"/>
              <w:ind w:left="103"/>
              <w:rPr>
                <w:sz w:val="20"/>
              </w:rPr>
            </w:pPr>
            <w:r>
              <w:rPr>
                <w:sz w:val="20"/>
              </w:rPr>
              <w:t>430</w:t>
            </w:r>
          </w:p>
        </w:tc>
        <w:tc>
          <w:tcPr>
            <w:tcW w:w="919" w:type="dxa"/>
            <w:shd w:val="clear" w:color="auto" w:fill="F1F1F1"/>
          </w:tcPr>
          <w:p>
            <w:pPr>
              <w:pStyle w:val="TableParagraph"/>
              <w:spacing w:line="223" w:lineRule="exact"/>
              <w:ind w:left="103"/>
              <w:rPr>
                <w:sz w:val="20"/>
              </w:rPr>
            </w:pPr>
            <w:r>
              <w:rPr>
                <w:sz w:val="20"/>
              </w:rPr>
              <w:t>4,909</w:t>
            </w:r>
          </w:p>
        </w:tc>
        <w:tc>
          <w:tcPr>
            <w:tcW w:w="922" w:type="dxa"/>
            <w:shd w:val="clear" w:color="auto" w:fill="F1F1F1"/>
          </w:tcPr>
          <w:p>
            <w:pPr>
              <w:pStyle w:val="TableParagraph"/>
              <w:spacing w:line="223" w:lineRule="exact"/>
              <w:ind w:left="103"/>
              <w:rPr>
                <w:sz w:val="20"/>
              </w:rPr>
            </w:pPr>
            <w:r>
              <w:rPr>
                <w:sz w:val="20"/>
              </w:rPr>
              <w:t>26,266</w:t>
            </w:r>
          </w:p>
        </w:tc>
        <w:tc>
          <w:tcPr>
            <w:tcW w:w="920" w:type="dxa"/>
            <w:shd w:val="clear" w:color="auto" w:fill="F1F1F1"/>
          </w:tcPr>
          <w:p>
            <w:pPr>
              <w:pStyle w:val="TableParagraph"/>
              <w:spacing w:line="223" w:lineRule="exact"/>
              <w:ind w:left="103"/>
              <w:rPr>
                <w:sz w:val="20"/>
              </w:rPr>
            </w:pPr>
            <w:r>
              <w:rPr>
                <w:w w:val="99"/>
                <w:sz w:val="20"/>
              </w:rPr>
              <w:t>-</w:t>
            </w:r>
          </w:p>
        </w:tc>
        <w:tc>
          <w:tcPr>
            <w:tcW w:w="922" w:type="dxa"/>
            <w:shd w:val="clear" w:color="auto" w:fill="F1F1F1"/>
          </w:tcPr>
          <w:p>
            <w:pPr>
              <w:pStyle w:val="TableParagraph"/>
              <w:spacing w:line="223" w:lineRule="exact"/>
              <w:ind w:left="103"/>
              <w:rPr>
                <w:sz w:val="20"/>
              </w:rPr>
            </w:pPr>
            <w:r>
              <w:rPr>
                <w:sz w:val="20"/>
              </w:rPr>
              <w:t>31,604</w:t>
            </w:r>
          </w:p>
        </w:tc>
      </w:tr>
      <w:tr>
        <w:trPr>
          <w:trHeight w:val="355" w:hRule="exact"/>
        </w:trPr>
        <w:tc>
          <w:tcPr>
            <w:tcW w:w="516" w:type="dxa"/>
          </w:tcPr>
          <w:p>
            <w:pPr>
              <w:pStyle w:val="TableParagraph"/>
              <w:spacing w:line="223" w:lineRule="exact"/>
              <w:ind w:left="112"/>
              <w:rPr>
                <w:sz w:val="20"/>
              </w:rPr>
            </w:pPr>
            <w:r>
              <w:rPr>
                <w:sz w:val="20"/>
              </w:rPr>
              <w:t>CO</w:t>
            </w:r>
          </w:p>
        </w:tc>
        <w:tc>
          <w:tcPr>
            <w:tcW w:w="907" w:type="dxa"/>
          </w:tcPr>
          <w:p>
            <w:pPr>
              <w:pStyle w:val="TableParagraph"/>
              <w:spacing w:line="223" w:lineRule="exact"/>
              <w:ind w:left="103"/>
              <w:rPr>
                <w:sz w:val="20"/>
              </w:rPr>
            </w:pPr>
            <w:r>
              <w:rPr>
                <w:w w:val="99"/>
                <w:sz w:val="20"/>
              </w:rPr>
              <w:t>-</w:t>
            </w:r>
          </w:p>
        </w:tc>
        <w:tc>
          <w:tcPr>
            <w:tcW w:w="907" w:type="dxa"/>
            <w:tcBorders>
              <w:right w:val="single" w:sz="4" w:space="0" w:color="000000"/>
            </w:tcBorders>
          </w:tcPr>
          <w:p>
            <w:pPr>
              <w:pStyle w:val="TableParagraph"/>
              <w:spacing w:line="223" w:lineRule="exact"/>
              <w:ind w:left="100"/>
              <w:rPr>
                <w:sz w:val="20"/>
              </w:rPr>
            </w:pPr>
            <w:r>
              <w:rPr>
                <w:w w:val="99"/>
                <w:sz w:val="20"/>
              </w:rPr>
              <w:t>-</w:t>
            </w:r>
          </w:p>
        </w:tc>
        <w:tc>
          <w:tcPr>
            <w:tcW w:w="908" w:type="dxa"/>
            <w:tcBorders>
              <w:left w:val="single" w:sz="4" w:space="0" w:color="000000"/>
            </w:tcBorders>
          </w:tcPr>
          <w:p>
            <w:pPr>
              <w:pStyle w:val="TableParagraph"/>
              <w:spacing w:line="223" w:lineRule="exact"/>
              <w:ind w:left="103"/>
              <w:rPr>
                <w:sz w:val="20"/>
              </w:rPr>
            </w:pPr>
            <w:r>
              <w:rPr>
                <w:w w:val="99"/>
                <w:sz w:val="20"/>
              </w:rPr>
              <w:t>-</w:t>
            </w:r>
          </w:p>
        </w:tc>
        <w:tc>
          <w:tcPr>
            <w:tcW w:w="907" w:type="dxa"/>
          </w:tcPr>
          <w:p>
            <w:pPr>
              <w:pStyle w:val="TableParagraph"/>
              <w:spacing w:line="223" w:lineRule="exact"/>
              <w:ind w:left="103"/>
              <w:rPr>
                <w:sz w:val="20"/>
              </w:rPr>
            </w:pPr>
            <w:r>
              <w:rPr>
                <w:sz w:val="20"/>
              </w:rPr>
              <w:t>222,067</w:t>
            </w:r>
          </w:p>
        </w:tc>
        <w:tc>
          <w:tcPr>
            <w:tcW w:w="1376" w:type="dxa"/>
          </w:tcPr>
          <w:p>
            <w:pPr>
              <w:pStyle w:val="TableParagraph"/>
              <w:spacing w:line="223" w:lineRule="exact"/>
              <w:ind w:left="103"/>
              <w:rPr>
                <w:sz w:val="20"/>
              </w:rPr>
            </w:pPr>
            <w:r>
              <w:rPr>
                <w:sz w:val="20"/>
              </w:rPr>
              <w:t>175,819</w:t>
            </w:r>
          </w:p>
        </w:tc>
        <w:tc>
          <w:tcPr>
            <w:tcW w:w="919" w:type="dxa"/>
          </w:tcPr>
          <w:p>
            <w:pPr>
              <w:pStyle w:val="TableParagraph"/>
              <w:spacing w:line="223" w:lineRule="exact"/>
              <w:ind w:left="103"/>
              <w:rPr>
                <w:sz w:val="20"/>
              </w:rPr>
            </w:pPr>
            <w:r>
              <w:rPr>
                <w:w w:val="99"/>
                <w:sz w:val="20"/>
              </w:rPr>
              <w:t>-</w:t>
            </w:r>
          </w:p>
        </w:tc>
        <w:tc>
          <w:tcPr>
            <w:tcW w:w="922" w:type="dxa"/>
          </w:tcPr>
          <w:p>
            <w:pPr>
              <w:pStyle w:val="TableParagraph"/>
              <w:spacing w:line="223" w:lineRule="exact"/>
              <w:ind w:left="103"/>
              <w:rPr>
                <w:sz w:val="20"/>
              </w:rPr>
            </w:pPr>
            <w:r>
              <w:rPr>
                <w:sz w:val="20"/>
              </w:rPr>
              <w:t>21,879</w:t>
            </w:r>
          </w:p>
        </w:tc>
        <w:tc>
          <w:tcPr>
            <w:tcW w:w="920" w:type="dxa"/>
          </w:tcPr>
          <w:p>
            <w:pPr>
              <w:pStyle w:val="TableParagraph"/>
              <w:spacing w:line="223" w:lineRule="exact"/>
              <w:ind w:left="103"/>
              <w:rPr>
                <w:sz w:val="20"/>
              </w:rPr>
            </w:pPr>
            <w:r>
              <w:rPr>
                <w:w w:val="99"/>
                <w:sz w:val="20"/>
              </w:rPr>
              <w:t>-</w:t>
            </w:r>
          </w:p>
        </w:tc>
        <w:tc>
          <w:tcPr>
            <w:tcW w:w="922" w:type="dxa"/>
          </w:tcPr>
          <w:p>
            <w:pPr>
              <w:pStyle w:val="TableParagraph"/>
              <w:spacing w:line="223" w:lineRule="exact"/>
              <w:ind w:left="103"/>
              <w:rPr>
                <w:sz w:val="20"/>
              </w:rPr>
            </w:pPr>
            <w:r>
              <w:rPr>
                <w:sz w:val="20"/>
              </w:rPr>
              <w:t>419,765</w:t>
            </w:r>
          </w:p>
        </w:tc>
      </w:tr>
      <w:tr>
        <w:trPr>
          <w:trHeight w:val="355" w:hRule="exact"/>
        </w:trPr>
        <w:tc>
          <w:tcPr>
            <w:tcW w:w="516" w:type="dxa"/>
            <w:shd w:val="clear" w:color="auto" w:fill="F1F1F1"/>
          </w:tcPr>
          <w:p>
            <w:pPr>
              <w:pStyle w:val="TableParagraph"/>
              <w:spacing w:line="223" w:lineRule="exact"/>
              <w:ind w:left="124"/>
              <w:rPr>
                <w:sz w:val="20"/>
              </w:rPr>
            </w:pPr>
            <w:r>
              <w:rPr>
                <w:sz w:val="20"/>
              </w:rPr>
              <w:t>CE</w:t>
            </w:r>
          </w:p>
        </w:tc>
        <w:tc>
          <w:tcPr>
            <w:tcW w:w="907" w:type="dxa"/>
            <w:shd w:val="clear" w:color="auto" w:fill="F1F1F1"/>
          </w:tcPr>
          <w:p>
            <w:pPr>
              <w:pStyle w:val="TableParagraph"/>
              <w:spacing w:line="223" w:lineRule="exact"/>
              <w:ind w:left="103"/>
              <w:rPr>
                <w:sz w:val="20"/>
              </w:rPr>
            </w:pPr>
            <w:r>
              <w:rPr>
                <w:w w:val="99"/>
                <w:sz w:val="20"/>
              </w:rPr>
              <w:t>-</w:t>
            </w:r>
          </w:p>
        </w:tc>
        <w:tc>
          <w:tcPr>
            <w:tcW w:w="907" w:type="dxa"/>
            <w:tcBorders>
              <w:right w:val="single" w:sz="4" w:space="0" w:color="000000"/>
            </w:tcBorders>
            <w:shd w:val="clear" w:color="auto" w:fill="F1F1F1"/>
          </w:tcPr>
          <w:p>
            <w:pPr>
              <w:pStyle w:val="TableParagraph"/>
              <w:spacing w:line="223" w:lineRule="exact"/>
              <w:ind w:left="100"/>
              <w:rPr>
                <w:sz w:val="20"/>
              </w:rPr>
            </w:pPr>
            <w:r>
              <w:rPr>
                <w:w w:val="99"/>
                <w:sz w:val="20"/>
              </w:rPr>
              <w:t>-</w:t>
            </w:r>
          </w:p>
        </w:tc>
        <w:tc>
          <w:tcPr>
            <w:tcW w:w="908" w:type="dxa"/>
            <w:tcBorders>
              <w:left w:val="single" w:sz="4" w:space="0" w:color="000000"/>
            </w:tcBorders>
            <w:shd w:val="clear" w:color="auto" w:fill="F1F1F1"/>
          </w:tcPr>
          <w:p>
            <w:pPr>
              <w:pStyle w:val="TableParagraph"/>
              <w:spacing w:line="223" w:lineRule="exact"/>
              <w:ind w:left="103"/>
              <w:rPr>
                <w:sz w:val="20"/>
              </w:rPr>
            </w:pPr>
            <w:r>
              <w:rPr>
                <w:w w:val="99"/>
                <w:sz w:val="20"/>
              </w:rPr>
              <w:t>-</w:t>
            </w:r>
          </w:p>
        </w:tc>
        <w:tc>
          <w:tcPr>
            <w:tcW w:w="907" w:type="dxa"/>
            <w:shd w:val="clear" w:color="auto" w:fill="F1F1F1"/>
          </w:tcPr>
          <w:p>
            <w:pPr>
              <w:pStyle w:val="TableParagraph"/>
              <w:spacing w:line="223" w:lineRule="exact"/>
              <w:ind w:left="103"/>
              <w:rPr>
                <w:sz w:val="20"/>
              </w:rPr>
            </w:pPr>
            <w:r>
              <w:rPr>
                <w:w w:val="99"/>
                <w:sz w:val="20"/>
              </w:rPr>
              <w:t>-</w:t>
            </w:r>
          </w:p>
        </w:tc>
        <w:tc>
          <w:tcPr>
            <w:tcW w:w="1376" w:type="dxa"/>
            <w:shd w:val="clear" w:color="auto" w:fill="F1F1F1"/>
          </w:tcPr>
          <w:p>
            <w:pPr>
              <w:pStyle w:val="TableParagraph"/>
              <w:spacing w:line="223" w:lineRule="exact"/>
              <w:ind w:left="103"/>
              <w:rPr>
                <w:sz w:val="20"/>
              </w:rPr>
            </w:pPr>
            <w:r>
              <w:rPr>
                <w:sz w:val="20"/>
              </w:rPr>
              <w:t>14,695</w:t>
            </w:r>
          </w:p>
        </w:tc>
        <w:tc>
          <w:tcPr>
            <w:tcW w:w="919" w:type="dxa"/>
            <w:shd w:val="clear" w:color="auto" w:fill="F1F1F1"/>
          </w:tcPr>
          <w:p>
            <w:pPr>
              <w:pStyle w:val="TableParagraph"/>
              <w:spacing w:line="223" w:lineRule="exact"/>
              <w:ind w:left="103"/>
              <w:rPr>
                <w:sz w:val="20"/>
              </w:rPr>
            </w:pPr>
            <w:r>
              <w:rPr>
                <w:sz w:val="20"/>
              </w:rPr>
              <w:t>207,034</w:t>
            </w:r>
          </w:p>
        </w:tc>
        <w:tc>
          <w:tcPr>
            <w:tcW w:w="922" w:type="dxa"/>
            <w:shd w:val="clear" w:color="auto" w:fill="F1F1F1"/>
          </w:tcPr>
          <w:p>
            <w:pPr>
              <w:pStyle w:val="TableParagraph"/>
              <w:spacing w:line="223" w:lineRule="exact"/>
              <w:ind w:left="103"/>
              <w:rPr>
                <w:sz w:val="20"/>
              </w:rPr>
            </w:pPr>
            <w:r>
              <w:rPr>
                <w:sz w:val="20"/>
              </w:rPr>
              <w:t>12,141</w:t>
            </w:r>
          </w:p>
        </w:tc>
        <w:tc>
          <w:tcPr>
            <w:tcW w:w="920" w:type="dxa"/>
            <w:shd w:val="clear" w:color="auto" w:fill="F1F1F1"/>
          </w:tcPr>
          <w:p>
            <w:pPr>
              <w:pStyle w:val="TableParagraph"/>
              <w:spacing w:line="223" w:lineRule="exact"/>
              <w:ind w:left="103"/>
              <w:rPr>
                <w:sz w:val="20"/>
              </w:rPr>
            </w:pPr>
            <w:r>
              <w:rPr>
                <w:w w:val="99"/>
                <w:sz w:val="20"/>
              </w:rPr>
              <w:t>-</w:t>
            </w:r>
          </w:p>
        </w:tc>
        <w:tc>
          <w:tcPr>
            <w:tcW w:w="922" w:type="dxa"/>
            <w:shd w:val="clear" w:color="auto" w:fill="F1F1F1"/>
          </w:tcPr>
          <w:p>
            <w:pPr>
              <w:pStyle w:val="TableParagraph"/>
              <w:spacing w:line="223" w:lineRule="exact"/>
              <w:ind w:left="103"/>
              <w:rPr>
                <w:sz w:val="20"/>
              </w:rPr>
            </w:pPr>
            <w:r>
              <w:rPr>
                <w:sz w:val="20"/>
              </w:rPr>
              <w:t>233,870</w:t>
            </w:r>
          </w:p>
        </w:tc>
      </w:tr>
      <w:tr>
        <w:trPr>
          <w:trHeight w:val="355" w:hRule="exact"/>
        </w:trPr>
        <w:tc>
          <w:tcPr>
            <w:tcW w:w="516" w:type="dxa"/>
          </w:tcPr>
          <w:p>
            <w:pPr>
              <w:pStyle w:val="TableParagraph"/>
              <w:spacing w:line="223" w:lineRule="exact"/>
              <w:ind w:left="124"/>
              <w:rPr>
                <w:sz w:val="20"/>
              </w:rPr>
            </w:pPr>
            <w:r>
              <w:rPr>
                <w:sz w:val="20"/>
              </w:rPr>
              <w:t>SU</w:t>
            </w:r>
          </w:p>
        </w:tc>
        <w:tc>
          <w:tcPr>
            <w:tcW w:w="907" w:type="dxa"/>
          </w:tcPr>
          <w:p>
            <w:pPr>
              <w:pStyle w:val="TableParagraph"/>
              <w:spacing w:line="223" w:lineRule="exact"/>
              <w:ind w:left="103"/>
              <w:rPr>
                <w:sz w:val="20"/>
              </w:rPr>
            </w:pPr>
            <w:r>
              <w:rPr>
                <w:w w:val="99"/>
                <w:sz w:val="20"/>
              </w:rPr>
              <w:t>-</w:t>
            </w:r>
          </w:p>
        </w:tc>
        <w:tc>
          <w:tcPr>
            <w:tcW w:w="907" w:type="dxa"/>
            <w:tcBorders>
              <w:right w:val="single" w:sz="4" w:space="0" w:color="000000"/>
            </w:tcBorders>
          </w:tcPr>
          <w:p>
            <w:pPr>
              <w:pStyle w:val="TableParagraph"/>
              <w:spacing w:line="223" w:lineRule="exact"/>
              <w:ind w:left="100"/>
              <w:rPr>
                <w:sz w:val="20"/>
              </w:rPr>
            </w:pPr>
            <w:r>
              <w:rPr>
                <w:w w:val="99"/>
                <w:sz w:val="20"/>
              </w:rPr>
              <w:t>-</w:t>
            </w:r>
          </w:p>
        </w:tc>
        <w:tc>
          <w:tcPr>
            <w:tcW w:w="908" w:type="dxa"/>
            <w:tcBorders>
              <w:left w:val="single" w:sz="4" w:space="0" w:color="000000"/>
            </w:tcBorders>
          </w:tcPr>
          <w:p>
            <w:pPr>
              <w:pStyle w:val="TableParagraph"/>
              <w:spacing w:line="223" w:lineRule="exact"/>
              <w:ind w:left="103"/>
              <w:rPr>
                <w:sz w:val="20"/>
              </w:rPr>
            </w:pPr>
            <w:r>
              <w:rPr>
                <w:w w:val="99"/>
                <w:sz w:val="20"/>
              </w:rPr>
              <w:t>-</w:t>
            </w:r>
          </w:p>
        </w:tc>
        <w:tc>
          <w:tcPr>
            <w:tcW w:w="907" w:type="dxa"/>
          </w:tcPr>
          <w:p>
            <w:pPr>
              <w:pStyle w:val="TableParagraph"/>
              <w:spacing w:line="223" w:lineRule="exact"/>
              <w:ind w:left="103"/>
              <w:rPr>
                <w:sz w:val="20"/>
              </w:rPr>
            </w:pPr>
            <w:r>
              <w:rPr>
                <w:w w:val="99"/>
                <w:sz w:val="20"/>
              </w:rPr>
              <w:t>-</w:t>
            </w:r>
          </w:p>
        </w:tc>
        <w:tc>
          <w:tcPr>
            <w:tcW w:w="1376" w:type="dxa"/>
          </w:tcPr>
          <w:p>
            <w:pPr>
              <w:pStyle w:val="TableParagraph"/>
              <w:spacing w:line="223" w:lineRule="exact"/>
              <w:ind w:left="103"/>
              <w:rPr>
                <w:sz w:val="20"/>
              </w:rPr>
            </w:pPr>
            <w:r>
              <w:rPr>
                <w:w w:val="99"/>
                <w:sz w:val="20"/>
              </w:rPr>
              <w:t>-</w:t>
            </w:r>
          </w:p>
        </w:tc>
        <w:tc>
          <w:tcPr>
            <w:tcW w:w="919" w:type="dxa"/>
          </w:tcPr>
          <w:p>
            <w:pPr>
              <w:pStyle w:val="TableParagraph"/>
              <w:spacing w:line="223" w:lineRule="exact"/>
              <w:ind w:left="103"/>
              <w:rPr>
                <w:sz w:val="20"/>
              </w:rPr>
            </w:pPr>
            <w:r>
              <w:rPr>
                <w:sz w:val="20"/>
              </w:rPr>
              <w:t>61,615</w:t>
            </w:r>
          </w:p>
        </w:tc>
        <w:tc>
          <w:tcPr>
            <w:tcW w:w="922" w:type="dxa"/>
          </w:tcPr>
          <w:p>
            <w:pPr>
              <w:pStyle w:val="TableParagraph"/>
              <w:spacing w:line="223" w:lineRule="exact"/>
              <w:ind w:left="103"/>
              <w:rPr>
                <w:sz w:val="20"/>
              </w:rPr>
            </w:pPr>
            <w:r>
              <w:rPr>
                <w:sz w:val="20"/>
              </w:rPr>
              <w:t>14,681</w:t>
            </w:r>
          </w:p>
        </w:tc>
        <w:tc>
          <w:tcPr>
            <w:tcW w:w="920" w:type="dxa"/>
          </w:tcPr>
          <w:p>
            <w:pPr>
              <w:pStyle w:val="TableParagraph"/>
              <w:spacing w:line="223" w:lineRule="exact"/>
              <w:ind w:left="103"/>
              <w:rPr>
                <w:sz w:val="20"/>
              </w:rPr>
            </w:pPr>
            <w:r>
              <w:rPr>
                <w:w w:val="99"/>
                <w:sz w:val="20"/>
              </w:rPr>
              <w:t>-</w:t>
            </w:r>
          </w:p>
        </w:tc>
        <w:tc>
          <w:tcPr>
            <w:tcW w:w="922" w:type="dxa"/>
          </w:tcPr>
          <w:p>
            <w:pPr>
              <w:pStyle w:val="TableParagraph"/>
              <w:spacing w:line="223" w:lineRule="exact"/>
              <w:ind w:left="103"/>
              <w:rPr>
                <w:sz w:val="20"/>
              </w:rPr>
            </w:pPr>
            <w:r>
              <w:rPr>
                <w:sz w:val="20"/>
              </w:rPr>
              <w:t>76,296</w:t>
            </w:r>
          </w:p>
        </w:tc>
      </w:tr>
      <w:tr>
        <w:trPr>
          <w:trHeight w:val="355" w:hRule="exact"/>
        </w:trPr>
        <w:tc>
          <w:tcPr>
            <w:tcW w:w="516" w:type="dxa"/>
            <w:shd w:val="clear" w:color="auto" w:fill="F1F1F1"/>
          </w:tcPr>
          <w:p>
            <w:pPr>
              <w:pStyle w:val="TableParagraph"/>
              <w:spacing w:line="223" w:lineRule="exact"/>
              <w:ind w:left="112"/>
              <w:rPr>
                <w:sz w:val="20"/>
              </w:rPr>
            </w:pPr>
            <w:r>
              <w:rPr>
                <w:sz w:val="20"/>
              </w:rPr>
              <w:t>OR</w:t>
            </w:r>
          </w:p>
        </w:tc>
        <w:tc>
          <w:tcPr>
            <w:tcW w:w="907" w:type="dxa"/>
            <w:shd w:val="clear" w:color="auto" w:fill="F1F1F1"/>
          </w:tcPr>
          <w:p>
            <w:pPr>
              <w:pStyle w:val="TableParagraph"/>
              <w:spacing w:line="223" w:lineRule="exact"/>
              <w:ind w:left="103"/>
              <w:rPr>
                <w:sz w:val="20"/>
              </w:rPr>
            </w:pPr>
            <w:r>
              <w:rPr>
                <w:w w:val="99"/>
                <w:sz w:val="20"/>
              </w:rPr>
              <w:t>-</w:t>
            </w:r>
          </w:p>
        </w:tc>
        <w:tc>
          <w:tcPr>
            <w:tcW w:w="907" w:type="dxa"/>
            <w:tcBorders>
              <w:right w:val="single" w:sz="4" w:space="0" w:color="000000"/>
            </w:tcBorders>
            <w:shd w:val="clear" w:color="auto" w:fill="F1F1F1"/>
          </w:tcPr>
          <w:p>
            <w:pPr>
              <w:pStyle w:val="TableParagraph"/>
              <w:spacing w:line="223" w:lineRule="exact"/>
              <w:ind w:left="100"/>
              <w:rPr>
                <w:sz w:val="20"/>
              </w:rPr>
            </w:pPr>
            <w:r>
              <w:rPr>
                <w:w w:val="99"/>
                <w:sz w:val="20"/>
              </w:rPr>
              <w:t>-</w:t>
            </w:r>
          </w:p>
        </w:tc>
        <w:tc>
          <w:tcPr>
            <w:tcW w:w="908" w:type="dxa"/>
            <w:tcBorders>
              <w:left w:val="single" w:sz="4" w:space="0" w:color="000000"/>
            </w:tcBorders>
            <w:shd w:val="clear" w:color="auto" w:fill="F1F1F1"/>
          </w:tcPr>
          <w:p>
            <w:pPr>
              <w:pStyle w:val="TableParagraph"/>
              <w:spacing w:line="223" w:lineRule="exact"/>
              <w:ind w:left="103"/>
              <w:rPr>
                <w:sz w:val="20"/>
              </w:rPr>
            </w:pPr>
            <w:r>
              <w:rPr>
                <w:w w:val="99"/>
                <w:sz w:val="20"/>
              </w:rPr>
              <w:t>-</w:t>
            </w:r>
          </w:p>
        </w:tc>
        <w:tc>
          <w:tcPr>
            <w:tcW w:w="907" w:type="dxa"/>
            <w:shd w:val="clear" w:color="auto" w:fill="F1F1F1"/>
          </w:tcPr>
          <w:p>
            <w:pPr>
              <w:pStyle w:val="TableParagraph"/>
              <w:spacing w:line="223" w:lineRule="exact"/>
              <w:ind w:left="103"/>
              <w:rPr>
                <w:sz w:val="20"/>
              </w:rPr>
            </w:pPr>
            <w:r>
              <w:rPr>
                <w:w w:val="99"/>
                <w:sz w:val="20"/>
              </w:rPr>
              <w:t>-</w:t>
            </w:r>
          </w:p>
        </w:tc>
        <w:tc>
          <w:tcPr>
            <w:tcW w:w="1376" w:type="dxa"/>
            <w:shd w:val="clear" w:color="auto" w:fill="F1F1F1"/>
          </w:tcPr>
          <w:p>
            <w:pPr>
              <w:pStyle w:val="TableParagraph"/>
              <w:spacing w:line="223" w:lineRule="exact"/>
              <w:ind w:left="103"/>
              <w:rPr>
                <w:sz w:val="20"/>
              </w:rPr>
            </w:pPr>
            <w:r>
              <w:rPr>
                <w:w w:val="99"/>
                <w:sz w:val="20"/>
              </w:rPr>
              <w:t>-</w:t>
            </w:r>
          </w:p>
        </w:tc>
        <w:tc>
          <w:tcPr>
            <w:tcW w:w="919" w:type="dxa"/>
            <w:shd w:val="clear" w:color="auto" w:fill="F1F1F1"/>
          </w:tcPr>
          <w:p>
            <w:pPr>
              <w:pStyle w:val="TableParagraph"/>
              <w:spacing w:line="223" w:lineRule="exact"/>
              <w:ind w:left="103"/>
              <w:rPr>
                <w:sz w:val="20"/>
              </w:rPr>
            </w:pPr>
            <w:r>
              <w:rPr>
                <w:w w:val="99"/>
                <w:sz w:val="20"/>
              </w:rPr>
              <w:t>-</w:t>
            </w:r>
          </w:p>
        </w:tc>
        <w:tc>
          <w:tcPr>
            <w:tcW w:w="922" w:type="dxa"/>
            <w:shd w:val="clear" w:color="auto" w:fill="F1F1F1"/>
          </w:tcPr>
          <w:p>
            <w:pPr>
              <w:pStyle w:val="TableParagraph"/>
              <w:spacing w:line="223" w:lineRule="exact"/>
              <w:ind w:left="103"/>
              <w:rPr>
                <w:sz w:val="20"/>
              </w:rPr>
            </w:pPr>
            <w:r>
              <w:rPr>
                <w:sz w:val="20"/>
              </w:rPr>
              <w:t>106,745</w:t>
            </w:r>
          </w:p>
        </w:tc>
        <w:tc>
          <w:tcPr>
            <w:tcW w:w="920" w:type="dxa"/>
            <w:shd w:val="clear" w:color="auto" w:fill="F1F1F1"/>
          </w:tcPr>
          <w:p>
            <w:pPr>
              <w:pStyle w:val="TableParagraph"/>
              <w:spacing w:line="223" w:lineRule="exact"/>
              <w:ind w:left="103"/>
              <w:rPr>
                <w:sz w:val="20"/>
              </w:rPr>
            </w:pPr>
            <w:r>
              <w:rPr>
                <w:sz w:val="20"/>
              </w:rPr>
              <w:t>26,173</w:t>
            </w:r>
          </w:p>
        </w:tc>
        <w:tc>
          <w:tcPr>
            <w:tcW w:w="922" w:type="dxa"/>
            <w:shd w:val="clear" w:color="auto" w:fill="F1F1F1"/>
          </w:tcPr>
          <w:p>
            <w:pPr>
              <w:pStyle w:val="TableParagraph"/>
              <w:spacing w:line="223" w:lineRule="exact"/>
              <w:ind w:left="103"/>
              <w:rPr>
                <w:sz w:val="20"/>
              </w:rPr>
            </w:pPr>
            <w:r>
              <w:rPr>
                <w:sz w:val="20"/>
              </w:rPr>
              <w:t>132,918</w:t>
            </w:r>
          </w:p>
        </w:tc>
      </w:tr>
      <w:tr>
        <w:trPr>
          <w:trHeight w:val="356" w:hRule="exact"/>
        </w:trPr>
        <w:tc>
          <w:tcPr>
            <w:tcW w:w="516" w:type="dxa"/>
          </w:tcPr>
          <w:p>
            <w:pPr>
              <w:pStyle w:val="TableParagraph"/>
              <w:spacing w:line="223" w:lineRule="exact"/>
              <w:ind w:left="136"/>
              <w:rPr>
                <w:sz w:val="20"/>
              </w:rPr>
            </w:pPr>
            <w:r>
              <w:rPr>
                <w:sz w:val="20"/>
              </w:rPr>
              <w:t>PE</w:t>
            </w:r>
          </w:p>
        </w:tc>
        <w:tc>
          <w:tcPr>
            <w:tcW w:w="907" w:type="dxa"/>
          </w:tcPr>
          <w:p>
            <w:pPr>
              <w:pStyle w:val="TableParagraph"/>
              <w:spacing w:line="223" w:lineRule="exact"/>
              <w:ind w:left="103"/>
              <w:rPr>
                <w:sz w:val="20"/>
              </w:rPr>
            </w:pPr>
            <w:r>
              <w:rPr>
                <w:w w:val="99"/>
                <w:sz w:val="20"/>
              </w:rPr>
              <w:t>-</w:t>
            </w:r>
          </w:p>
        </w:tc>
        <w:tc>
          <w:tcPr>
            <w:tcW w:w="907" w:type="dxa"/>
            <w:tcBorders>
              <w:right w:val="single" w:sz="4" w:space="0" w:color="000000"/>
            </w:tcBorders>
          </w:tcPr>
          <w:p>
            <w:pPr>
              <w:pStyle w:val="TableParagraph"/>
              <w:spacing w:line="223" w:lineRule="exact"/>
              <w:ind w:left="100"/>
              <w:rPr>
                <w:sz w:val="20"/>
              </w:rPr>
            </w:pPr>
            <w:r>
              <w:rPr>
                <w:w w:val="99"/>
                <w:sz w:val="20"/>
              </w:rPr>
              <w:t>-</w:t>
            </w:r>
          </w:p>
        </w:tc>
        <w:tc>
          <w:tcPr>
            <w:tcW w:w="908" w:type="dxa"/>
            <w:tcBorders>
              <w:left w:val="single" w:sz="4" w:space="0" w:color="000000"/>
            </w:tcBorders>
          </w:tcPr>
          <w:p>
            <w:pPr>
              <w:pStyle w:val="TableParagraph"/>
              <w:spacing w:line="223" w:lineRule="exact"/>
              <w:ind w:left="103"/>
              <w:rPr>
                <w:sz w:val="20"/>
              </w:rPr>
            </w:pPr>
            <w:r>
              <w:rPr>
                <w:w w:val="99"/>
                <w:sz w:val="20"/>
              </w:rPr>
              <w:t>-</w:t>
            </w:r>
          </w:p>
        </w:tc>
        <w:tc>
          <w:tcPr>
            <w:tcW w:w="907" w:type="dxa"/>
          </w:tcPr>
          <w:p>
            <w:pPr>
              <w:pStyle w:val="TableParagraph"/>
              <w:spacing w:line="223" w:lineRule="exact"/>
              <w:ind w:left="103"/>
              <w:rPr>
                <w:sz w:val="20"/>
              </w:rPr>
            </w:pPr>
            <w:r>
              <w:rPr>
                <w:w w:val="99"/>
                <w:sz w:val="20"/>
              </w:rPr>
              <w:t>-</w:t>
            </w:r>
          </w:p>
        </w:tc>
        <w:tc>
          <w:tcPr>
            <w:tcW w:w="1376" w:type="dxa"/>
          </w:tcPr>
          <w:p>
            <w:pPr>
              <w:pStyle w:val="TableParagraph"/>
              <w:spacing w:line="223" w:lineRule="exact"/>
              <w:ind w:left="103"/>
              <w:rPr>
                <w:sz w:val="20"/>
              </w:rPr>
            </w:pPr>
            <w:r>
              <w:rPr>
                <w:w w:val="99"/>
                <w:sz w:val="20"/>
              </w:rPr>
              <w:t>-</w:t>
            </w:r>
          </w:p>
        </w:tc>
        <w:tc>
          <w:tcPr>
            <w:tcW w:w="919" w:type="dxa"/>
          </w:tcPr>
          <w:p>
            <w:pPr>
              <w:pStyle w:val="TableParagraph"/>
              <w:spacing w:line="223" w:lineRule="exact"/>
              <w:ind w:left="103"/>
              <w:rPr>
                <w:sz w:val="20"/>
              </w:rPr>
            </w:pPr>
            <w:r>
              <w:rPr>
                <w:w w:val="99"/>
                <w:sz w:val="20"/>
              </w:rPr>
              <w:t>-</w:t>
            </w:r>
          </w:p>
        </w:tc>
        <w:tc>
          <w:tcPr>
            <w:tcW w:w="922" w:type="dxa"/>
          </w:tcPr>
          <w:p>
            <w:pPr>
              <w:pStyle w:val="TableParagraph"/>
              <w:spacing w:line="223" w:lineRule="exact"/>
              <w:ind w:left="103"/>
              <w:rPr>
                <w:sz w:val="20"/>
              </w:rPr>
            </w:pPr>
            <w:r>
              <w:rPr>
                <w:w w:val="99"/>
                <w:sz w:val="20"/>
              </w:rPr>
              <w:t>-</w:t>
            </w:r>
          </w:p>
        </w:tc>
        <w:tc>
          <w:tcPr>
            <w:tcW w:w="920" w:type="dxa"/>
          </w:tcPr>
          <w:p>
            <w:pPr>
              <w:pStyle w:val="TableParagraph"/>
              <w:spacing w:line="223" w:lineRule="exact"/>
              <w:ind w:left="103"/>
              <w:rPr>
                <w:sz w:val="20"/>
              </w:rPr>
            </w:pPr>
            <w:r>
              <w:rPr>
                <w:sz w:val="20"/>
              </w:rPr>
              <w:t>107,128</w:t>
            </w:r>
          </w:p>
        </w:tc>
        <w:tc>
          <w:tcPr>
            <w:tcW w:w="922" w:type="dxa"/>
          </w:tcPr>
          <w:p>
            <w:pPr>
              <w:pStyle w:val="TableParagraph"/>
              <w:spacing w:line="223" w:lineRule="exact"/>
              <w:ind w:left="103"/>
              <w:rPr>
                <w:sz w:val="20"/>
              </w:rPr>
            </w:pPr>
            <w:r>
              <w:rPr>
                <w:sz w:val="20"/>
              </w:rPr>
              <w:t>107,128</w:t>
            </w:r>
          </w:p>
        </w:tc>
      </w:tr>
      <w:tr>
        <w:trPr>
          <w:trHeight w:val="353" w:hRule="exact"/>
        </w:trPr>
        <w:tc>
          <w:tcPr>
            <w:tcW w:w="516" w:type="dxa"/>
            <w:shd w:val="clear" w:color="auto" w:fill="F1F1F1"/>
          </w:tcPr>
          <w:p>
            <w:pPr>
              <w:pStyle w:val="TableParagraph"/>
              <w:spacing w:line="223" w:lineRule="exact"/>
              <w:ind w:left="112"/>
              <w:rPr>
                <w:sz w:val="20"/>
              </w:rPr>
            </w:pPr>
            <w:r>
              <w:rPr>
                <w:sz w:val="20"/>
              </w:rPr>
              <w:t>PI1</w:t>
            </w:r>
          </w:p>
        </w:tc>
        <w:tc>
          <w:tcPr>
            <w:tcW w:w="907" w:type="dxa"/>
            <w:shd w:val="clear" w:color="auto" w:fill="F1F1F1"/>
          </w:tcPr>
          <w:p>
            <w:pPr>
              <w:pStyle w:val="TableParagraph"/>
              <w:spacing w:line="223" w:lineRule="exact"/>
              <w:ind w:left="103"/>
              <w:rPr>
                <w:sz w:val="20"/>
              </w:rPr>
            </w:pPr>
            <w:r>
              <w:rPr>
                <w:w w:val="99"/>
                <w:sz w:val="20"/>
              </w:rPr>
              <w:t>-</w:t>
            </w:r>
          </w:p>
        </w:tc>
        <w:tc>
          <w:tcPr>
            <w:tcW w:w="907" w:type="dxa"/>
            <w:tcBorders>
              <w:right w:val="single" w:sz="4" w:space="0" w:color="000000"/>
            </w:tcBorders>
            <w:shd w:val="clear" w:color="auto" w:fill="F1F1F1"/>
          </w:tcPr>
          <w:p>
            <w:pPr>
              <w:pStyle w:val="TableParagraph"/>
              <w:spacing w:line="223" w:lineRule="exact"/>
              <w:ind w:left="100"/>
              <w:rPr>
                <w:sz w:val="20"/>
              </w:rPr>
            </w:pPr>
            <w:r>
              <w:rPr>
                <w:sz w:val="20"/>
              </w:rPr>
              <w:t>24,551</w:t>
            </w:r>
          </w:p>
        </w:tc>
        <w:tc>
          <w:tcPr>
            <w:tcW w:w="908" w:type="dxa"/>
            <w:tcBorders>
              <w:left w:val="single" w:sz="4" w:space="0" w:color="000000"/>
            </w:tcBorders>
            <w:shd w:val="clear" w:color="auto" w:fill="F1F1F1"/>
          </w:tcPr>
          <w:p>
            <w:pPr>
              <w:pStyle w:val="TableParagraph"/>
              <w:spacing w:line="223" w:lineRule="exact"/>
              <w:ind w:left="103"/>
              <w:rPr>
                <w:sz w:val="20"/>
              </w:rPr>
            </w:pPr>
            <w:r>
              <w:rPr>
                <w:sz w:val="20"/>
              </w:rPr>
              <w:t>50,171</w:t>
            </w:r>
          </w:p>
        </w:tc>
        <w:tc>
          <w:tcPr>
            <w:tcW w:w="907" w:type="dxa"/>
            <w:shd w:val="clear" w:color="auto" w:fill="F1F1F1"/>
          </w:tcPr>
          <w:p>
            <w:pPr>
              <w:pStyle w:val="TableParagraph"/>
              <w:spacing w:line="223" w:lineRule="exact"/>
              <w:ind w:left="103"/>
              <w:rPr>
                <w:sz w:val="20"/>
              </w:rPr>
            </w:pPr>
            <w:r>
              <w:rPr>
                <w:sz w:val="20"/>
              </w:rPr>
              <w:t>12,141</w:t>
            </w:r>
          </w:p>
        </w:tc>
        <w:tc>
          <w:tcPr>
            <w:tcW w:w="1376" w:type="dxa"/>
            <w:shd w:val="clear" w:color="auto" w:fill="F1F1F1"/>
          </w:tcPr>
          <w:p>
            <w:pPr>
              <w:pStyle w:val="TableParagraph"/>
              <w:spacing w:line="223" w:lineRule="exact"/>
              <w:ind w:left="103"/>
              <w:rPr>
                <w:sz w:val="20"/>
              </w:rPr>
            </w:pPr>
            <w:r>
              <w:rPr>
                <w:sz w:val="20"/>
              </w:rPr>
              <w:t>562,817</w:t>
            </w:r>
          </w:p>
        </w:tc>
        <w:tc>
          <w:tcPr>
            <w:tcW w:w="919" w:type="dxa"/>
            <w:shd w:val="clear" w:color="auto" w:fill="F1F1F1"/>
          </w:tcPr>
          <w:p>
            <w:pPr>
              <w:pStyle w:val="TableParagraph"/>
              <w:spacing w:line="223" w:lineRule="exact"/>
              <w:ind w:left="103"/>
              <w:rPr>
                <w:sz w:val="20"/>
              </w:rPr>
            </w:pPr>
            <w:r>
              <w:rPr>
                <w:sz w:val="20"/>
              </w:rPr>
              <w:t>9,741</w:t>
            </w:r>
          </w:p>
        </w:tc>
        <w:tc>
          <w:tcPr>
            <w:tcW w:w="922" w:type="dxa"/>
            <w:shd w:val="clear" w:color="auto" w:fill="F1F1F1"/>
          </w:tcPr>
          <w:p>
            <w:pPr>
              <w:pStyle w:val="TableParagraph"/>
              <w:spacing w:line="223" w:lineRule="exact"/>
              <w:ind w:left="103"/>
              <w:rPr>
                <w:sz w:val="20"/>
              </w:rPr>
            </w:pPr>
            <w:r>
              <w:rPr>
                <w:sz w:val="20"/>
              </w:rPr>
              <w:t>118,415</w:t>
            </w:r>
          </w:p>
        </w:tc>
        <w:tc>
          <w:tcPr>
            <w:tcW w:w="920" w:type="dxa"/>
            <w:shd w:val="clear" w:color="auto" w:fill="F1F1F1"/>
          </w:tcPr>
          <w:p>
            <w:pPr>
              <w:pStyle w:val="TableParagraph"/>
              <w:spacing w:line="223" w:lineRule="exact"/>
              <w:ind w:left="103"/>
              <w:rPr>
                <w:sz w:val="20"/>
              </w:rPr>
            </w:pPr>
            <w:r>
              <w:rPr>
                <w:w w:val="99"/>
                <w:sz w:val="20"/>
              </w:rPr>
              <w:t>-</w:t>
            </w:r>
          </w:p>
        </w:tc>
        <w:tc>
          <w:tcPr>
            <w:tcW w:w="922" w:type="dxa"/>
            <w:shd w:val="clear" w:color="auto" w:fill="F1F1F1"/>
          </w:tcPr>
          <w:p>
            <w:pPr>
              <w:pStyle w:val="TableParagraph"/>
              <w:spacing w:line="223" w:lineRule="exact"/>
              <w:ind w:left="103"/>
              <w:rPr>
                <w:sz w:val="20"/>
              </w:rPr>
            </w:pPr>
            <w:r>
              <w:rPr>
                <w:sz w:val="20"/>
              </w:rPr>
              <w:t>777,838</w:t>
            </w:r>
          </w:p>
        </w:tc>
      </w:tr>
      <w:tr>
        <w:trPr>
          <w:trHeight w:val="355" w:hRule="exact"/>
        </w:trPr>
        <w:tc>
          <w:tcPr>
            <w:tcW w:w="516" w:type="dxa"/>
          </w:tcPr>
          <w:p>
            <w:pPr>
              <w:pStyle w:val="TableParagraph"/>
              <w:spacing w:line="226" w:lineRule="exact"/>
              <w:ind w:left="112"/>
              <w:rPr>
                <w:sz w:val="20"/>
              </w:rPr>
            </w:pPr>
            <w:r>
              <w:rPr>
                <w:sz w:val="20"/>
              </w:rPr>
              <w:t>PI2</w:t>
            </w:r>
          </w:p>
        </w:tc>
        <w:tc>
          <w:tcPr>
            <w:tcW w:w="907" w:type="dxa"/>
          </w:tcPr>
          <w:p>
            <w:pPr>
              <w:pStyle w:val="TableParagraph"/>
              <w:spacing w:line="226" w:lineRule="exact"/>
              <w:ind w:left="103"/>
              <w:rPr>
                <w:sz w:val="20"/>
              </w:rPr>
            </w:pPr>
            <w:r>
              <w:rPr>
                <w:sz w:val="20"/>
              </w:rPr>
              <w:t>5,833</w:t>
            </w:r>
          </w:p>
        </w:tc>
        <w:tc>
          <w:tcPr>
            <w:tcW w:w="907" w:type="dxa"/>
            <w:tcBorders>
              <w:right w:val="single" w:sz="4" w:space="0" w:color="000000"/>
            </w:tcBorders>
          </w:tcPr>
          <w:p>
            <w:pPr>
              <w:pStyle w:val="TableParagraph"/>
              <w:spacing w:line="226" w:lineRule="exact"/>
              <w:ind w:left="100"/>
              <w:rPr>
                <w:sz w:val="20"/>
              </w:rPr>
            </w:pPr>
            <w:r>
              <w:rPr>
                <w:sz w:val="20"/>
              </w:rPr>
              <w:t>77,385</w:t>
            </w:r>
          </w:p>
        </w:tc>
        <w:tc>
          <w:tcPr>
            <w:tcW w:w="908" w:type="dxa"/>
            <w:tcBorders>
              <w:left w:val="single" w:sz="4" w:space="0" w:color="000000"/>
            </w:tcBorders>
          </w:tcPr>
          <w:p>
            <w:pPr>
              <w:pStyle w:val="TableParagraph"/>
              <w:spacing w:line="226" w:lineRule="exact"/>
              <w:ind w:left="103"/>
              <w:rPr>
                <w:sz w:val="20"/>
              </w:rPr>
            </w:pPr>
            <w:r>
              <w:rPr>
                <w:w w:val="99"/>
                <w:sz w:val="20"/>
              </w:rPr>
              <w:t>-</w:t>
            </w:r>
          </w:p>
        </w:tc>
        <w:tc>
          <w:tcPr>
            <w:tcW w:w="907" w:type="dxa"/>
          </w:tcPr>
          <w:p>
            <w:pPr>
              <w:pStyle w:val="TableParagraph"/>
              <w:spacing w:line="226" w:lineRule="exact"/>
              <w:ind w:left="103"/>
              <w:rPr>
                <w:sz w:val="20"/>
              </w:rPr>
            </w:pPr>
            <w:r>
              <w:rPr>
                <w:w w:val="99"/>
                <w:sz w:val="20"/>
              </w:rPr>
              <w:t>-</w:t>
            </w:r>
          </w:p>
        </w:tc>
        <w:tc>
          <w:tcPr>
            <w:tcW w:w="1376" w:type="dxa"/>
          </w:tcPr>
          <w:p>
            <w:pPr>
              <w:pStyle w:val="TableParagraph"/>
              <w:spacing w:line="226" w:lineRule="exact"/>
              <w:ind w:left="103"/>
              <w:rPr>
                <w:sz w:val="20"/>
              </w:rPr>
            </w:pPr>
            <w:r>
              <w:rPr>
                <w:w w:val="99"/>
                <w:sz w:val="20"/>
              </w:rPr>
              <w:t>-</w:t>
            </w:r>
          </w:p>
        </w:tc>
        <w:tc>
          <w:tcPr>
            <w:tcW w:w="919" w:type="dxa"/>
          </w:tcPr>
          <w:p>
            <w:pPr>
              <w:pStyle w:val="TableParagraph"/>
              <w:spacing w:line="226" w:lineRule="exact"/>
              <w:ind w:left="103"/>
              <w:rPr>
                <w:sz w:val="20"/>
              </w:rPr>
            </w:pPr>
            <w:r>
              <w:rPr>
                <w:w w:val="99"/>
                <w:sz w:val="20"/>
              </w:rPr>
              <w:t>-</w:t>
            </w:r>
          </w:p>
        </w:tc>
        <w:tc>
          <w:tcPr>
            <w:tcW w:w="922" w:type="dxa"/>
          </w:tcPr>
          <w:p>
            <w:pPr>
              <w:pStyle w:val="TableParagraph"/>
              <w:spacing w:line="226" w:lineRule="exact"/>
              <w:ind w:left="103"/>
              <w:rPr>
                <w:sz w:val="20"/>
              </w:rPr>
            </w:pPr>
            <w:r>
              <w:rPr>
                <w:w w:val="99"/>
                <w:sz w:val="20"/>
              </w:rPr>
              <w:t>-</w:t>
            </w:r>
          </w:p>
        </w:tc>
        <w:tc>
          <w:tcPr>
            <w:tcW w:w="920" w:type="dxa"/>
          </w:tcPr>
          <w:p>
            <w:pPr>
              <w:pStyle w:val="TableParagraph"/>
              <w:spacing w:line="226" w:lineRule="exact"/>
              <w:ind w:left="103"/>
              <w:rPr>
                <w:sz w:val="20"/>
              </w:rPr>
            </w:pPr>
            <w:r>
              <w:rPr>
                <w:w w:val="99"/>
                <w:sz w:val="20"/>
              </w:rPr>
              <w:t>-</w:t>
            </w:r>
          </w:p>
        </w:tc>
        <w:tc>
          <w:tcPr>
            <w:tcW w:w="922" w:type="dxa"/>
          </w:tcPr>
          <w:p>
            <w:pPr>
              <w:pStyle w:val="TableParagraph"/>
              <w:spacing w:line="226" w:lineRule="exact"/>
              <w:ind w:left="103"/>
              <w:rPr>
                <w:sz w:val="20"/>
              </w:rPr>
            </w:pPr>
            <w:r>
              <w:rPr>
                <w:sz w:val="20"/>
              </w:rPr>
              <w:t>83,217</w:t>
            </w:r>
          </w:p>
        </w:tc>
      </w:tr>
      <w:tr>
        <w:trPr>
          <w:trHeight w:val="355" w:hRule="exact"/>
        </w:trPr>
        <w:tc>
          <w:tcPr>
            <w:tcW w:w="516" w:type="dxa"/>
            <w:shd w:val="clear" w:color="auto" w:fill="F1F1F1"/>
          </w:tcPr>
          <w:p>
            <w:pPr>
              <w:pStyle w:val="TableParagraph"/>
              <w:spacing w:line="227" w:lineRule="exact"/>
              <w:ind w:left="165"/>
              <w:rPr>
                <w:i/>
                <w:sz w:val="13"/>
              </w:rPr>
            </w:pPr>
            <w:r>
              <w:rPr>
                <w:i/>
                <w:position w:val="2"/>
                <w:sz w:val="20"/>
              </w:rPr>
              <w:t>Y</w:t>
            </w:r>
            <w:r>
              <w:rPr>
                <w:i/>
                <w:sz w:val="13"/>
              </w:rPr>
              <w:t>d</w:t>
            </w:r>
          </w:p>
        </w:tc>
        <w:tc>
          <w:tcPr>
            <w:tcW w:w="907" w:type="dxa"/>
            <w:shd w:val="clear" w:color="auto" w:fill="F1F1F1"/>
          </w:tcPr>
          <w:p>
            <w:pPr>
              <w:pStyle w:val="TableParagraph"/>
              <w:spacing w:line="223" w:lineRule="exact"/>
              <w:ind w:left="103"/>
              <w:rPr>
                <w:sz w:val="20"/>
              </w:rPr>
            </w:pPr>
            <w:r>
              <w:rPr>
                <w:sz w:val="20"/>
              </w:rPr>
              <w:t>80,418</w:t>
            </w:r>
          </w:p>
        </w:tc>
        <w:tc>
          <w:tcPr>
            <w:tcW w:w="907" w:type="dxa"/>
            <w:tcBorders>
              <w:right w:val="single" w:sz="4" w:space="0" w:color="000000"/>
            </w:tcBorders>
            <w:shd w:val="clear" w:color="auto" w:fill="F1F1F1"/>
          </w:tcPr>
          <w:p>
            <w:pPr>
              <w:pStyle w:val="TableParagraph"/>
              <w:spacing w:line="223" w:lineRule="exact"/>
              <w:ind w:left="100"/>
              <w:rPr>
                <w:sz w:val="20"/>
              </w:rPr>
            </w:pPr>
            <w:r>
              <w:rPr>
                <w:sz w:val="20"/>
              </w:rPr>
              <w:t>124,381</w:t>
            </w:r>
          </w:p>
        </w:tc>
        <w:tc>
          <w:tcPr>
            <w:tcW w:w="908" w:type="dxa"/>
            <w:tcBorders>
              <w:left w:val="single" w:sz="4" w:space="0" w:color="000000"/>
            </w:tcBorders>
            <w:shd w:val="clear" w:color="auto" w:fill="F1F1F1"/>
          </w:tcPr>
          <w:p>
            <w:pPr>
              <w:pStyle w:val="TableParagraph"/>
              <w:spacing w:line="223" w:lineRule="exact"/>
              <w:ind w:left="103"/>
              <w:rPr>
                <w:sz w:val="20"/>
              </w:rPr>
            </w:pPr>
            <w:r>
              <w:rPr>
                <w:sz w:val="20"/>
              </w:rPr>
              <w:t>50,171</w:t>
            </w:r>
          </w:p>
        </w:tc>
        <w:tc>
          <w:tcPr>
            <w:tcW w:w="907" w:type="dxa"/>
            <w:shd w:val="clear" w:color="auto" w:fill="F1F1F1"/>
          </w:tcPr>
          <w:p>
            <w:pPr>
              <w:pStyle w:val="TableParagraph"/>
              <w:spacing w:line="223" w:lineRule="exact"/>
              <w:ind w:left="103"/>
              <w:rPr>
                <w:sz w:val="20"/>
              </w:rPr>
            </w:pPr>
            <w:r>
              <w:rPr>
                <w:sz w:val="20"/>
              </w:rPr>
              <w:t>353,192</w:t>
            </w:r>
          </w:p>
        </w:tc>
        <w:tc>
          <w:tcPr>
            <w:tcW w:w="1376" w:type="dxa"/>
            <w:shd w:val="clear" w:color="auto" w:fill="F1F1F1"/>
          </w:tcPr>
          <w:p>
            <w:pPr>
              <w:pStyle w:val="TableParagraph"/>
              <w:spacing w:line="223" w:lineRule="exact"/>
              <w:ind w:left="103"/>
              <w:rPr>
                <w:sz w:val="20"/>
              </w:rPr>
            </w:pPr>
            <w:r>
              <w:rPr>
                <w:sz w:val="20"/>
              </w:rPr>
              <w:t>764,688</w:t>
            </w:r>
          </w:p>
        </w:tc>
        <w:tc>
          <w:tcPr>
            <w:tcW w:w="919" w:type="dxa"/>
            <w:shd w:val="clear" w:color="auto" w:fill="F1F1F1"/>
          </w:tcPr>
          <w:p>
            <w:pPr>
              <w:pStyle w:val="TableParagraph"/>
              <w:spacing w:line="223" w:lineRule="exact"/>
              <w:ind w:left="103"/>
              <w:rPr>
                <w:sz w:val="20"/>
              </w:rPr>
            </w:pPr>
            <w:r>
              <w:rPr>
                <w:sz w:val="20"/>
              </w:rPr>
              <w:t>283,298</w:t>
            </w:r>
          </w:p>
        </w:tc>
        <w:tc>
          <w:tcPr>
            <w:tcW w:w="922" w:type="dxa"/>
            <w:shd w:val="clear" w:color="auto" w:fill="F1F1F1"/>
          </w:tcPr>
          <w:p>
            <w:pPr>
              <w:pStyle w:val="TableParagraph"/>
              <w:spacing w:line="223" w:lineRule="exact"/>
              <w:ind w:left="103"/>
              <w:rPr>
                <w:sz w:val="20"/>
              </w:rPr>
            </w:pPr>
            <w:r>
              <w:rPr>
                <w:sz w:val="20"/>
              </w:rPr>
              <w:t>300,128</w:t>
            </w:r>
          </w:p>
        </w:tc>
        <w:tc>
          <w:tcPr>
            <w:tcW w:w="920" w:type="dxa"/>
            <w:shd w:val="clear" w:color="auto" w:fill="F1F1F1"/>
          </w:tcPr>
          <w:p>
            <w:pPr>
              <w:pStyle w:val="TableParagraph"/>
              <w:spacing w:line="223" w:lineRule="exact"/>
              <w:ind w:left="103"/>
              <w:rPr>
                <w:sz w:val="20"/>
              </w:rPr>
            </w:pPr>
            <w:r>
              <w:rPr>
                <w:sz w:val="20"/>
              </w:rPr>
              <w:t>133,300</w:t>
            </w:r>
          </w:p>
        </w:tc>
        <w:tc>
          <w:tcPr>
            <w:tcW w:w="922" w:type="dxa"/>
            <w:shd w:val="clear" w:color="auto" w:fill="F1F1F1"/>
          </w:tcPr>
          <w:p>
            <w:pPr/>
          </w:p>
        </w:tc>
      </w:tr>
    </w:tbl>
    <w:p>
      <w:pPr>
        <w:pStyle w:val="BodyText"/>
        <w:spacing w:line="535" w:lineRule="auto"/>
        <w:ind w:left="118" w:right="2663"/>
        <w:rPr>
          <w:b/>
        </w:rPr>
      </w:pPr>
      <w:r>
        <w:rPr/>
        <w:t>Columna: 10 regiones productoras, Filas 8 regiones consumidoras Fuente: Elaboración propia con los resultados de modelo óptimo. 2016 </w:t>
      </w:r>
      <w:r>
        <w:rPr>
          <w:b/>
        </w:rPr>
        <w:t>Conclusiones</w:t>
      </w:r>
    </w:p>
    <w:p>
      <w:pPr>
        <w:pStyle w:val="BodyText"/>
        <w:spacing w:line="360" w:lineRule="auto" w:before="6"/>
        <w:ind w:left="118" w:right="410" w:firstLine="707"/>
      </w:pPr>
      <w:r>
        <w:rPr/>
        <w:t>La programación cuadrática es una herramienta que permite modelar los mercados de bienes pecuarios con el propósito de optimizarlos.</w:t>
      </w:r>
    </w:p>
    <w:p>
      <w:pPr>
        <w:pStyle w:val="BodyText"/>
        <w:spacing w:line="360" w:lineRule="auto" w:before="205"/>
        <w:ind w:left="118" w:right="172" w:firstLine="707"/>
      </w:pPr>
      <w:r>
        <w:rPr/>
        <w:t>El mercado de la carne de cerdo en México no funciona de manera óptima, debido a que no maximiza el Valor  Social Neto.</w:t>
      </w:r>
    </w:p>
    <w:p>
      <w:pPr>
        <w:spacing w:after="0" w:line="360" w:lineRule="auto"/>
        <w:sectPr>
          <w:pgSz w:w="12240" w:h="15840"/>
          <w:pgMar w:header="984" w:footer="986" w:top="1280" w:bottom="1180" w:left="1300" w:right="1340"/>
        </w:sectPr>
      </w:pPr>
    </w:p>
    <w:p>
      <w:pPr>
        <w:pStyle w:val="BodyText"/>
        <w:spacing w:line="360" w:lineRule="auto" w:before="125"/>
        <w:ind w:left="118" w:right="268" w:firstLine="707"/>
        <w:jc w:val="both"/>
      </w:pPr>
      <w:r>
        <w:rPr/>
        <w:t>Para maximizar el Valor Social Neto (VSN) el modelo incrementa el 0.28% la producción de cerdo en México, aunado a una disminución de las importaciones y consumo nacionales de 1.65 % y 0.52 % respectivamente.</w:t>
      </w:r>
    </w:p>
    <w:p>
      <w:pPr>
        <w:pStyle w:val="BodyText"/>
        <w:spacing w:line="360" w:lineRule="auto" w:before="205"/>
        <w:ind w:left="118" w:right="265" w:firstLine="707"/>
        <w:jc w:val="both"/>
      </w:pPr>
      <w:r>
        <w:rPr/>
        <w:t>Debido a que la diferencia entre lo real (observado en 2015) y el modelo óptimo es de 0.11%, se considera que este último es válido para poder sugerir recomendaciones de política económica en favor del mercado de la carne porcina en México.</w:t>
      </w:r>
    </w:p>
    <w:p>
      <w:pPr>
        <w:pStyle w:val="Heading4"/>
        <w:spacing w:before="208"/>
        <w:ind w:right="410"/>
        <w:jc w:val="left"/>
      </w:pPr>
      <w:r>
        <w:rPr/>
        <w:t>Bibliografía</w:t>
      </w:r>
    </w:p>
    <w:p>
      <w:pPr>
        <w:pStyle w:val="BodyText"/>
        <w:rPr>
          <w:b/>
          <w:sz w:val="29"/>
        </w:rPr>
      </w:pPr>
    </w:p>
    <w:p>
      <w:pPr>
        <w:pStyle w:val="BodyText"/>
        <w:spacing w:line="360" w:lineRule="auto"/>
        <w:ind w:left="478" w:right="268"/>
        <w:jc w:val="both"/>
      </w:pPr>
      <w:r>
        <w:rPr/>
        <w:t>Alston, J.M., G.W. Norton and P.G. Pardey. 1995. Science Under Scarcity: Principles and Practice for Agricultural Research Evaluation and Priority Setting. Cornell University</w:t>
      </w:r>
      <w:r>
        <w:rPr>
          <w:spacing w:val="-34"/>
        </w:rPr>
        <w:t> </w:t>
      </w:r>
      <w:r>
        <w:rPr/>
        <w:t>Press, Ithaca, New</w:t>
      </w:r>
      <w:r>
        <w:rPr>
          <w:spacing w:val="-5"/>
        </w:rPr>
        <w:t> </w:t>
      </w:r>
      <w:r>
        <w:rPr/>
        <w:t>York.</w:t>
      </w:r>
    </w:p>
    <w:p>
      <w:pPr>
        <w:spacing w:line="360" w:lineRule="auto" w:before="205"/>
        <w:ind w:left="478" w:right="265" w:firstLine="0"/>
        <w:jc w:val="both"/>
        <w:rPr>
          <w:sz w:val="24"/>
        </w:rPr>
      </w:pPr>
      <w:r>
        <w:rPr>
          <w:sz w:val="24"/>
        </w:rPr>
        <w:t>Bassols A. B. 1995 El Desarrollo Regional de México: teoría y práctica </w:t>
      </w:r>
      <w:r>
        <w:rPr>
          <w:i/>
          <w:sz w:val="24"/>
        </w:rPr>
        <w:t>Libros de la</w:t>
      </w:r>
      <w:r>
        <w:rPr>
          <w:i/>
          <w:spacing w:val="-19"/>
          <w:sz w:val="24"/>
        </w:rPr>
        <w:t> </w:t>
      </w:r>
      <w:r>
        <w:rPr>
          <w:i/>
          <w:sz w:val="24"/>
        </w:rPr>
        <w:t>Revista </w:t>
      </w:r>
      <w:r>
        <w:rPr>
          <w:i/>
          <w:sz w:val="24"/>
        </w:rPr>
        <w:t>Problemas del Desarrollo. Instituto de Investigaciones Económicas, UNAM</w:t>
      </w:r>
      <w:r>
        <w:rPr>
          <w:sz w:val="24"/>
        </w:rPr>
        <w:t>,</w:t>
      </w:r>
      <w:r>
        <w:rPr>
          <w:spacing w:val="-4"/>
          <w:sz w:val="24"/>
        </w:rPr>
        <w:t> </w:t>
      </w:r>
      <w:r>
        <w:rPr>
          <w:sz w:val="24"/>
        </w:rPr>
        <w:t>México.</w:t>
      </w:r>
    </w:p>
    <w:p>
      <w:pPr>
        <w:pStyle w:val="BodyText"/>
        <w:spacing w:line="360" w:lineRule="auto" w:before="203"/>
        <w:ind w:left="478" w:right="269"/>
        <w:jc w:val="both"/>
      </w:pPr>
      <w:r>
        <w:rPr/>
        <w:t>CONAPO 2015. Consejo Nacional de Población </w:t>
      </w:r>
      <w:hyperlink r:id="rId111">
        <w:r>
          <w:rPr/>
          <w:t>http://www.conapo.gob.mx/</w:t>
        </w:r>
      </w:hyperlink>
      <w:r>
        <w:rPr/>
        <w:t> Acceso el día 22 de Enero 2016.</w:t>
      </w:r>
    </w:p>
    <w:p>
      <w:pPr>
        <w:pStyle w:val="BodyText"/>
        <w:spacing w:line="360" w:lineRule="auto" w:before="206"/>
        <w:ind w:left="478" w:right="271"/>
        <w:jc w:val="both"/>
      </w:pPr>
      <w:r>
        <w:rPr/>
        <w:t>FIRA 2015. Fideicomisos Instituidos en Relación con la Agricultura, Perspectivas para la porcicultura mexicana. </w:t>
      </w:r>
      <w:hyperlink r:id="rId112">
        <w:r>
          <w:rPr>
            <w:u w:val="single"/>
          </w:rPr>
          <w:t>https://www.fira.gob.mx/Nd/index.jsp </w:t>
        </w:r>
      </w:hyperlink>
      <w:r>
        <w:rPr/>
        <w:t>Acceso el día 28 de Mayo del 2016.</w:t>
      </w:r>
    </w:p>
    <w:p>
      <w:pPr>
        <w:spacing w:line="360" w:lineRule="auto" w:before="203"/>
        <w:ind w:left="478" w:right="271" w:firstLine="0"/>
        <w:jc w:val="both"/>
        <w:rPr>
          <w:sz w:val="24"/>
        </w:rPr>
      </w:pPr>
      <w:r>
        <w:rPr>
          <w:sz w:val="24"/>
        </w:rPr>
        <w:t>Gómez, T. G., S. Rebollar R., J. Hernández M., E. Guzmán S. 2011 Efecto de los aranceles en la competitividad de la porcicultura mexicana. </w:t>
      </w:r>
      <w:r>
        <w:rPr>
          <w:i/>
          <w:sz w:val="24"/>
        </w:rPr>
        <w:t>Tropical and Subtropical Agroecosystems </w:t>
      </w:r>
      <w:r>
        <w:rPr>
          <w:sz w:val="24"/>
        </w:rPr>
        <w:t>14. 537-542</w:t>
      </w:r>
    </w:p>
    <w:p>
      <w:pPr>
        <w:pStyle w:val="BodyText"/>
        <w:spacing w:line="362" w:lineRule="auto" w:before="205"/>
        <w:ind w:left="478" w:right="267"/>
        <w:jc w:val="both"/>
      </w:pPr>
      <w:r>
        <w:rPr/>
        <w:t>Gómez, T. G., S. Rebollar R., J. Hernández M., E. Guzmán S. 2012. Competitividad de la producción porcina de México y EUA.  </w:t>
      </w:r>
      <w:r>
        <w:rPr>
          <w:i/>
        </w:rPr>
        <w:t>Revista Comercio Exterior</w:t>
      </w:r>
      <w:r>
        <w:rPr/>
        <w:t>. Vol. 62: 36-45.</w:t>
      </w:r>
    </w:p>
    <w:p>
      <w:pPr>
        <w:pStyle w:val="BodyText"/>
        <w:spacing w:line="360" w:lineRule="auto" w:before="203"/>
        <w:ind w:left="478" w:right="265"/>
        <w:jc w:val="both"/>
      </w:pPr>
      <w:r>
        <w:rPr/>
        <w:t>Kawaguchi T, Susuki N, Kaiser HM, 1997. A Spatial Equilibrium Model for imperfectly competitive milk markets. Am. J. Agric. Econ. 79:851-859.</w:t>
      </w:r>
    </w:p>
    <w:p>
      <w:pPr>
        <w:spacing w:after="0" w:line="360" w:lineRule="auto"/>
        <w:jc w:val="both"/>
        <w:sectPr>
          <w:pgSz w:w="12240" w:h="15840"/>
          <w:pgMar w:header="984" w:footer="986" w:top="1280" w:bottom="1180" w:left="1300" w:right="1340"/>
        </w:sectPr>
      </w:pPr>
    </w:p>
    <w:p>
      <w:pPr>
        <w:pStyle w:val="BodyText"/>
        <w:spacing w:line="360" w:lineRule="auto" w:before="125"/>
        <w:ind w:left="478" w:right="266"/>
        <w:jc w:val="both"/>
      </w:pPr>
      <w:r>
        <w:rPr/>
        <w:t>Pérez VFC, García MR, Martínez DMA, Mora Flores JS, Vaquera HH, Gonzales EA, 2010. Efecto</w:t>
      </w:r>
      <w:r>
        <w:rPr>
          <w:spacing w:val="-8"/>
        </w:rPr>
        <w:t> </w:t>
      </w:r>
      <w:r>
        <w:rPr/>
        <w:t>de</w:t>
      </w:r>
      <w:r>
        <w:rPr>
          <w:spacing w:val="-10"/>
        </w:rPr>
        <w:t> </w:t>
      </w:r>
      <w:r>
        <w:rPr/>
        <w:t>las</w:t>
      </w:r>
      <w:r>
        <w:rPr>
          <w:spacing w:val="-8"/>
        </w:rPr>
        <w:t> </w:t>
      </w:r>
      <w:r>
        <w:rPr/>
        <w:t>importaciones</w:t>
      </w:r>
      <w:r>
        <w:rPr>
          <w:spacing w:val="-8"/>
        </w:rPr>
        <w:t> </w:t>
      </w:r>
      <w:r>
        <w:rPr/>
        <w:t>de</w:t>
      </w:r>
      <w:r>
        <w:rPr>
          <w:spacing w:val="-7"/>
        </w:rPr>
        <w:t> </w:t>
      </w:r>
      <w:r>
        <w:rPr/>
        <w:t>la</w:t>
      </w:r>
      <w:r>
        <w:rPr>
          <w:spacing w:val="-7"/>
        </w:rPr>
        <w:t> </w:t>
      </w:r>
      <w:r>
        <w:rPr/>
        <w:t>carne</w:t>
      </w:r>
      <w:r>
        <w:rPr>
          <w:spacing w:val="-10"/>
        </w:rPr>
        <w:t> </w:t>
      </w:r>
      <w:r>
        <w:rPr/>
        <w:t>de</w:t>
      </w:r>
      <w:r>
        <w:rPr>
          <w:spacing w:val="-10"/>
        </w:rPr>
        <w:t> </w:t>
      </w:r>
      <w:r>
        <w:rPr/>
        <w:t>porcino</w:t>
      </w:r>
      <w:r>
        <w:rPr>
          <w:spacing w:val="-6"/>
        </w:rPr>
        <w:t> </w:t>
      </w:r>
      <w:r>
        <w:rPr/>
        <w:t>en</w:t>
      </w:r>
      <w:r>
        <w:rPr>
          <w:spacing w:val="-9"/>
        </w:rPr>
        <w:t> </w:t>
      </w:r>
      <w:r>
        <w:rPr/>
        <w:t>el</w:t>
      </w:r>
      <w:r>
        <w:rPr>
          <w:spacing w:val="-6"/>
        </w:rPr>
        <w:t> </w:t>
      </w:r>
      <w:r>
        <w:rPr/>
        <w:t>mercado</w:t>
      </w:r>
      <w:r>
        <w:rPr>
          <w:spacing w:val="-9"/>
        </w:rPr>
        <w:t> </w:t>
      </w:r>
      <w:r>
        <w:rPr/>
        <w:t>mexicano,</w:t>
      </w:r>
      <w:r>
        <w:rPr>
          <w:spacing w:val="-4"/>
        </w:rPr>
        <w:t> </w:t>
      </w:r>
      <w:r>
        <w:rPr/>
        <w:t>1961-2007.</w:t>
      </w:r>
      <w:r>
        <w:rPr>
          <w:spacing w:val="-9"/>
        </w:rPr>
        <w:t> </w:t>
      </w:r>
      <w:r>
        <w:rPr>
          <w:i/>
        </w:rPr>
        <w:t>Rev. </w:t>
      </w:r>
      <w:r>
        <w:rPr>
          <w:i/>
        </w:rPr>
        <w:t>Mex.  Ciencias. Pecuarias</w:t>
      </w:r>
      <w:r>
        <w:rPr>
          <w:i/>
          <w:spacing w:val="-7"/>
        </w:rPr>
        <w:t> </w:t>
      </w:r>
      <w:r>
        <w:rPr/>
        <w:t>1(2):115-126.</w:t>
      </w:r>
    </w:p>
    <w:p>
      <w:pPr>
        <w:pStyle w:val="BodyText"/>
        <w:spacing w:line="360" w:lineRule="auto" w:before="205"/>
        <w:ind w:left="478" w:right="264"/>
        <w:jc w:val="both"/>
      </w:pPr>
      <w:r>
        <w:rPr/>
        <w:t>Rebollar R.A, Gómez T. G., Hernández M. J., Rebollar R. S., González R. F. de J. 2014 Comportamiento de la oferta y demanda regional de carne de cerdo en canal en México, 1994-2012. </w:t>
      </w:r>
      <w:r>
        <w:rPr>
          <w:i/>
        </w:rPr>
        <w:t>Rev. Mex.  Ciencias Pecuarias</w:t>
      </w:r>
      <w:r>
        <w:rPr/>
        <w:t>, 5 (4): 377-392.</w:t>
      </w:r>
    </w:p>
    <w:p>
      <w:pPr>
        <w:pStyle w:val="BodyText"/>
        <w:spacing w:line="362" w:lineRule="auto" w:before="203"/>
        <w:ind w:left="478" w:right="265"/>
        <w:jc w:val="both"/>
      </w:pPr>
      <w:r>
        <w:rPr/>
        <w:t>SCT, Secretaria de Comunicaciones y Transportes 2015 </w:t>
      </w:r>
      <w:hyperlink r:id="rId113">
        <w:r>
          <w:rPr/>
          <w:t>http://www.sct.gob.mx/rutas</w:t>
        </w:r>
      </w:hyperlink>
      <w:r>
        <w:rPr/>
        <w:t> punto a punto. Acceso el día  25 de Febrero del 2016.</w:t>
      </w:r>
    </w:p>
    <w:p>
      <w:pPr>
        <w:pStyle w:val="BodyText"/>
        <w:spacing w:line="360" w:lineRule="auto" w:before="203"/>
        <w:ind w:left="478" w:right="265"/>
        <w:jc w:val="both"/>
      </w:pPr>
      <w:r>
        <w:rPr/>
        <w:t>SIAP, Servicio de Información Agroalimentaria y Pesquera 2015 </w:t>
      </w:r>
      <w:hyperlink r:id="rId114">
        <w:r>
          <w:rPr/>
          <w:t>http://www.siap.gob.mx/ganaderia-resumen-municipal-pecuario.</w:t>
        </w:r>
      </w:hyperlink>
      <w:r>
        <w:rPr/>
        <w:t> Acceso el día 20 Enero</w:t>
      </w:r>
      <w:r>
        <w:rPr>
          <w:spacing w:val="-23"/>
        </w:rPr>
        <w:t> </w:t>
      </w:r>
      <w:r>
        <w:rPr/>
        <w:t>del 2016.</w:t>
      </w:r>
    </w:p>
    <w:p>
      <w:pPr>
        <w:pStyle w:val="BodyText"/>
        <w:spacing w:line="360" w:lineRule="auto" w:before="205"/>
        <w:ind w:left="478" w:right="267"/>
        <w:jc w:val="both"/>
      </w:pPr>
      <w:r>
        <w:rPr/>
        <w:t>SNIIM 2015. Sistema Nacional de Información e Integración de Mercados. Secretaria de Economía. </w:t>
      </w:r>
      <w:hyperlink r:id="rId115">
        <w:r>
          <w:rPr>
            <w:u w:val="single"/>
          </w:rPr>
          <w:t>http://www.economia-sniim.gob.mx/nurvo/mapa.asp</w:t>
        </w:r>
      </w:hyperlink>
      <w:r>
        <w:rPr>
          <w:u w:val="single"/>
        </w:rPr>
        <w:t> </w:t>
      </w:r>
      <w:r>
        <w:rPr/>
        <w:t>Accesos el día 15 de Febrero 2016</w:t>
      </w:r>
    </w:p>
    <w:p>
      <w:pPr>
        <w:pStyle w:val="BodyText"/>
        <w:spacing w:line="360" w:lineRule="auto" w:before="206"/>
        <w:ind w:left="478" w:right="270"/>
        <w:jc w:val="both"/>
      </w:pPr>
      <w:r>
        <w:rPr/>
        <w:t>Takayama, T. And Judge G. G. 1964 Spatial Equilibrium and linear Programming J Farm Econ 46:67-93.</w:t>
      </w:r>
    </w:p>
    <w:p>
      <w:pPr>
        <w:pStyle w:val="BodyText"/>
        <w:tabs>
          <w:tab w:pos="1796" w:val="left" w:leader="none"/>
          <w:tab w:pos="3002" w:val="left" w:leader="none"/>
          <w:tab w:pos="4320" w:val="left" w:leader="none"/>
          <w:tab w:pos="5558" w:val="left" w:leader="none"/>
          <w:tab w:pos="7357" w:val="left" w:leader="none"/>
          <w:tab w:pos="8221" w:val="left" w:leader="none"/>
        </w:tabs>
        <w:spacing w:line="360" w:lineRule="auto" w:before="205"/>
        <w:ind w:left="478" w:right="269"/>
        <w:jc w:val="both"/>
      </w:pPr>
      <w:r>
        <w:rPr/>
        <w:t>USDA</w:t>
        <w:tab/>
        <w:t>2015.</w:t>
        <w:tab/>
        <w:t>United</w:t>
        <w:tab/>
        <w:t>States</w:t>
        <w:tab/>
        <w:t>Department</w:t>
        <w:tab/>
        <w:t>of</w:t>
        <w:tab/>
        <w:t>Agriculture </w:t>
      </w:r>
      <w:hyperlink r:id="rId116">
        <w:r>
          <w:rPr/>
          <w:t>http://www.usda.gov/wps/portal/usda/usdahome.</w:t>
        </w:r>
      </w:hyperlink>
      <w:r>
        <w:rPr/>
        <w:t> Acceso el día 23 de Marzo</w:t>
      </w:r>
      <w:r>
        <w:rPr>
          <w:spacing w:val="-9"/>
        </w:rPr>
        <w:t> </w:t>
      </w:r>
      <w:r>
        <w:rPr/>
        <w:t>2016.</w:t>
      </w:r>
    </w:p>
    <w:p>
      <w:pPr>
        <w:spacing w:after="0" w:line="360" w:lineRule="auto"/>
        <w:jc w:val="both"/>
        <w:sectPr>
          <w:pgSz w:w="12240" w:h="15840"/>
          <w:pgMar w:header="984" w:footer="986" w:top="1280" w:bottom="1180" w:left="130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6"/>
        </w:rPr>
      </w:pPr>
    </w:p>
    <w:p>
      <w:pPr>
        <w:pStyle w:val="ListParagraph"/>
        <w:numPr>
          <w:ilvl w:val="1"/>
          <w:numId w:val="19"/>
        </w:numPr>
        <w:tabs>
          <w:tab w:pos="470" w:val="left" w:leader="none"/>
        </w:tabs>
        <w:spacing w:line="240" w:lineRule="auto" w:before="52" w:after="0"/>
        <w:ind w:left="469" w:right="0" w:hanging="351"/>
        <w:jc w:val="both"/>
        <w:rPr>
          <w:rFonts w:ascii="Calibri Light"/>
          <w:b w:val="0"/>
          <w:sz w:val="24"/>
        </w:rPr>
      </w:pPr>
      <w:bookmarkStart w:name="_bookmark25" w:id="42"/>
      <w:bookmarkEnd w:id="42"/>
      <w:r>
        <w:rPr/>
      </w:r>
      <w:bookmarkStart w:name="_bookmark25" w:id="43"/>
      <w:bookmarkEnd w:id="43"/>
      <w:r>
        <w:rPr>
          <w:rFonts w:ascii="Calibri Light"/>
          <w:b w:val="0"/>
          <w:spacing w:val="-3"/>
          <w:sz w:val="24"/>
        </w:rPr>
        <w:t>C</w:t>
      </w:r>
      <w:r>
        <w:rPr>
          <w:rFonts w:ascii="Calibri Light"/>
          <w:b w:val="0"/>
          <w:spacing w:val="-3"/>
          <w:sz w:val="24"/>
        </w:rPr>
        <w:t>apitulo</w:t>
      </w:r>
      <w:r>
        <w:rPr>
          <w:rFonts w:ascii="Calibri Light"/>
          <w:b w:val="0"/>
          <w:spacing w:val="-7"/>
          <w:sz w:val="24"/>
        </w:rPr>
        <w:t> </w:t>
      </w:r>
      <w:r>
        <w:rPr>
          <w:rFonts w:ascii="Calibri Light"/>
          <w:b w:val="0"/>
          <w:sz w:val="24"/>
        </w:rPr>
        <w:t>cuatro.</w:t>
      </w:r>
    </w:p>
    <w:p>
      <w:pPr>
        <w:pStyle w:val="BodyText"/>
        <w:rPr>
          <w:rFonts w:ascii="Calibri Light"/>
          <w:b w:val="0"/>
        </w:rPr>
      </w:pPr>
    </w:p>
    <w:p>
      <w:pPr>
        <w:pStyle w:val="BodyText"/>
        <w:rPr>
          <w:rFonts w:ascii="Calibri Light"/>
          <w:b w:val="0"/>
        </w:rPr>
      </w:pPr>
    </w:p>
    <w:p>
      <w:pPr>
        <w:pStyle w:val="BodyText"/>
        <w:rPr>
          <w:rFonts w:ascii="Calibri Light"/>
          <w:b w:val="0"/>
        </w:rPr>
      </w:pPr>
    </w:p>
    <w:p>
      <w:pPr>
        <w:pStyle w:val="BodyText"/>
        <w:rPr>
          <w:rFonts w:ascii="Calibri Light"/>
          <w:b w:val="0"/>
        </w:rPr>
      </w:pPr>
    </w:p>
    <w:p>
      <w:pPr>
        <w:pStyle w:val="BodyText"/>
        <w:rPr>
          <w:rFonts w:ascii="Calibri Light"/>
          <w:b w:val="0"/>
        </w:rPr>
      </w:pPr>
    </w:p>
    <w:p>
      <w:pPr>
        <w:pStyle w:val="BodyText"/>
        <w:rPr>
          <w:rFonts w:ascii="Calibri Light"/>
          <w:b w:val="0"/>
        </w:rPr>
      </w:pPr>
    </w:p>
    <w:p>
      <w:pPr>
        <w:pStyle w:val="BodyText"/>
        <w:spacing w:before="10"/>
        <w:rPr>
          <w:rFonts w:ascii="Calibri Light"/>
          <w:b w:val="0"/>
          <w:sz w:val="18"/>
        </w:rPr>
      </w:pPr>
    </w:p>
    <w:p>
      <w:pPr>
        <w:pStyle w:val="Heading3"/>
        <w:spacing w:line="360" w:lineRule="auto"/>
      </w:pPr>
      <w:r>
        <w:rPr/>
        <w:t>Efectos regionales y nacionales sobre la producción y consumo de carne de carne de cerdo con la aplicación de aranceles a la carne importada. Ganadería, Sociedad y Recursos Naturales.</w:t>
      </w:r>
      <w:r>
        <w:rPr>
          <w:spacing w:val="-44"/>
        </w:rPr>
        <w:t> </w:t>
      </w:r>
      <w:r>
        <w:rPr/>
        <w:t>Editorial Departamento de Zootecnia, Universidad</w:t>
      </w:r>
      <w:r>
        <w:rPr>
          <w:spacing w:val="-25"/>
        </w:rPr>
        <w:t> </w:t>
      </w:r>
      <w:r>
        <w:rPr/>
        <w:t>Autónoma Chapingo, Primera edición Año 2016, ISBN: en trámite pág. 215 –</w:t>
      </w:r>
      <w:r>
        <w:rPr>
          <w:spacing w:val="-3"/>
        </w:rPr>
        <w:t> </w:t>
      </w:r>
      <w:r>
        <w:rPr/>
        <w:t>228.</w:t>
      </w:r>
    </w:p>
    <w:p>
      <w:pPr>
        <w:spacing w:after="0" w:line="360" w:lineRule="auto"/>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25" name="image96.jpeg" descr=""/>
            <wp:cNvGraphicFramePr>
              <a:graphicFrameLocks noChangeAspect="1"/>
            </wp:cNvGraphicFramePr>
            <a:graphic>
              <a:graphicData uri="http://schemas.openxmlformats.org/drawingml/2006/picture">
                <pic:pic>
                  <pic:nvPicPr>
                    <pic:cNvPr id="126" name="image96.jpeg"/>
                    <pic:cNvPicPr/>
                  </pic:nvPicPr>
                  <pic:blipFill>
                    <a:blip r:embed="rId117"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27" name="image97.jpeg" descr=""/>
            <wp:cNvGraphicFramePr>
              <a:graphicFrameLocks noChangeAspect="1"/>
            </wp:cNvGraphicFramePr>
            <a:graphic>
              <a:graphicData uri="http://schemas.openxmlformats.org/drawingml/2006/picture">
                <pic:pic>
                  <pic:nvPicPr>
                    <pic:cNvPr id="128" name="image97.jpeg"/>
                    <pic:cNvPicPr/>
                  </pic:nvPicPr>
                  <pic:blipFill>
                    <a:blip r:embed="rId118"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29" name="image98.jpeg" descr=""/>
            <wp:cNvGraphicFramePr>
              <a:graphicFrameLocks noChangeAspect="1"/>
            </wp:cNvGraphicFramePr>
            <a:graphic>
              <a:graphicData uri="http://schemas.openxmlformats.org/drawingml/2006/picture">
                <pic:pic>
                  <pic:nvPicPr>
                    <pic:cNvPr id="130" name="image98.jpeg"/>
                    <pic:cNvPicPr/>
                  </pic:nvPicPr>
                  <pic:blipFill>
                    <a:blip r:embed="rId119"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31" name="image99.jpeg" descr=""/>
            <wp:cNvGraphicFramePr>
              <a:graphicFrameLocks noChangeAspect="1"/>
            </wp:cNvGraphicFramePr>
            <a:graphic>
              <a:graphicData uri="http://schemas.openxmlformats.org/drawingml/2006/picture">
                <pic:pic>
                  <pic:nvPicPr>
                    <pic:cNvPr id="132" name="image99.jpeg"/>
                    <pic:cNvPicPr/>
                  </pic:nvPicPr>
                  <pic:blipFill>
                    <a:blip r:embed="rId120"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33" name="image100.jpeg" descr=""/>
            <wp:cNvGraphicFramePr>
              <a:graphicFrameLocks noChangeAspect="1"/>
            </wp:cNvGraphicFramePr>
            <a:graphic>
              <a:graphicData uri="http://schemas.openxmlformats.org/drawingml/2006/picture">
                <pic:pic>
                  <pic:nvPicPr>
                    <pic:cNvPr id="134" name="image100.jpeg"/>
                    <pic:cNvPicPr/>
                  </pic:nvPicPr>
                  <pic:blipFill>
                    <a:blip r:embed="rId121"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35" name="image101.jpeg" descr=""/>
            <wp:cNvGraphicFramePr>
              <a:graphicFrameLocks noChangeAspect="1"/>
            </wp:cNvGraphicFramePr>
            <a:graphic>
              <a:graphicData uri="http://schemas.openxmlformats.org/drawingml/2006/picture">
                <pic:pic>
                  <pic:nvPicPr>
                    <pic:cNvPr id="136" name="image101.jpeg"/>
                    <pic:cNvPicPr/>
                  </pic:nvPicPr>
                  <pic:blipFill>
                    <a:blip r:embed="rId122"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37" name="image102.jpeg" descr=""/>
            <wp:cNvGraphicFramePr>
              <a:graphicFrameLocks noChangeAspect="1"/>
            </wp:cNvGraphicFramePr>
            <a:graphic>
              <a:graphicData uri="http://schemas.openxmlformats.org/drawingml/2006/picture">
                <pic:pic>
                  <pic:nvPicPr>
                    <pic:cNvPr id="138" name="image102.jpeg"/>
                    <pic:cNvPicPr/>
                  </pic:nvPicPr>
                  <pic:blipFill>
                    <a:blip r:embed="rId123"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39" name="image103.jpeg" descr=""/>
            <wp:cNvGraphicFramePr>
              <a:graphicFrameLocks noChangeAspect="1"/>
            </wp:cNvGraphicFramePr>
            <a:graphic>
              <a:graphicData uri="http://schemas.openxmlformats.org/drawingml/2006/picture">
                <pic:pic>
                  <pic:nvPicPr>
                    <pic:cNvPr id="140" name="image103.jpeg"/>
                    <pic:cNvPicPr/>
                  </pic:nvPicPr>
                  <pic:blipFill>
                    <a:blip r:embed="rId124"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41" name="image104.jpeg" descr=""/>
            <wp:cNvGraphicFramePr>
              <a:graphicFrameLocks noChangeAspect="1"/>
            </wp:cNvGraphicFramePr>
            <a:graphic>
              <a:graphicData uri="http://schemas.openxmlformats.org/drawingml/2006/picture">
                <pic:pic>
                  <pic:nvPicPr>
                    <pic:cNvPr id="142" name="image104.jpeg"/>
                    <pic:cNvPicPr/>
                  </pic:nvPicPr>
                  <pic:blipFill>
                    <a:blip r:embed="rId125"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43" name="image105.jpeg" descr=""/>
            <wp:cNvGraphicFramePr>
              <a:graphicFrameLocks noChangeAspect="1"/>
            </wp:cNvGraphicFramePr>
            <a:graphic>
              <a:graphicData uri="http://schemas.openxmlformats.org/drawingml/2006/picture">
                <pic:pic>
                  <pic:nvPicPr>
                    <pic:cNvPr id="144" name="image105.jpeg"/>
                    <pic:cNvPicPr/>
                  </pic:nvPicPr>
                  <pic:blipFill>
                    <a:blip r:embed="rId126"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45" name="image106.jpeg" descr=""/>
            <wp:cNvGraphicFramePr>
              <a:graphicFrameLocks noChangeAspect="1"/>
            </wp:cNvGraphicFramePr>
            <a:graphic>
              <a:graphicData uri="http://schemas.openxmlformats.org/drawingml/2006/picture">
                <pic:pic>
                  <pic:nvPicPr>
                    <pic:cNvPr id="146" name="image106.jpeg"/>
                    <pic:cNvPicPr/>
                  </pic:nvPicPr>
                  <pic:blipFill>
                    <a:blip r:embed="rId127"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47" name="image107.jpeg" descr=""/>
            <wp:cNvGraphicFramePr>
              <a:graphicFrameLocks noChangeAspect="1"/>
            </wp:cNvGraphicFramePr>
            <a:graphic>
              <a:graphicData uri="http://schemas.openxmlformats.org/drawingml/2006/picture">
                <pic:pic>
                  <pic:nvPicPr>
                    <pic:cNvPr id="148" name="image107.jpeg"/>
                    <pic:cNvPicPr/>
                  </pic:nvPicPr>
                  <pic:blipFill>
                    <a:blip r:embed="rId128"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49" name="image108.jpeg" descr=""/>
            <wp:cNvGraphicFramePr>
              <a:graphicFrameLocks noChangeAspect="1"/>
            </wp:cNvGraphicFramePr>
            <a:graphic>
              <a:graphicData uri="http://schemas.openxmlformats.org/drawingml/2006/picture">
                <pic:pic>
                  <pic:nvPicPr>
                    <pic:cNvPr id="150" name="image108.jpeg"/>
                    <pic:cNvPicPr/>
                  </pic:nvPicPr>
                  <pic:blipFill>
                    <a:blip r:embed="rId129"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51" name="image109.jpeg" descr=""/>
            <wp:cNvGraphicFramePr>
              <a:graphicFrameLocks noChangeAspect="1"/>
            </wp:cNvGraphicFramePr>
            <a:graphic>
              <a:graphicData uri="http://schemas.openxmlformats.org/drawingml/2006/picture">
                <pic:pic>
                  <pic:nvPicPr>
                    <pic:cNvPr id="152" name="image109.jpeg"/>
                    <pic:cNvPicPr/>
                  </pic:nvPicPr>
                  <pic:blipFill>
                    <a:blip r:embed="rId130"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53" name="image110.jpeg" descr=""/>
            <wp:cNvGraphicFramePr>
              <a:graphicFrameLocks noChangeAspect="1"/>
            </wp:cNvGraphicFramePr>
            <a:graphic>
              <a:graphicData uri="http://schemas.openxmlformats.org/drawingml/2006/picture">
                <pic:pic>
                  <pic:nvPicPr>
                    <pic:cNvPr id="154" name="image110.jpeg"/>
                    <pic:cNvPicPr/>
                  </pic:nvPicPr>
                  <pic:blipFill>
                    <a:blip r:embed="rId131"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55" name="image111.jpeg" descr=""/>
            <wp:cNvGraphicFramePr>
              <a:graphicFrameLocks noChangeAspect="1"/>
            </wp:cNvGraphicFramePr>
            <a:graphic>
              <a:graphicData uri="http://schemas.openxmlformats.org/drawingml/2006/picture">
                <pic:pic>
                  <pic:nvPicPr>
                    <pic:cNvPr id="156" name="image111.jpeg"/>
                    <pic:cNvPicPr/>
                  </pic:nvPicPr>
                  <pic:blipFill>
                    <a:blip r:embed="rId132"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57" name="image112.jpeg" descr=""/>
            <wp:cNvGraphicFramePr>
              <a:graphicFrameLocks noChangeAspect="1"/>
            </wp:cNvGraphicFramePr>
            <a:graphic>
              <a:graphicData uri="http://schemas.openxmlformats.org/drawingml/2006/picture">
                <pic:pic>
                  <pic:nvPicPr>
                    <pic:cNvPr id="158" name="image112.jpeg"/>
                    <pic:cNvPicPr/>
                  </pic:nvPicPr>
                  <pic:blipFill>
                    <a:blip r:embed="rId133"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59" name="image113.jpeg" descr=""/>
            <wp:cNvGraphicFramePr>
              <a:graphicFrameLocks noChangeAspect="1"/>
            </wp:cNvGraphicFramePr>
            <a:graphic>
              <a:graphicData uri="http://schemas.openxmlformats.org/drawingml/2006/picture">
                <pic:pic>
                  <pic:nvPicPr>
                    <pic:cNvPr id="160" name="image113.jpeg"/>
                    <pic:cNvPicPr/>
                  </pic:nvPicPr>
                  <pic:blipFill>
                    <a:blip r:embed="rId134"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61" name="image114.jpeg" descr=""/>
            <wp:cNvGraphicFramePr>
              <a:graphicFrameLocks noChangeAspect="1"/>
            </wp:cNvGraphicFramePr>
            <a:graphic>
              <a:graphicData uri="http://schemas.openxmlformats.org/drawingml/2006/picture">
                <pic:pic>
                  <pic:nvPicPr>
                    <pic:cNvPr id="162" name="image114.jpeg"/>
                    <pic:cNvPicPr/>
                  </pic:nvPicPr>
                  <pic:blipFill>
                    <a:blip r:embed="rId135"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63" name="image115.jpeg" descr=""/>
            <wp:cNvGraphicFramePr>
              <a:graphicFrameLocks noChangeAspect="1"/>
            </wp:cNvGraphicFramePr>
            <a:graphic>
              <a:graphicData uri="http://schemas.openxmlformats.org/drawingml/2006/picture">
                <pic:pic>
                  <pic:nvPicPr>
                    <pic:cNvPr id="164" name="image115.jpeg"/>
                    <pic:cNvPicPr/>
                  </pic:nvPicPr>
                  <pic:blipFill>
                    <a:blip r:embed="rId136"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65" name="image116.jpeg" descr=""/>
            <wp:cNvGraphicFramePr>
              <a:graphicFrameLocks noChangeAspect="1"/>
            </wp:cNvGraphicFramePr>
            <a:graphic>
              <a:graphicData uri="http://schemas.openxmlformats.org/drawingml/2006/picture">
                <pic:pic>
                  <pic:nvPicPr>
                    <pic:cNvPr id="166" name="image116.jpeg"/>
                    <pic:cNvPicPr/>
                  </pic:nvPicPr>
                  <pic:blipFill>
                    <a:blip r:embed="rId137"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67" name="image117.jpeg" descr=""/>
            <wp:cNvGraphicFramePr>
              <a:graphicFrameLocks noChangeAspect="1"/>
            </wp:cNvGraphicFramePr>
            <a:graphic>
              <a:graphicData uri="http://schemas.openxmlformats.org/drawingml/2006/picture">
                <pic:pic>
                  <pic:nvPicPr>
                    <pic:cNvPr id="168" name="image117.jpeg"/>
                    <pic:cNvPicPr/>
                  </pic:nvPicPr>
                  <pic:blipFill>
                    <a:blip r:embed="rId138"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5611368" cy="7723632"/>
            <wp:effectExtent l="0" t="0" r="0" b="0"/>
            <wp:docPr id="169" name="image118.jpeg" descr=""/>
            <wp:cNvGraphicFramePr>
              <a:graphicFrameLocks noChangeAspect="1"/>
            </wp:cNvGraphicFramePr>
            <a:graphic>
              <a:graphicData uri="http://schemas.openxmlformats.org/drawingml/2006/picture">
                <pic:pic>
                  <pic:nvPicPr>
                    <pic:cNvPr id="170" name="image118.jpeg"/>
                    <pic:cNvPicPr/>
                  </pic:nvPicPr>
                  <pic:blipFill>
                    <a:blip r:embed="rId139" cstate="print"/>
                    <a:stretch>
                      <a:fillRect/>
                    </a:stretch>
                  </pic:blipFill>
                  <pic:spPr>
                    <a:xfrm>
                      <a:off x="0" y="0"/>
                      <a:ext cx="5611368" cy="7723632"/>
                    </a:xfrm>
                    <a:prstGeom prst="rect">
                      <a:avLst/>
                    </a:prstGeom>
                  </pic:spPr>
                </pic:pic>
              </a:graphicData>
            </a:graphic>
          </wp:inline>
        </w:drawing>
      </w:r>
      <w:r>
        <w:rPr>
          <w:sz w:val="20"/>
        </w:rPr>
      </w:r>
    </w:p>
    <w:p>
      <w:pPr>
        <w:spacing w:after="0"/>
        <w:rPr>
          <w:sz w:val="20"/>
        </w:rPr>
        <w:sectPr>
          <w:pgSz w:w="12240" w:h="15840"/>
          <w:pgMar w:header="984" w:footer="986" w:top="1280" w:bottom="1180" w:left="130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1"/>
          <w:numId w:val="19"/>
        </w:numPr>
        <w:tabs>
          <w:tab w:pos="479" w:val="left" w:leader="none"/>
        </w:tabs>
        <w:spacing w:line="240" w:lineRule="auto" w:before="199" w:after="0"/>
        <w:ind w:left="478" w:right="0" w:hanging="360"/>
        <w:jc w:val="both"/>
        <w:rPr>
          <w:sz w:val="24"/>
        </w:rPr>
      </w:pPr>
      <w:bookmarkStart w:name="_bookmark26" w:id="44"/>
      <w:bookmarkEnd w:id="44"/>
      <w:r>
        <w:rPr/>
      </w:r>
      <w:bookmarkStart w:name="_bookmark26" w:id="45"/>
      <w:bookmarkEnd w:id="45"/>
      <w:r>
        <w:rPr>
          <w:sz w:val="24"/>
        </w:rPr>
        <w:t>A</w:t>
      </w:r>
      <w:r>
        <w:rPr>
          <w:sz w:val="24"/>
        </w:rPr>
        <w:t>rticulo</w:t>
      </w:r>
      <w:r>
        <w:rPr>
          <w:spacing w:val="-6"/>
          <w:sz w:val="24"/>
        </w:rPr>
        <w:t> </w:t>
      </w:r>
      <w:r>
        <w:rPr>
          <w:sz w:val="24"/>
        </w:rPr>
        <w:t>cinco.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34"/>
        </w:rPr>
      </w:pPr>
    </w:p>
    <w:p>
      <w:pPr>
        <w:pStyle w:val="Heading3"/>
        <w:spacing w:line="360" w:lineRule="auto"/>
        <w:ind w:right="270"/>
      </w:pPr>
      <w:r>
        <w:rPr/>
        <w:t>Evaluación del efecto regional y nacional de la aplicación de políticas económicas a la porcicultura mexicana. (Enviado)</w:t>
      </w:r>
    </w:p>
    <w:p>
      <w:pPr>
        <w:spacing w:after="0" w:line="360" w:lineRule="auto"/>
        <w:sectPr>
          <w:pgSz w:w="12240" w:h="15840"/>
          <w:pgMar w:header="984" w:footer="986" w:top="1280" w:bottom="1180" w:left="1300" w:right="1340"/>
        </w:sectPr>
      </w:pPr>
    </w:p>
    <w:p>
      <w:pPr>
        <w:pStyle w:val="BodyText"/>
        <w:spacing w:before="3"/>
        <w:rPr>
          <w:sz w:val="11"/>
        </w:rPr>
      </w:pPr>
    </w:p>
    <w:p>
      <w:pPr>
        <w:pStyle w:val="BodyText"/>
        <w:ind w:left="118"/>
        <w:rPr>
          <w:sz w:val="20"/>
        </w:rPr>
      </w:pPr>
      <w:r>
        <w:rPr>
          <w:sz w:val="20"/>
        </w:rPr>
        <w:drawing>
          <wp:inline distT="0" distB="0" distL="0" distR="0">
            <wp:extent cx="6237144" cy="8071866"/>
            <wp:effectExtent l="0" t="0" r="0" b="0"/>
            <wp:docPr id="171" name="image119.jpeg" descr=""/>
            <wp:cNvGraphicFramePr>
              <a:graphicFrameLocks noChangeAspect="1"/>
            </wp:cNvGraphicFramePr>
            <a:graphic>
              <a:graphicData uri="http://schemas.openxmlformats.org/drawingml/2006/picture">
                <pic:pic>
                  <pic:nvPicPr>
                    <pic:cNvPr id="172" name="image119.jpeg"/>
                    <pic:cNvPicPr/>
                  </pic:nvPicPr>
                  <pic:blipFill>
                    <a:blip r:embed="rId140" cstate="print"/>
                    <a:stretch>
                      <a:fillRect/>
                    </a:stretch>
                  </pic:blipFill>
                  <pic:spPr>
                    <a:xfrm>
                      <a:off x="0" y="0"/>
                      <a:ext cx="6237144" cy="8071866"/>
                    </a:xfrm>
                    <a:prstGeom prst="rect">
                      <a:avLst/>
                    </a:prstGeom>
                  </pic:spPr>
                </pic:pic>
              </a:graphicData>
            </a:graphic>
          </wp:inline>
        </w:drawing>
      </w:r>
      <w:r>
        <w:rPr>
          <w:sz w:val="20"/>
        </w:rPr>
      </w:r>
    </w:p>
    <w:p>
      <w:pPr>
        <w:spacing w:after="0"/>
        <w:rPr>
          <w:sz w:val="20"/>
        </w:rPr>
        <w:sectPr>
          <w:pgSz w:w="12240" w:h="15840"/>
          <w:pgMar w:header="984" w:footer="986" w:top="1280" w:bottom="1180" w:left="1300" w:right="840"/>
        </w:sectPr>
      </w:pPr>
    </w:p>
    <w:p>
      <w:pPr>
        <w:pStyle w:val="Heading4"/>
        <w:spacing w:line="360" w:lineRule="auto"/>
        <w:ind w:left="0" w:right="155"/>
      </w:pPr>
      <w:r>
        <w:rPr/>
        <w:t>EVALUACIÓN DEL EFECTO REGIONAL Y NACIONAL DE LA APLICACIÓN DE POLITICAS ECONÓMICAS A LA PORCICULTURA MEXICANA</w:t>
      </w:r>
    </w:p>
    <w:p>
      <w:pPr>
        <w:pStyle w:val="BodyText"/>
        <w:rPr>
          <w:b/>
        </w:rPr>
      </w:pPr>
    </w:p>
    <w:p>
      <w:pPr>
        <w:pStyle w:val="BodyText"/>
        <w:rPr>
          <w:b/>
        </w:rPr>
      </w:pPr>
    </w:p>
    <w:p>
      <w:pPr>
        <w:pStyle w:val="BodyText"/>
        <w:spacing w:before="6"/>
        <w:rPr>
          <w:b/>
          <w:sz w:val="21"/>
        </w:rPr>
      </w:pPr>
    </w:p>
    <w:p>
      <w:pPr>
        <w:pStyle w:val="BodyText"/>
        <w:spacing w:line="345" w:lineRule="auto"/>
        <w:ind w:right="148"/>
        <w:jc w:val="center"/>
        <w:rPr>
          <w:sz w:val="16"/>
        </w:rPr>
      </w:pPr>
      <w:r>
        <w:rPr/>
        <w:t>Héctor Hugo Velázquez Villalva </w:t>
      </w:r>
      <w:r>
        <w:rPr>
          <w:position w:val="9"/>
          <w:sz w:val="16"/>
        </w:rPr>
        <w:t>1</w:t>
      </w:r>
      <w:r>
        <w:rPr/>
        <w:t>; Germán Gómez Tenorio</w:t>
      </w:r>
      <w:r>
        <w:rPr>
          <w:position w:val="9"/>
          <w:sz w:val="16"/>
        </w:rPr>
        <w:t>1</w:t>
      </w:r>
      <w:r>
        <w:rPr/>
        <w:t>; Samuel Rebollar Rebollar</w:t>
      </w:r>
      <w:r>
        <w:rPr>
          <w:position w:val="9"/>
          <w:sz w:val="16"/>
        </w:rPr>
        <w:t>1</w:t>
      </w:r>
      <w:r>
        <w:rPr/>
        <w:t>; Francisco Ernesto Martínez Castañeda</w:t>
      </w:r>
      <w:r>
        <w:rPr>
          <w:position w:val="9"/>
          <w:sz w:val="16"/>
        </w:rPr>
        <w:t>2</w:t>
      </w:r>
    </w:p>
    <w:p>
      <w:pPr>
        <w:pStyle w:val="BodyText"/>
        <w:rPr>
          <w:sz w:val="26"/>
        </w:rPr>
      </w:pPr>
    </w:p>
    <w:p>
      <w:pPr>
        <w:pStyle w:val="BodyText"/>
        <w:rPr>
          <w:sz w:val="26"/>
        </w:rPr>
      </w:pPr>
    </w:p>
    <w:p>
      <w:pPr>
        <w:pStyle w:val="BodyText"/>
        <w:spacing w:line="362" w:lineRule="auto" w:before="214"/>
        <w:ind w:right="147"/>
        <w:jc w:val="center"/>
      </w:pPr>
      <w:r>
        <w:rPr>
          <w:position w:val="9"/>
          <w:sz w:val="16"/>
        </w:rPr>
        <w:t>1 </w:t>
      </w:r>
      <w:r>
        <w:rPr/>
        <w:t>Centro Universitario UAEM Temascaltepec. Carretera Toluca-Tejupilco Km. 67.5, Barrio de Santiago, Temascaltepec de González, Estado de México C.P. 51300</w:t>
      </w:r>
    </w:p>
    <w:p>
      <w:pPr>
        <w:pStyle w:val="BodyText"/>
      </w:pPr>
    </w:p>
    <w:p>
      <w:pPr>
        <w:pStyle w:val="BodyText"/>
      </w:pPr>
    </w:p>
    <w:p>
      <w:pPr>
        <w:pStyle w:val="BodyText"/>
        <w:spacing w:before="6"/>
        <w:rPr>
          <w:sz w:val="21"/>
        </w:rPr>
      </w:pPr>
    </w:p>
    <w:p>
      <w:pPr>
        <w:pStyle w:val="BodyText"/>
        <w:spacing w:line="360" w:lineRule="auto"/>
        <w:ind w:right="150"/>
        <w:jc w:val="center"/>
      </w:pPr>
      <w:r>
        <w:rPr>
          <w:position w:val="9"/>
          <w:sz w:val="16"/>
        </w:rPr>
        <w:t>2 </w:t>
      </w:r>
      <w:r>
        <w:rPr/>
        <w:t>Instituto de Ciencias Agropecuarias y Rurales. El Cerrillo Piedras Blancas, Toluca, Estado de México C.P. 50090</w:t>
      </w:r>
    </w:p>
    <w:p>
      <w:pPr>
        <w:pStyle w:val="BodyText"/>
        <w:spacing w:before="205"/>
        <w:ind w:left="2595" w:right="2026"/>
        <w:jc w:val="center"/>
      </w:pPr>
      <w:r>
        <w:rPr/>
        <w:t>Autor para correspondencia:</w:t>
      </w:r>
    </w:p>
    <w:p>
      <w:pPr>
        <w:pStyle w:val="BodyText"/>
      </w:pPr>
    </w:p>
    <w:p>
      <w:pPr>
        <w:pStyle w:val="BodyText"/>
        <w:spacing w:before="9"/>
        <w:rPr>
          <w:sz w:val="23"/>
        </w:rPr>
      </w:pPr>
    </w:p>
    <w:p>
      <w:pPr>
        <w:pStyle w:val="BodyText"/>
        <w:ind w:left="2593" w:right="2026"/>
        <w:jc w:val="center"/>
      </w:pPr>
      <w:r>
        <w:rPr/>
        <w:t>Germán Gómez Tenorio</w:t>
      </w:r>
    </w:p>
    <w:p>
      <w:pPr>
        <w:pStyle w:val="BodyText"/>
        <w:spacing w:before="139"/>
        <w:ind w:right="151"/>
        <w:jc w:val="center"/>
      </w:pPr>
      <w:r>
        <w:rPr/>
        <w:t>Barrio de Santiago s/n, Temascaltepec, Estado de México. 51300.</w:t>
      </w:r>
    </w:p>
    <w:p>
      <w:pPr>
        <w:pStyle w:val="BodyText"/>
        <w:spacing w:before="137"/>
        <w:ind w:right="151"/>
        <w:jc w:val="center"/>
      </w:pPr>
      <w:r>
        <w:rPr/>
        <w:t>E-mail (gomte61@yahoo.com)</w:t>
      </w:r>
    </w:p>
    <w:p>
      <w:pPr>
        <w:spacing w:after="0"/>
        <w:jc w:val="center"/>
        <w:sectPr>
          <w:pgSz w:w="12240" w:h="15840"/>
          <w:pgMar w:header="984" w:footer="986" w:top="1280" w:bottom="1180" w:left="1300" w:right="1340"/>
        </w:sectPr>
      </w:pPr>
    </w:p>
    <w:p>
      <w:pPr>
        <w:pStyle w:val="Heading4"/>
        <w:jc w:val="both"/>
      </w:pPr>
      <w:r>
        <w:rPr/>
        <w:t>INTRODUCCIÓN</w:t>
      </w:r>
    </w:p>
    <w:p>
      <w:pPr>
        <w:pStyle w:val="BodyText"/>
        <w:rPr>
          <w:b/>
          <w:sz w:val="29"/>
        </w:rPr>
      </w:pPr>
    </w:p>
    <w:p>
      <w:pPr>
        <w:pStyle w:val="BodyText"/>
        <w:spacing w:line="355" w:lineRule="auto"/>
        <w:ind w:left="118" w:right="267"/>
        <w:jc w:val="both"/>
      </w:pPr>
      <w:r>
        <w:rPr/>
        <w:t>En la década de los setentas, con un modelo económico cerrado, México contaba con una piara de casi 10 millones de cerdos; para 1983 creció 15.30%, el volumen de producción pasó de</w:t>
      </w:r>
      <w:r>
        <w:rPr>
          <w:spacing w:val="-30"/>
        </w:rPr>
        <w:t> </w:t>
      </w:r>
      <w:r>
        <w:rPr/>
        <w:t>0.57 millones de toneladas a 1.48 millones, se incrementó 159% en 13 años, esto garantizó satisfacer la demanda interna sin recurrir a importaciones, el consumo per cápita fue 19.7</w:t>
      </w:r>
      <w:r>
        <w:rPr>
          <w:spacing w:val="-16"/>
        </w:rPr>
        <w:t> </w:t>
      </w:r>
      <w:r>
        <w:rPr/>
        <w:t>kg</w:t>
      </w:r>
      <w:r>
        <w:rPr>
          <w:position w:val="9"/>
          <w:sz w:val="16"/>
        </w:rPr>
        <w:t>(1)</w:t>
      </w:r>
      <w:r>
        <w:rPr/>
        <w:t>.</w:t>
      </w:r>
    </w:p>
    <w:p>
      <w:pPr>
        <w:pStyle w:val="BodyText"/>
        <w:spacing w:line="357" w:lineRule="auto" w:before="2"/>
        <w:ind w:left="118" w:right="267"/>
        <w:jc w:val="both"/>
        <w:rPr>
          <w:sz w:val="16"/>
        </w:rPr>
      </w:pPr>
      <w:r>
        <w:rPr/>
        <w:t>Con la crisis económica que tuvo lugar en el país en 1982, México enfrentó un proceso inflacionario y devaluación constante del peso durante los años subsecuentes, estas condiciones elevaron los costos de producción de carne de cerdo y deterioraron el poder adquisitivo lo que disminuyó el consumo de carne. Además, se modificó el modelo económico al retirar subsidios a los granos y generó una transición a una economía abierta y desregulada, México ingresó al GATT en 1986 y la apertura comercial para la carne de cerdo empezó en 1988; para este año, la producción nacional descendió a 0.861 millones de toneladas (t) y se importó 0.031 millones  de t, con un consumo per cápita de solamente 11.20</w:t>
      </w:r>
      <w:r>
        <w:rPr>
          <w:spacing w:val="-8"/>
        </w:rPr>
        <w:t> </w:t>
      </w:r>
      <w:r>
        <w:rPr/>
        <w:t>kg</w:t>
      </w:r>
      <w:r>
        <w:rPr>
          <w:position w:val="9"/>
          <w:sz w:val="16"/>
        </w:rPr>
        <w:t>(2).</w:t>
      </w:r>
    </w:p>
    <w:p>
      <w:pPr>
        <w:pStyle w:val="BodyText"/>
        <w:spacing w:line="360" w:lineRule="auto" w:before="117"/>
        <w:ind w:left="118" w:right="268"/>
        <w:jc w:val="both"/>
      </w:pPr>
      <w:r>
        <w:rPr/>
        <w:t>El</w:t>
      </w:r>
      <w:r>
        <w:rPr>
          <w:spacing w:val="-8"/>
        </w:rPr>
        <w:t> </w:t>
      </w:r>
      <w:r>
        <w:rPr/>
        <w:t>año</w:t>
      </w:r>
      <w:r>
        <w:rPr>
          <w:spacing w:val="-9"/>
        </w:rPr>
        <w:t> </w:t>
      </w:r>
      <w:r>
        <w:rPr/>
        <w:t>más</w:t>
      </w:r>
      <w:r>
        <w:rPr>
          <w:spacing w:val="-9"/>
        </w:rPr>
        <w:t> </w:t>
      </w:r>
      <w:r>
        <w:rPr/>
        <w:t>crítico</w:t>
      </w:r>
      <w:r>
        <w:rPr>
          <w:spacing w:val="-9"/>
        </w:rPr>
        <w:t> </w:t>
      </w:r>
      <w:r>
        <w:rPr/>
        <w:t>para</w:t>
      </w:r>
      <w:r>
        <w:rPr>
          <w:spacing w:val="-10"/>
        </w:rPr>
        <w:t> </w:t>
      </w:r>
      <w:r>
        <w:rPr/>
        <w:t>la</w:t>
      </w:r>
      <w:r>
        <w:rPr>
          <w:spacing w:val="-9"/>
        </w:rPr>
        <w:t> </w:t>
      </w:r>
      <w:r>
        <w:rPr/>
        <w:t>porcicultura</w:t>
      </w:r>
      <w:r>
        <w:rPr>
          <w:spacing w:val="-10"/>
        </w:rPr>
        <w:t> </w:t>
      </w:r>
      <w:r>
        <w:rPr/>
        <w:t>mexicana</w:t>
      </w:r>
      <w:r>
        <w:rPr>
          <w:spacing w:val="-10"/>
        </w:rPr>
        <w:t> </w:t>
      </w:r>
      <w:r>
        <w:rPr/>
        <w:t>fue</w:t>
      </w:r>
      <w:r>
        <w:rPr>
          <w:spacing w:val="-10"/>
        </w:rPr>
        <w:t> </w:t>
      </w:r>
      <w:r>
        <w:rPr/>
        <w:t>1989</w:t>
      </w:r>
      <w:r>
        <w:rPr>
          <w:spacing w:val="-6"/>
        </w:rPr>
        <w:t> </w:t>
      </w:r>
      <w:r>
        <w:rPr>
          <w:spacing w:val="-3"/>
        </w:rPr>
        <w:t>ya</w:t>
      </w:r>
      <w:r>
        <w:rPr>
          <w:spacing w:val="-10"/>
        </w:rPr>
        <w:t> </w:t>
      </w:r>
      <w:r>
        <w:rPr/>
        <w:t>que</w:t>
      </w:r>
      <w:r>
        <w:rPr>
          <w:spacing w:val="-10"/>
        </w:rPr>
        <w:t> </w:t>
      </w:r>
      <w:r>
        <w:rPr/>
        <w:t>se</w:t>
      </w:r>
      <w:r>
        <w:rPr>
          <w:spacing w:val="-9"/>
        </w:rPr>
        <w:t> </w:t>
      </w:r>
      <w:r>
        <w:rPr/>
        <w:t>registró</w:t>
      </w:r>
      <w:r>
        <w:rPr>
          <w:spacing w:val="-7"/>
        </w:rPr>
        <w:t> </w:t>
      </w:r>
      <w:r>
        <w:rPr/>
        <w:t>la</w:t>
      </w:r>
      <w:r>
        <w:rPr>
          <w:spacing w:val="-9"/>
        </w:rPr>
        <w:t> </w:t>
      </w:r>
      <w:r>
        <w:rPr/>
        <w:t>menor</w:t>
      </w:r>
      <w:r>
        <w:rPr>
          <w:spacing w:val="-10"/>
        </w:rPr>
        <w:t> </w:t>
      </w:r>
      <w:r>
        <w:rPr/>
        <w:t>producción de carne de cerdo con 0.726 millones de t, la importación de carne ascendió a .055 millones de</w:t>
      </w:r>
      <w:r>
        <w:rPr>
          <w:spacing w:val="-19"/>
        </w:rPr>
        <w:t> </w:t>
      </w:r>
      <w:r>
        <w:rPr/>
        <w:t>t y el consumo per cápita fue 9.80 kg el más bajo</w:t>
      </w:r>
      <w:r>
        <w:rPr>
          <w:spacing w:val="-10"/>
        </w:rPr>
        <w:t> </w:t>
      </w:r>
      <w:r>
        <w:rPr/>
        <w:t>históricamente.</w:t>
      </w:r>
    </w:p>
    <w:p>
      <w:pPr>
        <w:pStyle w:val="BodyText"/>
        <w:spacing w:line="357" w:lineRule="auto" w:before="126"/>
        <w:ind w:left="118" w:right="267"/>
        <w:jc w:val="both"/>
        <w:rPr>
          <w:sz w:val="16"/>
        </w:rPr>
      </w:pPr>
      <w:r>
        <w:rPr/>
        <w:t>Las</w:t>
      </w:r>
      <w:r>
        <w:rPr>
          <w:spacing w:val="-6"/>
        </w:rPr>
        <w:t> </w:t>
      </w:r>
      <w:r>
        <w:rPr/>
        <w:t>importaciones</w:t>
      </w:r>
      <w:r>
        <w:rPr>
          <w:spacing w:val="-7"/>
        </w:rPr>
        <w:t> </w:t>
      </w:r>
      <w:r>
        <w:rPr/>
        <w:t>que</w:t>
      </w:r>
      <w:r>
        <w:rPr>
          <w:spacing w:val="-7"/>
        </w:rPr>
        <w:t> </w:t>
      </w:r>
      <w:r>
        <w:rPr/>
        <w:t>se</w:t>
      </w:r>
      <w:r>
        <w:rPr>
          <w:spacing w:val="-5"/>
        </w:rPr>
        <w:t> </w:t>
      </w:r>
      <w:r>
        <w:rPr/>
        <w:t>realizaron</w:t>
      </w:r>
      <w:r>
        <w:rPr>
          <w:spacing w:val="-7"/>
        </w:rPr>
        <w:t> </w:t>
      </w:r>
      <w:r>
        <w:rPr/>
        <w:t>desde</w:t>
      </w:r>
      <w:r>
        <w:rPr>
          <w:spacing w:val="-7"/>
        </w:rPr>
        <w:t> </w:t>
      </w:r>
      <w:r>
        <w:rPr/>
        <w:t>1988</w:t>
      </w:r>
      <w:r>
        <w:rPr>
          <w:spacing w:val="-1"/>
        </w:rPr>
        <w:t> </w:t>
      </w:r>
      <w:r>
        <w:rPr/>
        <w:t>y</w:t>
      </w:r>
      <w:r>
        <w:rPr>
          <w:spacing w:val="-9"/>
        </w:rPr>
        <w:t> </w:t>
      </w:r>
      <w:r>
        <w:rPr/>
        <w:t>hasta</w:t>
      </w:r>
      <w:r>
        <w:rPr>
          <w:spacing w:val="-6"/>
        </w:rPr>
        <w:t> </w:t>
      </w:r>
      <w:r>
        <w:rPr/>
        <w:t>1993</w:t>
      </w:r>
      <w:r>
        <w:rPr>
          <w:spacing w:val="-6"/>
        </w:rPr>
        <w:t> </w:t>
      </w:r>
      <w:r>
        <w:rPr/>
        <w:t>se</w:t>
      </w:r>
      <w:r>
        <w:rPr>
          <w:spacing w:val="-7"/>
        </w:rPr>
        <w:t> </w:t>
      </w:r>
      <w:r>
        <w:rPr/>
        <w:t>hacían</w:t>
      </w:r>
      <w:r>
        <w:rPr>
          <w:spacing w:val="-7"/>
        </w:rPr>
        <w:t> </w:t>
      </w:r>
      <w:r>
        <w:rPr/>
        <w:t>por</w:t>
      </w:r>
      <w:r>
        <w:rPr>
          <w:spacing w:val="-2"/>
        </w:rPr>
        <w:t> </w:t>
      </w:r>
      <w:r>
        <w:rPr/>
        <w:t>cuotas,</w:t>
      </w:r>
      <w:r>
        <w:rPr>
          <w:spacing w:val="-6"/>
        </w:rPr>
        <w:t> </w:t>
      </w:r>
      <w:r>
        <w:rPr/>
        <w:t>pero</w:t>
      </w:r>
      <w:r>
        <w:rPr>
          <w:spacing w:val="-5"/>
        </w:rPr>
        <w:t> </w:t>
      </w:r>
      <w:r>
        <w:rPr/>
        <w:t>a</w:t>
      </w:r>
      <w:r>
        <w:rPr>
          <w:spacing w:val="-7"/>
        </w:rPr>
        <w:t> </w:t>
      </w:r>
      <w:r>
        <w:rPr/>
        <w:t>raíz</w:t>
      </w:r>
      <w:r>
        <w:rPr>
          <w:spacing w:val="-5"/>
        </w:rPr>
        <w:t> </w:t>
      </w:r>
      <w:r>
        <w:rPr/>
        <w:t>de la firma del tratado de libre comercio (TLCAN) en 1994 se estableció un arancel a la carne de cerdo de 20% a eliminarse 2% anual, para que en 2003 este impuesto fuera de cero o libre de arancel. A partir de 1997 hasta hoy en día, con tasas de inflación de un solo dígito y mayor estabilidad monetaria, se ha regresado al crecimiento en la producción porcina, sin alcanzar los niveles de 1984  de 1.45 millones de t, pues en 2015 la producción fue 1.22 millones de</w:t>
      </w:r>
      <w:r>
        <w:rPr>
          <w:spacing w:val="-8"/>
        </w:rPr>
        <w:t> </w:t>
      </w:r>
      <w:r>
        <w:rPr/>
        <w:t>t</w:t>
      </w:r>
      <w:r>
        <w:rPr>
          <w:position w:val="9"/>
          <w:sz w:val="16"/>
        </w:rPr>
        <w:t>(2).</w:t>
      </w:r>
    </w:p>
    <w:p>
      <w:pPr>
        <w:pStyle w:val="BodyText"/>
        <w:spacing w:line="360" w:lineRule="auto" w:before="120"/>
        <w:ind w:left="118" w:right="265"/>
        <w:jc w:val="both"/>
      </w:pPr>
      <w:r>
        <w:rPr/>
        <w:t>Resultado de estos acontecimientos, el incremento de la demanda nacional de carne de cerdo se fue cubriendo, en su mayoría, con creciente importaciones; así, en el periodo 1988-2015 la Tasa Media de Crecimiento Anual (TMCA) para la producción fue de 2.5%, mientras que la TMCA para las importaciones fue 15.8%</w:t>
      </w:r>
    </w:p>
    <w:p>
      <w:pPr>
        <w:pStyle w:val="BodyText"/>
        <w:spacing w:line="345" w:lineRule="auto" w:before="126"/>
        <w:ind w:left="118" w:right="269"/>
        <w:jc w:val="both"/>
        <w:rPr>
          <w:sz w:val="16"/>
        </w:rPr>
      </w:pPr>
      <w:r>
        <w:rPr/>
        <w:t>Estados</w:t>
      </w:r>
      <w:r>
        <w:rPr>
          <w:spacing w:val="-4"/>
        </w:rPr>
        <w:t> </w:t>
      </w:r>
      <w:r>
        <w:rPr/>
        <w:t>Unidos</w:t>
      </w:r>
      <w:r>
        <w:rPr>
          <w:spacing w:val="-4"/>
        </w:rPr>
        <w:t> </w:t>
      </w:r>
      <w:r>
        <w:rPr/>
        <w:t>(USA)</w:t>
      </w:r>
      <w:r>
        <w:rPr>
          <w:spacing w:val="-5"/>
        </w:rPr>
        <w:t> </w:t>
      </w:r>
      <w:r>
        <w:rPr/>
        <w:t>es</w:t>
      </w:r>
      <w:r>
        <w:rPr>
          <w:spacing w:val="-1"/>
        </w:rPr>
        <w:t> </w:t>
      </w:r>
      <w:r>
        <w:rPr/>
        <w:t>el</w:t>
      </w:r>
      <w:r>
        <w:rPr>
          <w:spacing w:val="-3"/>
        </w:rPr>
        <w:t> </w:t>
      </w:r>
      <w:r>
        <w:rPr/>
        <w:t>principal</w:t>
      </w:r>
      <w:r>
        <w:rPr>
          <w:spacing w:val="-4"/>
        </w:rPr>
        <w:t> </w:t>
      </w:r>
      <w:r>
        <w:rPr/>
        <w:t>socio</w:t>
      </w:r>
      <w:r>
        <w:rPr>
          <w:spacing w:val="-1"/>
        </w:rPr>
        <w:t> </w:t>
      </w:r>
      <w:r>
        <w:rPr/>
        <w:t>comercial</w:t>
      </w:r>
      <w:r>
        <w:rPr>
          <w:spacing w:val="-4"/>
        </w:rPr>
        <w:t> </w:t>
      </w:r>
      <w:r>
        <w:rPr/>
        <w:t>de</w:t>
      </w:r>
      <w:r>
        <w:rPr>
          <w:spacing w:val="-5"/>
        </w:rPr>
        <w:t> </w:t>
      </w:r>
      <w:r>
        <w:rPr/>
        <w:t>México</w:t>
      </w:r>
      <w:r>
        <w:rPr>
          <w:spacing w:val="-4"/>
        </w:rPr>
        <w:t> </w:t>
      </w:r>
      <w:r>
        <w:rPr/>
        <w:t>para</w:t>
      </w:r>
      <w:r>
        <w:rPr>
          <w:spacing w:val="-5"/>
        </w:rPr>
        <w:t> </w:t>
      </w:r>
      <w:r>
        <w:rPr/>
        <w:t>este</w:t>
      </w:r>
      <w:r>
        <w:rPr>
          <w:spacing w:val="-1"/>
        </w:rPr>
        <w:t> </w:t>
      </w:r>
      <w:r>
        <w:rPr/>
        <w:t>producto;</w:t>
      </w:r>
      <w:r>
        <w:rPr>
          <w:spacing w:val="-3"/>
        </w:rPr>
        <w:t> </w:t>
      </w:r>
      <w:r>
        <w:rPr/>
        <w:t>de</w:t>
      </w:r>
      <w:r>
        <w:rPr>
          <w:spacing w:val="-5"/>
        </w:rPr>
        <w:t> </w:t>
      </w:r>
      <w:r>
        <w:rPr/>
        <w:t>ese</w:t>
      </w:r>
      <w:r>
        <w:rPr>
          <w:spacing w:val="-5"/>
        </w:rPr>
        <w:t> </w:t>
      </w:r>
      <w:r>
        <w:rPr/>
        <w:t>país se importa el 99% de la carne de cerdo, que en 2015 ascendió a 0.875 millones de</w:t>
      </w:r>
      <w:r>
        <w:rPr>
          <w:spacing w:val="-11"/>
        </w:rPr>
        <w:t> </w:t>
      </w:r>
      <w:r>
        <w:rPr/>
        <w:t>t</w:t>
      </w:r>
      <w:r>
        <w:rPr>
          <w:position w:val="9"/>
          <w:sz w:val="16"/>
        </w:rPr>
        <w:t>(2).</w:t>
      </w:r>
    </w:p>
    <w:p>
      <w:pPr>
        <w:spacing w:after="0" w:line="345" w:lineRule="auto"/>
        <w:jc w:val="both"/>
        <w:rPr>
          <w:sz w:val="16"/>
        </w:rPr>
        <w:sectPr>
          <w:pgSz w:w="12240" w:h="15840"/>
          <w:pgMar w:header="984" w:footer="986" w:top="1280" w:bottom="1180" w:left="1300" w:right="1340"/>
        </w:sectPr>
      </w:pPr>
    </w:p>
    <w:p>
      <w:pPr>
        <w:pStyle w:val="BodyText"/>
        <w:spacing w:line="357" w:lineRule="auto" w:before="125"/>
        <w:ind w:left="118" w:right="264"/>
        <w:jc w:val="both"/>
        <w:rPr>
          <w:sz w:val="16"/>
        </w:rPr>
      </w:pPr>
      <w:r>
        <w:rPr/>
        <w:t>Las crecientes importaciones mexicanas de Estados Unidos, se deben a ventajas competitivas que</w:t>
      </w:r>
      <w:r>
        <w:rPr>
          <w:spacing w:val="-7"/>
        </w:rPr>
        <w:t> </w:t>
      </w:r>
      <w:r>
        <w:rPr/>
        <w:t>este</w:t>
      </w:r>
      <w:r>
        <w:rPr>
          <w:spacing w:val="-6"/>
        </w:rPr>
        <w:t> </w:t>
      </w:r>
      <w:r>
        <w:rPr/>
        <w:t>país</w:t>
      </w:r>
      <w:r>
        <w:rPr>
          <w:spacing w:val="-6"/>
        </w:rPr>
        <w:t> </w:t>
      </w:r>
      <w:r>
        <w:rPr/>
        <w:t>tiene,</w:t>
      </w:r>
      <w:r>
        <w:rPr>
          <w:spacing w:val="-1"/>
        </w:rPr>
        <w:t> </w:t>
      </w:r>
      <w:r>
        <w:rPr>
          <w:spacing w:val="-3"/>
        </w:rPr>
        <w:t>ya</w:t>
      </w:r>
      <w:r>
        <w:rPr>
          <w:spacing w:val="-5"/>
        </w:rPr>
        <w:t> </w:t>
      </w:r>
      <w:r>
        <w:rPr/>
        <w:t>que</w:t>
      </w:r>
      <w:r>
        <w:rPr>
          <w:spacing w:val="-7"/>
        </w:rPr>
        <w:t> </w:t>
      </w:r>
      <w:r>
        <w:rPr/>
        <w:t>posee</w:t>
      </w:r>
      <w:r>
        <w:rPr>
          <w:spacing w:val="-5"/>
        </w:rPr>
        <w:t> </w:t>
      </w:r>
      <w:r>
        <w:rPr/>
        <w:t>una</w:t>
      </w:r>
      <w:r>
        <w:rPr>
          <w:spacing w:val="-7"/>
        </w:rPr>
        <w:t> </w:t>
      </w:r>
      <w:r>
        <w:rPr/>
        <w:t>porcicultura</w:t>
      </w:r>
      <w:r>
        <w:rPr>
          <w:spacing w:val="-3"/>
        </w:rPr>
        <w:t> </w:t>
      </w:r>
      <w:r>
        <w:rPr/>
        <w:t>de</w:t>
      </w:r>
      <w:r>
        <w:rPr>
          <w:spacing w:val="-7"/>
        </w:rPr>
        <w:t> </w:t>
      </w:r>
      <w:r>
        <w:rPr/>
        <w:t>mayor</w:t>
      </w:r>
      <w:r>
        <w:rPr>
          <w:spacing w:val="-7"/>
        </w:rPr>
        <w:t> </w:t>
      </w:r>
      <w:r>
        <w:rPr/>
        <w:t>tamaño,</w:t>
      </w:r>
      <w:r>
        <w:rPr>
          <w:spacing w:val="-7"/>
        </w:rPr>
        <w:t> </w:t>
      </w:r>
      <w:r>
        <w:rPr/>
        <w:t>mayor</w:t>
      </w:r>
      <w:r>
        <w:rPr>
          <w:spacing w:val="-5"/>
        </w:rPr>
        <w:t> </w:t>
      </w:r>
      <w:r>
        <w:rPr/>
        <w:t>infraestructura,</w:t>
      </w:r>
      <w:r>
        <w:rPr>
          <w:spacing w:val="-6"/>
        </w:rPr>
        <w:t> </w:t>
      </w:r>
      <w:r>
        <w:rPr/>
        <w:t>bajas tasas de interés, más y mayor acceso a subsidios y apoyos gubernamentales y los costos de los insumos alimenticios son hasta 30% menores con respecto a México. Los indicadores de tasa  de penetración de importaciones y relación producción/consumo nacional, demuestran que la porcicultura mexicana ha ido perdiendo terreno frente a la</w:t>
      </w:r>
      <w:r>
        <w:rPr>
          <w:spacing w:val="-10"/>
        </w:rPr>
        <w:t> </w:t>
      </w:r>
      <w:r>
        <w:rPr/>
        <w:t>estadounidense</w:t>
      </w:r>
      <w:r>
        <w:rPr>
          <w:position w:val="9"/>
          <w:sz w:val="16"/>
        </w:rPr>
        <w:t>(3).</w:t>
      </w:r>
    </w:p>
    <w:p>
      <w:pPr>
        <w:pStyle w:val="BodyText"/>
        <w:spacing w:line="357" w:lineRule="auto"/>
        <w:ind w:left="118" w:right="263"/>
        <w:jc w:val="both"/>
        <w:rPr>
          <w:sz w:val="16"/>
        </w:rPr>
      </w:pPr>
      <w:r>
        <w:rPr/>
        <w:t>El lento crecimiento de la porcicultura se debe a un retiro y cierre calculado de granjas de un 40%.</w:t>
      </w:r>
      <w:r>
        <w:rPr>
          <w:spacing w:val="-6"/>
        </w:rPr>
        <w:t> </w:t>
      </w:r>
      <w:r>
        <w:rPr/>
        <w:t>Produciendo</w:t>
      </w:r>
      <w:r>
        <w:rPr>
          <w:spacing w:val="-5"/>
        </w:rPr>
        <w:t> </w:t>
      </w:r>
      <w:r>
        <w:rPr/>
        <w:t>cambios</w:t>
      </w:r>
      <w:r>
        <w:rPr>
          <w:spacing w:val="-6"/>
        </w:rPr>
        <w:t> </w:t>
      </w:r>
      <w:r>
        <w:rPr/>
        <w:t>en</w:t>
      </w:r>
      <w:r>
        <w:rPr>
          <w:spacing w:val="-6"/>
        </w:rPr>
        <w:t> </w:t>
      </w:r>
      <w:r>
        <w:rPr/>
        <w:t>los</w:t>
      </w:r>
      <w:r>
        <w:rPr>
          <w:spacing w:val="-3"/>
        </w:rPr>
        <w:t> </w:t>
      </w:r>
      <w:r>
        <w:rPr/>
        <w:t>estratos</w:t>
      </w:r>
      <w:r>
        <w:rPr>
          <w:spacing w:val="-6"/>
        </w:rPr>
        <w:t> </w:t>
      </w:r>
      <w:r>
        <w:rPr/>
        <w:t>de</w:t>
      </w:r>
      <w:r>
        <w:rPr>
          <w:spacing w:val="-7"/>
        </w:rPr>
        <w:t> </w:t>
      </w:r>
      <w:r>
        <w:rPr/>
        <w:t>producción,</w:t>
      </w:r>
      <w:r>
        <w:rPr>
          <w:spacing w:val="-6"/>
        </w:rPr>
        <w:t> </w:t>
      </w:r>
      <w:r>
        <w:rPr/>
        <w:t>debido</w:t>
      </w:r>
      <w:r>
        <w:rPr>
          <w:spacing w:val="-4"/>
        </w:rPr>
        <w:t> </w:t>
      </w:r>
      <w:r>
        <w:rPr/>
        <w:t>a</w:t>
      </w:r>
      <w:r>
        <w:rPr>
          <w:spacing w:val="-7"/>
        </w:rPr>
        <w:t> </w:t>
      </w:r>
      <w:r>
        <w:rPr/>
        <w:t>que</w:t>
      </w:r>
      <w:r>
        <w:rPr>
          <w:spacing w:val="-5"/>
        </w:rPr>
        <w:t> </w:t>
      </w:r>
      <w:r>
        <w:rPr/>
        <w:t>el</w:t>
      </w:r>
      <w:r>
        <w:rPr>
          <w:spacing w:val="-6"/>
        </w:rPr>
        <w:t> </w:t>
      </w:r>
      <w:r>
        <w:rPr/>
        <w:t>sistema</w:t>
      </w:r>
      <w:r>
        <w:rPr>
          <w:spacing w:val="-7"/>
        </w:rPr>
        <w:t> </w:t>
      </w:r>
      <w:r>
        <w:rPr/>
        <w:t>de</w:t>
      </w:r>
      <w:r>
        <w:rPr>
          <w:spacing w:val="-5"/>
        </w:rPr>
        <w:t> </w:t>
      </w:r>
      <w:r>
        <w:rPr/>
        <w:t>producción semitecnificado ha reducido su participación en la producción nacional de 50 a 15%, mientras que</w:t>
      </w:r>
      <w:r>
        <w:rPr>
          <w:spacing w:val="-8"/>
        </w:rPr>
        <w:t> </w:t>
      </w:r>
      <w:r>
        <w:rPr/>
        <w:t>el</w:t>
      </w:r>
      <w:r>
        <w:rPr>
          <w:spacing w:val="-7"/>
        </w:rPr>
        <w:t> </w:t>
      </w:r>
      <w:r>
        <w:rPr/>
        <w:t>tecnificado</w:t>
      </w:r>
      <w:r>
        <w:rPr>
          <w:spacing w:val="-7"/>
        </w:rPr>
        <w:t> </w:t>
      </w:r>
      <w:r>
        <w:rPr/>
        <w:t>creció</w:t>
      </w:r>
      <w:r>
        <w:rPr>
          <w:spacing w:val="-4"/>
        </w:rPr>
        <w:t> </w:t>
      </w:r>
      <w:r>
        <w:rPr/>
        <w:t>del</w:t>
      </w:r>
      <w:r>
        <w:rPr>
          <w:spacing w:val="-7"/>
        </w:rPr>
        <w:t> </w:t>
      </w:r>
      <w:r>
        <w:rPr/>
        <w:t>20</w:t>
      </w:r>
      <w:r>
        <w:rPr>
          <w:spacing w:val="-7"/>
        </w:rPr>
        <w:t> </w:t>
      </w:r>
      <w:r>
        <w:rPr/>
        <w:t>al</w:t>
      </w:r>
      <w:r>
        <w:rPr>
          <w:spacing w:val="-7"/>
        </w:rPr>
        <w:t> </w:t>
      </w:r>
      <w:r>
        <w:rPr/>
        <w:t>57%</w:t>
      </w:r>
      <w:r>
        <w:rPr>
          <w:spacing w:val="-6"/>
        </w:rPr>
        <w:t> </w:t>
      </w:r>
      <w:r>
        <w:rPr>
          <w:spacing w:val="-4"/>
        </w:rPr>
        <w:t>y,</w:t>
      </w:r>
      <w:r>
        <w:rPr>
          <w:spacing w:val="-7"/>
        </w:rPr>
        <w:t> </w:t>
      </w:r>
      <w:r>
        <w:rPr/>
        <w:t>el</w:t>
      </w:r>
      <w:r>
        <w:rPr>
          <w:spacing w:val="-7"/>
        </w:rPr>
        <w:t> </w:t>
      </w:r>
      <w:r>
        <w:rPr/>
        <w:t>de</w:t>
      </w:r>
      <w:r>
        <w:rPr>
          <w:spacing w:val="-8"/>
        </w:rPr>
        <w:t> </w:t>
      </w:r>
      <w:r>
        <w:rPr/>
        <w:t>traspatio</w:t>
      </w:r>
      <w:r>
        <w:rPr>
          <w:spacing w:val="-7"/>
        </w:rPr>
        <w:t> </w:t>
      </w:r>
      <w:r>
        <w:rPr/>
        <w:t>se</w:t>
      </w:r>
      <w:r>
        <w:rPr>
          <w:spacing w:val="-8"/>
        </w:rPr>
        <w:t> </w:t>
      </w:r>
      <w:r>
        <w:rPr/>
        <w:t>ha</w:t>
      </w:r>
      <w:r>
        <w:rPr>
          <w:spacing w:val="-8"/>
        </w:rPr>
        <w:t> </w:t>
      </w:r>
      <w:r>
        <w:rPr/>
        <w:t>mantenido</w:t>
      </w:r>
      <w:r>
        <w:rPr>
          <w:spacing w:val="-7"/>
        </w:rPr>
        <w:t> </w:t>
      </w:r>
      <w:r>
        <w:rPr/>
        <w:t>estable</w:t>
      </w:r>
      <w:r>
        <w:rPr>
          <w:position w:val="9"/>
          <w:sz w:val="16"/>
        </w:rPr>
        <w:t>(4).</w:t>
      </w:r>
      <w:r>
        <w:rPr>
          <w:spacing w:val="14"/>
          <w:position w:val="9"/>
          <w:sz w:val="16"/>
        </w:rPr>
        <w:t> </w:t>
      </w:r>
      <w:r>
        <w:rPr/>
        <w:t>Actualmente, la producción de cerdo en México se realiza a través de un millón de unidades de producción porcinas, con una piara de más de 16.2 millones de cabezas. Alrededor de dos millones de familias dependen de esta actividad, misma que genera 350,000 empleos directos y más de 1.7 millones de indirectos. El valor de la producción e importaciones ascendió, en 2015, a 71,490 millones de</w:t>
      </w:r>
      <w:r>
        <w:rPr>
          <w:spacing w:val="-4"/>
        </w:rPr>
        <w:t> </w:t>
      </w:r>
      <w:r>
        <w:rPr/>
        <w:t>pesos</w:t>
      </w:r>
      <w:r>
        <w:rPr>
          <w:position w:val="9"/>
          <w:sz w:val="16"/>
        </w:rPr>
        <w:t>(5).</w:t>
      </w:r>
    </w:p>
    <w:p>
      <w:pPr>
        <w:pStyle w:val="BodyText"/>
        <w:spacing w:line="360" w:lineRule="auto" w:before="117"/>
        <w:ind w:left="118" w:right="269"/>
        <w:jc w:val="both"/>
      </w:pPr>
      <w:r>
        <w:rPr/>
        <w:t>Debido</w:t>
      </w:r>
      <w:r>
        <w:rPr>
          <w:spacing w:val="-6"/>
        </w:rPr>
        <w:t> </w:t>
      </w:r>
      <w:r>
        <w:rPr/>
        <w:t>a</w:t>
      </w:r>
      <w:r>
        <w:rPr>
          <w:spacing w:val="-7"/>
        </w:rPr>
        <w:t> </w:t>
      </w:r>
      <w:r>
        <w:rPr/>
        <w:t>la</w:t>
      </w:r>
      <w:r>
        <w:rPr>
          <w:spacing w:val="-7"/>
        </w:rPr>
        <w:t> </w:t>
      </w:r>
      <w:r>
        <w:rPr/>
        <w:t>importancia</w:t>
      </w:r>
      <w:r>
        <w:rPr>
          <w:spacing w:val="-2"/>
        </w:rPr>
        <w:t> </w:t>
      </w:r>
      <w:r>
        <w:rPr/>
        <w:t>que</w:t>
      </w:r>
      <w:r>
        <w:rPr>
          <w:spacing w:val="-7"/>
        </w:rPr>
        <w:t> </w:t>
      </w:r>
      <w:r>
        <w:rPr/>
        <w:t>tiene</w:t>
      </w:r>
      <w:r>
        <w:rPr>
          <w:spacing w:val="-6"/>
        </w:rPr>
        <w:t> </w:t>
      </w:r>
      <w:r>
        <w:rPr/>
        <w:t>la</w:t>
      </w:r>
      <w:r>
        <w:rPr>
          <w:spacing w:val="-5"/>
        </w:rPr>
        <w:t> </w:t>
      </w:r>
      <w:r>
        <w:rPr/>
        <w:t>producción</w:t>
      </w:r>
      <w:r>
        <w:rPr>
          <w:spacing w:val="-6"/>
        </w:rPr>
        <w:t> </w:t>
      </w:r>
      <w:r>
        <w:rPr/>
        <w:t>de</w:t>
      </w:r>
      <w:r>
        <w:rPr>
          <w:spacing w:val="-7"/>
        </w:rPr>
        <w:t> </w:t>
      </w:r>
      <w:r>
        <w:rPr/>
        <w:t>carne</w:t>
      </w:r>
      <w:r>
        <w:rPr>
          <w:spacing w:val="-8"/>
        </w:rPr>
        <w:t> </w:t>
      </w:r>
      <w:r>
        <w:rPr/>
        <w:t>de</w:t>
      </w:r>
      <w:r>
        <w:rPr>
          <w:spacing w:val="-7"/>
        </w:rPr>
        <w:t> </w:t>
      </w:r>
      <w:r>
        <w:rPr/>
        <w:t>cerdo</w:t>
      </w:r>
      <w:r>
        <w:rPr>
          <w:spacing w:val="-5"/>
        </w:rPr>
        <w:t> </w:t>
      </w:r>
      <w:r>
        <w:rPr/>
        <w:t>en</w:t>
      </w:r>
      <w:r>
        <w:rPr>
          <w:spacing w:val="-6"/>
        </w:rPr>
        <w:t> </w:t>
      </w:r>
      <w:r>
        <w:rPr/>
        <w:t>México</w:t>
      </w:r>
      <w:r>
        <w:rPr>
          <w:spacing w:val="-1"/>
        </w:rPr>
        <w:t> </w:t>
      </w:r>
      <w:r>
        <w:rPr/>
        <w:t>y</w:t>
      </w:r>
      <w:r>
        <w:rPr>
          <w:spacing w:val="-12"/>
        </w:rPr>
        <w:t> </w:t>
      </w:r>
      <w:r>
        <w:rPr/>
        <w:t>a</w:t>
      </w:r>
      <w:r>
        <w:rPr>
          <w:spacing w:val="-5"/>
        </w:rPr>
        <w:t> </w:t>
      </w:r>
      <w:r>
        <w:rPr/>
        <w:t>las</w:t>
      </w:r>
      <w:r>
        <w:rPr>
          <w:spacing w:val="-7"/>
        </w:rPr>
        <w:t> </w:t>
      </w:r>
      <w:r>
        <w:rPr/>
        <w:t>desventajas competitivas que tienen los productores nacionales, el objetivo fue evaluar el efecto de la producción nacional y regional de carne de cerdo en México si se aplicaran aranceles a la carne de cerdo proveniente de Estados Unidos y subsidios a la producción nacional de cerdo. La hipótesis plantea que la aplicación de estas políticas económicas propiciará una disminución en consumo e importación y un aumento en la producción de cerdo en</w:t>
      </w:r>
      <w:r>
        <w:rPr>
          <w:spacing w:val="-8"/>
        </w:rPr>
        <w:t> </w:t>
      </w:r>
      <w:r>
        <w:rPr/>
        <w:t>México.</w:t>
      </w:r>
    </w:p>
    <w:p>
      <w:pPr>
        <w:spacing w:after="0" w:line="360" w:lineRule="auto"/>
        <w:jc w:val="both"/>
        <w:sectPr>
          <w:pgSz w:w="12240" w:h="15840"/>
          <w:pgMar w:header="984" w:footer="986" w:top="1280" w:bottom="1180" w:left="1300" w:right="1340"/>
        </w:sectPr>
      </w:pPr>
    </w:p>
    <w:p>
      <w:pPr>
        <w:pStyle w:val="Heading4"/>
        <w:jc w:val="both"/>
      </w:pPr>
      <w:r>
        <w:rPr/>
        <w:t>METODOLOGÍA</w:t>
      </w:r>
    </w:p>
    <w:p>
      <w:pPr>
        <w:pStyle w:val="BodyText"/>
        <w:spacing w:before="7"/>
        <w:rPr>
          <w:b/>
          <w:sz w:val="27"/>
        </w:rPr>
      </w:pPr>
    </w:p>
    <w:p>
      <w:pPr>
        <w:pStyle w:val="BodyText"/>
        <w:spacing w:before="1"/>
        <w:ind w:left="118"/>
        <w:jc w:val="both"/>
        <w:rPr>
          <w:sz w:val="16"/>
        </w:rPr>
      </w:pPr>
      <w:r>
        <w:rPr/>
        <w:t>Se formuló un modelo de programación no lineal, que maximiza el Valor Social Neto (VSN)</w:t>
      </w:r>
      <w:r>
        <w:rPr>
          <w:position w:val="9"/>
          <w:sz w:val="16"/>
        </w:rPr>
        <w:t>(6).</w:t>
      </w:r>
    </w:p>
    <w:p>
      <w:pPr>
        <w:pStyle w:val="BodyText"/>
        <w:spacing w:before="2"/>
        <w:rPr>
          <w:sz w:val="29"/>
        </w:rPr>
      </w:pPr>
    </w:p>
    <w:p>
      <w:pPr>
        <w:pStyle w:val="BodyText"/>
        <w:spacing w:line="352" w:lineRule="auto"/>
        <w:ind w:left="118" w:right="269"/>
        <w:jc w:val="both"/>
        <w:rPr>
          <w:sz w:val="16"/>
        </w:rPr>
      </w:pPr>
      <w:r>
        <w:rPr/>
        <w:t>La función objetivo (VSN) maximiza las áreas bajo las curvas de las demandas, menos las</w:t>
      </w:r>
      <w:r>
        <w:rPr>
          <w:spacing w:val="-32"/>
        </w:rPr>
        <w:t> </w:t>
      </w:r>
      <w:r>
        <w:rPr/>
        <w:t>áreas bajo</w:t>
      </w:r>
      <w:r>
        <w:rPr>
          <w:spacing w:val="-14"/>
        </w:rPr>
        <w:t> </w:t>
      </w:r>
      <w:r>
        <w:rPr/>
        <w:t>las</w:t>
      </w:r>
      <w:r>
        <w:rPr>
          <w:spacing w:val="-15"/>
        </w:rPr>
        <w:t> </w:t>
      </w:r>
      <w:r>
        <w:rPr/>
        <w:t>curvas</w:t>
      </w:r>
      <w:r>
        <w:rPr>
          <w:spacing w:val="-14"/>
        </w:rPr>
        <w:t> </w:t>
      </w:r>
      <w:r>
        <w:rPr/>
        <w:t>de</w:t>
      </w:r>
      <w:r>
        <w:rPr>
          <w:spacing w:val="-15"/>
        </w:rPr>
        <w:t> </w:t>
      </w:r>
      <w:r>
        <w:rPr/>
        <w:t>las</w:t>
      </w:r>
      <w:r>
        <w:rPr>
          <w:spacing w:val="-15"/>
        </w:rPr>
        <w:t> </w:t>
      </w:r>
      <w:r>
        <w:rPr/>
        <w:t>ofertas,</w:t>
      </w:r>
      <w:r>
        <w:rPr>
          <w:spacing w:val="-15"/>
        </w:rPr>
        <w:t> </w:t>
      </w:r>
      <w:r>
        <w:rPr/>
        <w:t>las</w:t>
      </w:r>
      <w:r>
        <w:rPr>
          <w:spacing w:val="-15"/>
        </w:rPr>
        <w:t> </w:t>
      </w:r>
      <w:r>
        <w:rPr/>
        <w:t>cuales</w:t>
      </w:r>
      <w:r>
        <w:rPr>
          <w:spacing w:val="-15"/>
        </w:rPr>
        <w:t> </w:t>
      </w:r>
      <w:r>
        <w:rPr/>
        <w:t>se</w:t>
      </w:r>
      <w:r>
        <w:rPr>
          <w:spacing w:val="-15"/>
        </w:rPr>
        <w:t> </w:t>
      </w:r>
      <w:r>
        <w:rPr/>
        <w:t>obtuvieron</w:t>
      </w:r>
      <w:r>
        <w:rPr>
          <w:spacing w:val="-15"/>
        </w:rPr>
        <w:t> </w:t>
      </w:r>
      <w:r>
        <w:rPr/>
        <w:t>al</w:t>
      </w:r>
      <w:r>
        <w:rPr>
          <w:spacing w:val="-14"/>
        </w:rPr>
        <w:t> </w:t>
      </w:r>
      <w:r>
        <w:rPr/>
        <w:t>integrar,</w:t>
      </w:r>
      <w:r>
        <w:rPr>
          <w:spacing w:val="-15"/>
        </w:rPr>
        <w:t> </w:t>
      </w:r>
      <w:r>
        <w:rPr/>
        <w:t>matemáticamente,</w:t>
      </w:r>
      <w:r>
        <w:rPr>
          <w:spacing w:val="-14"/>
        </w:rPr>
        <w:t> </w:t>
      </w:r>
      <w:r>
        <w:rPr/>
        <w:t>las</w:t>
      </w:r>
      <w:r>
        <w:rPr>
          <w:spacing w:val="-15"/>
        </w:rPr>
        <w:t> </w:t>
      </w:r>
      <w:r>
        <w:rPr/>
        <w:t>funciones inversas de demanda y de oferta, menos los costos de transporte (Figura</w:t>
      </w:r>
      <w:r>
        <w:rPr>
          <w:spacing w:val="-13"/>
        </w:rPr>
        <w:t> </w:t>
      </w:r>
      <w:r>
        <w:rPr/>
        <w:t>1)</w:t>
      </w:r>
      <w:r>
        <w:rPr>
          <w:position w:val="9"/>
          <w:sz w:val="16"/>
        </w:rPr>
        <w:t>(7).</w:t>
      </w:r>
    </w:p>
    <w:p>
      <w:pPr>
        <w:pStyle w:val="BodyText"/>
        <w:spacing w:before="204"/>
        <w:ind w:left="118"/>
        <w:jc w:val="both"/>
      </w:pPr>
      <w:r>
        <w:rPr>
          <w:color w:val="006FC0"/>
        </w:rPr>
        <w:t>AQUÍ SE INSERTA FIGURA 1.</w:t>
      </w:r>
    </w:p>
    <w:p>
      <w:pPr>
        <w:pStyle w:val="BodyText"/>
        <w:spacing w:before="4"/>
        <w:rPr>
          <w:sz w:val="29"/>
        </w:rPr>
      </w:pPr>
    </w:p>
    <w:p>
      <w:pPr>
        <w:pStyle w:val="BodyText"/>
        <w:spacing w:before="1"/>
        <w:ind w:left="118"/>
        <w:jc w:val="both"/>
      </w:pPr>
      <w:r>
        <w:rPr/>
        <w:t>Representación matemática del modelo:</w:t>
      </w:r>
    </w:p>
    <w:p>
      <w:pPr>
        <w:pStyle w:val="BodyText"/>
        <w:rPr>
          <w:sz w:val="21"/>
        </w:rPr>
      </w:pPr>
    </w:p>
    <w:p>
      <w:pPr>
        <w:spacing w:after="0"/>
        <w:rPr>
          <w:sz w:val="21"/>
        </w:rPr>
        <w:sectPr>
          <w:pgSz w:w="12240" w:h="15840"/>
          <w:pgMar w:header="984" w:footer="986" w:top="1280" w:bottom="1180" w:left="1300" w:right="1340"/>
        </w:sectPr>
      </w:pPr>
    </w:p>
    <w:p>
      <w:pPr>
        <w:pStyle w:val="BodyText"/>
        <w:tabs>
          <w:tab w:pos="1913" w:val="left" w:leader="none"/>
        </w:tabs>
        <w:spacing w:line="225" w:lineRule="exact" w:before="64"/>
        <w:ind w:left="118"/>
        <w:rPr>
          <w:rFonts w:ascii="Cambria Math" w:hAnsi="Cambria Math" w:eastAsia="Cambria Math"/>
        </w:rPr>
      </w:pPr>
      <w:r>
        <w:rPr>
          <w:rFonts w:ascii="Cambria Math" w:hAnsi="Cambria Math" w:eastAsia="Cambria Math"/>
          <w:spacing w:val="-46"/>
        </w:rPr>
        <w:t>�𝑎�      𝑉𝑆�      </w:t>
      </w:r>
      <w:r>
        <w:rPr>
          <w:rFonts w:ascii="Cambria Math" w:hAnsi="Cambria Math" w:eastAsia="Cambria Math"/>
          <w:spacing w:val="-42"/>
        </w:rPr>
        <w:t> </w:t>
      </w:r>
      <w:r>
        <w:rPr>
          <w:rFonts w:ascii="Cambria Math" w:hAnsi="Cambria Math" w:eastAsia="Cambria Math"/>
          <w:spacing w:val="-46"/>
        </w:rPr>
        <w:t>=      </w:t>
      </w:r>
      <w:r>
        <w:rPr>
          <w:rFonts w:ascii="Cambria Math" w:hAnsi="Cambria Math" w:eastAsia="Cambria Math"/>
          <w:spacing w:val="-45"/>
        </w:rPr>
        <w:t> </w:t>
      </w:r>
      <w:r>
        <w:rPr>
          <w:rFonts w:ascii="Cambria Math" w:hAnsi="Cambria Math" w:eastAsia="Cambria Math"/>
          <w:spacing w:val="-46"/>
          <w:position w:val="1"/>
        </w:rPr>
        <w:t>∑</w:t>
      </w:r>
      <w:r>
        <w:rPr>
          <w:rFonts w:ascii="Cambria Math" w:hAnsi="Cambria Math" w:eastAsia="Cambria Math"/>
          <w:spacing w:val="-46"/>
          <w:position w:val="10"/>
          <w:sz w:val="17"/>
        </w:rPr>
        <w:t>8</w:t>
        <w:tab/>
      </w:r>
      <w:r>
        <w:rPr>
          <w:rFonts w:ascii="Cambria Math" w:hAnsi="Cambria Math" w:eastAsia="Cambria Math"/>
          <w:spacing w:val="-45"/>
        </w:rPr>
        <w:t>[𝜆</w:t>
      </w:r>
      <w:r>
        <w:rPr>
          <w:rFonts w:ascii="Cambria Math" w:hAnsi="Cambria Math" w:eastAsia="Cambria Math"/>
          <w:spacing w:val="-45"/>
          <w:position w:val="-4"/>
          <w:sz w:val="17"/>
        </w:rPr>
        <w:t>𝑑</w:t>
      </w:r>
      <w:r>
        <w:rPr>
          <w:rFonts w:ascii="Cambria Math" w:hAnsi="Cambria Math" w:eastAsia="Cambria Math"/>
          <w:spacing w:val="-45"/>
        </w:rPr>
        <w:t>�</w:t>
      </w:r>
      <w:r>
        <w:rPr>
          <w:rFonts w:ascii="Cambria Math" w:hAnsi="Cambria Math" w:eastAsia="Cambria Math"/>
          <w:spacing w:val="-45"/>
          <w:position w:val="-4"/>
          <w:sz w:val="17"/>
        </w:rPr>
        <w:t>𝑑</w:t>
      </w:r>
      <w:r>
        <w:rPr>
          <w:rFonts w:ascii="Cambria Math" w:hAnsi="Cambria Math" w:eastAsia="Cambria Math"/>
          <w:spacing w:val="14"/>
          <w:position w:val="-4"/>
          <w:sz w:val="17"/>
        </w:rPr>
        <w:t> </w:t>
      </w:r>
      <w:r>
        <w:rPr>
          <w:rFonts w:ascii="Cambria Math" w:hAnsi="Cambria Math" w:eastAsia="Cambria Math"/>
          <w:spacing w:val="-45"/>
        </w:rPr>
        <w:t>+     </w:t>
      </w:r>
      <w:r>
        <w:rPr>
          <w:rFonts w:ascii="Cambria Math" w:hAnsi="Cambria Math" w:eastAsia="Cambria Math"/>
          <w:spacing w:val="-45"/>
          <w:position w:val="8"/>
        </w:rPr>
        <w:t>1</w:t>
      </w:r>
      <w:r>
        <w:rPr>
          <w:rFonts w:ascii="Cambria Math" w:hAnsi="Cambria Math" w:eastAsia="Cambria Math"/>
          <w:spacing w:val="-45"/>
        </w:rPr>
        <w:t>⁄</w:t>
      </w:r>
      <w:r>
        <w:rPr>
          <w:rFonts w:ascii="Cambria Math" w:hAnsi="Cambria Math" w:eastAsia="Cambria Math"/>
          <w:spacing w:val="-45"/>
          <w:position w:val="-9"/>
        </w:rPr>
        <w:t>2</w:t>
      </w:r>
      <w:r>
        <w:rPr>
          <w:rFonts w:ascii="Cambria Math" w:hAnsi="Cambria Math" w:eastAsia="Cambria Math"/>
          <w:spacing w:val="-11"/>
          <w:position w:val="-9"/>
        </w:rPr>
        <w:t> </w:t>
      </w:r>
      <w:r>
        <w:rPr>
          <w:rFonts w:ascii="Cambria Math" w:hAnsi="Cambria Math" w:eastAsia="Cambria Math"/>
          <w:spacing w:val="6"/>
        </w:rPr>
        <w:t>𝜛</w:t>
      </w:r>
      <w:r>
        <w:rPr>
          <w:rFonts w:ascii="Cambria Math" w:hAnsi="Cambria Math" w:eastAsia="Cambria Math"/>
          <w:spacing w:val="6"/>
          <w:position w:val="-4"/>
          <w:sz w:val="17"/>
        </w:rPr>
        <w:t>𝑑</w:t>
      </w:r>
      <w:r>
        <w:rPr>
          <w:rFonts w:ascii="Cambria Math" w:hAnsi="Cambria Math" w:eastAsia="Cambria Math"/>
          <w:spacing w:val="6"/>
        </w:rPr>
        <w:t>�</w:t>
      </w:r>
      <w:r>
        <w:rPr>
          <w:rFonts w:ascii="Cambria Math" w:hAnsi="Cambria Math" w:eastAsia="Cambria Math"/>
          <w:spacing w:val="6"/>
          <w:position w:val="9"/>
          <w:sz w:val="17"/>
        </w:rPr>
        <w:t>2</w:t>
      </w:r>
      <w:r>
        <w:rPr>
          <w:rFonts w:ascii="Cambria Math" w:hAnsi="Cambria Math" w:eastAsia="Cambria Math"/>
          <w:spacing w:val="6"/>
          <w:position w:val="-4"/>
          <w:sz w:val="17"/>
        </w:rPr>
        <w:t>𝑑</w:t>
      </w:r>
      <w:r>
        <w:rPr>
          <w:rFonts w:ascii="Cambria Math" w:hAnsi="Cambria Math" w:eastAsia="Cambria Math"/>
          <w:spacing w:val="6"/>
        </w:rPr>
        <w:t>]</w:t>
      </w:r>
    </w:p>
    <w:p>
      <w:pPr>
        <w:pStyle w:val="BodyText"/>
        <w:spacing w:line="141" w:lineRule="exact" w:before="148"/>
        <w:ind w:left="118"/>
      </w:pPr>
      <w:r>
        <w:rPr/>
        <w:br w:type="column"/>
      </w:r>
      <w:r>
        <w:rPr/>
        <w:t>Área bajo la curva de la demanda</w:t>
      </w:r>
    </w:p>
    <w:p>
      <w:pPr>
        <w:spacing w:after="0" w:line="141" w:lineRule="exact"/>
        <w:sectPr>
          <w:type w:val="continuous"/>
          <w:pgSz w:w="12240" w:h="15840"/>
          <w:pgMar w:top="3260" w:bottom="280" w:left="1300" w:right="1340"/>
          <w:cols w:num="2" w:equalWidth="0">
            <w:col w:w="3945" w:space="779"/>
            <w:col w:w="4876"/>
          </w:cols>
        </w:sectPr>
      </w:pPr>
    </w:p>
    <w:p>
      <w:pPr>
        <w:spacing w:line="176" w:lineRule="exact" w:before="0"/>
        <w:ind w:left="0" w:right="55" w:firstLine="0"/>
        <w:jc w:val="right"/>
        <w:rPr>
          <w:rFonts w:ascii="Cambria Math" w:eastAsia="Cambria Math"/>
          <w:sz w:val="17"/>
        </w:rPr>
      </w:pPr>
      <w:r>
        <w:rPr>
          <w:rFonts w:ascii="Cambria Math" w:eastAsia="Cambria Math"/>
          <w:w w:val="105"/>
          <w:sz w:val="17"/>
        </w:rPr>
        <w:t>𝑑=1</w:t>
      </w:r>
    </w:p>
    <w:p>
      <w:pPr>
        <w:pStyle w:val="BodyText"/>
        <w:spacing w:before="1"/>
        <w:rPr>
          <w:rFonts w:ascii="Cambria Math"/>
          <w:sz w:val="14"/>
        </w:rPr>
      </w:pPr>
    </w:p>
    <w:p>
      <w:pPr>
        <w:spacing w:line="175" w:lineRule="exact" w:before="0"/>
        <w:ind w:left="0" w:right="0" w:firstLine="0"/>
        <w:jc w:val="right"/>
        <w:rPr>
          <w:rFonts w:ascii="Cambria Math" w:hAnsi="Cambria Math"/>
          <w:sz w:val="17"/>
        </w:rPr>
      </w:pPr>
      <w:r>
        <w:rPr>
          <w:rFonts w:ascii="Cambria Math" w:hAnsi="Cambria Math"/>
          <w:position w:val="-9"/>
          <w:sz w:val="24"/>
        </w:rPr>
        <w:t>− </w:t>
      </w:r>
      <w:r>
        <w:rPr>
          <w:rFonts w:ascii="Cambria Math" w:hAnsi="Cambria Math"/>
          <w:position w:val="-8"/>
          <w:sz w:val="24"/>
        </w:rPr>
        <w:t>∑</w:t>
      </w:r>
      <w:r>
        <w:rPr>
          <w:rFonts w:ascii="Cambria Math" w:hAnsi="Cambria Math"/>
          <w:sz w:val="17"/>
        </w:rPr>
        <w:t>10</w:t>
      </w:r>
    </w:p>
    <w:p>
      <w:pPr>
        <w:spacing w:line="225" w:lineRule="exact" w:before="291"/>
        <w:ind w:left="98" w:right="0" w:firstLine="0"/>
        <w:jc w:val="left"/>
        <w:rPr>
          <w:rFonts w:ascii="Cambria Math" w:hAnsi="Cambria Math" w:eastAsia="Cambria Math"/>
          <w:sz w:val="24"/>
        </w:rPr>
      </w:pPr>
      <w:r>
        <w:rPr/>
        <w:br w:type="column"/>
      </w:r>
      <w:r>
        <w:rPr>
          <w:rFonts w:ascii="Cambria Math" w:hAnsi="Cambria Math" w:eastAsia="Cambria Math"/>
          <w:w w:val="101"/>
          <w:sz w:val="24"/>
        </w:rPr>
        <w:t>[</w:t>
      </w:r>
      <w:r>
        <w:rPr>
          <w:rFonts w:ascii="Cambria Math" w:hAnsi="Cambria Math" w:eastAsia="Cambria Math"/>
          <w:spacing w:val="-57"/>
          <w:w w:val="99"/>
          <w:sz w:val="24"/>
        </w:rPr>
        <w:t>𝑉</w:t>
      </w:r>
      <w:r>
        <w:rPr>
          <w:rFonts w:ascii="Cambria Math" w:hAnsi="Cambria Math" w:eastAsia="Cambria Math"/>
          <w:spacing w:val="11"/>
          <w:w w:val="105"/>
          <w:position w:val="-4"/>
          <w:sz w:val="17"/>
        </w:rPr>
        <w:t>𝑠</w:t>
      </w:r>
      <w:r>
        <w:rPr>
          <w:rFonts w:ascii="Cambria Math" w:hAnsi="Cambria Math" w:eastAsia="Cambria Math"/>
          <w:spacing w:val="-8"/>
          <w:w w:val="97"/>
          <w:sz w:val="24"/>
        </w:rPr>
        <w:t>�</w:t>
      </w:r>
      <w:r>
        <w:rPr>
          <w:rFonts w:ascii="Cambria Math" w:hAnsi="Cambria Math" w:eastAsia="Cambria Math"/>
          <w:w w:val="105"/>
          <w:position w:val="-4"/>
          <w:sz w:val="17"/>
        </w:rPr>
        <w:t>𝑠</w:t>
      </w:r>
      <w:r>
        <w:rPr>
          <w:rFonts w:ascii="Cambria Math" w:hAnsi="Cambria Math" w:eastAsia="Cambria Math"/>
          <w:position w:val="-4"/>
          <w:sz w:val="17"/>
        </w:rPr>
        <w:t>  </w:t>
      </w:r>
      <w:r>
        <w:rPr>
          <w:rFonts w:ascii="Cambria Math" w:hAnsi="Cambria Math" w:eastAsia="Cambria Math"/>
          <w:sz w:val="24"/>
        </w:rPr>
        <w:t>+ </w:t>
      </w:r>
      <w:r>
        <w:rPr>
          <w:rFonts w:ascii="Cambria Math" w:hAnsi="Cambria Math" w:eastAsia="Cambria Math"/>
          <w:spacing w:val="-21"/>
          <w:w w:val="100"/>
          <w:position w:val="8"/>
          <w:sz w:val="24"/>
        </w:rPr>
        <w:t>1</w:t>
      </w:r>
      <w:r>
        <w:rPr>
          <w:rFonts w:ascii="Cambria Math" w:hAnsi="Cambria Math" w:eastAsia="Cambria Math"/>
          <w:spacing w:val="-20"/>
          <w:w w:val="99"/>
          <w:sz w:val="24"/>
        </w:rPr>
        <w:t>⁄</w:t>
      </w:r>
      <w:r>
        <w:rPr>
          <w:rFonts w:ascii="Cambria Math" w:hAnsi="Cambria Math" w:eastAsia="Cambria Math"/>
          <w:w w:val="100"/>
          <w:position w:val="-9"/>
          <w:sz w:val="24"/>
        </w:rPr>
        <w:t>2</w:t>
      </w:r>
      <w:r>
        <w:rPr>
          <w:rFonts w:ascii="Cambria Math" w:hAnsi="Cambria Math" w:eastAsia="Cambria Math"/>
          <w:spacing w:val="-13"/>
          <w:position w:val="-9"/>
          <w:sz w:val="24"/>
        </w:rPr>
        <w:t> </w:t>
      </w:r>
      <w:r>
        <w:rPr>
          <w:rFonts w:ascii="Cambria Math" w:hAnsi="Cambria Math" w:eastAsia="Cambria Math"/>
          <w:spacing w:val="7"/>
          <w:sz w:val="24"/>
        </w:rPr>
        <w:t>𝜂</w:t>
      </w:r>
      <w:r>
        <w:rPr>
          <w:rFonts w:ascii="Cambria Math" w:hAnsi="Cambria Math" w:eastAsia="Cambria Math"/>
          <w:spacing w:val="7"/>
          <w:position w:val="-4"/>
          <w:sz w:val="17"/>
        </w:rPr>
        <w:t>𝑠</w:t>
      </w:r>
      <w:r>
        <w:rPr>
          <w:rFonts w:ascii="Cambria Math" w:hAnsi="Cambria Math" w:eastAsia="Cambria Math"/>
          <w:spacing w:val="7"/>
          <w:sz w:val="24"/>
        </w:rPr>
        <w:t>�</w:t>
      </w:r>
      <w:r>
        <w:rPr>
          <w:rFonts w:ascii="Cambria Math" w:hAnsi="Cambria Math" w:eastAsia="Cambria Math"/>
          <w:spacing w:val="7"/>
          <w:position w:val="9"/>
          <w:sz w:val="17"/>
        </w:rPr>
        <w:t>2</w:t>
      </w:r>
      <w:r>
        <w:rPr>
          <w:rFonts w:ascii="Cambria Math" w:hAnsi="Cambria Math" w:eastAsia="Cambria Math"/>
          <w:spacing w:val="7"/>
          <w:position w:val="-4"/>
          <w:sz w:val="17"/>
        </w:rPr>
        <w:t>𝑠</w:t>
      </w:r>
      <w:r>
        <w:rPr>
          <w:rFonts w:ascii="Cambria Math" w:hAnsi="Cambria Math" w:eastAsia="Cambria Math"/>
          <w:spacing w:val="7"/>
          <w:sz w:val="24"/>
        </w:rPr>
        <w:t>]</w:t>
      </w:r>
    </w:p>
    <w:p>
      <w:pPr>
        <w:pStyle w:val="BodyText"/>
        <w:spacing w:before="11"/>
        <w:rPr>
          <w:rFonts w:ascii="Cambria Math"/>
          <w:sz w:val="31"/>
        </w:rPr>
      </w:pPr>
      <w:r>
        <w:rPr/>
        <w:br w:type="column"/>
      </w:r>
      <w:r>
        <w:rPr>
          <w:rFonts w:ascii="Cambria Math"/>
          <w:sz w:val="31"/>
        </w:rPr>
      </w:r>
    </w:p>
    <w:p>
      <w:pPr>
        <w:pStyle w:val="BodyText"/>
        <w:spacing w:line="141" w:lineRule="exact"/>
        <w:ind w:left="738"/>
      </w:pPr>
      <w:r>
        <w:rPr/>
        <w:t>Área bajo la curva de la oferta</w:t>
      </w:r>
    </w:p>
    <w:p>
      <w:pPr>
        <w:spacing w:after="0" w:line="141" w:lineRule="exact"/>
        <w:sectPr>
          <w:type w:val="continuous"/>
          <w:pgSz w:w="12240" w:h="15840"/>
          <w:pgMar w:top="3260" w:bottom="280" w:left="1300" w:right="1340"/>
          <w:cols w:num="3" w:equalWidth="0">
            <w:col w:w="1975" w:space="40"/>
            <w:col w:w="1978" w:space="40"/>
            <w:col w:w="5567"/>
          </w:cols>
        </w:sectPr>
      </w:pPr>
    </w:p>
    <w:p>
      <w:pPr>
        <w:spacing w:line="176" w:lineRule="exact" w:before="0"/>
        <w:ind w:left="0" w:right="0" w:firstLine="0"/>
        <w:jc w:val="right"/>
        <w:rPr>
          <w:rFonts w:ascii="Cambria Math" w:eastAsia="Cambria Math"/>
          <w:sz w:val="17"/>
        </w:rPr>
      </w:pPr>
      <w:r>
        <w:rPr>
          <w:rFonts w:ascii="Cambria Math" w:eastAsia="Cambria Math"/>
          <w:w w:val="105"/>
          <w:sz w:val="17"/>
        </w:rPr>
        <w:t>𝑑=1</w:t>
      </w:r>
    </w:p>
    <w:p>
      <w:pPr>
        <w:pStyle w:val="BodyText"/>
        <w:spacing w:before="3"/>
        <w:rPr>
          <w:rFonts w:ascii="Cambria Math"/>
          <w:sz w:val="13"/>
        </w:rPr>
      </w:pPr>
    </w:p>
    <w:p>
      <w:pPr>
        <w:spacing w:line="175" w:lineRule="exact" w:before="0"/>
        <w:ind w:left="0" w:right="31" w:firstLine="0"/>
        <w:jc w:val="right"/>
        <w:rPr>
          <w:rFonts w:ascii="Cambria Math" w:hAnsi="Cambria Math"/>
          <w:sz w:val="17"/>
        </w:rPr>
      </w:pPr>
      <w:r>
        <w:rPr>
          <w:rFonts w:ascii="Cambria Math" w:hAnsi="Cambria Math"/>
          <w:position w:val="-9"/>
          <w:sz w:val="24"/>
        </w:rPr>
        <w:t>− </w:t>
      </w:r>
      <w:r>
        <w:rPr>
          <w:rFonts w:ascii="Cambria Math" w:hAnsi="Cambria Math"/>
          <w:position w:val="-8"/>
          <w:sz w:val="24"/>
        </w:rPr>
        <w:t>∑</w:t>
      </w:r>
      <w:r>
        <w:rPr>
          <w:rFonts w:ascii="Cambria Math" w:hAnsi="Cambria Math"/>
          <w:sz w:val="17"/>
        </w:rPr>
        <w:t>10</w:t>
      </w:r>
    </w:p>
    <w:p>
      <w:pPr>
        <w:pStyle w:val="BodyText"/>
        <w:spacing w:before="9"/>
        <w:rPr>
          <w:rFonts w:ascii="Cambria Math"/>
          <w:sz w:val="30"/>
        </w:rPr>
      </w:pPr>
      <w:r>
        <w:rPr/>
        <w:br w:type="column"/>
      </w:r>
      <w:r>
        <w:rPr>
          <w:rFonts w:ascii="Cambria Math"/>
          <w:sz w:val="30"/>
        </w:rPr>
      </w:r>
    </w:p>
    <w:p>
      <w:pPr>
        <w:spacing w:line="145" w:lineRule="exact" w:before="0"/>
        <w:ind w:left="65" w:right="0" w:firstLine="0"/>
        <w:jc w:val="left"/>
        <w:rPr>
          <w:rFonts w:ascii="Cambria Math" w:eastAsia="Cambria Math"/>
          <w:sz w:val="24"/>
        </w:rPr>
      </w:pPr>
      <w:r>
        <w:rPr>
          <w:rFonts w:ascii="Cambria Math" w:eastAsia="Cambria Math"/>
          <w:w w:val="95"/>
          <w:sz w:val="24"/>
        </w:rPr>
        <w:t>[�</w:t>
      </w:r>
      <w:r>
        <w:rPr>
          <w:rFonts w:ascii="Cambria Math" w:eastAsia="Cambria Math"/>
          <w:w w:val="95"/>
          <w:position w:val="-4"/>
          <w:sz w:val="17"/>
        </w:rPr>
        <w:t>𝑠𝑑 </w:t>
      </w:r>
      <w:r>
        <w:rPr>
          <w:rFonts w:ascii="Cambria Math" w:eastAsia="Cambria Math"/>
          <w:sz w:val="24"/>
        </w:rPr>
        <w:t>�</w:t>
      </w:r>
      <w:r>
        <w:rPr>
          <w:rFonts w:ascii="Cambria Math" w:eastAsia="Cambria Math"/>
          <w:position w:val="-4"/>
          <w:sz w:val="17"/>
        </w:rPr>
        <w:t>𝑠𝑑</w:t>
      </w:r>
      <w:r>
        <w:rPr>
          <w:rFonts w:ascii="Cambria Math" w:eastAsia="Cambria Math"/>
          <w:sz w:val="24"/>
        </w:rPr>
        <w:t>]</w:t>
      </w:r>
    </w:p>
    <w:p>
      <w:pPr>
        <w:pStyle w:val="BodyText"/>
        <w:spacing w:before="1"/>
        <w:rPr>
          <w:rFonts w:ascii="Cambria Math"/>
          <w:sz w:val="31"/>
        </w:rPr>
      </w:pPr>
      <w:r>
        <w:rPr/>
        <w:br w:type="column"/>
      </w:r>
      <w:r>
        <w:rPr>
          <w:rFonts w:ascii="Cambria Math"/>
          <w:sz w:val="31"/>
        </w:rPr>
      </w:r>
    </w:p>
    <w:p>
      <w:pPr>
        <w:pStyle w:val="BodyText"/>
        <w:spacing w:line="141" w:lineRule="exact" w:before="1"/>
        <w:ind w:left="1493"/>
      </w:pPr>
      <w:r>
        <w:rPr/>
        <w:t>Costo de transporte</w:t>
      </w:r>
    </w:p>
    <w:p>
      <w:pPr>
        <w:spacing w:after="0" w:line="141" w:lineRule="exact"/>
        <w:sectPr>
          <w:type w:val="continuous"/>
          <w:pgSz w:w="12240" w:h="15840"/>
          <w:pgMar w:top="3260" w:bottom="280" w:left="1300" w:right="1340"/>
          <w:cols w:num="3" w:equalWidth="0">
            <w:col w:w="2114" w:space="40"/>
            <w:col w:w="989" w:space="66"/>
            <w:col w:w="6391"/>
          </w:cols>
        </w:sectPr>
      </w:pPr>
    </w:p>
    <w:p>
      <w:pPr>
        <w:spacing w:line="176" w:lineRule="exact" w:before="0"/>
        <w:ind w:left="1882" w:right="410" w:firstLine="0"/>
        <w:jc w:val="left"/>
        <w:rPr>
          <w:rFonts w:ascii="Cambria Math" w:eastAsia="Cambria Math"/>
          <w:sz w:val="17"/>
        </w:rPr>
      </w:pPr>
      <w:r>
        <w:rPr>
          <w:rFonts w:ascii="Cambria Math" w:eastAsia="Cambria Math"/>
          <w:w w:val="105"/>
          <w:sz w:val="17"/>
        </w:rPr>
        <w:t>𝑑=1</w:t>
      </w:r>
    </w:p>
    <w:p>
      <w:pPr>
        <w:spacing w:after="0" w:line="176" w:lineRule="exact"/>
        <w:jc w:val="left"/>
        <w:rPr>
          <w:rFonts w:ascii="Cambria Math" w:eastAsia="Cambria Math"/>
          <w:sz w:val="17"/>
        </w:rPr>
        <w:sectPr>
          <w:type w:val="continuous"/>
          <w:pgSz w:w="12240" w:h="15840"/>
          <w:pgMar w:top="3260" w:bottom="280" w:left="1300" w:right="1340"/>
        </w:sectPr>
      </w:pPr>
    </w:p>
    <w:p>
      <w:pPr>
        <w:spacing w:line="167" w:lineRule="exact" w:before="129"/>
        <w:ind w:left="0" w:right="0" w:firstLine="0"/>
        <w:jc w:val="right"/>
        <w:rPr>
          <w:rFonts w:ascii="Cambria Math" w:hAnsi="Cambria Math"/>
          <w:sz w:val="17"/>
        </w:rPr>
      </w:pPr>
      <w:r>
        <w:rPr>
          <w:rFonts w:ascii="Cambria Math" w:hAnsi="Cambria Math"/>
          <w:position w:val="-9"/>
          <w:sz w:val="24"/>
        </w:rPr>
        <w:t>− </w:t>
      </w:r>
      <w:r>
        <w:rPr>
          <w:rFonts w:ascii="Cambria Math" w:hAnsi="Cambria Math"/>
          <w:position w:val="-8"/>
          <w:sz w:val="24"/>
        </w:rPr>
        <w:t>∑</w:t>
      </w:r>
      <w:r>
        <w:rPr>
          <w:rFonts w:ascii="Cambria Math" w:hAnsi="Cambria Math"/>
          <w:sz w:val="17"/>
        </w:rPr>
        <w:t>10</w:t>
      </w:r>
    </w:p>
    <w:p>
      <w:pPr>
        <w:spacing w:line="138" w:lineRule="exact" w:before="159"/>
        <w:ind w:left="98" w:right="1" w:firstLine="0"/>
        <w:jc w:val="left"/>
        <w:rPr>
          <w:rFonts w:ascii="Cambria Math" w:eastAsia="Cambria Math"/>
          <w:sz w:val="24"/>
        </w:rPr>
      </w:pPr>
      <w:r>
        <w:rPr/>
        <w:br w:type="column"/>
      </w:r>
      <w:r>
        <w:rPr>
          <w:rFonts w:ascii="Cambria Math" w:eastAsia="Cambria Math"/>
          <w:sz w:val="24"/>
        </w:rPr>
        <w:t>[�</w:t>
      </w:r>
      <w:r>
        <w:rPr>
          <w:rFonts w:ascii="Cambria Math" w:eastAsia="Cambria Math"/>
          <w:position w:val="-4"/>
          <w:sz w:val="17"/>
        </w:rPr>
        <w:t>𝑠𝑑 </w:t>
      </w:r>
      <w:r>
        <w:rPr>
          <w:rFonts w:ascii="Cambria Math" w:eastAsia="Cambria Math"/>
          <w:sz w:val="24"/>
        </w:rPr>
        <w:t>+ </w:t>
      </w:r>
      <w:r>
        <w:rPr>
          <w:rFonts w:ascii="Cambria Math" w:eastAsia="Cambria Math"/>
          <w:spacing w:val="-30"/>
          <w:w w:val="85"/>
          <w:sz w:val="24"/>
        </w:rPr>
        <w:t>𝑎</w:t>
      </w:r>
      <w:r>
        <w:rPr>
          <w:rFonts w:ascii="Cambria Math" w:eastAsia="Cambria Math"/>
          <w:spacing w:val="-30"/>
          <w:w w:val="85"/>
          <w:position w:val="-4"/>
          <w:sz w:val="17"/>
        </w:rPr>
        <w:t>�                         </w:t>
      </w:r>
      <w:r>
        <w:rPr>
          <w:rFonts w:ascii="Cambria Math" w:eastAsia="Cambria Math"/>
          <w:spacing w:val="-29"/>
          <w:w w:val="85"/>
          <w:position w:val="-4"/>
          <w:sz w:val="17"/>
        </w:rPr>
        <w:t> </w:t>
      </w:r>
      <w:r>
        <w:rPr>
          <w:rFonts w:ascii="Cambria Math" w:eastAsia="Cambria Math"/>
          <w:spacing w:val="-29"/>
          <w:w w:val="85"/>
          <w:sz w:val="24"/>
        </w:rPr>
        <w:t>]</w:t>
      </w:r>
      <w:r>
        <w:rPr>
          <w:rFonts w:ascii="Cambria Math" w:eastAsia="Cambria Math"/>
          <w:spacing w:val="-17"/>
          <w:w w:val="85"/>
          <w:sz w:val="24"/>
        </w:rPr>
        <w:t> </w:t>
      </w:r>
      <w:r>
        <w:rPr>
          <w:rFonts w:ascii="Cambria Math" w:eastAsia="Cambria Math"/>
          <w:spacing w:val="-29"/>
          <w:w w:val="85"/>
          <w:sz w:val="24"/>
        </w:rPr>
        <w:t>�</w:t>
      </w:r>
    </w:p>
    <w:p>
      <w:pPr>
        <w:pStyle w:val="BodyText"/>
        <w:spacing w:line="134" w:lineRule="exact" w:before="163"/>
        <w:ind w:left="1235"/>
      </w:pPr>
      <w:r>
        <w:rPr/>
        <w:br w:type="column"/>
      </w:r>
      <w:r>
        <w:rPr/>
        <w:t>Costo de transporte más arancel, considerado</w:t>
      </w:r>
    </w:p>
    <w:p>
      <w:pPr>
        <w:spacing w:after="0" w:line="134" w:lineRule="exact"/>
        <w:sectPr>
          <w:type w:val="continuous"/>
          <w:pgSz w:w="12240" w:h="15840"/>
          <w:pgMar w:top="3260" w:bottom="280" w:left="1300" w:right="1340"/>
          <w:cols w:num="3" w:equalWidth="0">
            <w:col w:w="2080" w:space="40"/>
            <w:col w:w="1364" w:space="40"/>
            <w:col w:w="6076"/>
          </w:cols>
        </w:sectPr>
      </w:pPr>
    </w:p>
    <w:p>
      <w:pPr>
        <w:spacing w:line="183" w:lineRule="exact" w:before="0"/>
        <w:ind w:left="0" w:right="0" w:firstLine="0"/>
        <w:jc w:val="right"/>
        <w:rPr>
          <w:rFonts w:ascii="Cambria Math" w:eastAsia="Cambria Math"/>
          <w:sz w:val="17"/>
        </w:rPr>
      </w:pPr>
      <w:r>
        <w:rPr>
          <w:rFonts w:ascii="Cambria Math" w:eastAsia="Cambria Math"/>
          <w:w w:val="105"/>
          <w:sz w:val="17"/>
        </w:rPr>
        <w:t>𝑑=1</w:t>
      </w:r>
    </w:p>
    <w:p>
      <w:pPr>
        <w:pStyle w:val="BodyText"/>
        <w:spacing w:before="119"/>
        <w:ind w:left="118"/>
      </w:pPr>
      <w:r>
        <w:rPr/>
        <w:t>como escenario uno.</w:t>
      </w:r>
    </w:p>
    <w:p>
      <w:pPr>
        <w:spacing w:line="176" w:lineRule="exact" w:before="0"/>
        <w:ind w:left="118" w:right="0" w:firstLine="0"/>
        <w:jc w:val="left"/>
        <w:rPr>
          <w:rFonts w:ascii="Cambria Math" w:eastAsia="Cambria Math"/>
          <w:sz w:val="17"/>
        </w:rPr>
      </w:pPr>
      <w:r>
        <w:rPr/>
        <w:br w:type="column"/>
      </w:r>
      <w:r>
        <w:rPr>
          <w:rFonts w:ascii="Cambria Math" w:eastAsia="Cambria Math"/>
          <w:w w:val="105"/>
          <w:sz w:val="17"/>
        </w:rPr>
        <w:t>𝑠𝑑</w:t>
      </w:r>
    </w:p>
    <w:p>
      <w:pPr>
        <w:spacing w:after="0" w:line="176" w:lineRule="exact"/>
        <w:jc w:val="left"/>
        <w:rPr>
          <w:rFonts w:ascii="Cambria Math" w:eastAsia="Cambria Math"/>
          <w:sz w:val="17"/>
        </w:rPr>
        <w:sectPr>
          <w:type w:val="continuous"/>
          <w:pgSz w:w="12240" w:h="15840"/>
          <w:pgMar w:top="3260" w:bottom="280" w:left="1300" w:right="1340"/>
          <w:cols w:num="2" w:equalWidth="0">
            <w:col w:w="2220" w:space="1136"/>
            <w:col w:w="6244"/>
          </w:cols>
        </w:sectPr>
      </w:pPr>
    </w:p>
    <w:p>
      <w:pPr>
        <w:pStyle w:val="BodyText"/>
        <w:tabs>
          <w:tab w:pos="4808" w:val="left" w:leader="none"/>
        </w:tabs>
        <w:spacing w:line="350" w:lineRule="auto" w:before="145"/>
        <w:ind w:left="118" w:right="410" w:firstLine="1375"/>
      </w:pPr>
      <w:r>
        <w:rPr/>
        <w:pict>
          <v:shape style="position:absolute;margin-left:159.139999pt;margin-top:16.181225pt;width:11.85pt;height:8.550pt;mso-position-horizontal-relative:page;mso-position-vertical-relative:paragraph;z-index:-143944" type="#_x0000_t202" filled="false" stroked="false">
            <v:textbox inset="0,0,0,0">
              <w:txbxContent>
                <w:p>
                  <w:pPr>
                    <w:spacing w:line="170" w:lineRule="exact" w:before="0"/>
                    <w:ind w:left="0" w:right="-98" w:firstLine="0"/>
                    <w:jc w:val="left"/>
                    <w:rPr>
                      <w:rFonts w:ascii="Cambria Math" w:eastAsia="Cambria Math"/>
                      <w:sz w:val="17"/>
                    </w:rPr>
                  </w:pPr>
                  <w:r>
                    <w:rPr>
                      <w:rFonts w:ascii="Cambria Math" w:eastAsia="Cambria Math"/>
                      <w:spacing w:val="3"/>
                      <w:w w:val="110"/>
                      <w:sz w:val="17"/>
                    </w:rPr>
                    <w:t>𝑑</w:t>
                  </w:r>
                  <w:r>
                    <w:rPr>
                      <w:rFonts w:ascii="Cambria Math" w:eastAsia="Cambria Math"/>
                      <w:w w:val="97"/>
                      <w:sz w:val="17"/>
                    </w:rPr>
                    <w:t>=</w:t>
                  </w:r>
                </w:p>
              </w:txbxContent>
            </v:textbox>
            <w10:wrap type="none"/>
          </v:shape>
        </w:pict>
      </w:r>
      <w:r>
        <w:rPr>
          <w:rFonts w:ascii="Cambria Math" w:hAnsi="Cambria Math" w:eastAsia="Cambria Math"/>
          <w:w w:val="99"/>
        </w:rPr>
        <w:t>−</w:t>
      </w:r>
      <w:r>
        <w:rPr>
          <w:rFonts w:ascii="Cambria Math" w:hAnsi="Cambria Math" w:eastAsia="Cambria Math"/>
          <w:spacing w:val="-14"/>
          <w:w w:val="99"/>
        </w:rPr>
        <w:t> </w:t>
      </w:r>
      <w:r>
        <w:rPr>
          <w:rFonts w:ascii="Cambria Math" w:hAnsi="Cambria Math" w:eastAsia="Cambria Math"/>
          <w:w w:val="100"/>
          <w:position w:val="1"/>
        </w:rPr>
        <w:t>∑</w:t>
      </w:r>
      <w:r>
        <w:rPr>
          <w:rFonts w:ascii="Cambria Math" w:hAnsi="Cambria Math" w:eastAsia="Cambria Math"/>
          <w:spacing w:val="-1"/>
          <w:w w:val="104"/>
          <w:position w:val="10"/>
          <w:sz w:val="17"/>
        </w:rPr>
        <w:t>1</w:t>
      </w:r>
      <w:r>
        <w:rPr>
          <w:rFonts w:ascii="Cambria Math" w:hAnsi="Cambria Math" w:eastAsia="Cambria Math"/>
          <w:w w:val="104"/>
          <w:position w:val="10"/>
          <w:sz w:val="17"/>
        </w:rPr>
        <w:t>0</w:t>
      </w:r>
      <w:r>
        <w:rPr>
          <w:rFonts w:ascii="Cambria Math" w:hAnsi="Cambria Math" w:eastAsia="Cambria Math"/>
          <w:spacing w:val="3"/>
          <w:position w:val="10"/>
          <w:sz w:val="17"/>
        </w:rPr>
        <w:t> </w:t>
      </w:r>
      <w:r>
        <w:rPr>
          <w:rFonts w:ascii="Cambria Math" w:hAnsi="Cambria Math" w:eastAsia="Cambria Math"/>
          <w:spacing w:val="-1"/>
          <w:w w:val="104"/>
          <w:position w:val="-5"/>
          <w:sz w:val="17"/>
        </w:rPr>
        <w:t>1</w:t>
      </w:r>
      <w:r>
        <w:rPr>
          <w:rFonts w:ascii="Cambria Math" w:hAnsi="Cambria Math" w:eastAsia="Cambria Math"/>
          <w:w w:val="101"/>
        </w:rPr>
        <w:t>[</w:t>
      </w:r>
      <w:r>
        <w:rPr>
          <w:rFonts w:ascii="Cambria Math" w:hAnsi="Cambria Math" w:eastAsia="Cambria Math"/>
          <w:spacing w:val="-4"/>
          <w:w w:val="60"/>
        </w:rPr>
        <w:t>�</w:t>
      </w:r>
      <w:r>
        <w:rPr>
          <w:rFonts w:ascii="Cambria Math" w:hAnsi="Cambria Math" w:eastAsia="Cambria Math"/>
          <w:spacing w:val="-1"/>
          <w:w w:val="105"/>
          <w:position w:val="-4"/>
          <w:sz w:val="17"/>
        </w:rPr>
        <w:t>𝑠</w:t>
      </w:r>
      <w:r>
        <w:rPr>
          <w:rFonts w:ascii="Cambria Math" w:hAnsi="Cambria Math" w:eastAsia="Cambria Math"/>
          <w:w w:val="110"/>
          <w:position w:val="-4"/>
          <w:sz w:val="17"/>
        </w:rPr>
        <w:t>𝑑</w:t>
      </w:r>
      <w:r>
        <w:rPr>
          <w:rFonts w:ascii="Cambria Math" w:hAnsi="Cambria Math" w:eastAsia="Cambria Math"/>
          <w:position w:val="-4"/>
          <w:sz w:val="17"/>
        </w:rPr>
        <w:t>  </w:t>
      </w:r>
      <w:r>
        <w:rPr>
          <w:rFonts w:ascii="Cambria Math" w:hAnsi="Cambria Math" w:eastAsia="Cambria Math"/>
          <w:spacing w:val="10"/>
          <w:position w:val="-4"/>
          <w:sz w:val="17"/>
        </w:rPr>
        <w:t> </w:t>
      </w:r>
      <w:r>
        <w:rPr>
          <w:rFonts w:ascii="Cambria Math" w:hAnsi="Cambria Math" w:eastAsia="Cambria Math"/>
        </w:rPr>
        <w:t>− </w:t>
      </w:r>
      <w:r>
        <w:rPr>
          <w:rFonts w:ascii="Cambria Math" w:hAnsi="Cambria Math" w:eastAsia="Cambria Math"/>
          <w:spacing w:val="-19"/>
          <w:w w:val="99"/>
        </w:rPr>
        <w:t>𝐾</w:t>
      </w:r>
      <w:r>
        <w:rPr>
          <w:rFonts w:ascii="Cambria Math" w:hAnsi="Cambria Math" w:eastAsia="Cambria Math"/>
          <w:w w:val="113"/>
          <w:position w:val="-4"/>
          <w:sz w:val="17"/>
        </w:rPr>
        <w:t>𝑝</w:t>
      </w:r>
      <w:r>
        <w:rPr>
          <w:rFonts w:ascii="Cambria Math" w:hAnsi="Cambria Math" w:eastAsia="Cambria Math"/>
          <w:spacing w:val="1"/>
          <w:w w:val="100"/>
          <w:position w:val="-4"/>
          <w:sz w:val="17"/>
        </w:rPr>
        <w:t>,</w:t>
      </w:r>
      <w:r>
        <w:rPr>
          <w:rFonts w:ascii="Cambria Math" w:hAnsi="Cambria Math" w:eastAsia="Cambria Math"/>
          <w:w w:val="113"/>
          <w:position w:val="-4"/>
          <w:sz w:val="17"/>
        </w:rPr>
        <w:t>𝑝</w:t>
      </w:r>
      <w:r>
        <w:rPr>
          <w:rFonts w:ascii="Cambria Math" w:hAnsi="Cambria Math" w:eastAsia="Cambria Math"/>
          <w:spacing w:val="-2"/>
          <w:w w:val="113"/>
          <w:position w:val="-4"/>
          <w:sz w:val="17"/>
        </w:rPr>
        <w:t>𝑝</w:t>
      </w:r>
      <w:r>
        <w:rPr>
          <w:rFonts w:ascii="Cambria Math" w:hAnsi="Cambria Math" w:eastAsia="Cambria Math"/>
          <w:spacing w:val="1"/>
          <w:w w:val="100"/>
          <w:position w:val="-4"/>
          <w:sz w:val="17"/>
        </w:rPr>
        <w:t>,</w:t>
      </w:r>
      <w:r>
        <w:rPr>
          <w:rFonts w:ascii="Cambria Math" w:hAnsi="Cambria Math" w:eastAsia="Cambria Math"/>
          <w:w w:val="53"/>
          <w:position w:val="-4"/>
          <w:sz w:val="17"/>
        </w:rPr>
        <w:t>�</w:t>
      </w:r>
      <w:r>
        <w:rPr>
          <w:rFonts w:ascii="Cambria Math" w:hAnsi="Cambria Math" w:eastAsia="Cambria Math"/>
          <w:position w:val="-4"/>
          <w:sz w:val="17"/>
        </w:rPr>
        <w:t> </w:t>
      </w:r>
      <w:r>
        <w:rPr>
          <w:rFonts w:ascii="Cambria Math" w:hAnsi="Cambria Math" w:eastAsia="Cambria Math"/>
          <w:spacing w:val="-8"/>
          <w:position w:val="-4"/>
          <w:sz w:val="17"/>
        </w:rPr>
        <w:t> </w:t>
      </w:r>
      <w:r>
        <w:rPr>
          <w:rFonts w:ascii="Cambria Math" w:hAnsi="Cambria Math" w:eastAsia="Cambria Math"/>
          <w:w w:val="101"/>
        </w:rPr>
        <w:t>]</w:t>
      </w:r>
      <w:r>
        <w:rPr>
          <w:rFonts w:ascii="Cambria Math" w:hAnsi="Cambria Math" w:eastAsia="Cambria Math"/>
          <w:spacing w:val="-12"/>
        </w:rPr>
        <w:t> </w:t>
      </w:r>
      <w:r>
        <w:rPr>
          <w:rFonts w:ascii="Cambria Math" w:hAnsi="Cambria Math" w:eastAsia="Cambria Math"/>
          <w:spacing w:val="-9"/>
          <w:w w:val="97"/>
        </w:rPr>
        <w:t>�</w:t>
      </w:r>
      <w:r>
        <w:rPr>
          <w:rFonts w:ascii="Cambria Math" w:hAnsi="Cambria Math" w:eastAsia="Cambria Math"/>
          <w:spacing w:val="-1"/>
          <w:w w:val="105"/>
          <w:position w:val="-4"/>
          <w:sz w:val="17"/>
        </w:rPr>
        <w:t>𝑠</w:t>
      </w:r>
      <w:r>
        <w:rPr>
          <w:rFonts w:ascii="Cambria Math" w:hAnsi="Cambria Math" w:eastAsia="Cambria Math"/>
          <w:w w:val="110"/>
          <w:position w:val="-4"/>
          <w:sz w:val="17"/>
        </w:rPr>
        <w:t>𝑑</w:t>
      </w:r>
      <w:r>
        <w:rPr>
          <w:rFonts w:ascii="Cambria Math" w:hAnsi="Cambria Math" w:eastAsia="Cambria Math"/>
          <w:position w:val="-4"/>
          <w:sz w:val="17"/>
        </w:rPr>
        <w:tab/>
      </w:r>
      <w:r>
        <w:rPr/>
        <w:t>Costo d</w:t>
      </w:r>
      <w:r>
        <w:rPr>
          <w:w w:val="100"/>
        </w:rPr>
        <w:t>e</w:t>
      </w:r>
      <w:r>
        <w:rPr>
          <w:spacing w:val="-1"/>
        </w:rPr>
        <w:t> </w:t>
      </w:r>
      <w:r>
        <w:rPr>
          <w:w w:val="100"/>
        </w:rPr>
        <w:t>tr</w:t>
      </w:r>
      <w:r>
        <w:rPr>
          <w:spacing w:val="-2"/>
          <w:w w:val="100"/>
        </w:rPr>
        <w:t>a</w:t>
      </w:r>
      <w:r>
        <w:rPr>
          <w:w w:val="99"/>
        </w:rPr>
        <w:t>nspo</w:t>
      </w:r>
      <w:r>
        <w:rPr>
          <w:spacing w:val="1"/>
          <w:w w:val="99"/>
        </w:rPr>
        <w:t>r</w:t>
      </w:r>
      <w:r>
        <w:rPr>
          <w:w w:val="100"/>
        </w:rPr>
        <w:t>te</w:t>
      </w:r>
      <w:r>
        <w:rPr/>
        <w:t> </w:t>
      </w:r>
      <w:r>
        <w:rPr>
          <w:w w:val="100"/>
        </w:rPr>
        <w:t>m</w:t>
      </w:r>
      <w:r>
        <w:rPr>
          <w:spacing w:val="-1"/>
          <w:w w:val="100"/>
        </w:rPr>
        <w:t>e</w:t>
      </w:r>
      <w:r>
        <w:rPr>
          <w:w w:val="99"/>
        </w:rPr>
        <w:t>nos</w:t>
      </w:r>
      <w:r>
        <w:rPr/>
        <w:t> </w:t>
      </w:r>
      <w:r>
        <w:rPr>
          <w:w w:val="99"/>
        </w:rPr>
        <w:t>subs</w:t>
      </w:r>
      <w:r>
        <w:rPr>
          <w:w w:val="100"/>
        </w:rPr>
        <w:t>idi</w:t>
      </w:r>
      <w:r>
        <w:rPr/>
        <w:t>o escenario dos y tres. Los escenarios cuatro y cinco consistieron en la aplicación simultánea de arancel y</w:t>
      </w:r>
      <w:r>
        <w:rPr>
          <w:spacing w:val="2"/>
        </w:rPr>
        <w:t> </w:t>
      </w:r>
      <w:r>
        <w:rPr/>
        <w:t>subsidio.</w:t>
      </w:r>
    </w:p>
    <w:p>
      <w:pPr>
        <w:pStyle w:val="BodyText"/>
        <w:spacing w:before="17"/>
        <w:ind w:left="118" w:right="410"/>
      </w:pPr>
      <w:r>
        <w:rPr/>
        <w:t>Donde:</w:t>
      </w:r>
    </w:p>
    <w:p>
      <w:pPr>
        <w:pStyle w:val="BodyText"/>
        <w:spacing w:before="135"/>
        <w:ind w:left="118" w:right="410"/>
      </w:pPr>
      <w:r>
        <w:rPr>
          <w:rFonts w:ascii="Cambria Math" w:eastAsia="Cambria Math"/>
        </w:rPr>
        <w:t>�   = </w:t>
      </w:r>
      <w:r>
        <w:rPr/>
        <w:t>Regiones consumidoras</w:t>
      </w:r>
    </w:p>
    <w:p>
      <w:pPr>
        <w:pStyle w:val="BodyText"/>
        <w:tabs>
          <w:tab w:pos="438" w:val="left" w:leader="none"/>
        </w:tabs>
        <w:spacing w:before="141"/>
        <w:ind w:left="118" w:right="410"/>
      </w:pPr>
      <w:r>
        <w:rPr>
          <w:rFonts w:ascii="Cambria Math" w:eastAsia="Cambria Math"/>
        </w:rPr>
        <w:t>�</w:t>
        <w:tab/>
        <w:t>= </w:t>
      </w:r>
      <w:r>
        <w:rPr/>
        <w:t>Regiones</w:t>
      </w:r>
      <w:r>
        <w:rPr>
          <w:spacing w:val="-1"/>
        </w:rPr>
        <w:t> </w:t>
      </w:r>
      <w:r>
        <w:rPr/>
        <w:t>productoras</w:t>
      </w:r>
    </w:p>
    <w:p>
      <w:pPr>
        <w:pStyle w:val="BodyText"/>
        <w:spacing w:before="141"/>
        <w:ind w:left="118" w:right="410"/>
      </w:pPr>
      <w:r>
        <w:rPr>
          <w:rFonts w:ascii="Cambria Math" w:hAnsi="Cambria Math" w:eastAsia="Cambria Math"/>
        </w:rPr>
        <w:t>𝜆</w:t>
      </w:r>
      <w:r>
        <w:rPr>
          <w:rFonts w:ascii="Cambria Math" w:hAnsi="Cambria Math" w:eastAsia="Cambria Math"/>
          <w:position w:val="-4"/>
          <w:sz w:val="17"/>
        </w:rPr>
        <w:t>𝑑  </w:t>
      </w:r>
      <w:r>
        <w:rPr>
          <w:rFonts w:ascii="Cambria Math" w:hAnsi="Cambria Math" w:eastAsia="Cambria Math"/>
        </w:rPr>
        <w:t>= </w:t>
      </w:r>
      <w:r>
        <w:rPr/>
        <w:t>Intercepto de función inversa de la demanda</w:t>
      </w:r>
    </w:p>
    <w:p>
      <w:pPr>
        <w:pStyle w:val="BodyText"/>
        <w:spacing w:before="106"/>
        <w:ind w:left="118" w:right="410"/>
      </w:pPr>
      <w:r>
        <w:rPr>
          <w:rFonts w:ascii="Cambria Math" w:hAnsi="Cambria Math" w:eastAsia="Cambria Math"/>
        </w:rPr>
        <w:t>𝜛</w:t>
      </w:r>
      <w:r>
        <w:rPr>
          <w:rFonts w:ascii="Cambria Math" w:hAnsi="Cambria Math" w:eastAsia="Cambria Math"/>
          <w:position w:val="-4"/>
          <w:sz w:val="17"/>
        </w:rPr>
        <w:t>𝑑  </w:t>
      </w:r>
      <w:r>
        <w:rPr>
          <w:rFonts w:ascii="Cambria Math" w:hAnsi="Cambria Math" w:eastAsia="Cambria Math"/>
        </w:rPr>
        <w:t>= </w:t>
      </w:r>
      <w:r>
        <w:rPr/>
        <w:t>Pendiente de la función inversa de la demanda</w:t>
      </w:r>
    </w:p>
    <w:p>
      <w:pPr>
        <w:spacing w:before="106"/>
        <w:ind w:left="118" w:right="410" w:firstLine="0"/>
        <w:jc w:val="left"/>
        <w:rPr>
          <w:i/>
          <w:sz w:val="24"/>
        </w:rPr>
      </w:pPr>
      <w:r>
        <w:rPr>
          <w:rFonts w:ascii="Cambria Math" w:hAnsi="Cambria Math" w:eastAsia="Cambria Math"/>
          <w:sz w:val="24"/>
        </w:rPr>
        <w:t>�</w:t>
      </w:r>
      <w:r>
        <w:rPr>
          <w:rFonts w:ascii="Cambria Math" w:hAnsi="Cambria Math" w:eastAsia="Cambria Math"/>
          <w:position w:val="-4"/>
          <w:sz w:val="17"/>
        </w:rPr>
        <w:t>𝑑           </w:t>
      </w:r>
      <w:r>
        <w:rPr>
          <w:rFonts w:ascii="Cambria Math" w:hAnsi="Cambria Math" w:eastAsia="Cambria Math"/>
          <w:sz w:val="24"/>
        </w:rPr>
        <w:t>= </w:t>
      </w:r>
      <w:r>
        <w:rPr>
          <w:sz w:val="24"/>
        </w:rPr>
        <w:t>Cantidad demandada de carne en la región </w:t>
      </w:r>
      <w:r>
        <w:rPr>
          <w:i/>
          <w:sz w:val="24"/>
        </w:rPr>
        <w:t>d</w:t>
      </w:r>
    </w:p>
    <w:p>
      <w:pPr>
        <w:spacing w:before="107"/>
        <w:ind w:left="118" w:right="410" w:firstLine="0"/>
        <w:jc w:val="left"/>
        <w:rPr>
          <w:sz w:val="24"/>
        </w:rPr>
      </w:pPr>
      <w:r>
        <w:rPr>
          <w:rFonts w:ascii="Cambria Math" w:hAnsi="Cambria Math" w:eastAsia="Cambria Math"/>
          <w:sz w:val="24"/>
        </w:rPr>
        <w:t>𝑉</w:t>
      </w:r>
      <w:r>
        <w:rPr>
          <w:rFonts w:ascii="Cambria Math" w:hAnsi="Cambria Math" w:eastAsia="Cambria Math"/>
          <w:position w:val="-4"/>
          <w:sz w:val="17"/>
        </w:rPr>
        <w:t>𝑠                                                                                            </w:t>
      </w:r>
      <w:r>
        <w:rPr>
          <w:rFonts w:ascii="Cambria Math" w:hAnsi="Cambria Math" w:eastAsia="Cambria Math"/>
          <w:sz w:val="24"/>
        </w:rPr>
        <w:t>= </w:t>
      </w:r>
      <w:r>
        <w:rPr>
          <w:sz w:val="24"/>
        </w:rPr>
        <w:t>Intercepto de función inversa de la oferta</w:t>
      </w:r>
    </w:p>
    <w:p>
      <w:pPr>
        <w:pStyle w:val="BodyText"/>
        <w:spacing w:before="106"/>
        <w:ind w:left="118" w:right="410"/>
      </w:pPr>
      <w:r>
        <w:rPr>
          <w:rFonts w:ascii="Cambria Math" w:hAnsi="Cambria Math" w:eastAsia="Cambria Math"/>
        </w:rPr>
        <w:t>𝜂</w:t>
      </w:r>
      <w:r>
        <w:rPr>
          <w:rFonts w:ascii="Cambria Math" w:hAnsi="Cambria Math" w:eastAsia="Cambria Math"/>
          <w:position w:val="-4"/>
          <w:sz w:val="17"/>
        </w:rPr>
        <w:t>𝑠   </w:t>
      </w:r>
      <w:r>
        <w:rPr>
          <w:rFonts w:ascii="Cambria Math" w:hAnsi="Cambria Math" w:eastAsia="Cambria Math"/>
        </w:rPr>
        <w:t>= </w:t>
      </w:r>
      <w:r>
        <w:rPr/>
        <w:t>Pendiente de la función inversa de la oferta</w:t>
      </w:r>
    </w:p>
    <w:p>
      <w:pPr>
        <w:pStyle w:val="BodyText"/>
        <w:spacing w:before="104"/>
        <w:ind w:left="118" w:right="410"/>
        <w:rPr>
          <w:i/>
        </w:rPr>
      </w:pPr>
      <w:r>
        <w:rPr>
          <w:rFonts w:ascii="Cambria Math" w:hAnsi="Cambria Math" w:eastAsia="Cambria Math"/>
        </w:rPr>
        <w:t>�</w:t>
      </w:r>
      <w:r>
        <w:rPr>
          <w:rFonts w:ascii="Cambria Math" w:hAnsi="Cambria Math" w:eastAsia="Cambria Math"/>
          <w:position w:val="-4"/>
          <w:sz w:val="17"/>
        </w:rPr>
        <w:t>𝑠      </w:t>
      </w:r>
      <w:r>
        <w:rPr>
          <w:rFonts w:ascii="Cambria Math" w:hAnsi="Cambria Math" w:eastAsia="Cambria Math"/>
        </w:rPr>
        <w:t>= </w:t>
      </w:r>
      <w:r>
        <w:rPr/>
        <w:t>Cantidad ofertada de carne en la región </w:t>
      </w:r>
      <w:r>
        <w:rPr>
          <w:i/>
        </w:rPr>
        <w:t>s</w:t>
      </w:r>
    </w:p>
    <w:p>
      <w:pPr>
        <w:spacing w:before="106"/>
        <w:ind w:left="118" w:right="410" w:firstLine="0"/>
        <w:jc w:val="left"/>
        <w:rPr>
          <w:i/>
          <w:sz w:val="24"/>
        </w:rPr>
      </w:pPr>
      <w:r>
        <w:rPr>
          <w:rFonts w:ascii="Cambria Math" w:eastAsia="Cambria Math"/>
          <w:sz w:val="24"/>
        </w:rPr>
        <w:t>�</w:t>
      </w:r>
      <w:r>
        <w:rPr>
          <w:rFonts w:ascii="Cambria Math" w:eastAsia="Cambria Math"/>
          <w:position w:val="-4"/>
          <w:sz w:val="17"/>
        </w:rPr>
        <w:t>𝑠𝑑  </w:t>
      </w:r>
      <w:r>
        <w:rPr>
          <w:rFonts w:ascii="Cambria Math" w:eastAsia="Cambria Math"/>
          <w:sz w:val="24"/>
        </w:rPr>
        <w:t>= </w:t>
      </w:r>
      <w:r>
        <w:rPr>
          <w:sz w:val="24"/>
        </w:rPr>
        <w:t>Costo de transporte de </w:t>
      </w:r>
      <w:r>
        <w:rPr>
          <w:i/>
          <w:sz w:val="24"/>
        </w:rPr>
        <w:t>s </w:t>
      </w:r>
      <w:r>
        <w:rPr>
          <w:sz w:val="24"/>
        </w:rPr>
        <w:t>a </w:t>
      </w:r>
      <w:r>
        <w:rPr>
          <w:i/>
          <w:sz w:val="24"/>
        </w:rPr>
        <w:t>d</w:t>
      </w:r>
    </w:p>
    <w:p>
      <w:pPr>
        <w:spacing w:before="106"/>
        <w:ind w:left="118" w:right="410" w:firstLine="0"/>
        <w:jc w:val="left"/>
        <w:rPr>
          <w:i/>
          <w:sz w:val="24"/>
        </w:rPr>
      </w:pPr>
      <w:r>
        <w:rPr>
          <w:rFonts w:ascii="Cambria Math" w:hAnsi="Cambria Math" w:eastAsia="Cambria Math"/>
          <w:sz w:val="24"/>
        </w:rPr>
        <w:t>�</w:t>
      </w:r>
      <w:r>
        <w:rPr>
          <w:rFonts w:ascii="Cambria Math" w:hAnsi="Cambria Math" w:eastAsia="Cambria Math"/>
          <w:position w:val="-4"/>
          <w:sz w:val="17"/>
        </w:rPr>
        <w:t>𝑠𝑑  </w:t>
      </w:r>
      <w:r>
        <w:rPr>
          <w:rFonts w:ascii="Cambria Math" w:hAnsi="Cambria Math" w:eastAsia="Cambria Math"/>
          <w:sz w:val="24"/>
        </w:rPr>
        <w:t>= </w:t>
      </w:r>
      <w:r>
        <w:rPr>
          <w:sz w:val="24"/>
        </w:rPr>
        <w:t>Cantidad de envíos de </w:t>
      </w:r>
      <w:r>
        <w:rPr>
          <w:i/>
          <w:sz w:val="24"/>
        </w:rPr>
        <w:t>s </w:t>
      </w:r>
      <w:r>
        <w:rPr>
          <w:sz w:val="24"/>
        </w:rPr>
        <w:t>a </w:t>
      </w:r>
      <w:r>
        <w:rPr>
          <w:i/>
          <w:sz w:val="24"/>
        </w:rPr>
        <w:t>d</w:t>
      </w:r>
    </w:p>
    <w:p>
      <w:pPr>
        <w:pStyle w:val="BodyText"/>
        <w:spacing w:before="106"/>
        <w:ind w:left="118" w:right="410"/>
      </w:pPr>
      <w:r>
        <w:rPr>
          <w:rFonts w:ascii="Cambria Math" w:eastAsia="Cambria Math"/>
          <w:w w:val="95"/>
        </w:rPr>
        <w:t>𝑎</w:t>
      </w:r>
      <w:r>
        <w:rPr>
          <w:rFonts w:ascii="Cambria Math" w:eastAsia="Cambria Math"/>
          <w:w w:val="95"/>
          <w:position w:val="-4"/>
          <w:sz w:val="17"/>
        </w:rPr>
        <w:t>�  </w:t>
      </w:r>
      <w:r>
        <w:rPr>
          <w:rFonts w:ascii="Cambria Math" w:eastAsia="Cambria Math"/>
          <w:w w:val="95"/>
        </w:rPr>
        <w:t>= </w:t>
      </w:r>
      <w:r>
        <w:rPr>
          <w:w w:val="95"/>
        </w:rPr>
        <w:t>Arancel a carne de cerdo importada</w:t>
      </w:r>
    </w:p>
    <w:p>
      <w:pPr>
        <w:spacing w:after="0"/>
        <w:sectPr>
          <w:type w:val="continuous"/>
          <w:pgSz w:w="12240" w:h="15840"/>
          <w:pgMar w:top="3260" w:bottom="280" w:left="1300" w:right="1340"/>
        </w:sectPr>
      </w:pPr>
    </w:p>
    <w:p>
      <w:pPr>
        <w:pStyle w:val="BodyText"/>
        <w:spacing w:line="350" w:lineRule="auto" w:before="127"/>
        <w:ind w:left="118" w:right="410"/>
      </w:pPr>
      <w:r>
        <w:rPr>
          <w:rFonts w:ascii="Cambria Math" w:hAnsi="Cambria Math" w:eastAsia="Cambria Math"/>
          <w:w w:val="99"/>
          <w:position w:val="2"/>
        </w:rPr>
        <w:t>𝐾</w:t>
      </w:r>
      <w:r>
        <w:rPr>
          <w:rFonts w:ascii="Cambria Math" w:hAnsi="Cambria Math" w:eastAsia="Cambria Math"/>
          <w:w w:val="113"/>
          <w:position w:val="-2"/>
          <w:sz w:val="17"/>
        </w:rPr>
        <w:t>𝑝</w:t>
      </w:r>
      <w:r>
        <w:rPr>
          <w:rFonts w:ascii="Cambria Math" w:hAnsi="Cambria Math" w:eastAsia="Cambria Math"/>
          <w:w w:val="100"/>
          <w:position w:val="-2"/>
          <w:sz w:val="17"/>
        </w:rPr>
        <w:t>.</w:t>
      </w:r>
      <w:r>
        <w:rPr>
          <w:rFonts w:ascii="Cambria Math" w:hAnsi="Cambria Math" w:eastAsia="Cambria Math"/>
          <w:w w:val="113"/>
          <w:position w:val="-2"/>
          <w:sz w:val="17"/>
        </w:rPr>
        <w:t>𝑝𝑝</w:t>
      </w:r>
      <w:r>
        <w:rPr>
          <w:rFonts w:ascii="Cambria Math" w:hAnsi="Cambria Math" w:eastAsia="Cambria Math"/>
          <w:w w:val="100"/>
          <w:position w:val="-2"/>
          <w:sz w:val="17"/>
        </w:rPr>
        <w:t>.</w:t>
      </w:r>
      <w:r>
        <w:rPr>
          <w:rFonts w:ascii="Cambria Math" w:hAnsi="Cambria Math" w:eastAsia="Cambria Math"/>
          <w:w w:val="53"/>
          <w:position w:val="-2"/>
          <w:sz w:val="17"/>
        </w:rPr>
        <w:t>�</w:t>
      </w:r>
      <w:r>
        <w:rPr>
          <w:rFonts w:ascii="Cambria Math" w:hAnsi="Cambria Math" w:eastAsia="Cambria Math"/>
          <w:position w:val="-2"/>
          <w:sz w:val="17"/>
        </w:rPr>
        <w:t>    </w:t>
      </w:r>
      <w:r>
        <w:rPr>
          <w:rFonts w:ascii="Cambria Math" w:hAnsi="Cambria Math" w:eastAsia="Cambria Math"/>
          <w:position w:val="2"/>
        </w:rPr>
        <w:t>=</w:t>
      </w:r>
      <w:r>
        <w:rPr>
          <w:w w:val="99"/>
          <w:position w:val="2"/>
        </w:rPr>
        <w:t>S</w:t>
      </w:r>
      <w:r>
        <w:rPr>
          <w:position w:val="2"/>
        </w:rPr>
        <w:t>ubsi</w:t>
      </w:r>
      <w:r>
        <w:rPr>
          <w:w w:val="100"/>
          <w:position w:val="2"/>
        </w:rPr>
        <w:t>dio</w:t>
      </w:r>
      <w:r>
        <w:rPr>
          <w:position w:val="2"/>
        </w:rPr>
        <w:t> </w:t>
      </w:r>
      <w:r>
        <w:rPr>
          <w:i/>
          <w:w w:val="100"/>
          <w:sz w:val="16"/>
        </w:rPr>
        <w:t>p</w:t>
      </w:r>
      <w:r>
        <w:rPr>
          <w:w w:val="100"/>
          <w:position w:val="2"/>
        </w:rPr>
        <w:t>= </w:t>
      </w:r>
      <w:r>
        <w:rPr>
          <w:w w:val="100"/>
          <w:position w:val="2"/>
        </w:rPr>
        <w:t>ce</w:t>
      </w:r>
      <w:r>
        <w:rPr>
          <w:w w:val="99"/>
          <w:position w:val="2"/>
        </w:rPr>
        <w:t>rdos </w:t>
      </w:r>
      <w:r>
        <w:rPr>
          <w:w w:val="100"/>
          <w:position w:val="2"/>
        </w:rPr>
        <w:t>e</w:t>
      </w:r>
      <w:r>
        <w:rPr>
          <w:w w:val="100"/>
          <w:position w:val="2"/>
        </w:rPr>
        <w:t>nvia</w:t>
      </w:r>
      <w:r>
        <w:rPr>
          <w:w w:val="99"/>
          <w:position w:val="2"/>
        </w:rPr>
        <w:t>dos</w:t>
      </w:r>
      <w:r>
        <w:rPr>
          <w:position w:val="2"/>
        </w:rPr>
        <w:t> </w:t>
      </w:r>
      <w:r>
        <w:rPr>
          <w:w w:val="100"/>
          <w:position w:val="2"/>
        </w:rPr>
        <w:t>a</w:t>
      </w:r>
      <w:r>
        <w:rPr>
          <w:position w:val="2"/>
        </w:rPr>
        <w:t> </w:t>
      </w:r>
      <w:r>
        <w:rPr>
          <w:w w:val="100"/>
          <w:position w:val="2"/>
        </w:rPr>
        <w:t>ra</w:t>
      </w:r>
      <w:r>
        <w:rPr>
          <w:position w:val="2"/>
        </w:rPr>
        <w:t>stro </w:t>
      </w:r>
      <w:r>
        <w:rPr>
          <w:i/>
          <w:w w:val="100"/>
          <w:sz w:val="16"/>
        </w:rPr>
        <w:t>pp</w:t>
      </w:r>
      <w:r>
        <w:rPr>
          <w:i/>
          <w:sz w:val="16"/>
        </w:rPr>
        <w:t> </w:t>
      </w:r>
      <w:r>
        <w:rPr>
          <w:position w:val="2"/>
        </w:rPr>
        <w:t>= </w:t>
      </w:r>
      <w:r>
        <w:rPr>
          <w:w w:val="100"/>
          <w:position w:val="2"/>
        </w:rPr>
        <w:t>hembra</w:t>
      </w:r>
      <w:r>
        <w:rPr>
          <w:w w:val="99"/>
          <w:position w:val="2"/>
        </w:rPr>
        <w:t>s</w:t>
      </w:r>
      <w:r>
        <w:rPr>
          <w:position w:val="2"/>
        </w:rPr>
        <w:t> </w:t>
      </w:r>
      <w:r>
        <w:rPr>
          <w:w w:val="100"/>
          <w:position w:val="2"/>
        </w:rPr>
        <w:t>e</w:t>
      </w:r>
      <w:r>
        <w:rPr>
          <w:position w:val="2"/>
        </w:rPr>
        <w:t>n </w:t>
      </w:r>
      <w:r>
        <w:rPr>
          <w:w w:val="100"/>
          <w:position w:val="2"/>
        </w:rPr>
        <w:t>inventario</w:t>
      </w:r>
      <w:r>
        <w:rPr>
          <w:position w:val="2"/>
        </w:rPr>
        <w:t> </w:t>
      </w:r>
      <w:r>
        <w:rPr>
          <w:i/>
          <w:w w:val="100"/>
          <w:sz w:val="16"/>
        </w:rPr>
        <w:t>i</w:t>
      </w:r>
      <w:r>
        <w:rPr>
          <w:w w:val="100"/>
          <w:position w:val="2"/>
        </w:rPr>
        <w:t>= </w:t>
      </w:r>
      <w:r>
        <w:rPr>
          <w:w w:val="100"/>
          <w:position w:val="2"/>
        </w:rPr>
        <w:t>c</w:t>
      </w:r>
      <w:r>
        <w:rPr>
          <w:w w:val="100"/>
          <w:position w:val="2"/>
        </w:rPr>
        <w:t>ompr</w:t>
      </w:r>
      <w:r>
        <w:rPr>
          <w:w w:val="100"/>
          <w:position w:val="2"/>
        </w:rPr>
        <w:t>a</w:t>
      </w:r>
      <w:r>
        <w:rPr>
          <w:position w:val="2"/>
        </w:rPr>
        <w:t> </w:t>
      </w:r>
      <w:r>
        <w:rPr>
          <w:w w:val="100"/>
          <w:position w:val="2"/>
        </w:rPr>
        <w:t>de</w:t>
      </w:r>
      <w:r>
        <w:rPr>
          <w:position w:val="2"/>
        </w:rPr>
        <w:t> granos. </w:t>
      </w:r>
      <w:r>
        <w:rPr/>
        <w:t>El modelo matemático, se sujetó a las siguientes restricciones:</w:t>
      </w:r>
    </w:p>
    <w:p>
      <w:pPr>
        <w:pStyle w:val="BodyText"/>
        <w:spacing w:line="360" w:lineRule="auto" w:before="17"/>
        <w:ind w:left="118" w:right="267"/>
        <w:jc w:val="both"/>
      </w:pPr>
      <w:r>
        <w:rPr/>
        <w:t>La cantidad demandada de producto (toneladas de carne de cerdo) debe ser menor o igual que</w:t>
      </w:r>
      <w:r>
        <w:rPr>
          <w:spacing w:val="-40"/>
        </w:rPr>
        <w:t> </w:t>
      </w:r>
      <w:r>
        <w:rPr/>
        <w:t>la sumatoria de las cantidades enviadas de las regiones productoras (</w:t>
      </w:r>
      <w:r>
        <w:rPr>
          <w:i/>
        </w:rPr>
        <w:t>s</w:t>
      </w:r>
      <w:r>
        <w:rPr/>
        <w:t>) a las regiones demandantes (</w:t>
      </w:r>
      <w:r>
        <w:rPr>
          <w:i/>
        </w:rPr>
        <w:t>d</w:t>
      </w:r>
      <w:r>
        <w:rPr/>
        <w:t>).</w:t>
      </w:r>
    </w:p>
    <w:p>
      <w:pPr>
        <w:pStyle w:val="BodyText"/>
        <w:spacing w:before="8"/>
        <w:rPr>
          <w:sz w:val="9"/>
        </w:rPr>
      </w:pPr>
    </w:p>
    <w:p>
      <w:pPr>
        <w:spacing w:after="0"/>
        <w:rPr>
          <w:sz w:val="9"/>
        </w:rPr>
        <w:sectPr>
          <w:pgSz w:w="12240" w:h="15840"/>
          <w:pgMar w:header="984" w:footer="986" w:top="1280" w:bottom="1180" w:left="1300" w:right="1340"/>
        </w:sectPr>
      </w:pPr>
    </w:p>
    <w:p>
      <w:pPr>
        <w:spacing w:before="77"/>
        <w:ind w:left="0" w:right="494" w:firstLine="0"/>
        <w:jc w:val="right"/>
        <w:rPr>
          <w:rFonts w:ascii="Cambria Math"/>
          <w:sz w:val="17"/>
        </w:rPr>
      </w:pPr>
      <w:r>
        <w:rPr>
          <w:rFonts w:ascii="Cambria Math"/>
          <w:w w:val="104"/>
          <w:sz w:val="17"/>
        </w:rPr>
        <w:t>8</w:t>
      </w:r>
    </w:p>
    <w:p>
      <w:pPr>
        <w:spacing w:before="91"/>
        <w:ind w:left="0" w:right="0" w:firstLine="0"/>
        <w:jc w:val="right"/>
        <w:rPr>
          <w:rFonts w:ascii="Cambria Math" w:hAnsi="Cambria Math" w:eastAsia="Cambria Math"/>
          <w:sz w:val="17"/>
        </w:rPr>
      </w:pPr>
      <w:r>
        <w:rPr>
          <w:rFonts w:ascii="Cambria Math" w:hAnsi="Cambria Math" w:eastAsia="Cambria Math"/>
          <w:w w:val="110"/>
          <w:sz w:val="24"/>
        </w:rPr>
        <w:t>�</w:t>
      </w:r>
      <w:r>
        <w:rPr>
          <w:rFonts w:ascii="Cambria Math" w:hAnsi="Cambria Math" w:eastAsia="Cambria Math"/>
          <w:w w:val="110"/>
          <w:position w:val="-4"/>
          <w:sz w:val="17"/>
        </w:rPr>
        <w:t>𝑑    </w:t>
      </w:r>
      <w:r>
        <w:rPr>
          <w:rFonts w:ascii="Cambria Math" w:hAnsi="Cambria Math" w:eastAsia="Cambria Math"/>
          <w:w w:val="110"/>
          <w:sz w:val="24"/>
        </w:rPr>
        <w:t>≤ ∑ �</w:t>
      </w:r>
      <w:r>
        <w:rPr>
          <w:rFonts w:ascii="Cambria Math" w:hAnsi="Cambria Math" w:eastAsia="Cambria Math"/>
          <w:w w:val="110"/>
          <w:position w:val="-4"/>
          <w:sz w:val="17"/>
        </w:rPr>
        <w:t>𝑠𝑑</w:t>
      </w:r>
    </w:p>
    <w:p>
      <w:pPr>
        <w:spacing w:before="58"/>
        <w:ind w:left="0" w:right="374" w:firstLine="0"/>
        <w:jc w:val="right"/>
        <w:rPr>
          <w:rFonts w:ascii="Cambria Math" w:eastAsia="Cambria Math"/>
          <w:sz w:val="17"/>
        </w:rPr>
      </w:pPr>
      <w:r>
        <w:rPr>
          <w:rFonts w:ascii="Cambria Math" w:eastAsia="Cambria Math"/>
          <w:w w:val="105"/>
          <w:sz w:val="17"/>
        </w:rPr>
        <w:t>𝑑=1</w:t>
      </w:r>
    </w:p>
    <w:p>
      <w:pPr>
        <w:pStyle w:val="BodyText"/>
        <w:spacing w:before="5"/>
        <w:rPr>
          <w:rFonts w:ascii="Cambria Math"/>
          <w:sz w:val="31"/>
        </w:rPr>
      </w:pPr>
      <w:r>
        <w:rPr/>
        <w:br w:type="column"/>
      </w:r>
      <w:r>
        <w:rPr>
          <w:rFonts w:ascii="Cambria Math"/>
          <w:sz w:val="31"/>
        </w:rPr>
      </w:r>
    </w:p>
    <w:p>
      <w:pPr>
        <w:pStyle w:val="BodyText"/>
        <w:ind w:left="223"/>
        <w:rPr>
          <w:rFonts w:ascii="Cambria Math" w:hAnsi="Cambria Math" w:eastAsia="Cambria Math"/>
        </w:rPr>
      </w:pPr>
      <w:r>
        <w:rPr>
          <w:rFonts w:ascii="Cambria Math" w:hAnsi="Cambria Math" w:eastAsia="Cambria Math"/>
        </w:rPr>
        <w:t>� = 1, 2,3 … 8</w:t>
      </w:r>
    </w:p>
    <w:p>
      <w:pPr>
        <w:spacing w:after="0"/>
        <w:rPr>
          <w:rFonts w:ascii="Cambria Math" w:hAnsi="Cambria Math" w:eastAsia="Cambria Math"/>
        </w:rPr>
        <w:sectPr>
          <w:type w:val="continuous"/>
          <w:pgSz w:w="12240" w:h="15840"/>
          <w:pgMar w:top="3260" w:bottom="280" w:left="1300" w:right="1340"/>
          <w:cols w:num="2" w:equalWidth="0">
            <w:col w:w="4579" w:space="40"/>
            <w:col w:w="4981"/>
          </w:cols>
        </w:sectPr>
      </w:pPr>
    </w:p>
    <w:p>
      <w:pPr>
        <w:pStyle w:val="BodyText"/>
        <w:spacing w:before="8"/>
        <w:rPr>
          <w:rFonts w:ascii="Cambria Math"/>
          <w:sz w:val="19"/>
        </w:rPr>
      </w:pPr>
    </w:p>
    <w:p>
      <w:pPr>
        <w:pStyle w:val="BodyText"/>
        <w:spacing w:line="360" w:lineRule="auto" w:before="69"/>
        <w:ind w:left="118" w:right="270"/>
        <w:jc w:val="both"/>
      </w:pPr>
      <w:r>
        <w:rPr/>
        <w:t>La cantidad ofertada de producto (toneladas de carne de cerdo) debe ser mayor o igual que la sumatoria de las cantidades enviadas de las regiones productoras (</w:t>
      </w:r>
      <w:r>
        <w:rPr>
          <w:i/>
        </w:rPr>
        <w:t>s</w:t>
      </w:r>
      <w:r>
        <w:rPr/>
        <w:t>) a las regiones demandantes (</w:t>
      </w:r>
      <w:r>
        <w:rPr>
          <w:i/>
        </w:rPr>
        <w:t>d</w:t>
      </w:r>
      <w:r>
        <w:rPr/>
        <w:t>).</w:t>
      </w:r>
    </w:p>
    <w:p>
      <w:pPr>
        <w:pStyle w:val="BodyText"/>
        <w:spacing w:before="8"/>
        <w:rPr>
          <w:sz w:val="9"/>
        </w:rPr>
      </w:pPr>
    </w:p>
    <w:p>
      <w:pPr>
        <w:spacing w:after="0"/>
        <w:rPr>
          <w:sz w:val="9"/>
        </w:rPr>
        <w:sectPr>
          <w:type w:val="continuous"/>
          <w:pgSz w:w="12240" w:h="15840"/>
          <w:pgMar w:top="3260" w:bottom="280" w:left="1300" w:right="1340"/>
        </w:sectPr>
      </w:pPr>
    </w:p>
    <w:p>
      <w:pPr>
        <w:spacing w:before="77"/>
        <w:ind w:left="0" w:right="446" w:firstLine="0"/>
        <w:jc w:val="right"/>
        <w:rPr>
          <w:rFonts w:ascii="Cambria Math"/>
          <w:sz w:val="17"/>
        </w:rPr>
      </w:pPr>
      <w:r>
        <w:rPr>
          <w:rFonts w:ascii="Cambria Math"/>
          <w:w w:val="105"/>
          <w:sz w:val="17"/>
        </w:rPr>
        <w:t>10</w:t>
      </w:r>
    </w:p>
    <w:p>
      <w:pPr>
        <w:spacing w:before="91"/>
        <w:ind w:left="0" w:right="0" w:firstLine="0"/>
        <w:jc w:val="right"/>
        <w:rPr>
          <w:rFonts w:ascii="Cambria Math" w:hAnsi="Cambria Math" w:eastAsia="Cambria Math"/>
          <w:sz w:val="17"/>
        </w:rPr>
      </w:pPr>
      <w:r>
        <w:rPr>
          <w:rFonts w:ascii="Cambria Math" w:hAnsi="Cambria Math" w:eastAsia="Cambria Math"/>
          <w:w w:val="110"/>
          <w:sz w:val="24"/>
        </w:rPr>
        <w:t>�</w:t>
      </w:r>
      <w:r>
        <w:rPr>
          <w:rFonts w:ascii="Cambria Math" w:hAnsi="Cambria Math" w:eastAsia="Cambria Math"/>
          <w:w w:val="110"/>
          <w:position w:val="-4"/>
          <w:sz w:val="17"/>
        </w:rPr>
        <w:t>𝑠  </w:t>
      </w:r>
      <w:r>
        <w:rPr>
          <w:rFonts w:ascii="Cambria Math" w:hAnsi="Cambria Math" w:eastAsia="Cambria Math"/>
          <w:w w:val="110"/>
          <w:sz w:val="24"/>
        </w:rPr>
        <w:t>≥ ∑ �</w:t>
      </w:r>
      <w:r>
        <w:rPr>
          <w:rFonts w:ascii="Cambria Math" w:hAnsi="Cambria Math" w:eastAsia="Cambria Math"/>
          <w:w w:val="110"/>
          <w:position w:val="-4"/>
          <w:sz w:val="17"/>
        </w:rPr>
        <w:t>𝑠𝑑</w:t>
      </w:r>
    </w:p>
    <w:p>
      <w:pPr>
        <w:spacing w:before="58"/>
        <w:ind w:left="0" w:right="372" w:firstLine="0"/>
        <w:jc w:val="right"/>
        <w:rPr>
          <w:rFonts w:ascii="Cambria Math" w:eastAsia="Cambria Math"/>
          <w:sz w:val="17"/>
        </w:rPr>
      </w:pPr>
      <w:r>
        <w:rPr>
          <w:rFonts w:ascii="Cambria Math" w:eastAsia="Cambria Math"/>
          <w:w w:val="105"/>
          <w:sz w:val="17"/>
        </w:rPr>
        <w:t>𝑑=1</w:t>
      </w:r>
    </w:p>
    <w:p>
      <w:pPr>
        <w:pStyle w:val="BodyText"/>
        <w:spacing w:before="5"/>
        <w:rPr>
          <w:rFonts w:ascii="Cambria Math"/>
          <w:sz w:val="31"/>
        </w:rPr>
      </w:pPr>
      <w:r>
        <w:rPr/>
        <w:br w:type="column"/>
      </w:r>
      <w:r>
        <w:rPr>
          <w:rFonts w:ascii="Cambria Math"/>
          <w:sz w:val="31"/>
        </w:rPr>
      </w:r>
    </w:p>
    <w:p>
      <w:pPr>
        <w:pStyle w:val="BodyText"/>
        <w:ind w:left="331"/>
        <w:rPr>
          <w:rFonts w:ascii="Cambria Math" w:hAnsi="Cambria Math" w:eastAsia="Cambria Math"/>
        </w:rPr>
      </w:pPr>
      <w:r>
        <w:rPr>
          <w:rFonts w:ascii="Cambria Math" w:hAnsi="Cambria Math" w:eastAsia="Cambria Math"/>
        </w:rPr>
        <w:t>� = 1, 2,3 … … … … 10</w:t>
      </w:r>
    </w:p>
    <w:p>
      <w:pPr>
        <w:spacing w:after="0"/>
        <w:rPr>
          <w:rFonts w:ascii="Cambria Math" w:hAnsi="Cambria Math" w:eastAsia="Cambria Math"/>
        </w:rPr>
        <w:sectPr>
          <w:type w:val="continuous"/>
          <w:pgSz w:w="12240" w:h="15840"/>
          <w:pgMar w:top="3260" w:bottom="280" w:left="1300" w:right="1340"/>
          <w:cols w:num="2" w:equalWidth="0">
            <w:col w:w="4150" w:space="40"/>
            <w:col w:w="5410"/>
          </w:cols>
        </w:sectPr>
      </w:pPr>
    </w:p>
    <w:p>
      <w:pPr>
        <w:pStyle w:val="BodyText"/>
        <w:spacing w:before="10"/>
        <w:rPr>
          <w:rFonts w:ascii="Cambria Math"/>
          <w:sz w:val="19"/>
        </w:rPr>
      </w:pPr>
    </w:p>
    <w:p>
      <w:pPr>
        <w:pStyle w:val="BodyText"/>
        <w:spacing w:line="345" w:lineRule="auto" w:before="69"/>
        <w:ind w:left="118" w:right="266"/>
        <w:jc w:val="both"/>
        <w:rPr>
          <w:sz w:val="16"/>
        </w:rPr>
      </w:pPr>
      <w:r>
        <w:rPr/>
        <w:t>La cantidad demandada, la cantidad ofertada y los envíos de las regiones productoras (</w:t>
      </w:r>
      <w:r>
        <w:rPr>
          <w:i/>
        </w:rPr>
        <w:t>s</w:t>
      </w:r>
      <w:r>
        <w:rPr/>
        <w:t>) a las regiones demandantes (</w:t>
      </w:r>
      <w:r>
        <w:rPr>
          <w:i/>
        </w:rPr>
        <w:t>d</w:t>
      </w:r>
      <w:r>
        <w:rPr/>
        <w:t>) o consumidoras, debe ser mayor o igual a cero</w:t>
      </w:r>
      <w:r>
        <w:rPr>
          <w:position w:val="9"/>
          <w:sz w:val="16"/>
        </w:rPr>
        <w:t>(8).</w:t>
      </w:r>
    </w:p>
    <w:p>
      <w:pPr>
        <w:spacing w:before="17"/>
        <w:ind w:left="0" w:right="410" w:firstLine="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4"/>
          <w:sz w:val="17"/>
        </w:rPr>
        <w:t>𝑑  </w:t>
      </w:r>
      <w:r>
        <w:rPr>
          <w:rFonts w:ascii="Cambria Math" w:hAnsi="Cambria Math" w:eastAsia="Cambria Math"/>
          <w:sz w:val="24"/>
        </w:rPr>
        <w:t>, �</w:t>
      </w:r>
      <w:r>
        <w:rPr>
          <w:rFonts w:ascii="Cambria Math" w:hAnsi="Cambria Math" w:eastAsia="Cambria Math"/>
          <w:position w:val="-4"/>
          <w:sz w:val="17"/>
        </w:rPr>
        <w:t>𝑠 </w:t>
      </w:r>
      <w:r>
        <w:rPr>
          <w:rFonts w:ascii="Cambria Math" w:hAnsi="Cambria Math" w:eastAsia="Cambria Math"/>
          <w:sz w:val="24"/>
        </w:rPr>
        <w:t>, �</w:t>
      </w:r>
      <w:r>
        <w:rPr>
          <w:rFonts w:ascii="Cambria Math" w:hAnsi="Cambria Math" w:eastAsia="Cambria Math"/>
          <w:position w:val="-4"/>
          <w:sz w:val="17"/>
        </w:rPr>
        <w:t>𝑠𝑑  </w:t>
      </w:r>
      <w:r>
        <w:rPr>
          <w:rFonts w:ascii="Cambria Math" w:hAnsi="Cambria Math" w:eastAsia="Cambria Math"/>
          <w:sz w:val="24"/>
        </w:rPr>
        <w:t>≥ 0</w:t>
      </w:r>
    </w:p>
    <w:p>
      <w:pPr>
        <w:pStyle w:val="BodyText"/>
        <w:spacing w:line="535" w:lineRule="auto" w:before="85"/>
        <w:ind w:left="118" w:right="1085"/>
      </w:pPr>
      <w:r>
        <w:rPr/>
        <w:t>Se utilizaron 10 regiones productoras y ocho regiones consumidoras</w:t>
      </w:r>
      <w:r>
        <w:rPr>
          <w:position w:val="9"/>
          <w:sz w:val="16"/>
        </w:rPr>
        <w:t>(9) </w:t>
      </w:r>
      <w:r>
        <w:rPr/>
        <w:t>(Cuadro 1). </w:t>
      </w:r>
      <w:r>
        <w:rPr>
          <w:color w:val="006FC0"/>
        </w:rPr>
        <w:t>AQUÍ SE INSERTA EL CUADRO 1</w:t>
      </w:r>
    </w:p>
    <w:p>
      <w:pPr>
        <w:pStyle w:val="Heading4"/>
        <w:spacing w:before="16"/>
        <w:jc w:val="both"/>
      </w:pPr>
      <w:r>
        <w:rPr/>
        <w:t>Obtención de los datos</w:t>
      </w:r>
    </w:p>
    <w:p>
      <w:pPr>
        <w:pStyle w:val="BodyText"/>
        <w:spacing w:line="355" w:lineRule="auto" w:before="134"/>
        <w:ind w:left="118" w:right="269"/>
        <w:jc w:val="both"/>
      </w:pPr>
      <w:r>
        <w:rPr/>
        <w:t>La producción y las exportaciones se obtuvieron por entidad federativa a través del Servicio de Información Agroalimentaria y Pesquera (SIAP)</w:t>
      </w:r>
      <w:r>
        <w:rPr>
          <w:position w:val="9"/>
          <w:sz w:val="16"/>
        </w:rPr>
        <w:t>(10)</w:t>
      </w:r>
      <w:r>
        <w:rPr/>
        <w:t>, se restó la exportación a la producción de los estados que reportaron y, se adicionó la producción de los que integran cada una de las regiones para obtener la producción regional.</w:t>
      </w:r>
    </w:p>
    <w:p>
      <w:pPr>
        <w:pStyle w:val="BodyText"/>
        <w:spacing w:line="360" w:lineRule="auto"/>
        <w:ind w:left="118" w:right="265"/>
        <w:jc w:val="both"/>
      </w:pPr>
      <w:r>
        <w:rPr/>
        <w:t>El volumen de importación se obtuvo del SIAP</w:t>
      </w:r>
      <w:r>
        <w:rPr>
          <w:position w:val="9"/>
          <w:sz w:val="16"/>
        </w:rPr>
        <w:t>(10) </w:t>
      </w:r>
      <w:r>
        <w:rPr/>
        <w:t>según las claves arancelarias y puntos de acceso (aduanas). Para ello, se establecieron dos puntos de internación de carne importada, el primero lo componen las aduanas de Colombia en Nuevo León, Nuevo Laredo y Reynosa en Tamaulipas y Piedras Negras en Coahuila. Este primer punto registra el ingreso del 90.1% de la carne importada. El segundo punto de internación, se compuso por las aduanas de Mexicali y</w:t>
      </w:r>
    </w:p>
    <w:p>
      <w:pPr>
        <w:spacing w:after="0" w:line="360" w:lineRule="auto"/>
        <w:jc w:val="both"/>
        <w:sectPr>
          <w:type w:val="continuous"/>
          <w:pgSz w:w="12240" w:h="15840"/>
          <w:pgMar w:top="3260" w:bottom="280" w:left="1300" w:right="1340"/>
        </w:sectPr>
      </w:pPr>
    </w:p>
    <w:p>
      <w:pPr>
        <w:pStyle w:val="BodyText"/>
        <w:spacing w:line="360" w:lineRule="auto" w:before="125"/>
        <w:ind w:left="118" w:right="273"/>
        <w:jc w:val="both"/>
      </w:pPr>
      <w:r>
        <w:rPr/>
        <w:t>Tijuana en Baja California, Nogales y San Luis Rio Colorado en Sonora y Ciudad Juárez en Chihuahua. Por este punto ingresa el 9.9% de la importación.</w:t>
      </w:r>
    </w:p>
    <w:p>
      <w:pPr>
        <w:pStyle w:val="BodyText"/>
        <w:spacing w:line="360" w:lineRule="auto" w:before="6"/>
        <w:ind w:left="118" w:right="266"/>
        <w:jc w:val="both"/>
      </w:pPr>
      <w:r>
        <w:rPr/>
        <w:t>De esta manera, se establecieron 10 regiones productoras, ocho de ellas en el interior del país y dos puntos fronterizos de internación de carne de cerdo.</w:t>
      </w:r>
    </w:p>
    <w:p>
      <w:pPr>
        <w:pStyle w:val="BodyText"/>
        <w:spacing w:line="352" w:lineRule="auto" w:before="6"/>
        <w:ind w:left="118" w:right="266"/>
        <w:jc w:val="both"/>
      </w:pPr>
      <w:r>
        <w:rPr/>
        <w:t>Para</w:t>
      </w:r>
      <w:r>
        <w:rPr>
          <w:spacing w:val="-15"/>
        </w:rPr>
        <w:t> </w:t>
      </w:r>
      <w:r>
        <w:rPr/>
        <w:t>conocer</w:t>
      </w:r>
      <w:r>
        <w:rPr>
          <w:spacing w:val="-14"/>
        </w:rPr>
        <w:t> </w:t>
      </w:r>
      <w:r>
        <w:rPr/>
        <w:t>el</w:t>
      </w:r>
      <w:r>
        <w:rPr>
          <w:spacing w:val="-13"/>
        </w:rPr>
        <w:t> </w:t>
      </w:r>
      <w:r>
        <w:rPr/>
        <w:t>consumo</w:t>
      </w:r>
      <w:r>
        <w:rPr>
          <w:spacing w:val="-11"/>
        </w:rPr>
        <w:t> </w:t>
      </w:r>
      <w:r>
        <w:rPr/>
        <w:t>(demanda)</w:t>
      </w:r>
      <w:r>
        <w:rPr>
          <w:spacing w:val="33"/>
        </w:rPr>
        <w:t> </w:t>
      </w:r>
      <w:r>
        <w:rPr/>
        <w:t>de</w:t>
      </w:r>
      <w:r>
        <w:rPr>
          <w:spacing w:val="-14"/>
        </w:rPr>
        <w:t> </w:t>
      </w:r>
      <w:r>
        <w:rPr/>
        <w:t>cada</w:t>
      </w:r>
      <w:r>
        <w:rPr>
          <w:spacing w:val="-14"/>
        </w:rPr>
        <w:t> </w:t>
      </w:r>
      <w:r>
        <w:rPr/>
        <w:t>una</w:t>
      </w:r>
      <w:r>
        <w:rPr>
          <w:spacing w:val="-14"/>
        </w:rPr>
        <w:t> </w:t>
      </w:r>
      <w:r>
        <w:rPr/>
        <w:t>de</w:t>
      </w:r>
      <w:r>
        <w:rPr>
          <w:spacing w:val="-14"/>
        </w:rPr>
        <w:t> </w:t>
      </w:r>
      <w:r>
        <w:rPr/>
        <w:t>las</w:t>
      </w:r>
      <w:r>
        <w:rPr>
          <w:spacing w:val="-14"/>
        </w:rPr>
        <w:t> </w:t>
      </w:r>
      <w:r>
        <w:rPr/>
        <w:t>ocho</w:t>
      </w:r>
      <w:r>
        <w:rPr>
          <w:spacing w:val="-13"/>
        </w:rPr>
        <w:t> </w:t>
      </w:r>
      <w:r>
        <w:rPr/>
        <w:t>regiones</w:t>
      </w:r>
      <w:r>
        <w:rPr>
          <w:spacing w:val="-14"/>
        </w:rPr>
        <w:t> </w:t>
      </w:r>
      <w:r>
        <w:rPr/>
        <w:t>del</w:t>
      </w:r>
      <w:r>
        <w:rPr>
          <w:spacing w:val="-13"/>
        </w:rPr>
        <w:t> </w:t>
      </w:r>
      <w:r>
        <w:rPr/>
        <w:t>país,</w:t>
      </w:r>
      <w:r>
        <w:rPr>
          <w:spacing w:val="-13"/>
        </w:rPr>
        <w:t> </w:t>
      </w:r>
      <w:r>
        <w:rPr/>
        <w:t>primero</w:t>
      </w:r>
      <w:r>
        <w:rPr>
          <w:spacing w:val="-14"/>
        </w:rPr>
        <w:t> </w:t>
      </w:r>
      <w:r>
        <w:rPr/>
        <w:t>se</w:t>
      </w:r>
      <w:r>
        <w:rPr>
          <w:spacing w:val="-14"/>
        </w:rPr>
        <w:t> </w:t>
      </w:r>
      <w:r>
        <w:rPr/>
        <w:t>obtuvo la población de cada estado del año 2015, proveniente del Consejo Nacional de Población (CONAPO)</w:t>
      </w:r>
      <w:r>
        <w:rPr>
          <w:position w:val="9"/>
          <w:sz w:val="16"/>
        </w:rPr>
        <w:t>(11). </w:t>
      </w:r>
      <w:r>
        <w:rPr/>
        <w:t>El dato de población se multiplicó por el consumo </w:t>
      </w:r>
      <w:r>
        <w:rPr>
          <w:i/>
        </w:rPr>
        <w:t>per cápita </w:t>
      </w:r>
      <w:r>
        <w:rPr/>
        <w:t>reportado para la zona</w:t>
      </w:r>
      <w:r>
        <w:rPr>
          <w:spacing w:val="-5"/>
        </w:rPr>
        <w:t> </w:t>
      </w:r>
      <w:r>
        <w:rPr/>
        <w:t>por</w:t>
      </w:r>
      <w:r>
        <w:rPr>
          <w:spacing w:val="-5"/>
        </w:rPr>
        <w:t> </w:t>
      </w:r>
      <w:r>
        <w:rPr/>
        <w:t>la</w:t>
      </w:r>
      <w:r>
        <w:rPr>
          <w:spacing w:val="-4"/>
        </w:rPr>
        <w:t> </w:t>
      </w:r>
      <w:r>
        <w:rPr/>
        <w:t>Confederación</w:t>
      </w:r>
      <w:r>
        <w:rPr>
          <w:spacing w:val="-3"/>
        </w:rPr>
        <w:t> </w:t>
      </w:r>
      <w:r>
        <w:rPr/>
        <w:t>de</w:t>
      </w:r>
      <w:r>
        <w:rPr>
          <w:spacing w:val="-5"/>
        </w:rPr>
        <w:t> </w:t>
      </w:r>
      <w:r>
        <w:rPr/>
        <w:t>Porcicultores</w:t>
      </w:r>
      <w:r>
        <w:rPr>
          <w:position w:val="9"/>
          <w:sz w:val="16"/>
        </w:rPr>
        <w:t>(12)</w:t>
      </w:r>
      <w:r>
        <w:rPr/>
        <w:t>,</w:t>
      </w:r>
      <w:r>
        <w:rPr>
          <w:spacing w:val="-1"/>
        </w:rPr>
        <w:t> </w:t>
      </w:r>
      <w:r>
        <w:rPr/>
        <w:t>y</w:t>
      </w:r>
      <w:r>
        <w:rPr>
          <w:spacing w:val="-11"/>
        </w:rPr>
        <w:t> </w:t>
      </w:r>
      <w:r>
        <w:rPr/>
        <w:t>se</w:t>
      </w:r>
      <w:r>
        <w:rPr>
          <w:spacing w:val="-5"/>
        </w:rPr>
        <w:t> </w:t>
      </w:r>
      <w:r>
        <w:rPr/>
        <w:t>sumó</w:t>
      </w:r>
      <w:r>
        <w:rPr>
          <w:spacing w:val="-3"/>
        </w:rPr>
        <w:t> </w:t>
      </w:r>
      <w:r>
        <w:rPr/>
        <w:t>el</w:t>
      </w:r>
      <w:r>
        <w:rPr>
          <w:spacing w:val="-3"/>
        </w:rPr>
        <w:t> </w:t>
      </w:r>
      <w:r>
        <w:rPr/>
        <w:t>consumo</w:t>
      </w:r>
      <w:r>
        <w:rPr>
          <w:spacing w:val="-4"/>
        </w:rPr>
        <w:t> </w:t>
      </w:r>
      <w:r>
        <w:rPr/>
        <w:t>de</w:t>
      </w:r>
      <w:r>
        <w:rPr>
          <w:spacing w:val="-5"/>
        </w:rPr>
        <w:t> </w:t>
      </w:r>
      <w:r>
        <w:rPr/>
        <w:t>cada</w:t>
      </w:r>
      <w:r>
        <w:rPr>
          <w:spacing w:val="-5"/>
        </w:rPr>
        <w:t> </w:t>
      </w:r>
      <w:r>
        <w:rPr/>
        <w:t>uno</w:t>
      </w:r>
      <w:r>
        <w:rPr>
          <w:spacing w:val="-4"/>
        </w:rPr>
        <w:t> </w:t>
      </w:r>
      <w:r>
        <w:rPr/>
        <w:t>de</w:t>
      </w:r>
      <w:r>
        <w:rPr>
          <w:spacing w:val="-5"/>
        </w:rPr>
        <w:t> </w:t>
      </w:r>
      <w:r>
        <w:rPr/>
        <w:t>los</w:t>
      </w:r>
      <w:r>
        <w:rPr>
          <w:spacing w:val="-3"/>
        </w:rPr>
        <w:t> </w:t>
      </w:r>
      <w:r>
        <w:rPr/>
        <w:t>estados que integran cada</w:t>
      </w:r>
      <w:r>
        <w:rPr>
          <w:spacing w:val="-6"/>
        </w:rPr>
        <w:t> </w:t>
      </w:r>
      <w:r>
        <w:rPr/>
        <w:t>región.</w:t>
      </w:r>
    </w:p>
    <w:p>
      <w:pPr>
        <w:pStyle w:val="BodyText"/>
        <w:spacing w:line="345" w:lineRule="auto" w:before="12"/>
        <w:ind w:left="118" w:right="270"/>
        <w:jc w:val="both"/>
        <w:rPr>
          <w:sz w:val="16"/>
        </w:rPr>
      </w:pPr>
      <w:r>
        <w:rPr/>
        <w:t>El precio regional de cerdo en canal, se obtuvo al utilizar el precio de cada estado que integra la región, ponderado con la producción</w:t>
      </w:r>
      <w:r>
        <w:rPr>
          <w:position w:val="9"/>
          <w:sz w:val="16"/>
        </w:rPr>
        <w:t>(10)</w:t>
      </w:r>
      <w:r>
        <w:rPr/>
        <w:t>. El precio de los puntos de internación se obtuvo del Sistema Nacional de Información e Integración de Mercados (SNIIM)</w:t>
      </w:r>
      <w:r>
        <w:rPr>
          <w:position w:val="9"/>
          <w:sz w:val="16"/>
        </w:rPr>
        <w:t>(13).</w:t>
      </w:r>
    </w:p>
    <w:p>
      <w:pPr>
        <w:pStyle w:val="BodyText"/>
        <w:spacing w:line="357" w:lineRule="auto" w:before="14"/>
        <w:ind w:left="118" w:right="266"/>
        <w:jc w:val="both"/>
      </w:pPr>
      <w:r>
        <w:rPr/>
        <w:t>El costo de transporte dentro y entre regiones se calculó al multiplicar la distancia por el costo por kilómetro. Las distancias se obtuvieron con la herramienta de la Secretaría de Comunicaciones</w:t>
      </w:r>
      <w:r>
        <w:rPr>
          <w:spacing w:val="-4"/>
        </w:rPr>
        <w:t> </w:t>
      </w:r>
      <w:r>
        <w:rPr/>
        <w:t>y</w:t>
      </w:r>
      <w:r>
        <w:rPr>
          <w:spacing w:val="-11"/>
        </w:rPr>
        <w:t> </w:t>
      </w:r>
      <w:r>
        <w:rPr/>
        <w:t>Trasportes</w:t>
      </w:r>
      <w:r>
        <w:rPr>
          <w:spacing w:val="-8"/>
        </w:rPr>
        <w:t> </w:t>
      </w:r>
      <w:r>
        <w:rPr/>
        <w:t>(SCT)</w:t>
      </w:r>
      <w:r>
        <w:rPr>
          <w:spacing w:val="-10"/>
        </w:rPr>
        <w:t> </w:t>
      </w:r>
      <w:r>
        <w:rPr/>
        <w:t>punto</w:t>
      </w:r>
      <w:r>
        <w:rPr>
          <w:spacing w:val="-6"/>
        </w:rPr>
        <w:t> </w:t>
      </w:r>
      <w:r>
        <w:rPr/>
        <w:t>a</w:t>
      </w:r>
      <w:r>
        <w:rPr>
          <w:spacing w:val="-7"/>
        </w:rPr>
        <w:t> </w:t>
      </w:r>
      <w:r>
        <w:rPr/>
        <w:t>punto</w:t>
      </w:r>
      <w:r>
        <w:rPr>
          <w:position w:val="9"/>
          <w:sz w:val="16"/>
        </w:rPr>
        <w:t>(14)</w:t>
      </w:r>
      <w:r>
        <w:rPr/>
        <w:t>,</w:t>
      </w:r>
      <w:r>
        <w:rPr>
          <w:spacing w:val="-9"/>
        </w:rPr>
        <w:t> </w:t>
      </w:r>
      <w:r>
        <w:rPr/>
        <w:t>se</w:t>
      </w:r>
      <w:r>
        <w:rPr>
          <w:spacing w:val="-9"/>
        </w:rPr>
        <w:t> </w:t>
      </w:r>
      <w:r>
        <w:rPr/>
        <w:t>consideró</w:t>
      </w:r>
      <w:r>
        <w:rPr>
          <w:spacing w:val="-7"/>
        </w:rPr>
        <w:t> </w:t>
      </w:r>
      <w:r>
        <w:rPr/>
        <w:t>cada</w:t>
      </w:r>
      <w:r>
        <w:rPr>
          <w:spacing w:val="-7"/>
        </w:rPr>
        <w:t> </w:t>
      </w:r>
      <w:r>
        <w:rPr/>
        <w:t>capital</w:t>
      </w:r>
      <w:r>
        <w:rPr>
          <w:spacing w:val="-8"/>
        </w:rPr>
        <w:t> </w:t>
      </w:r>
      <w:r>
        <w:rPr/>
        <w:t>del</w:t>
      </w:r>
      <w:r>
        <w:rPr>
          <w:spacing w:val="-8"/>
        </w:rPr>
        <w:t> </w:t>
      </w:r>
      <w:r>
        <w:rPr/>
        <w:t>estado</w:t>
      </w:r>
      <w:r>
        <w:rPr>
          <w:spacing w:val="-7"/>
        </w:rPr>
        <w:t> </w:t>
      </w:r>
      <w:r>
        <w:rPr/>
        <w:t>como punto de referencia y se ponderaron las distancias en cada región. El transporte de canales de cerdo es especializado y tuvo un costo por km de dos dólares (USD) el equivalente a $35.0 en  el momento de la investigación. Este costo se obtuvo de forma directa a través de una entrevista realizada a una empresa particular que realiza servicios de transporte de carga</w:t>
      </w:r>
      <w:r>
        <w:rPr>
          <w:spacing w:val="-16"/>
        </w:rPr>
        <w:t> </w:t>
      </w:r>
      <w:r>
        <w:rPr/>
        <w:t>especializada.</w:t>
      </w:r>
    </w:p>
    <w:p>
      <w:pPr>
        <w:pStyle w:val="BodyText"/>
        <w:spacing w:line="345" w:lineRule="auto"/>
        <w:ind w:left="118" w:right="270"/>
        <w:jc w:val="both"/>
      </w:pPr>
      <w:r>
        <w:rPr/>
        <w:t>Se consideraron las elasticidades regionales</w:t>
      </w:r>
      <w:r>
        <w:rPr>
          <w:position w:val="8"/>
          <w:sz w:val="14"/>
        </w:rPr>
        <w:t>(15</w:t>
      </w:r>
      <w:r>
        <w:rPr>
          <w:position w:val="9"/>
          <w:sz w:val="16"/>
        </w:rPr>
        <w:t>) </w:t>
      </w:r>
      <w:r>
        <w:rPr/>
        <w:t>y para los puntos de internación se usaron las elasticidades nacionales</w:t>
      </w:r>
      <w:r>
        <w:rPr>
          <w:position w:val="9"/>
          <w:sz w:val="16"/>
        </w:rPr>
        <w:t>(16), </w:t>
      </w:r>
      <w:r>
        <w:rPr/>
        <w:t>también se calcularon las funciones inversas tanto de la demanda como de la oferta para cada una de las regiones</w:t>
      </w:r>
      <w:r>
        <w:rPr>
          <w:position w:val="9"/>
          <w:sz w:val="16"/>
        </w:rPr>
        <w:t>(17,18)</w:t>
      </w:r>
      <w:r>
        <w:rPr/>
        <w:t>.</w:t>
      </w:r>
    </w:p>
    <w:p>
      <w:pPr>
        <w:pStyle w:val="BodyText"/>
        <w:spacing w:line="355" w:lineRule="auto" w:before="14"/>
        <w:ind w:left="118" w:right="266"/>
        <w:jc w:val="both"/>
      </w:pPr>
      <w:r>
        <w:rPr/>
        <w:t>Para el análisis de la información se utilizó el software Solver Premium Platform 2014-R2 y el solver MINOS, escrito en el lenguaje de programación GAMS (General Algebraic Modeling System), versión 24.4.2 para Windows, Office 2013 con base en Rosenthal</w:t>
      </w:r>
      <w:r>
        <w:rPr>
          <w:position w:val="9"/>
          <w:sz w:val="16"/>
        </w:rPr>
        <w:t>(19) </w:t>
      </w:r>
      <w:r>
        <w:rPr/>
        <w:t>los cuales desarrollan modelos de programación lineal y no lineal (cuadrática) que se utilizan en la optimización de recursos.</w:t>
      </w:r>
    </w:p>
    <w:p>
      <w:pPr>
        <w:pStyle w:val="BodyText"/>
        <w:spacing w:line="360" w:lineRule="auto" w:before="11"/>
        <w:ind w:left="118" w:right="172"/>
      </w:pPr>
      <w:r>
        <w:rPr/>
        <w:t>Una vez que se obtuvo el modelo base (modelo óptimo), se generaron cinco escenarios. Escenario 1. Este escenario, consideró un arancel de 15%, con lo cual se incrementó 4.12 $/kg al precio de la carne de cerdo importada, pasando de 27.44 a 31.56 $/kg este incremento se agregó en la matriz de costo de transporte para los dos puntos de internación.</w:t>
      </w:r>
    </w:p>
    <w:p>
      <w:pPr>
        <w:spacing w:after="0" w:line="360" w:lineRule="auto"/>
        <w:sectPr>
          <w:pgSz w:w="12240" w:h="15840"/>
          <w:pgMar w:header="984" w:footer="986" w:top="1280" w:bottom="1180" w:left="1300" w:right="1340"/>
        </w:sectPr>
      </w:pPr>
    </w:p>
    <w:p>
      <w:pPr>
        <w:pStyle w:val="BodyText"/>
        <w:spacing w:line="360" w:lineRule="auto" w:before="125"/>
        <w:ind w:left="118" w:right="266"/>
        <w:jc w:val="both"/>
      </w:pPr>
      <w:r>
        <w:rPr/>
        <w:t>Escenario 2. Basándose en el apoyo del Programa porcino de la SAGARPA (PROPOR) que otorgó 100 $/animal sacrificado en rastros Tipo Inspección Federal (TIF) buscando un incremento en su ingreso y estimular el uso de rastros con mejores esquemas sanitarios, se consideró este monto para todos los cerdos sacrificados en el país.</w:t>
      </w:r>
    </w:p>
    <w:p>
      <w:pPr>
        <w:pStyle w:val="BodyText"/>
        <w:spacing w:line="360" w:lineRule="auto" w:before="6"/>
        <w:ind w:left="118" w:right="264"/>
        <w:jc w:val="both"/>
      </w:pPr>
      <w:r>
        <w:rPr/>
        <w:t>Con el inventario porcino y la cantidad de cerdos sacrificada en México en 2015, se obtuvo lo siguiente: el monto de subsidiar con 100 $/cerdo enviado a rastro es equivalente a subsidiar con</w:t>
      </w:r>
    </w:p>
    <w:p>
      <w:pPr>
        <w:pStyle w:val="BodyText"/>
        <w:spacing w:line="360" w:lineRule="auto" w:before="6"/>
        <w:ind w:left="118" w:right="274"/>
        <w:jc w:val="both"/>
      </w:pPr>
      <w:r>
        <w:rPr/>
        <w:t>$1,500 a cada hembra en inventario o con 430 $/t de grano (maíz o sorgo) comprado. Esta cantidad  se  restó al costo de transporte.</w:t>
      </w:r>
    </w:p>
    <w:p>
      <w:pPr>
        <w:pStyle w:val="BodyText"/>
        <w:spacing w:line="360" w:lineRule="auto" w:before="7"/>
        <w:ind w:left="118" w:right="271"/>
        <w:jc w:val="both"/>
      </w:pPr>
      <w:r>
        <w:rPr/>
        <w:t>Escenario 3. Para este escenario, se consideró lo propuesto por el Programa porcino de la SAGARPA (PROPOR) que busca aumentar el ingreso del productor apoyando con $200 por hembra en inventario lo cual es equivalente a subsidiar con $13.34 por cada cerdo finalizado enviado a rastro o al apoyo de $57 pesos por cada tonelada de grano (maíz o sorgo) comprado.</w:t>
      </w:r>
    </w:p>
    <w:p>
      <w:pPr>
        <w:pStyle w:val="BodyText"/>
        <w:spacing w:line="360" w:lineRule="auto" w:before="205"/>
        <w:ind w:left="118" w:right="271"/>
        <w:jc w:val="both"/>
      </w:pPr>
      <w:r>
        <w:rPr/>
        <w:t>Escenario 4. Se utilizó la aplicación simultánea de un arancel de 15% a la carne importada y un subsidio de $100 pesos por cerdo enviado a rastro.</w:t>
      </w:r>
    </w:p>
    <w:p>
      <w:pPr>
        <w:pStyle w:val="BodyText"/>
        <w:spacing w:line="360" w:lineRule="auto" w:before="205"/>
        <w:ind w:left="118" w:right="265"/>
        <w:jc w:val="both"/>
      </w:pPr>
      <w:r>
        <w:rPr/>
        <w:t>Escenario 5. Se utilizó la aplicación simultánea de un arancel de 15% a la carne de importada y un subsidio de $200 pesos por hembra en inventario, para los escenarios 4to y 5to el arancel se le sumó al costo de transporte de los puntos de internación y el subsidio se le restó al costo de transporte de las ocho regiones internas del país.</w:t>
      </w:r>
    </w:p>
    <w:p>
      <w:pPr>
        <w:spacing w:after="0" w:line="360" w:lineRule="auto"/>
        <w:jc w:val="both"/>
        <w:sectPr>
          <w:pgSz w:w="12240" w:h="15840"/>
          <w:pgMar w:header="984" w:footer="986" w:top="1280" w:bottom="1180" w:left="1300" w:right="1340"/>
        </w:sectPr>
      </w:pPr>
    </w:p>
    <w:p>
      <w:pPr>
        <w:pStyle w:val="Heading4"/>
        <w:jc w:val="both"/>
      </w:pPr>
      <w:r>
        <w:rPr/>
        <w:t>RESULTADOS  Y DISCUSIÓN</w:t>
      </w:r>
    </w:p>
    <w:p>
      <w:pPr>
        <w:pStyle w:val="BodyText"/>
        <w:rPr>
          <w:b/>
          <w:sz w:val="29"/>
        </w:rPr>
      </w:pPr>
    </w:p>
    <w:p>
      <w:pPr>
        <w:pStyle w:val="BodyText"/>
        <w:spacing w:line="360" w:lineRule="auto"/>
        <w:ind w:left="118" w:right="3183"/>
      </w:pPr>
      <w:r>
        <w:rPr/>
        <w:t>Los resultados obtenidos, se presentan en los cuadros 2 y 3. </w:t>
      </w:r>
      <w:r>
        <w:rPr>
          <w:color w:val="006FC0"/>
        </w:rPr>
        <w:t>AQUÍ SE INSERTA EL CUADRO 2 y 3</w:t>
      </w:r>
    </w:p>
    <w:p>
      <w:pPr>
        <w:pStyle w:val="BodyText"/>
        <w:spacing w:line="360" w:lineRule="auto" w:before="205"/>
        <w:ind w:left="118" w:right="266"/>
        <w:jc w:val="both"/>
      </w:pPr>
      <w:r>
        <w:rPr/>
        <w:t>El modelo obtenido que maximiza el VSN con los datos 2015 puede validarse como base (o modelo óptimo) ya que la mayor discrepancia entre los valores observados en el año de análisis y los que se obtuvieron por el modelo fue de -3.79% para el punto de internación 2, también muestra una variación de 0.11 % en el Valor Social Neto lo que indica que en condiciones óptimas se generaría un aumento 4,086 millones de pesos para 2015.</w:t>
      </w:r>
    </w:p>
    <w:p>
      <w:pPr>
        <w:pStyle w:val="BodyText"/>
        <w:spacing w:line="360" w:lineRule="auto" w:before="4"/>
        <w:ind w:left="118" w:right="264"/>
        <w:jc w:val="both"/>
      </w:pPr>
      <w:r>
        <w:rPr/>
        <w:t>La aplicación de arancel del 15% (escenario 1), incrementaría la producción nacional en 3,326 t anuales. Las regiones que más incrementarían su volumen serían PE, CE y OR con 404, 774, y 1,817 t. Respecto a las importaciones, éstas se disminuirían en 12,350 t. Para el consumo se observaría una disminución de 9,024 t; las regiones que presentarían una mayor disminución en su consumo son OR 1,498 t. CO 1,893 t. y CE 3,894 t. El VSN disminuiría 3,496 millones de pesos, con incremento en los precios a nivel nacional de $2.4 y las regiones que aumentarían más de $2  su precio serian SU, NR y PE.</w:t>
      </w:r>
    </w:p>
    <w:p>
      <w:pPr>
        <w:pStyle w:val="BodyText"/>
        <w:spacing w:line="360" w:lineRule="auto" w:before="6"/>
        <w:ind w:left="118" w:right="264"/>
        <w:jc w:val="both"/>
      </w:pPr>
      <w:r>
        <w:rPr/>
        <w:t>La aplicación de un subsidio, equivalente a 100 pesos por cerdo enviado a rastro o sus equivalentes</w:t>
      </w:r>
      <w:r>
        <w:rPr>
          <w:spacing w:val="-11"/>
        </w:rPr>
        <w:t> </w:t>
      </w:r>
      <w:r>
        <w:rPr/>
        <w:t>(escenario</w:t>
      </w:r>
      <w:r>
        <w:rPr>
          <w:spacing w:val="-11"/>
        </w:rPr>
        <w:t> </w:t>
      </w:r>
      <w:r>
        <w:rPr/>
        <w:t>2),</w:t>
      </w:r>
      <w:r>
        <w:rPr>
          <w:spacing w:val="-12"/>
        </w:rPr>
        <w:t> </w:t>
      </w:r>
      <w:r>
        <w:rPr/>
        <w:t>mostró</w:t>
      </w:r>
      <w:r>
        <w:rPr>
          <w:spacing w:val="-12"/>
        </w:rPr>
        <w:t> </w:t>
      </w:r>
      <w:r>
        <w:rPr/>
        <w:t>que</w:t>
      </w:r>
      <w:r>
        <w:rPr>
          <w:spacing w:val="-12"/>
        </w:rPr>
        <w:t> </w:t>
      </w:r>
      <w:r>
        <w:rPr/>
        <w:t>la</w:t>
      </w:r>
      <w:r>
        <w:rPr>
          <w:spacing w:val="-12"/>
        </w:rPr>
        <w:t> </w:t>
      </w:r>
      <w:r>
        <w:rPr/>
        <w:t>producción</w:t>
      </w:r>
      <w:r>
        <w:rPr>
          <w:spacing w:val="-11"/>
        </w:rPr>
        <w:t> </w:t>
      </w:r>
      <w:r>
        <w:rPr/>
        <w:t>nacional</w:t>
      </w:r>
      <w:r>
        <w:rPr>
          <w:spacing w:val="-11"/>
        </w:rPr>
        <w:t> </w:t>
      </w:r>
      <w:r>
        <w:rPr/>
        <w:t>aumentaría</w:t>
      </w:r>
      <w:r>
        <w:rPr>
          <w:spacing w:val="-12"/>
        </w:rPr>
        <w:t> </w:t>
      </w:r>
      <w:r>
        <w:rPr/>
        <w:t>en</w:t>
      </w:r>
      <w:r>
        <w:rPr>
          <w:spacing w:val="-11"/>
        </w:rPr>
        <w:t> </w:t>
      </w:r>
      <w:r>
        <w:rPr/>
        <w:t>1,421</w:t>
      </w:r>
      <w:r>
        <w:rPr>
          <w:spacing w:val="-11"/>
        </w:rPr>
        <w:t> </w:t>
      </w:r>
      <w:r>
        <w:rPr/>
        <w:t>t;</w:t>
      </w:r>
      <w:r>
        <w:rPr>
          <w:spacing w:val="-12"/>
        </w:rPr>
        <w:t> </w:t>
      </w:r>
      <w:r>
        <w:rPr/>
        <w:t>las</w:t>
      </w:r>
      <w:r>
        <w:rPr>
          <w:spacing w:val="-11"/>
        </w:rPr>
        <w:t> </w:t>
      </w:r>
      <w:r>
        <w:rPr/>
        <w:t>regiones que</w:t>
      </w:r>
      <w:r>
        <w:rPr>
          <w:spacing w:val="-12"/>
        </w:rPr>
        <w:t> </w:t>
      </w:r>
      <w:r>
        <w:rPr/>
        <w:t>incrementarían</w:t>
      </w:r>
      <w:r>
        <w:rPr>
          <w:spacing w:val="-11"/>
        </w:rPr>
        <w:t> </w:t>
      </w:r>
      <w:r>
        <w:rPr/>
        <w:t>más</w:t>
      </w:r>
      <w:r>
        <w:rPr>
          <w:spacing w:val="-11"/>
        </w:rPr>
        <w:t> </w:t>
      </w:r>
      <w:r>
        <w:rPr/>
        <w:t>su</w:t>
      </w:r>
      <w:r>
        <w:rPr>
          <w:spacing w:val="-11"/>
        </w:rPr>
        <w:t> </w:t>
      </w:r>
      <w:r>
        <w:rPr/>
        <w:t>volumen</w:t>
      </w:r>
      <w:r>
        <w:rPr>
          <w:spacing w:val="-11"/>
        </w:rPr>
        <w:t> </w:t>
      </w:r>
      <w:r>
        <w:rPr/>
        <w:t>son</w:t>
      </w:r>
      <w:r>
        <w:rPr>
          <w:spacing w:val="36"/>
        </w:rPr>
        <w:t> </w:t>
      </w:r>
      <w:r>
        <w:rPr/>
        <w:t>la</w:t>
      </w:r>
      <w:r>
        <w:rPr>
          <w:spacing w:val="-12"/>
        </w:rPr>
        <w:t> </w:t>
      </w:r>
      <w:r>
        <w:rPr/>
        <w:t>PE,</w:t>
      </w:r>
      <w:r>
        <w:rPr>
          <w:spacing w:val="-14"/>
        </w:rPr>
        <w:t> </w:t>
      </w:r>
      <w:r>
        <w:rPr/>
        <w:t>CE</w:t>
      </w:r>
      <w:r>
        <w:rPr>
          <w:spacing w:val="-11"/>
        </w:rPr>
        <w:t> </w:t>
      </w:r>
      <w:r>
        <w:rPr/>
        <w:t>y</w:t>
      </w:r>
      <w:r>
        <w:rPr>
          <w:spacing w:val="-18"/>
        </w:rPr>
        <w:t> </w:t>
      </w:r>
      <w:r>
        <w:rPr/>
        <w:t>OR</w:t>
      </w:r>
      <w:r>
        <w:rPr>
          <w:spacing w:val="-11"/>
        </w:rPr>
        <w:t> </w:t>
      </w:r>
      <w:r>
        <w:rPr/>
        <w:t>con</w:t>
      </w:r>
      <w:r>
        <w:rPr>
          <w:spacing w:val="-11"/>
        </w:rPr>
        <w:t> </w:t>
      </w:r>
      <w:r>
        <w:rPr/>
        <w:t>176,</w:t>
      </w:r>
      <w:r>
        <w:rPr>
          <w:spacing w:val="-11"/>
        </w:rPr>
        <w:t> </w:t>
      </w:r>
      <w:r>
        <w:rPr/>
        <w:t>416</w:t>
      </w:r>
      <w:r>
        <w:rPr>
          <w:spacing w:val="-9"/>
        </w:rPr>
        <w:t> </w:t>
      </w:r>
      <w:r>
        <w:rPr/>
        <w:t>y</w:t>
      </w:r>
      <w:r>
        <w:rPr>
          <w:spacing w:val="-16"/>
        </w:rPr>
        <w:t> </w:t>
      </w:r>
      <w:r>
        <w:rPr/>
        <w:t>627</w:t>
      </w:r>
      <w:r>
        <w:rPr>
          <w:spacing w:val="-11"/>
        </w:rPr>
        <w:t> </w:t>
      </w:r>
      <w:r>
        <w:rPr/>
        <w:t>t.</w:t>
      </w:r>
      <w:r>
        <w:rPr>
          <w:spacing w:val="-11"/>
        </w:rPr>
        <w:t> </w:t>
      </w:r>
      <w:r>
        <w:rPr/>
        <w:t>Las</w:t>
      </w:r>
      <w:r>
        <w:rPr>
          <w:spacing w:val="-11"/>
        </w:rPr>
        <w:t> </w:t>
      </w:r>
      <w:r>
        <w:rPr/>
        <w:t>importaciones nacionales aumentarían en 69 t, pero cada punto de internación tendría comportamientos diferentes;</w:t>
      </w:r>
      <w:r>
        <w:rPr>
          <w:spacing w:val="-9"/>
        </w:rPr>
        <w:t> </w:t>
      </w:r>
      <w:r>
        <w:rPr/>
        <w:t>en</w:t>
      </w:r>
      <w:r>
        <w:rPr>
          <w:spacing w:val="-7"/>
        </w:rPr>
        <w:t> </w:t>
      </w:r>
      <w:r>
        <w:rPr/>
        <w:t>el</w:t>
      </w:r>
      <w:r>
        <w:rPr>
          <w:spacing w:val="-9"/>
        </w:rPr>
        <w:t> </w:t>
      </w:r>
      <w:r>
        <w:rPr/>
        <w:t>P.I.1</w:t>
      </w:r>
      <w:r>
        <w:rPr>
          <w:spacing w:val="42"/>
        </w:rPr>
        <w:t> </w:t>
      </w:r>
      <w:r>
        <w:rPr/>
        <w:t>se</w:t>
      </w:r>
      <w:r>
        <w:rPr>
          <w:spacing w:val="-8"/>
        </w:rPr>
        <w:t> </w:t>
      </w:r>
      <w:r>
        <w:rPr/>
        <w:t>disminuiría</w:t>
      </w:r>
      <w:r>
        <w:rPr>
          <w:spacing w:val="-11"/>
        </w:rPr>
        <w:t> </w:t>
      </w:r>
      <w:r>
        <w:rPr/>
        <w:t>el</w:t>
      </w:r>
      <w:r>
        <w:rPr>
          <w:spacing w:val="-9"/>
        </w:rPr>
        <w:t> </w:t>
      </w:r>
      <w:r>
        <w:rPr/>
        <w:t>ingreso</w:t>
      </w:r>
      <w:r>
        <w:rPr>
          <w:spacing w:val="-9"/>
        </w:rPr>
        <w:t> </w:t>
      </w:r>
      <w:r>
        <w:rPr/>
        <w:t>de</w:t>
      </w:r>
      <w:r>
        <w:rPr>
          <w:spacing w:val="-8"/>
        </w:rPr>
        <w:t> </w:t>
      </w:r>
      <w:r>
        <w:rPr/>
        <w:t>carne</w:t>
      </w:r>
      <w:r>
        <w:rPr>
          <w:spacing w:val="-11"/>
        </w:rPr>
        <w:t> </w:t>
      </w:r>
      <w:r>
        <w:rPr/>
        <w:t>de</w:t>
      </w:r>
      <w:r>
        <w:rPr>
          <w:spacing w:val="-11"/>
        </w:rPr>
        <w:t> </w:t>
      </w:r>
      <w:r>
        <w:rPr/>
        <w:t>cerdo</w:t>
      </w:r>
      <w:r>
        <w:rPr>
          <w:spacing w:val="-10"/>
        </w:rPr>
        <w:t> </w:t>
      </w:r>
      <w:r>
        <w:rPr/>
        <w:t>en</w:t>
      </w:r>
      <w:r>
        <w:rPr>
          <w:spacing w:val="-10"/>
        </w:rPr>
        <w:t> </w:t>
      </w:r>
      <w:r>
        <w:rPr/>
        <w:t>28</w:t>
      </w:r>
      <w:r>
        <w:rPr>
          <w:spacing w:val="-10"/>
        </w:rPr>
        <w:t> </w:t>
      </w:r>
      <w:r>
        <w:rPr/>
        <w:t>t,</w:t>
      </w:r>
      <w:r>
        <w:rPr>
          <w:spacing w:val="-9"/>
        </w:rPr>
        <w:t> </w:t>
      </w:r>
      <w:r>
        <w:rPr/>
        <w:t>mientras</w:t>
      </w:r>
      <w:r>
        <w:rPr>
          <w:spacing w:val="-9"/>
        </w:rPr>
        <w:t> </w:t>
      </w:r>
      <w:r>
        <w:rPr/>
        <w:t>que</w:t>
      </w:r>
      <w:r>
        <w:rPr>
          <w:spacing w:val="-11"/>
        </w:rPr>
        <w:t> </w:t>
      </w:r>
      <w:r>
        <w:rPr/>
        <w:t>en</w:t>
      </w:r>
      <w:r>
        <w:rPr>
          <w:spacing w:val="-10"/>
        </w:rPr>
        <w:t> </w:t>
      </w:r>
      <w:r>
        <w:rPr/>
        <w:t>el</w:t>
      </w:r>
      <w:r>
        <w:rPr>
          <w:spacing w:val="-9"/>
        </w:rPr>
        <w:t> </w:t>
      </w:r>
      <w:r>
        <w:rPr/>
        <w:t>P.I.2 se incrementaría el ingreso de carne de cerdo 97 t anuales. El consumo se incrementaría 1,490</w:t>
      </w:r>
      <w:r>
        <w:rPr>
          <w:spacing w:val="-20"/>
        </w:rPr>
        <w:t> </w:t>
      </w:r>
      <w:r>
        <w:rPr/>
        <w:t>t, siendo las regiones SU, CE, CO y OR las que incrementarían, en mayor medida su consumo hasta en 187, 246, 259 y 680 t. El VSN aumentaría en 1,530 millones de pesos anuales con respecto a los precios a nivel nacional se tendría una disminución de 30 centavos, las regiones que disminuirían más su precio serian  NE, PE y OR con  60, 80 y 80</w:t>
      </w:r>
      <w:r>
        <w:rPr>
          <w:spacing w:val="-9"/>
        </w:rPr>
        <w:t> </w:t>
      </w:r>
      <w:r>
        <w:rPr/>
        <w:t>centavos.</w:t>
      </w:r>
    </w:p>
    <w:p>
      <w:pPr>
        <w:pStyle w:val="BodyText"/>
        <w:spacing w:line="360" w:lineRule="auto" w:before="6"/>
        <w:ind w:left="118" w:right="265"/>
        <w:jc w:val="both"/>
      </w:pPr>
      <w:r>
        <w:rPr/>
        <w:t>El escenario 3, referido a la aplicación de un subsidio de 200 pesos a cada hembra en inventario o sus equivalentes, este incrementaría la producción nacional en 250 t. A nivel regional se disminuiría la producción de las regiones NO, NR y SU en cantidades mínimas y se aumentaría en CE, PE y OR en 70, 71 y 113 t. Las importaciones, según el modelo, se incrementarían 463 t en P.I.1 y 106 t en el P.I.2, lo que incrementaría las importaciones nacionales en 569 t anuales.</w:t>
      </w:r>
    </w:p>
    <w:p>
      <w:pPr>
        <w:spacing w:after="0" w:line="360" w:lineRule="auto"/>
        <w:jc w:val="both"/>
        <w:sectPr>
          <w:pgSz w:w="12240" w:h="15840"/>
          <w:pgMar w:header="984" w:footer="986" w:top="1280" w:bottom="1180" w:left="1300" w:right="1340"/>
        </w:sectPr>
      </w:pPr>
    </w:p>
    <w:p>
      <w:pPr>
        <w:pStyle w:val="BodyText"/>
        <w:spacing w:line="360" w:lineRule="auto" w:before="125"/>
        <w:ind w:left="118" w:right="268"/>
        <w:jc w:val="both"/>
      </w:pPr>
      <w:r>
        <w:rPr/>
        <w:t>En el caso del consumo a nivel regional, existen diferencias; </w:t>
      </w:r>
      <w:r>
        <w:rPr>
          <w:spacing w:val="-3"/>
        </w:rPr>
        <w:t>ya </w:t>
      </w:r>
      <w:r>
        <w:rPr/>
        <w:t>que en las regiones NR, NO y PE</w:t>
      </w:r>
      <w:r>
        <w:rPr>
          <w:spacing w:val="-9"/>
        </w:rPr>
        <w:t> </w:t>
      </w:r>
      <w:r>
        <w:rPr/>
        <w:t>los</w:t>
      </w:r>
      <w:r>
        <w:rPr>
          <w:spacing w:val="-8"/>
        </w:rPr>
        <w:t> </w:t>
      </w:r>
      <w:r>
        <w:rPr/>
        <w:t>consumos</w:t>
      </w:r>
      <w:r>
        <w:rPr>
          <w:spacing w:val="44"/>
        </w:rPr>
        <w:t> </w:t>
      </w:r>
      <w:r>
        <w:rPr/>
        <w:t>disminuirían</w:t>
      </w:r>
      <w:r>
        <w:rPr>
          <w:spacing w:val="-6"/>
        </w:rPr>
        <w:t> </w:t>
      </w:r>
      <w:r>
        <w:rPr/>
        <w:t>y</w:t>
      </w:r>
      <w:r>
        <w:rPr>
          <w:spacing w:val="-11"/>
        </w:rPr>
        <w:t> </w:t>
      </w:r>
      <w:r>
        <w:rPr/>
        <w:t>en</w:t>
      </w:r>
      <w:r>
        <w:rPr>
          <w:spacing w:val="-9"/>
        </w:rPr>
        <w:t> </w:t>
      </w:r>
      <w:r>
        <w:rPr/>
        <w:t>el</w:t>
      </w:r>
      <w:r>
        <w:rPr>
          <w:spacing w:val="-8"/>
        </w:rPr>
        <w:t> </w:t>
      </w:r>
      <w:r>
        <w:rPr/>
        <w:t>resto</w:t>
      </w:r>
      <w:r>
        <w:rPr>
          <w:spacing w:val="-8"/>
        </w:rPr>
        <w:t> </w:t>
      </w:r>
      <w:r>
        <w:rPr/>
        <w:t>aumentarían,</w:t>
      </w:r>
      <w:r>
        <w:rPr>
          <w:spacing w:val="-9"/>
        </w:rPr>
        <w:t> </w:t>
      </w:r>
      <w:r>
        <w:rPr/>
        <w:t>destacando</w:t>
      </w:r>
      <w:r>
        <w:rPr>
          <w:spacing w:val="-9"/>
        </w:rPr>
        <w:t> </w:t>
      </w:r>
      <w:r>
        <w:rPr/>
        <w:t>OR,</w:t>
      </w:r>
      <w:r>
        <w:rPr>
          <w:spacing w:val="-8"/>
        </w:rPr>
        <w:t> </w:t>
      </w:r>
      <w:r>
        <w:rPr/>
        <w:t>CE</w:t>
      </w:r>
      <w:r>
        <w:rPr>
          <w:spacing w:val="-6"/>
        </w:rPr>
        <w:t> </w:t>
      </w:r>
      <w:r>
        <w:rPr/>
        <w:t>y</w:t>
      </w:r>
      <w:r>
        <w:rPr>
          <w:spacing w:val="-13"/>
        </w:rPr>
        <w:t> </w:t>
      </w:r>
      <w:r>
        <w:rPr/>
        <w:t>CO</w:t>
      </w:r>
      <w:r>
        <w:rPr>
          <w:spacing w:val="-7"/>
        </w:rPr>
        <w:t> </w:t>
      </w:r>
      <w:r>
        <w:rPr/>
        <w:t>con</w:t>
      </w:r>
      <w:r>
        <w:rPr>
          <w:spacing w:val="-9"/>
        </w:rPr>
        <w:t> </w:t>
      </w:r>
      <w:r>
        <w:rPr/>
        <w:t>111,</w:t>
      </w:r>
      <w:r>
        <w:rPr>
          <w:spacing w:val="-9"/>
        </w:rPr>
        <w:t> </w:t>
      </w:r>
      <w:r>
        <w:rPr/>
        <w:t>323 y</w:t>
      </w:r>
      <w:r>
        <w:rPr>
          <w:spacing w:val="-9"/>
        </w:rPr>
        <w:t> </w:t>
      </w:r>
      <w:r>
        <w:rPr/>
        <w:t>445</w:t>
      </w:r>
      <w:r>
        <w:rPr>
          <w:spacing w:val="-4"/>
        </w:rPr>
        <w:t> </w:t>
      </w:r>
      <w:r>
        <w:rPr/>
        <w:t>t.</w:t>
      </w:r>
      <w:r>
        <w:rPr>
          <w:spacing w:val="-6"/>
        </w:rPr>
        <w:t> </w:t>
      </w:r>
      <w:r>
        <w:rPr/>
        <w:t>El</w:t>
      </w:r>
      <w:r>
        <w:rPr>
          <w:spacing w:val="-4"/>
        </w:rPr>
        <w:t> </w:t>
      </w:r>
      <w:r>
        <w:rPr/>
        <w:t>VSN</w:t>
      </w:r>
      <w:r>
        <w:rPr>
          <w:spacing w:val="-6"/>
        </w:rPr>
        <w:t> </w:t>
      </w:r>
      <w:r>
        <w:rPr/>
        <w:t>se</w:t>
      </w:r>
      <w:r>
        <w:rPr>
          <w:spacing w:val="-4"/>
        </w:rPr>
        <w:t> </w:t>
      </w:r>
      <w:r>
        <w:rPr/>
        <w:t>incrementaría</w:t>
      </w:r>
      <w:r>
        <w:rPr>
          <w:spacing w:val="-5"/>
        </w:rPr>
        <w:t> </w:t>
      </w:r>
      <w:r>
        <w:rPr/>
        <w:t>en</w:t>
      </w:r>
      <w:r>
        <w:rPr>
          <w:spacing w:val="-6"/>
        </w:rPr>
        <w:t> </w:t>
      </w:r>
      <w:r>
        <w:rPr/>
        <w:t>234</w:t>
      </w:r>
      <w:r>
        <w:rPr>
          <w:spacing w:val="-4"/>
        </w:rPr>
        <w:t> </w:t>
      </w:r>
      <w:r>
        <w:rPr/>
        <w:t>millones</w:t>
      </w:r>
      <w:r>
        <w:rPr>
          <w:spacing w:val="-6"/>
        </w:rPr>
        <w:t> </w:t>
      </w:r>
      <w:r>
        <w:rPr/>
        <w:t>de</w:t>
      </w:r>
      <w:r>
        <w:rPr>
          <w:spacing w:val="-7"/>
        </w:rPr>
        <w:t> </w:t>
      </w:r>
      <w:r>
        <w:rPr/>
        <w:t>pesos,</w:t>
      </w:r>
      <w:r>
        <w:rPr>
          <w:spacing w:val="-6"/>
        </w:rPr>
        <w:t> </w:t>
      </w:r>
      <w:r>
        <w:rPr/>
        <w:t>una</w:t>
      </w:r>
      <w:r>
        <w:rPr>
          <w:spacing w:val="-5"/>
        </w:rPr>
        <w:t> </w:t>
      </w:r>
      <w:r>
        <w:rPr/>
        <w:t>cantidad</w:t>
      </w:r>
      <w:r>
        <w:rPr>
          <w:spacing w:val="-6"/>
        </w:rPr>
        <w:t> </w:t>
      </w:r>
      <w:r>
        <w:rPr/>
        <w:t>menor</w:t>
      </w:r>
      <w:r>
        <w:rPr>
          <w:spacing w:val="-5"/>
        </w:rPr>
        <w:t> </w:t>
      </w:r>
      <w:r>
        <w:rPr/>
        <w:t>a</w:t>
      </w:r>
      <w:r>
        <w:rPr>
          <w:spacing w:val="-7"/>
        </w:rPr>
        <w:t> </w:t>
      </w:r>
      <w:r>
        <w:rPr/>
        <w:t>la</w:t>
      </w:r>
      <w:r>
        <w:rPr>
          <w:spacing w:val="-5"/>
        </w:rPr>
        <w:t> </w:t>
      </w:r>
      <w:r>
        <w:rPr/>
        <w:t>del</w:t>
      </w:r>
      <w:r>
        <w:rPr>
          <w:spacing w:val="-6"/>
        </w:rPr>
        <w:t> </w:t>
      </w:r>
      <w:r>
        <w:rPr/>
        <w:t>segundo escenario, pero implica también un menor costo para su aplicación. Para el caso de los precios de la carne, existen variaciones mínimas a la alza y a la baja de forma regional donde la mayor es en la región CO con 40 centavos, y a nivel nacional la diferencia en el precio sería de 10 centavos lo que indica que no se afectaría a los consumidores de este</w:t>
      </w:r>
      <w:r>
        <w:rPr>
          <w:spacing w:val="-14"/>
        </w:rPr>
        <w:t> </w:t>
      </w:r>
      <w:r>
        <w:rPr/>
        <w:t>producto.</w:t>
      </w:r>
    </w:p>
    <w:p>
      <w:pPr>
        <w:pStyle w:val="BodyText"/>
        <w:spacing w:line="360" w:lineRule="auto" w:before="4"/>
        <w:ind w:left="118" w:right="266"/>
        <w:jc w:val="both"/>
      </w:pPr>
      <w:r>
        <w:rPr/>
        <w:t>El escenario 4 evaluó la aplicación simultánea de un arancel de 15% a carne importada y un subsidio de 100 pesos por cerdo enviado a rastro o sus equivalentes, para este caso, el modelo sugiere un incremento en la producción en todas las regiones destacando la PE, CE y OR con 624,</w:t>
      </w:r>
      <w:r>
        <w:rPr>
          <w:spacing w:val="-5"/>
        </w:rPr>
        <w:t> </w:t>
      </w:r>
      <w:r>
        <w:rPr/>
        <w:t>1,270 y</w:t>
      </w:r>
      <w:r>
        <w:rPr>
          <w:spacing w:val="-10"/>
        </w:rPr>
        <w:t> </w:t>
      </w:r>
      <w:r>
        <w:rPr/>
        <w:t>2813</w:t>
      </w:r>
      <w:r>
        <w:rPr>
          <w:spacing w:val="-5"/>
        </w:rPr>
        <w:t> </w:t>
      </w:r>
      <w:r>
        <w:rPr/>
        <w:t>t</w:t>
      </w:r>
      <w:r>
        <w:rPr>
          <w:spacing w:val="-2"/>
        </w:rPr>
        <w:t> </w:t>
      </w:r>
      <w:r>
        <w:rPr/>
        <w:t>cada</w:t>
      </w:r>
      <w:r>
        <w:rPr>
          <w:spacing w:val="-2"/>
        </w:rPr>
        <w:t> </w:t>
      </w:r>
      <w:r>
        <w:rPr/>
        <w:t>una.</w:t>
      </w:r>
      <w:r>
        <w:rPr>
          <w:spacing w:val="-5"/>
        </w:rPr>
        <w:t> </w:t>
      </w:r>
      <w:r>
        <w:rPr/>
        <w:t>También</w:t>
      </w:r>
      <w:r>
        <w:rPr>
          <w:spacing w:val="-5"/>
        </w:rPr>
        <w:t> </w:t>
      </w:r>
      <w:r>
        <w:rPr/>
        <w:t>se</w:t>
      </w:r>
      <w:r>
        <w:rPr>
          <w:spacing w:val="-6"/>
        </w:rPr>
        <w:t> </w:t>
      </w:r>
      <w:r>
        <w:rPr/>
        <w:t>sugiere</w:t>
      </w:r>
      <w:r>
        <w:rPr>
          <w:spacing w:val="-6"/>
        </w:rPr>
        <w:t> </w:t>
      </w:r>
      <w:r>
        <w:rPr/>
        <w:t>la</w:t>
      </w:r>
      <w:r>
        <w:rPr>
          <w:spacing w:val="-6"/>
        </w:rPr>
        <w:t> </w:t>
      </w:r>
      <w:r>
        <w:rPr/>
        <w:t>disminución</w:t>
      </w:r>
      <w:r>
        <w:rPr>
          <w:spacing w:val="-5"/>
        </w:rPr>
        <w:t> </w:t>
      </w:r>
      <w:r>
        <w:rPr/>
        <w:t>en</w:t>
      </w:r>
      <w:r>
        <w:rPr>
          <w:spacing w:val="-5"/>
        </w:rPr>
        <w:t> </w:t>
      </w:r>
      <w:r>
        <w:rPr/>
        <w:t>las</w:t>
      </w:r>
      <w:r>
        <w:rPr>
          <w:spacing w:val="-6"/>
        </w:rPr>
        <w:t> </w:t>
      </w:r>
      <w:r>
        <w:rPr/>
        <w:t>importaciones</w:t>
      </w:r>
      <w:r>
        <w:rPr>
          <w:spacing w:val="-6"/>
        </w:rPr>
        <w:t> </w:t>
      </w:r>
      <w:r>
        <w:rPr/>
        <w:t>de</w:t>
      </w:r>
      <w:r>
        <w:rPr>
          <w:spacing w:val="-6"/>
        </w:rPr>
        <w:t> </w:t>
      </w:r>
      <w:r>
        <w:rPr/>
        <w:t>13,516 t,</w:t>
      </w:r>
      <w:r>
        <w:rPr>
          <w:spacing w:val="-3"/>
        </w:rPr>
        <w:t> </w:t>
      </w:r>
      <w:r>
        <w:rPr/>
        <w:t>de</w:t>
      </w:r>
      <w:r>
        <w:rPr>
          <w:spacing w:val="-5"/>
        </w:rPr>
        <w:t> </w:t>
      </w:r>
      <w:r>
        <w:rPr/>
        <w:t>las</w:t>
      </w:r>
      <w:r>
        <w:rPr>
          <w:spacing w:val="-4"/>
        </w:rPr>
        <w:t> </w:t>
      </w:r>
      <w:r>
        <w:rPr/>
        <w:t>cuales</w:t>
      </w:r>
      <w:r>
        <w:rPr>
          <w:spacing w:val="-4"/>
        </w:rPr>
        <w:t> </w:t>
      </w:r>
      <w:r>
        <w:rPr/>
        <w:t>en</w:t>
      </w:r>
      <w:r>
        <w:rPr>
          <w:spacing w:val="-4"/>
        </w:rPr>
        <w:t> </w:t>
      </w:r>
      <w:r>
        <w:rPr/>
        <w:t>el</w:t>
      </w:r>
      <w:r>
        <w:rPr>
          <w:spacing w:val="-3"/>
        </w:rPr>
        <w:t> </w:t>
      </w:r>
      <w:r>
        <w:rPr/>
        <w:t>P.I.1</w:t>
      </w:r>
      <w:r>
        <w:rPr>
          <w:spacing w:val="-2"/>
        </w:rPr>
        <w:t> </w:t>
      </w:r>
      <w:r>
        <w:rPr/>
        <w:t>se</w:t>
      </w:r>
      <w:r>
        <w:rPr>
          <w:spacing w:val="-5"/>
        </w:rPr>
        <w:t> </w:t>
      </w:r>
      <w:r>
        <w:rPr/>
        <w:t>disminuirían</w:t>
      </w:r>
      <w:r>
        <w:rPr>
          <w:spacing w:val="-4"/>
        </w:rPr>
        <w:t> </w:t>
      </w:r>
      <w:r>
        <w:rPr/>
        <w:t>hasta</w:t>
      </w:r>
      <w:r>
        <w:rPr>
          <w:spacing w:val="-4"/>
        </w:rPr>
        <w:t> </w:t>
      </w:r>
      <w:r>
        <w:rPr/>
        <w:t>en</w:t>
      </w:r>
      <w:r>
        <w:rPr>
          <w:spacing w:val="-4"/>
        </w:rPr>
        <w:t> </w:t>
      </w:r>
      <w:r>
        <w:rPr/>
        <w:t>12,295</w:t>
      </w:r>
      <w:r>
        <w:rPr>
          <w:spacing w:val="-4"/>
        </w:rPr>
        <w:t> </w:t>
      </w:r>
      <w:r>
        <w:rPr/>
        <w:t>t</w:t>
      </w:r>
      <w:r>
        <w:rPr>
          <w:spacing w:val="-1"/>
        </w:rPr>
        <w:t> </w:t>
      </w:r>
      <w:r>
        <w:rPr/>
        <w:t>y</w:t>
      </w:r>
      <w:r>
        <w:rPr>
          <w:spacing w:val="-8"/>
        </w:rPr>
        <w:t> </w:t>
      </w:r>
      <w:r>
        <w:rPr/>
        <w:t>por</w:t>
      </w:r>
      <w:r>
        <w:rPr>
          <w:spacing w:val="-5"/>
        </w:rPr>
        <w:t> </w:t>
      </w:r>
      <w:r>
        <w:rPr/>
        <w:t>el</w:t>
      </w:r>
      <w:r>
        <w:rPr>
          <w:spacing w:val="-3"/>
        </w:rPr>
        <w:t> </w:t>
      </w:r>
      <w:r>
        <w:rPr/>
        <w:t>P.I.2</w:t>
      </w:r>
      <w:r>
        <w:rPr>
          <w:spacing w:val="-4"/>
        </w:rPr>
        <w:t> </w:t>
      </w:r>
      <w:r>
        <w:rPr/>
        <w:t>solamente</w:t>
      </w:r>
      <w:r>
        <w:rPr>
          <w:spacing w:val="-4"/>
        </w:rPr>
        <w:t> </w:t>
      </w:r>
      <w:r>
        <w:rPr/>
        <w:t>1,221</w:t>
      </w:r>
      <w:r>
        <w:rPr>
          <w:spacing w:val="-4"/>
        </w:rPr>
        <w:t> </w:t>
      </w:r>
      <w:r>
        <w:rPr/>
        <w:t>t.</w:t>
      </w:r>
      <w:r>
        <w:rPr>
          <w:spacing w:val="-3"/>
        </w:rPr>
        <w:t> </w:t>
      </w:r>
      <w:r>
        <w:rPr/>
        <w:t>Para el</w:t>
      </w:r>
      <w:r>
        <w:rPr>
          <w:spacing w:val="-14"/>
        </w:rPr>
        <w:t> </w:t>
      </w:r>
      <w:r>
        <w:rPr/>
        <w:t>consumo</w:t>
      </w:r>
      <w:r>
        <w:rPr>
          <w:spacing w:val="-15"/>
        </w:rPr>
        <w:t> </w:t>
      </w:r>
      <w:r>
        <w:rPr/>
        <w:t>se</w:t>
      </w:r>
      <w:r>
        <w:rPr>
          <w:spacing w:val="-16"/>
        </w:rPr>
        <w:t> </w:t>
      </w:r>
      <w:r>
        <w:rPr/>
        <w:t>sugiere</w:t>
      </w:r>
      <w:r>
        <w:rPr>
          <w:spacing w:val="-16"/>
        </w:rPr>
        <w:t> </w:t>
      </w:r>
      <w:r>
        <w:rPr/>
        <w:t>una</w:t>
      </w:r>
      <w:r>
        <w:rPr>
          <w:spacing w:val="-16"/>
        </w:rPr>
        <w:t> </w:t>
      </w:r>
      <w:r>
        <w:rPr/>
        <w:t>disminución</w:t>
      </w:r>
      <w:r>
        <w:rPr>
          <w:spacing w:val="-15"/>
        </w:rPr>
        <w:t> </w:t>
      </w:r>
      <w:r>
        <w:rPr/>
        <w:t>en</w:t>
      </w:r>
      <w:r>
        <w:rPr>
          <w:spacing w:val="-13"/>
        </w:rPr>
        <w:t> </w:t>
      </w:r>
      <w:r>
        <w:rPr/>
        <w:t>la</w:t>
      </w:r>
      <w:r>
        <w:rPr>
          <w:spacing w:val="-13"/>
        </w:rPr>
        <w:t> </w:t>
      </w:r>
      <w:r>
        <w:rPr/>
        <w:t>compra</w:t>
      </w:r>
      <w:r>
        <w:rPr>
          <w:spacing w:val="-17"/>
        </w:rPr>
        <w:t> </w:t>
      </w:r>
      <w:r>
        <w:rPr/>
        <w:t>de</w:t>
      </w:r>
      <w:r>
        <w:rPr>
          <w:spacing w:val="-16"/>
        </w:rPr>
        <w:t> </w:t>
      </w:r>
      <w:r>
        <w:rPr/>
        <w:t>este</w:t>
      </w:r>
      <w:r>
        <w:rPr>
          <w:spacing w:val="-16"/>
        </w:rPr>
        <w:t> </w:t>
      </w:r>
      <w:r>
        <w:rPr/>
        <w:t>producto</w:t>
      </w:r>
      <w:r>
        <w:rPr>
          <w:spacing w:val="-14"/>
        </w:rPr>
        <w:t> </w:t>
      </w:r>
      <w:r>
        <w:rPr/>
        <w:t>en</w:t>
      </w:r>
      <w:r>
        <w:rPr>
          <w:spacing w:val="-13"/>
        </w:rPr>
        <w:t> </w:t>
      </w:r>
      <w:r>
        <w:rPr/>
        <w:t>cada</w:t>
      </w:r>
      <w:r>
        <w:rPr>
          <w:spacing w:val="-16"/>
        </w:rPr>
        <w:t> </w:t>
      </w:r>
      <w:r>
        <w:rPr/>
        <w:t>una</w:t>
      </w:r>
      <w:r>
        <w:rPr>
          <w:spacing w:val="-14"/>
        </w:rPr>
        <w:t> </w:t>
      </w:r>
      <w:r>
        <w:rPr/>
        <w:t>de</w:t>
      </w:r>
      <w:r>
        <w:rPr>
          <w:spacing w:val="-14"/>
        </w:rPr>
        <w:t> </w:t>
      </w:r>
      <w:r>
        <w:rPr/>
        <w:t>las</w:t>
      </w:r>
      <w:r>
        <w:rPr>
          <w:spacing w:val="-13"/>
        </w:rPr>
        <w:t> </w:t>
      </w:r>
      <w:r>
        <w:rPr/>
        <w:t>regiones, afectando</w:t>
      </w:r>
      <w:r>
        <w:rPr>
          <w:spacing w:val="-16"/>
        </w:rPr>
        <w:t> </w:t>
      </w:r>
      <w:r>
        <w:rPr/>
        <w:t>al</w:t>
      </w:r>
      <w:r>
        <w:rPr>
          <w:spacing w:val="-13"/>
        </w:rPr>
        <w:t> </w:t>
      </w:r>
      <w:r>
        <w:rPr/>
        <w:t>consumidor</w:t>
      </w:r>
      <w:r>
        <w:rPr>
          <w:spacing w:val="-14"/>
        </w:rPr>
        <w:t> </w:t>
      </w:r>
      <w:r>
        <w:rPr/>
        <w:t>y</w:t>
      </w:r>
      <w:r>
        <w:rPr>
          <w:spacing w:val="-18"/>
        </w:rPr>
        <w:t> </w:t>
      </w:r>
      <w:r>
        <w:rPr/>
        <w:t>se</w:t>
      </w:r>
      <w:r>
        <w:rPr>
          <w:spacing w:val="-17"/>
        </w:rPr>
        <w:t> </w:t>
      </w:r>
      <w:r>
        <w:rPr/>
        <w:t>disminuiría</w:t>
      </w:r>
      <w:r>
        <w:rPr>
          <w:spacing w:val="-17"/>
        </w:rPr>
        <w:t> </w:t>
      </w:r>
      <w:r>
        <w:rPr/>
        <w:t>el</w:t>
      </w:r>
      <w:r>
        <w:rPr>
          <w:spacing w:val="-13"/>
        </w:rPr>
        <w:t> </w:t>
      </w:r>
      <w:r>
        <w:rPr/>
        <w:t>consumo</w:t>
      </w:r>
      <w:r>
        <w:rPr>
          <w:spacing w:val="-15"/>
        </w:rPr>
        <w:t> </w:t>
      </w:r>
      <w:r>
        <w:rPr/>
        <w:t>hasta</w:t>
      </w:r>
      <w:r>
        <w:rPr>
          <w:spacing w:val="-16"/>
        </w:rPr>
        <w:t> </w:t>
      </w:r>
      <w:r>
        <w:rPr/>
        <w:t>en</w:t>
      </w:r>
      <w:r>
        <w:rPr>
          <w:spacing w:val="-14"/>
        </w:rPr>
        <w:t> </w:t>
      </w:r>
      <w:r>
        <w:rPr/>
        <w:t>8,280</w:t>
      </w:r>
      <w:r>
        <w:rPr>
          <w:spacing w:val="-16"/>
        </w:rPr>
        <w:t> </w:t>
      </w:r>
      <w:r>
        <w:rPr/>
        <w:t>t.</w:t>
      </w:r>
      <w:r>
        <w:rPr>
          <w:spacing w:val="-13"/>
        </w:rPr>
        <w:t> </w:t>
      </w:r>
      <w:r>
        <w:rPr/>
        <w:t>Las</w:t>
      </w:r>
      <w:r>
        <w:rPr>
          <w:spacing w:val="-13"/>
        </w:rPr>
        <w:t> </w:t>
      </w:r>
      <w:r>
        <w:rPr/>
        <w:t>regiones</w:t>
      </w:r>
      <w:r>
        <w:rPr>
          <w:spacing w:val="-16"/>
        </w:rPr>
        <w:t> </w:t>
      </w:r>
      <w:r>
        <w:rPr/>
        <w:t>más</w:t>
      </w:r>
      <w:r>
        <w:rPr>
          <w:spacing w:val="-14"/>
        </w:rPr>
        <w:t> </w:t>
      </w:r>
      <w:r>
        <w:rPr/>
        <w:t>afectadas por esta la disminución en el consumo son: OR, CO y CE con 1,429, 1,615 y 3,508 t. respectivamente. También se disminuiría el VSN en 1,954 millones de pesos, una disminución menor</w:t>
      </w:r>
      <w:r>
        <w:rPr>
          <w:spacing w:val="-6"/>
        </w:rPr>
        <w:t> </w:t>
      </w:r>
      <w:r>
        <w:rPr/>
        <w:t>a</w:t>
      </w:r>
      <w:r>
        <w:rPr>
          <w:spacing w:val="-6"/>
        </w:rPr>
        <w:t> </w:t>
      </w:r>
      <w:r>
        <w:rPr/>
        <w:t>la</w:t>
      </w:r>
      <w:r>
        <w:rPr>
          <w:spacing w:val="-6"/>
        </w:rPr>
        <w:t> </w:t>
      </w:r>
      <w:r>
        <w:rPr/>
        <w:t>de</w:t>
      </w:r>
      <w:r>
        <w:rPr>
          <w:spacing w:val="-6"/>
        </w:rPr>
        <w:t> </w:t>
      </w:r>
      <w:r>
        <w:rPr/>
        <w:t>la</w:t>
      </w:r>
      <w:r>
        <w:rPr>
          <w:spacing w:val="-6"/>
        </w:rPr>
        <w:t> </w:t>
      </w:r>
      <w:r>
        <w:rPr/>
        <w:t>aplicación</w:t>
      </w:r>
      <w:r>
        <w:rPr>
          <w:spacing w:val="-5"/>
        </w:rPr>
        <w:t> </w:t>
      </w:r>
      <w:r>
        <w:rPr/>
        <w:t>de</w:t>
      </w:r>
      <w:r>
        <w:rPr>
          <w:spacing w:val="-6"/>
        </w:rPr>
        <w:t> </w:t>
      </w:r>
      <w:r>
        <w:rPr/>
        <w:t>un</w:t>
      </w:r>
      <w:r>
        <w:rPr>
          <w:spacing w:val="-5"/>
        </w:rPr>
        <w:t> </w:t>
      </w:r>
      <w:r>
        <w:rPr/>
        <w:t>arancel</w:t>
      </w:r>
      <w:r>
        <w:rPr>
          <w:spacing w:val="-5"/>
        </w:rPr>
        <w:t> </w:t>
      </w:r>
      <w:r>
        <w:rPr/>
        <w:t>en</w:t>
      </w:r>
      <w:r>
        <w:rPr>
          <w:spacing w:val="-3"/>
        </w:rPr>
        <w:t> </w:t>
      </w:r>
      <w:r>
        <w:rPr/>
        <w:t>15%</w:t>
      </w:r>
      <w:r>
        <w:rPr>
          <w:spacing w:val="-1"/>
        </w:rPr>
        <w:t> </w:t>
      </w:r>
      <w:r>
        <w:rPr/>
        <w:t>y</w:t>
      </w:r>
      <w:r>
        <w:rPr>
          <w:spacing w:val="-8"/>
        </w:rPr>
        <w:t> </w:t>
      </w:r>
      <w:r>
        <w:rPr/>
        <w:t>esto</w:t>
      </w:r>
      <w:r>
        <w:rPr>
          <w:spacing w:val="-5"/>
        </w:rPr>
        <w:t> </w:t>
      </w:r>
      <w:r>
        <w:rPr/>
        <w:t>se</w:t>
      </w:r>
      <w:r>
        <w:rPr>
          <w:spacing w:val="-6"/>
        </w:rPr>
        <w:t> </w:t>
      </w:r>
      <w:r>
        <w:rPr/>
        <w:t>justifica</w:t>
      </w:r>
      <w:r>
        <w:rPr>
          <w:spacing w:val="-6"/>
        </w:rPr>
        <w:t> </w:t>
      </w:r>
      <w:r>
        <w:rPr/>
        <w:t>por</w:t>
      </w:r>
      <w:r>
        <w:rPr>
          <w:spacing w:val="-6"/>
        </w:rPr>
        <w:t> </w:t>
      </w:r>
      <w:r>
        <w:rPr/>
        <w:t>el</w:t>
      </w:r>
      <w:r>
        <w:rPr>
          <w:spacing w:val="-5"/>
        </w:rPr>
        <w:t> </w:t>
      </w:r>
      <w:r>
        <w:rPr/>
        <w:t>subsidio</w:t>
      </w:r>
      <w:r>
        <w:rPr>
          <w:spacing w:val="-5"/>
        </w:rPr>
        <w:t> </w:t>
      </w:r>
      <w:r>
        <w:rPr/>
        <w:t>que</w:t>
      </w:r>
      <w:r>
        <w:rPr>
          <w:spacing w:val="-6"/>
        </w:rPr>
        <w:t> </w:t>
      </w:r>
      <w:r>
        <w:rPr/>
        <w:t>se</w:t>
      </w:r>
      <w:r>
        <w:rPr>
          <w:spacing w:val="-6"/>
        </w:rPr>
        <w:t> </w:t>
      </w:r>
      <w:r>
        <w:rPr/>
        <w:t>asigna. Sin embargo, se muestra la sensibilidad de este mercado a la aplicación de aranceles. Con respecto a los precios, se observa un incremento de $2.30 por cada kilo a nivel nacional. El kg de</w:t>
      </w:r>
      <w:r>
        <w:rPr>
          <w:spacing w:val="-11"/>
        </w:rPr>
        <w:t> </w:t>
      </w:r>
      <w:r>
        <w:rPr/>
        <w:t>carne</w:t>
      </w:r>
      <w:r>
        <w:rPr>
          <w:spacing w:val="-11"/>
        </w:rPr>
        <w:t> </w:t>
      </w:r>
      <w:r>
        <w:rPr/>
        <w:t>de</w:t>
      </w:r>
      <w:r>
        <w:rPr>
          <w:spacing w:val="-11"/>
        </w:rPr>
        <w:t> </w:t>
      </w:r>
      <w:r>
        <w:rPr/>
        <w:t>cerdo</w:t>
      </w:r>
      <w:r>
        <w:rPr>
          <w:spacing w:val="-10"/>
        </w:rPr>
        <w:t> </w:t>
      </w:r>
      <w:r>
        <w:rPr/>
        <w:t>importada</w:t>
      </w:r>
      <w:r>
        <w:rPr>
          <w:spacing w:val="-11"/>
        </w:rPr>
        <w:t> </w:t>
      </w:r>
      <w:r>
        <w:rPr/>
        <w:t>seria</w:t>
      </w:r>
      <w:r>
        <w:rPr>
          <w:spacing w:val="-11"/>
        </w:rPr>
        <w:t> </w:t>
      </w:r>
      <w:r>
        <w:rPr/>
        <w:t>con</w:t>
      </w:r>
      <w:r>
        <w:rPr>
          <w:spacing w:val="-10"/>
        </w:rPr>
        <w:t> </w:t>
      </w:r>
      <w:r>
        <w:rPr/>
        <w:t>el</w:t>
      </w:r>
      <w:r>
        <w:rPr>
          <w:spacing w:val="-9"/>
        </w:rPr>
        <w:t> </w:t>
      </w:r>
      <w:r>
        <w:rPr/>
        <w:t>arancel</w:t>
      </w:r>
      <w:r>
        <w:rPr>
          <w:spacing w:val="-9"/>
        </w:rPr>
        <w:t> </w:t>
      </w:r>
      <w:r>
        <w:rPr/>
        <w:t>de</w:t>
      </w:r>
      <w:r>
        <w:rPr>
          <w:spacing w:val="-11"/>
        </w:rPr>
        <w:t> </w:t>
      </w:r>
      <w:r>
        <w:rPr/>
        <w:t>$31.6</w:t>
      </w:r>
      <w:r>
        <w:rPr>
          <w:spacing w:val="42"/>
        </w:rPr>
        <w:t> </w:t>
      </w:r>
      <w:r>
        <w:rPr/>
        <w:t>mientras</w:t>
      </w:r>
      <w:r>
        <w:rPr>
          <w:spacing w:val="-9"/>
        </w:rPr>
        <w:t> </w:t>
      </w:r>
      <w:r>
        <w:rPr/>
        <w:t>que</w:t>
      </w:r>
      <w:r>
        <w:rPr>
          <w:spacing w:val="-11"/>
        </w:rPr>
        <w:t> </w:t>
      </w:r>
      <w:r>
        <w:rPr/>
        <w:t>en</w:t>
      </w:r>
      <w:r>
        <w:rPr>
          <w:spacing w:val="-12"/>
        </w:rPr>
        <w:t> </w:t>
      </w:r>
      <w:r>
        <w:rPr/>
        <w:t>la</w:t>
      </w:r>
      <w:r>
        <w:rPr>
          <w:spacing w:val="-11"/>
        </w:rPr>
        <w:t> </w:t>
      </w:r>
      <w:r>
        <w:rPr/>
        <w:t>PE</w:t>
      </w:r>
      <w:r>
        <w:rPr>
          <w:spacing w:val="-10"/>
        </w:rPr>
        <w:t> </w:t>
      </w:r>
      <w:r>
        <w:rPr/>
        <w:t>se</w:t>
      </w:r>
      <w:r>
        <w:rPr>
          <w:spacing w:val="-10"/>
        </w:rPr>
        <w:t> </w:t>
      </w:r>
      <w:r>
        <w:rPr/>
        <w:t>incrementaría</w:t>
      </w:r>
    </w:p>
    <w:p>
      <w:pPr>
        <w:pStyle w:val="BodyText"/>
        <w:spacing w:line="360" w:lineRule="auto" w:before="6"/>
        <w:ind w:left="118" w:right="269"/>
        <w:jc w:val="both"/>
      </w:pPr>
      <w:r>
        <w:rPr/>
        <w:t>$2.2</w:t>
      </w:r>
      <w:r>
        <w:rPr>
          <w:spacing w:val="-1"/>
        </w:rPr>
        <w:t> </w:t>
      </w:r>
      <w:r>
        <w:rPr/>
        <w:t>y</w:t>
      </w:r>
      <w:r>
        <w:rPr>
          <w:spacing w:val="-6"/>
        </w:rPr>
        <w:t> </w:t>
      </w:r>
      <w:r>
        <w:rPr/>
        <w:t>llegaría</w:t>
      </w:r>
      <w:r>
        <w:rPr>
          <w:spacing w:val="-5"/>
        </w:rPr>
        <w:t> </w:t>
      </w:r>
      <w:r>
        <w:rPr/>
        <w:t>a</w:t>
      </w:r>
      <w:r>
        <w:rPr>
          <w:spacing w:val="-3"/>
        </w:rPr>
        <w:t> </w:t>
      </w:r>
      <w:r>
        <w:rPr/>
        <w:t>ser</w:t>
      </w:r>
      <w:r>
        <w:rPr>
          <w:spacing w:val="-5"/>
        </w:rPr>
        <w:t> </w:t>
      </w:r>
      <w:r>
        <w:rPr/>
        <w:t>de</w:t>
      </w:r>
      <w:r>
        <w:rPr>
          <w:spacing w:val="-3"/>
        </w:rPr>
        <w:t> </w:t>
      </w:r>
      <w:r>
        <w:rPr/>
        <w:t>$49.4</w:t>
      </w:r>
      <w:r>
        <w:rPr>
          <w:spacing w:val="-4"/>
        </w:rPr>
        <w:t> </w:t>
      </w:r>
      <w:r>
        <w:rPr/>
        <w:t>por</w:t>
      </w:r>
      <w:r>
        <w:rPr>
          <w:spacing w:val="-5"/>
        </w:rPr>
        <w:t> </w:t>
      </w:r>
      <w:r>
        <w:rPr/>
        <w:t>kg</w:t>
      </w:r>
      <w:r>
        <w:rPr>
          <w:spacing w:val="-4"/>
        </w:rPr>
        <w:t> </w:t>
      </w:r>
      <w:r>
        <w:rPr/>
        <w:t>Otras</w:t>
      </w:r>
      <w:r>
        <w:rPr>
          <w:spacing w:val="-1"/>
        </w:rPr>
        <w:t> </w:t>
      </w:r>
      <w:r>
        <w:rPr/>
        <w:t>regiones</w:t>
      </w:r>
      <w:r>
        <w:rPr>
          <w:spacing w:val="-4"/>
        </w:rPr>
        <w:t> </w:t>
      </w:r>
      <w:r>
        <w:rPr/>
        <w:t>con</w:t>
      </w:r>
      <w:r>
        <w:rPr>
          <w:spacing w:val="-1"/>
        </w:rPr>
        <w:t> </w:t>
      </w:r>
      <w:r>
        <w:rPr/>
        <w:t>altos</w:t>
      </w:r>
      <w:r>
        <w:rPr>
          <w:spacing w:val="-4"/>
        </w:rPr>
        <w:t> </w:t>
      </w:r>
      <w:r>
        <w:rPr/>
        <w:t>incrementos</w:t>
      </w:r>
      <w:r>
        <w:rPr>
          <w:spacing w:val="-3"/>
        </w:rPr>
        <w:t> </w:t>
      </w:r>
      <w:r>
        <w:rPr/>
        <w:t>en</w:t>
      </w:r>
      <w:r>
        <w:rPr>
          <w:spacing w:val="-4"/>
        </w:rPr>
        <w:t> </w:t>
      </w:r>
      <w:r>
        <w:rPr/>
        <w:t>el</w:t>
      </w:r>
      <w:r>
        <w:rPr>
          <w:spacing w:val="-3"/>
        </w:rPr>
        <w:t> </w:t>
      </w:r>
      <w:r>
        <w:rPr/>
        <w:t>precio</w:t>
      </w:r>
      <w:r>
        <w:rPr>
          <w:spacing w:val="-3"/>
        </w:rPr>
        <w:t> </w:t>
      </w:r>
      <w:r>
        <w:rPr/>
        <w:t>serian</w:t>
      </w:r>
      <w:r>
        <w:rPr>
          <w:spacing w:val="-2"/>
        </w:rPr>
        <w:t> </w:t>
      </w:r>
      <w:r>
        <w:rPr/>
        <w:t>SU y</w:t>
      </w:r>
      <w:r>
        <w:rPr>
          <w:spacing w:val="-4"/>
        </w:rPr>
        <w:t> </w:t>
      </w:r>
      <w:r>
        <w:rPr/>
        <w:t>NR.</w:t>
      </w:r>
    </w:p>
    <w:p>
      <w:pPr>
        <w:pStyle w:val="BodyText"/>
        <w:spacing w:line="360" w:lineRule="auto" w:before="6"/>
        <w:ind w:left="118" w:right="267"/>
        <w:jc w:val="both"/>
      </w:pPr>
      <w:r>
        <w:rPr/>
        <w:t>En</w:t>
      </w:r>
      <w:r>
        <w:rPr>
          <w:spacing w:val="-14"/>
        </w:rPr>
        <w:t> </w:t>
      </w:r>
      <w:r>
        <w:rPr/>
        <w:t>el</w:t>
      </w:r>
      <w:r>
        <w:rPr>
          <w:spacing w:val="-13"/>
        </w:rPr>
        <w:t> </w:t>
      </w:r>
      <w:r>
        <w:rPr/>
        <w:t>escenario</w:t>
      </w:r>
      <w:r>
        <w:rPr>
          <w:spacing w:val="-11"/>
        </w:rPr>
        <w:t> </w:t>
      </w:r>
      <w:r>
        <w:rPr/>
        <w:t>cinco,</w:t>
      </w:r>
      <w:r>
        <w:rPr>
          <w:spacing w:val="34"/>
        </w:rPr>
        <w:t> </w:t>
      </w:r>
      <w:r>
        <w:rPr/>
        <w:t>se</w:t>
      </w:r>
      <w:r>
        <w:rPr>
          <w:spacing w:val="-12"/>
        </w:rPr>
        <w:t> </w:t>
      </w:r>
      <w:r>
        <w:rPr/>
        <w:t>evaluó</w:t>
      </w:r>
      <w:r>
        <w:rPr>
          <w:spacing w:val="-13"/>
        </w:rPr>
        <w:t> </w:t>
      </w:r>
      <w:r>
        <w:rPr/>
        <w:t>la</w:t>
      </w:r>
      <w:r>
        <w:rPr>
          <w:spacing w:val="-14"/>
        </w:rPr>
        <w:t> </w:t>
      </w:r>
      <w:r>
        <w:rPr/>
        <w:t>aplicación</w:t>
      </w:r>
      <w:r>
        <w:rPr>
          <w:spacing w:val="-13"/>
        </w:rPr>
        <w:t> </w:t>
      </w:r>
      <w:r>
        <w:rPr/>
        <w:t>simultánea</w:t>
      </w:r>
      <w:r>
        <w:rPr>
          <w:spacing w:val="-14"/>
        </w:rPr>
        <w:t> </w:t>
      </w:r>
      <w:r>
        <w:rPr/>
        <w:t>de</w:t>
      </w:r>
      <w:r>
        <w:rPr>
          <w:spacing w:val="-14"/>
        </w:rPr>
        <w:t> </w:t>
      </w:r>
      <w:r>
        <w:rPr/>
        <w:t>un</w:t>
      </w:r>
      <w:r>
        <w:rPr>
          <w:spacing w:val="-11"/>
        </w:rPr>
        <w:t> </w:t>
      </w:r>
      <w:r>
        <w:rPr/>
        <w:t>arancel</w:t>
      </w:r>
      <w:r>
        <w:rPr>
          <w:spacing w:val="-13"/>
        </w:rPr>
        <w:t> </w:t>
      </w:r>
      <w:r>
        <w:rPr/>
        <w:t>de</w:t>
      </w:r>
      <w:r>
        <w:rPr>
          <w:spacing w:val="-14"/>
        </w:rPr>
        <w:t> </w:t>
      </w:r>
      <w:r>
        <w:rPr/>
        <w:t>15%</w:t>
      </w:r>
      <w:r>
        <w:rPr>
          <w:spacing w:val="-14"/>
        </w:rPr>
        <w:t> </w:t>
      </w:r>
      <w:r>
        <w:rPr/>
        <w:t>a</w:t>
      </w:r>
      <w:r>
        <w:rPr>
          <w:spacing w:val="-14"/>
        </w:rPr>
        <w:t> </w:t>
      </w:r>
      <w:r>
        <w:rPr/>
        <w:t>carne</w:t>
      </w:r>
      <w:r>
        <w:rPr>
          <w:spacing w:val="-14"/>
        </w:rPr>
        <w:t> </w:t>
      </w:r>
      <w:r>
        <w:rPr/>
        <w:t>importada y un subsidio de 200 pesos por cada hembra en inventario o sus equivalentes para este</w:t>
      </w:r>
      <w:r>
        <w:rPr>
          <w:spacing w:val="-39"/>
        </w:rPr>
        <w:t> </w:t>
      </w:r>
      <w:r>
        <w:rPr/>
        <w:t>escenario el modelo sugiere un incremento en la producción de 3,591 t Este incremento es menor al del escenario cuatro en 1,645 t. Ello puede ser por que se apoya en menor cantidad al productor</w:t>
      </w:r>
      <w:r>
        <w:rPr>
          <w:spacing w:val="-18"/>
        </w:rPr>
        <w:t> </w:t>
      </w:r>
      <w:r>
        <w:rPr/>
        <w:t>con el subsidio; por lo que de manera regional, se incrementaría la producción en todas las</w:t>
      </w:r>
      <w:r>
        <w:rPr>
          <w:spacing w:val="-20"/>
        </w:rPr>
        <w:t> </w:t>
      </w:r>
      <w:r>
        <w:rPr/>
        <w:t>regiones, destacando con un mayor incremento la zona PE con 455 t, CE con 835 t y OR con 1,949</w:t>
      </w:r>
      <w:r>
        <w:rPr>
          <w:spacing w:val="-11"/>
        </w:rPr>
        <w:t> </w:t>
      </w:r>
      <w:r>
        <w:rPr/>
        <w:t>t.</w:t>
      </w:r>
    </w:p>
    <w:p>
      <w:pPr>
        <w:pStyle w:val="BodyText"/>
        <w:spacing w:line="360" w:lineRule="auto" w:before="205"/>
        <w:ind w:left="118" w:right="270"/>
        <w:jc w:val="both"/>
      </w:pPr>
      <w:r>
        <w:rPr/>
        <w:t>Las</w:t>
      </w:r>
      <w:r>
        <w:rPr>
          <w:spacing w:val="-9"/>
        </w:rPr>
        <w:t> </w:t>
      </w:r>
      <w:r>
        <w:rPr/>
        <w:t>importaciones</w:t>
      </w:r>
      <w:r>
        <w:rPr>
          <w:spacing w:val="-9"/>
        </w:rPr>
        <w:t> </w:t>
      </w:r>
      <w:r>
        <w:rPr/>
        <w:t>nacionales</w:t>
      </w:r>
      <w:r>
        <w:rPr>
          <w:spacing w:val="-11"/>
        </w:rPr>
        <w:t> </w:t>
      </w:r>
      <w:r>
        <w:rPr/>
        <w:t>disminuirían</w:t>
      </w:r>
      <w:r>
        <w:rPr>
          <w:spacing w:val="39"/>
        </w:rPr>
        <w:t> </w:t>
      </w:r>
      <w:r>
        <w:rPr/>
        <w:t>de</w:t>
      </w:r>
      <w:r>
        <w:rPr>
          <w:spacing w:val="-10"/>
        </w:rPr>
        <w:t> </w:t>
      </w:r>
      <w:r>
        <w:rPr/>
        <w:t>forma</w:t>
      </w:r>
      <w:r>
        <w:rPr>
          <w:spacing w:val="-12"/>
        </w:rPr>
        <w:t> </w:t>
      </w:r>
      <w:r>
        <w:rPr/>
        <w:t>similar</w:t>
      </w:r>
      <w:r>
        <w:rPr>
          <w:spacing w:val="-12"/>
        </w:rPr>
        <w:t> </w:t>
      </w:r>
      <w:r>
        <w:rPr/>
        <w:t>al</w:t>
      </w:r>
      <w:r>
        <w:rPr>
          <w:spacing w:val="-11"/>
        </w:rPr>
        <w:t> </w:t>
      </w:r>
      <w:r>
        <w:rPr/>
        <w:t>escenario</w:t>
      </w:r>
      <w:r>
        <w:rPr>
          <w:spacing w:val="-11"/>
        </w:rPr>
        <w:t> </w:t>
      </w:r>
      <w:r>
        <w:rPr/>
        <w:t>cuatro,</w:t>
      </w:r>
      <w:r>
        <w:rPr>
          <w:spacing w:val="-7"/>
        </w:rPr>
        <w:t> </w:t>
      </w:r>
      <w:r>
        <w:rPr>
          <w:spacing w:val="-3"/>
        </w:rPr>
        <w:t>ya</w:t>
      </w:r>
      <w:r>
        <w:rPr>
          <w:spacing w:val="-12"/>
        </w:rPr>
        <w:t> </w:t>
      </w:r>
      <w:r>
        <w:rPr/>
        <w:t>que</w:t>
      </w:r>
      <w:r>
        <w:rPr>
          <w:spacing w:val="-12"/>
        </w:rPr>
        <w:t> </w:t>
      </w:r>
      <w:r>
        <w:rPr/>
        <w:t>para</w:t>
      </w:r>
      <w:r>
        <w:rPr>
          <w:spacing w:val="-11"/>
        </w:rPr>
        <w:t> </w:t>
      </w:r>
      <w:r>
        <w:rPr/>
        <w:t>este caso el modelo sugiere disminuir 12,577 t, mientras que en el P.I.1 se deberían disminuir hasta en 11,305 t y en el P.I.2 sólo 1,272 t. Para el consumo el comportamiento de este escenario </w:t>
      </w:r>
      <w:r>
        <w:rPr>
          <w:spacing w:val="30"/>
        </w:rPr>
        <w:t> </w:t>
      </w:r>
      <w:r>
        <w:rPr/>
        <w:t>fue</w:t>
      </w:r>
    </w:p>
    <w:p>
      <w:pPr>
        <w:spacing w:after="0" w:line="360" w:lineRule="auto"/>
        <w:jc w:val="both"/>
        <w:sectPr>
          <w:pgSz w:w="12240" w:h="15840"/>
          <w:pgMar w:header="984" w:footer="986" w:top="1280" w:bottom="1180" w:left="1300" w:right="1340"/>
        </w:sectPr>
      </w:pPr>
    </w:p>
    <w:p>
      <w:pPr>
        <w:pStyle w:val="BodyText"/>
        <w:spacing w:line="360" w:lineRule="auto" w:before="125"/>
        <w:ind w:left="118" w:right="263"/>
        <w:jc w:val="both"/>
      </w:pPr>
      <w:r>
        <w:rPr/>
        <w:t>similar</w:t>
      </w:r>
      <w:r>
        <w:rPr>
          <w:spacing w:val="-12"/>
        </w:rPr>
        <w:t> </w:t>
      </w:r>
      <w:r>
        <w:rPr/>
        <w:t>a</w:t>
      </w:r>
      <w:r>
        <w:rPr>
          <w:spacing w:val="-12"/>
        </w:rPr>
        <w:t> </w:t>
      </w:r>
      <w:r>
        <w:rPr/>
        <w:t>los</w:t>
      </w:r>
      <w:r>
        <w:rPr>
          <w:spacing w:val="-10"/>
        </w:rPr>
        <w:t> </w:t>
      </w:r>
      <w:r>
        <w:rPr/>
        <w:t>efectos</w:t>
      </w:r>
      <w:r>
        <w:rPr>
          <w:spacing w:val="-10"/>
        </w:rPr>
        <w:t> </w:t>
      </w:r>
      <w:r>
        <w:rPr/>
        <w:t>producidos</w:t>
      </w:r>
      <w:r>
        <w:rPr>
          <w:spacing w:val="-10"/>
        </w:rPr>
        <w:t> </w:t>
      </w:r>
      <w:r>
        <w:rPr/>
        <w:t>en</w:t>
      </w:r>
      <w:r>
        <w:rPr>
          <w:spacing w:val="-11"/>
        </w:rPr>
        <w:t> </w:t>
      </w:r>
      <w:r>
        <w:rPr/>
        <w:t>el</w:t>
      </w:r>
      <w:r>
        <w:rPr>
          <w:spacing w:val="-11"/>
        </w:rPr>
        <w:t> </w:t>
      </w:r>
      <w:r>
        <w:rPr/>
        <w:t>escenario</w:t>
      </w:r>
      <w:r>
        <w:rPr>
          <w:spacing w:val="-9"/>
        </w:rPr>
        <w:t> </w:t>
      </w:r>
      <w:r>
        <w:rPr/>
        <w:t>cuatro,</w:t>
      </w:r>
      <w:r>
        <w:rPr>
          <w:spacing w:val="-9"/>
        </w:rPr>
        <w:t> </w:t>
      </w:r>
      <w:r>
        <w:rPr>
          <w:spacing w:val="-3"/>
        </w:rPr>
        <w:t>ya</w:t>
      </w:r>
      <w:r>
        <w:rPr>
          <w:spacing w:val="-10"/>
        </w:rPr>
        <w:t> </w:t>
      </w:r>
      <w:r>
        <w:rPr/>
        <w:t>que</w:t>
      </w:r>
      <w:r>
        <w:rPr>
          <w:spacing w:val="-10"/>
        </w:rPr>
        <w:t> </w:t>
      </w:r>
      <w:r>
        <w:rPr/>
        <w:t>el</w:t>
      </w:r>
      <w:r>
        <w:rPr>
          <w:spacing w:val="-11"/>
        </w:rPr>
        <w:t> </w:t>
      </w:r>
      <w:r>
        <w:rPr/>
        <w:t>modelo</w:t>
      </w:r>
      <w:r>
        <w:rPr>
          <w:spacing w:val="-11"/>
        </w:rPr>
        <w:t> </w:t>
      </w:r>
      <w:r>
        <w:rPr/>
        <w:t>sugiere</w:t>
      </w:r>
      <w:r>
        <w:rPr>
          <w:spacing w:val="-12"/>
        </w:rPr>
        <w:t> </w:t>
      </w:r>
      <w:r>
        <w:rPr/>
        <w:t>una</w:t>
      </w:r>
      <w:r>
        <w:rPr>
          <w:spacing w:val="-12"/>
        </w:rPr>
        <w:t> </w:t>
      </w:r>
      <w:r>
        <w:rPr/>
        <w:t>disminución en el consumo de carne de cerdo en cada una de las regiones, y las zonas más afectadas OR,</w:t>
      </w:r>
      <w:r>
        <w:rPr>
          <w:spacing w:val="-24"/>
        </w:rPr>
        <w:t> </w:t>
      </w:r>
      <w:r>
        <w:rPr/>
        <w:t>CO y CE con 1,516, 1,896 y 3,797 t cada región,. Se disminuiría el consumo de forma nacional en 8,986 t. Para el VSN se observa una disminución de 3,293 millones de pesos anuales, lo que indica una disminución en los beneficios económicos en la sociedad por el comercio de este producto, y que es más sensible el efecto del arancel que el del subsidio, ya que si se afecta la demanda se perjudica directamente al consumidor. Este efecto se observa por el incremento en los precios, pues a nivel nacional se incrementaría hasta en 2.4 $/kg; mientras que las regiones más afectadas serian PE, SU, NR y NE  con aumentos de 2.4, 2.1 $2.1</w:t>
      </w:r>
      <w:r>
        <w:rPr>
          <w:spacing w:val="-11"/>
        </w:rPr>
        <w:t> </w:t>
      </w:r>
      <w:r>
        <w:rPr/>
        <w:t>$2.0.</w:t>
      </w:r>
    </w:p>
    <w:p>
      <w:pPr>
        <w:pStyle w:val="BodyText"/>
        <w:spacing w:line="360" w:lineRule="auto" w:before="4"/>
        <w:ind w:left="118" w:right="268"/>
        <w:jc w:val="both"/>
      </w:pPr>
      <w:r>
        <w:rPr/>
        <w:t>La aplicación del subsidio de $100 pesos a cada cerdo enviado a rastro a nivel nacional, le generaría un costo al Gobierno de 1,530 millones de pesos y en esa misma cantidad se incrementaría</w:t>
      </w:r>
      <w:r>
        <w:rPr>
          <w:spacing w:val="-5"/>
        </w:rPr>
        <w:t> </w:t>
      </w:r>
      <w:r>
        <w:rPr/>
        <w:t>el</w:t>
      </w:r>
      <w:r>
        <w:rPr>
          <w:spacing w:val="-3"/>
        </w:rPr>
        <w:t> </w:t>
      </w:r>
      <w:r>
        <w:rPr/>
        <w:t>VSN,</w:t>
      </w:r>
      <w:r>
        <w:rPr>
          <w:spacing w:val="-4"/>
        </w:rPr>
        <w:t> </w:t>
      </w:r>
      <w:r>
        <w:rPr/>
        <w:t>mientras</w:t>
      </w:r>
      <w:r>
        <w:rPr>
          <w:spacing w:val="-4"/>
        </w:rPr>
        <w:t> </w:t>
      </w:r>
      <w:r>
        <w:rPr/>
        <w:t>que</w:t>
      </w:r>
      <w:r>
        <w:rPr>
          <w:spacing w:val="-5"/>
        </w:rPr>
        <w:t> </w:t>
      </w:r>
      <w:r>
        <w:rPr/>
        <w:t>para</w:t>
      </w:r>
      <w:r>
        <w:rPr>
          <w:spacing w:val="-5"/>
        </w:rPr>
        <w:t> </w:t>
      </w:r>
      <w:r>
        <w:rPr/>
        <w:t>el</w:t>
      </w:r>
      <w:r>
        <w:rPr>
          <w:spacing w:val="-3"/>
        </w:rPr>
        <w:t> </w:t>
      </w:r>
      <w:r>
        <w:rPr/>
        <w:t>subsidio</w:t>
      </w:r>
      <w:r>
        <w:rPr>
          <w:spacing w:val="-3"/>
        </w:rPr>
        <w:t> </w:t>
      </w:r>
      <w:r>
        <w:rPr/>
        <w:t>de</w:t>
      </w:r>
      <w:r>
        <w:rPr>
          <w:spacing w:val="-5"/>
        </w:rPr>
        <w:t> </w:t>
      </w:r>
      <w:r>
        <w:rPr/>
        <w:t>$200</w:t>
      </w:r>
      <w:r>
        <w:rPr>
          <w:spacing w:val="-4"/>
        </w:rPr>
        <w:t> </w:t>
      </w:r>
      <w:r>
        <w:rPr/>
        <w:t>pesos</w:t>
      </w:r>
      <w:r>
        <w:rPr>
          <w:spacing w:val="-3"/>
        </w:rPr>
        <w:t> </w:t>
      </w:r>
      <w:r>
        <w:rPr/>
        <w:t>a</w:t>
      </w:r>
      <w:r>
        <w:rPr>
          <w:spacing w:val="-5"/>
        </w:rPr>
        <w:t> </w:t>
      </w:r>
      <w:r>
        <w:rPr/>
        <w:t>cada</w:t>
      </w:r>
      <w:r>
        <w:rPr>
          <w:spacing w:val="-5"/>
        </w:rPr>
        <w:t> </w:t>
      </w:r>
      <w:r>
        <w:rPr/>
        <w:t>hembra</w:t>
      </w:r>
      <w:r>
        <w:rPr>
          <w:spacing w:val="-5"/>
        </w:rPr>
        <w:t> </w:t>
      </w:r>
      <w:r>
        <w:rPr/>
        <w:t>en</w:t>
      </w:r>
      <w:r>
        <w:rPr>
          <w:spacing w:val="-4"/>
        </w:rPr>
        <w:t> </w:t>
      </w:r>
      <w:r>
        <w:rPr/>
        <w:t>inventario, le generaría al Gobierno un costo de 204 millones de pesos y un incremento en el VSN</w:t>
      </w:r>
      <w:r>
        <w:rPr>
          <w:spacing w:val="-21"/>
        </w:rPr>
        <w:t> </w:t>
      </w:r>
      <w:r>
        <w:rPr/>
        <w:t>nacional de 234, lo que representa un incremento de 30 millones en el VSN y una menor inversión en su aplicación.</w:t>
      </w:r>
    </w:p>
    <w:p>
      <w:pPr>
        <w:pStyle w:val="BodyText"/>
        <w:spacing w:line="357" w:lineRule="auto" w:before="4"/>
        <w:ind w:left="118" w:right="265"/>
        <w:jc w:val="both"/>
      </w:pPr>
      <w:r>
        <w:rPr/>
        <w:t>Los aranceles incrementan el costo del producto para consumidores y reducen su consumo, aunque fortalecen a la producción nacional beneficiando a productores internos en regiones con mayor dinámica en la producción y además representan un ingreso adicional al gobierno por la aplicación de la política. Datos similares reportó Gómez </w:t>
      </w:r>
      <w:r>
        <w:rPr>
          <w:i/>
        </w:rPr>
        <w:t>et al</w:t>
      </w:r>
      <w:r>
        <w:rPr>
          <w:position w:val="9"/>
          <w:sz w:val="16"/>
        </w:rPr>
        <w:t>(20) </w:t>
      </w:r>
      <w:r>
        <w:rPr/>
        <w:t>en el 2010, ellos calcularon el efecto de la aplicación de aranceles sobre variables como producción y precio de la carne en México,</w:t>
      </w:r>
      <w:r>
        <w:rPr>
          <w:spacing w:val="-16"/>
        </w:rPr>
        <w:t> </w:t>
      </w:r>
      <w:r>
        <w:rPr/>
        <w:t>utilizaron</w:t>
      </w:r>
      <w:r>
        <w:rPr>
          <w:spacing w:val="-17"/>
        </w:rPr>
        <w:t> </w:t>
      </w:r>
      <w:r>
        <w:rPr/>
        <w:t>un</w:t>
      </w:r>
      <w:r>
        <w:rPr>
          <w:spacing w:val="-16"/>
        </w:rPr>
        <w:t> </w:t>
      </w:r>
      <w:r>
        <w:rPr/>
        <w:t>modelo</w:t>
      </w:r>
      <w:r>
        <w:rPr>
          <w:spacing w:val="-15"/>
        </w:rPr>
        <w:t> </w:t>
      </w:r>
      <w:r>
        <w:rPr/>
        <w:t>espacial</w:t>
      </w:r>
      <w:r>
        <w:rPr>
          <w:spacing w:val="-16"/>
        </w:rPr>
        <w:t> </w:t>
      </w:r>
      <w:r>
        <w:rPr/>
        <w:t>Armington</w:t>
      </w:r>
      <w:r>
        <w:rPr>
          <w:spacing w:val="-14"/>
        </w:rPr>
        <w:t> </w:t>
      </w:r>
      <w:r>
        <w:rPr/>
        <w:t>y</w:t>
      </w:r>
      <w:r>
        <w:rPr>
          <w:spacing w:val="-18"/>
        </w:rPr>
        <w:t> </w:t>
      </w:r>
      <w:r>
        <w:rPr/>
        <w:t>no</w:t>
      </w:r>
      <w:r>
        <w:rPr>
          <w:spacing w:val="-16"/>
        </w:rPr>
        <w:t> </w:t>
      </w:r>
      <w:r>
        <w:rPr/>
        <w:t>un</w:t>
      </w:r>
      <w:r>
        <w:rPr>
          <w:spacing w:val="-16"/>
        </w:rPr>
        <w:t> </w:t>
      </w:r>
      <w:r>
        <w:rPr/>
        <w:t>modelo</w:t>
      </w:r>
      <w:r>
        <w:rPr>
          <w:spacing w:val="-16"/>
        </w:rPr>
        <w:t> </w:t>
      </w:r>
      <w:r>
        <w:rPr/>
        <w:t>de</w:t>
      </w:r>
      <w:r>
        <w:rPr>
          <w:spacing w:val="-17"/>
        </w:rPr>
        <w:t> </w:t>
      </w:r>
      <w:r>
        <w:rPr/>
        <w:t>optimización,</w:t>
      </w:r>
      <w:r>
        <w:rPr>
          <w:spacing w:val="-14"/>
        </w:rPr>
        <w:t> </w:t>
      </w:r>
      <w:r>
        <w:rPr/>
        <w:t>y</w:t>
      </w:r>
      <w:r>
        <w:rPr>
          <w:spacing w:val="-21"/>
        </w:rPr>
        <w:t> </w:t>
      </w:r>
      <w:r>
        <w:rPr/>
        <w:t>encontraron que la aplicación de un 20% de arancel a las importaciones provenientes de Estados Unidos y Canadá, traería como consecuencia un incremento tanto en la producción nacional, como del precio</w:t>
      </w:r>
      <w:r>
        <w:rPr>
          <w:spacing w:val="-5"/>
        </w:rPr>
        <w:t> </w:t>
      </w:r>
      <w:r>
        <w:rPr/>
        <w:t>interno.</w:t>
      </w:r>
    </w:p>
    <w:p>
      <w:pPr>
        <w:pStyle w:val="BodyText"/>
        <w:spacing w:line="360" w:lineRule="auto" w:before="6"/>
        <w:ind w:left="118" w:right="267"/>
        <w:jc w:val="both"/>
      </w:pPr>
      <w:r>
        <w:rPr/>
        <w:t>Para el caso de los subsidios se incrementan los valores de producción y consumo, los precios prácticamente no cambian, lo cual genera un beneficio al productor y al consumidor debido a que se incrementa el VSN, sin embargo su aplicación representa un gasto para el gobierno. El subsidio que mayor beneficio económico generaría es el de 200 pesos por cerda en inventario porque el VSN aumenta en mayor medida que el costo de su implementación el cual es menor que los otros subsidios.</w:t>
      </w:r>
    </w:p>
    <w:p>
      <w:pPr>
        <w:spacing w:after="0" w:line="360" w:lineRule="auto"/>
        <w:jc w:val="both"/>
        <w:sectPr>
          <w:pgSz w:w="12240" w:h="15840"/>
          <w:pgMar w:header="984" w:footer="986" w:top="1280" w:bottom="1180" w:left="1300" w:right="1340"/>
        </w:sectPr>
      </w:pPr>
    </w:p>
    <w:p>
      <w:pPr>
        <w:pStyle w:val="Heading4"/>
        <w:jc w:val="both"/>
      </w:pPr>
      <w:r>
        <w:rPr/>
        <w:t>CONCLUSIONES</w:t>
      </w:r>
    </w:p>
    <w:p>
      <w:pPr>
        <w:pStyle w:val="BodyText"/>
        <w:spacing w:line="360" w:lineRule="auto" w:before="132"/>
        <w:ind w:left="118" w:right="266"/>
        <w:jc w:val="both"/>
      </w:pPr>
      <w:r>
        <w:rPr/>
        <w:t>Las políticas económicas como lo son los aranceles y los subsidios, funcionan como medida de protección a la producción nacional, pero actúan de forma diferente, ya que los aranceles incrementan el costo del producto para consumidores y reducen su consumo, fortalecen la producción nacional beneficiando a los productores en regiones con mayor dinámica, además representan un ingreso adicional al gobierno por la aplicación de la política, mientras que los subsidios incrementan producción, importación y consumo nacional, protegen la producción nacional pero su aplicación le genera un gasto al gobierno.</w:t>
      </w:r>
    </w:p>
    <w:p>
      <w:pPr>
        <w:pStyle w:val="BodyText"/>
        <w:spacing w:line="360" w:lineRule="auto" w:before="7"/>
        <w:ind w:left="118" w:right="267"/>
        <w:jc w:val="both"/>
      </w:pPr>
      <w:r>
        <w:rPr/>
        <w:t>Finalmente, la producción porcicola en México, es sensible a la aplicación de políticas económicas, por lo que estos resultados se convierten en una herramienta económica útil a los productores nacionales con el propósito de hacer peticiones de protección de su actividad económica, así como a los</w:t>
      </w:r>
    </w:p>
    <w:p>
      <w:pPr>
        <w:pStyle w:val="BodyText"/>
      </w:pPr>
    </w:p>
    <w:p>
      <w:pPr>
        <w:pStyle w:val="Heading4"/>
        <w:spacing w:before="148"/>
        <w:jc w:val="both"/>
      </w:pPr>
      <w:r>
        <w:rPr/>
        <w:t>AGRADECIMIENTOS</w:t>
      </w:r>
    </w:p>
    <w:p>
      <w:pPr>
        <w:pStyle w:val="BodyText"/>
        <w:spacing w:line="360" w:lineRule="auto" w:before="134"/>
        <w:ind w:left="118" w:right="272"/>
        <w:jc w:val="both"/>
      </w:pPr>
      <w:r>
        <w:rPr/>
        <w:t>El</w:t>
      </w:r>
      <w:r>
        <w:rPr>
          <w:spacing w:val="-13"/>
        </w:rPr>
        <w:t> </w:t>
      </w:r>
      <w:r>
        <w:rPr/>
        <w:t>primer</w:t>
      </w:r>
      <w:r>
        <w:rPr>
          <w:spacing w:val="-14"/>
        </w:rPr>
        <w:t> </w:t>
      </w:r>
      <w:r>
        <w:rPr/>
        <w:t>autor,</w:t>
      </w:r>
      <w:r>
        <w:rPr>
          <w:spacing w:val="-12"/>
        </w:rPr>
        <w:t> </w:t>
      </w:r>
      <w:r>
        <w:rPr/>
        <w:t>agradece</w:t>
      </w:r>
      <w:r>
        <w:rPr>
          <w:spacing w:val="-12"/>
        </w:rPr>
        <w:t> </w:t>
      </w:r>
      <w:r>
        <w:rPr/>
        <w:t>al</w:t>
      </w:r>
      <w:r>
        <w:rPr>
          <w:spacing w:val="-13"/>
        </w:rPr>
        <w:t> </w:t>
      </w:r>
      <w:r>
        <w:rPr/>
        <w:t>CONACyT</w:t>
      </w:r>
      <w:r>
        <w:rPr>
          <w:spacing w:val="-14"/>
        </w:rPr>
        <w:t> </w:t>
      </w:r>
      <w:r>
        <w:rPr/>
        <w:t>por</w:t>
      </w:r>
      <w:r>
        <w:rPr>
          <w:spacing w:val="-12"/>
        </w:rPr>
        <w:t> </w:t>
      </w:r>
      <w:r>
        <w:rPr/>
        <w:t>el</w:t>
      </w:r>
      <w:r>
        <w:rPr>
          <w:spacing w:val="-13"/>
        </w:rPr>
        <w:t> </w:t>
      </w:r>
      <w:r>
        <w:rPr/>
        <w:t>apoyo</w:t>
      </w:r>
      <w:r>
        <w:rPr>
          <w:spacing w:val="-13"/>
        </w:rPr>
        <w:t> </w:t>
      </w:r>
      <w:r>
        <w:rPr/>
        <w:t>otorgado</w:t>
      </w:r>
      <w:r>
        <w:rPr>
          <w:spacing w:val="-13"/>
        </w:rPr>
        <w:t> </w:t>
      </w:r>
      <w:r>
        <w:rPr/>
        <w:t>durante</w:t>
      </w:r>
      <w:r>
        <w:rPr>
          <w:spacing w:val="-14"/>
        </w:rPr>
        <w:t> </w:t>
      </w:r>
      <w:r>
        <w:rPr/>
        <w:t>sus</w:t>
      </w:r>
      <w:r>
        <w:rPr>
          <w:spacing w:val="-11"/>
        </w:rPr>
        <w:t> </w:t>
      </w:r>
      <w:r>
        <w:rPr/>
        <w:t>estudios</w:t>
      </w:r>
      <w:r>
        <w:rPr>
          <w:spacing w:val="-13"/>
        </w:rPr>
        <w:t> </w:t>
      </w:r>
      <w:r>
        <w:rPr/>
        <w:t>de</w:t>
      </w:r>
      <w:r>
        <w:rPr>
          <w:spacing w:val="-14"/>
        </w:rPr>
        <w:t> </w:t>
      </w:r>
      <w:r>
        <w:rPr/>
        <w:t>doctorado. El presente trabajo se realizó gracias al financiamiento del mismo Consejo con el proyecto con número de clave</w:t>
      </w:r>
      <w:r>
        <w:rPr>
          <w:spacing w:val="-4"/>
        </w:rPr>
        <w:t> </w:t>
      </w:r>
      <w:r>
        <w:rPr/>
        <w:t>191398.</w:t>
      </w:r>
    </w:p>
    <w:p>
      <w:pPr>
        <w:spacing w:after="0" w:line="360" w:lineRule="auto"/>
        <w:jc w:val="both"/>
        <w:sectPr>
          <w:pgSz w:w="12240" w:h="15840"/>
          <w:pgMar w:header="984" w:footer="986" w:top="1280" w:bottom="1180" w:left="1300" w:right="1340"/>
        </w:sectPr>
      </w:pPr>
    </w:p>
    <w:p>
      <w:pPr>
        <w:pStyle w:val="Heading4"/>
        <w:ind w:right="410"/>
        <w:jc w:val="left"/>
      </w:pPr>
      <w:r>
        <w:rPr/>
        <w:t>LITERATURA CITADA</w:t>
      </w:r>
    </w:p>
    <w:p>
      <w:pPr>
        <w:pStyle w:val="BodyText"/>
        <w:rPr>
          <w:b/>
          <w:sz w:val="29"/>
        </w:rPr>
      </w:pPr>
    </w:p>
    <w:p>
      <w:pPr>
        <w:pStyle w:val="ListParagraph"/>
        <w:numPr>
          <w:ilvl w:val="2"/>
          <w:numId w:val="19"/>
        </w:numPr>
        <w:tabs>
          <w:tab w:pos="839" w:val="left" w:leader="none"/>
        </w:tabs>
        <w:spacing w:line="360" w:lineRule="auto" w:before="0" w:after="0"/>
        <w:ind w:left="838" w:right="270" w:hanging="360"/>
        <w:jc w:val="both"/>
        <w:rPr>
          <w:sz w:val="24"/>
        </w:rPr>
      </w:pPr>
      <w:r>
        <w:rPr>
          <w:sz w:val="24"/>
        </w:rPr>
        <w:t>Tinoco</w:t>
      </w:r>
      <w:r>
        <w:rPr>
          <w:spacing w:val="-4"/>
          <w:sz w:val="24"/>
        </w:rPr>
        <w:t> </w:t>
      </w:r>
      <w:r>
        <w:rPr>
          <w:sz w:val="24"/>
        </w:rPr>
        <w:t>J.,</w:t>
      </w:r>
      <w:r>
        <w:rPr>
          <w:spacing w:val="-4"/>
          <w:sz w:val="24"/>
        </w:rPr>
        <w:t> </w:t>
      </w:r>
      <w:r>
        <w:rPr>
          <w:sz w:val="24"/>
        </w:rPr>
        <w:t>J.L.</w:t>
      </w:r>
      <w:r>
        <w:rPr>
          <w:spacing w:val="-1"/>
          <w:sz w:val="24"/>
        </w:rPr>
        <w:t> </w:t>
      </w:r>
      <w:r>
        <w:rPr>
          <w:sz w:val="24"/>
        </w:rPr>
        <w:t>La</w:t>
      </w:r>
      <w:r>
        <w:rPr>
          <w:spacing w:val="-3"/>
          <w:sz w:val="24"/>
        </w:rPr>
        <w:t> </w:t>
      </w:r>
      <w:r>
        <w:rPr>
          <w:sz w:val="24"/>
        </w:rPr>
        <w:t>Porcicultura</w:t>
      </w:r>
      <w:r>
        <w:rPr>
          <w:spacing w:val="-6"/>
          <w:sz w:val="24"/>
        </w:rPr>
        <w:t> </w:t>
      </w:r>
      <w:r>
        <w:rPr>
          <w:sz w:val="24"/>
        </w:rPr>
        <w:t>mexicana y</w:t>
      </w:r>
      <w:r>
        <w:rPr>
          <w:spacing w:val="-6"/>
          <w:sz w:val="24"/>
        </w:rPr>
        <w:t> </w:t>
      </w:r>
      <w:r>
        <w:rPr>
          <w:sz w:val="24"/>
        </w:rPr>
        <w:t>el</w:t>
      </w:r>
      <w:r>
        <w:rPr>
          <w:spacing w:val="-3"/>
          <w:sz w:val="24"/>
        </w:rPr>
        <w:t> </w:t>
      </w:r>
      <w:r>
        <w:rPr>
          <w:sz w:val="24"/>
        </w:rPr>
        <w:t>Tratado</w:t>
      </w:r>
      <w:r>
        <w:rPr>
          <w:spacing w:val="-4"/>
          <w:sz w:val="24"/>
        </w:rPr>
        <w:t> </w:t>
      </w:r>
      <w:r>
        <w:rPr>
          <w:sz w:val="24"/>
        </w:rPr>
        <w:t>de</w:t>
      </w:r>
      <w:r>
        <w:rPr>
          <w:spacing w:val="-2"/>
          <w:sz w:val="24"/>
        </w:rPr>
        <w:t> </w:t>
      </w:r>
      <w:r>
        <w:rPr>
          <w:sz w:val="24"/>
        </w:rPr>
        <w:t>Libre</w:t>
      </w:r>
      <w:r>
        <w:rPr>
          <w:spacing w:val="-6"/>
          <w:sz w:val="24"/>
        </w:rPr>
        <w:t> </w:t>
      </w:r>
      <w:r>
        <w:rPr>
          <w:sz w:val="24"/>
        </w:rPr>
        <w:t>Comercio</w:t>
      </w:r>
      <w:r>
        <w:rPr>
          <w:spacing w:val="-3"/>
          <w:sz w:val="24"/>
        </w:rPr>
        <w:t> </w:t>
      </w:r>
      <w:r>
        <w:rPr>
          <w:sz w:val="24"/>
        </w:rPr>
        <w:t>de</w:t>
      </w:r>
      <w:r>
        <w:rPr>
          <w:spacing w:val="-5"/>
          <w:sz w:val="24"/>
        </w:rPr>
        <w:t> </w:t>
      </w:r>
      <w:r>
        <w:rPr>
          <w:sz w:val="24"/>
        </w:rPr>
        <w:t>América</w:t>
      </w:r>
      <w:r>
        <w:rPr>
          <w:spacing w:val="-5"/>
          <w:sz w:val="24"/>
        </w:rPr>
        <w:t> </w:t>
      </w:r>
      <w:r>
        <w:rPr>
          <w:sz w:val="24"/>
        </w:rPr>
        <w:t>del Norte. Universidad Nacional Autónoma de México.</w:t>
      </w:r>
      <w:r>
        <w:rPr>
          <w:spacing w:val="-9"/>
          <w:sz w:val="24"/>
        </w:rPr>
        <w:t> </w:t>
      </w:r>
      <w:r>
        <w:rPr>
          <w:sz w:val="24"/>
        </w:rPr>
        <w:t>2004</w:t>
      </w:r>
    </w:p>
    <w:p>
      <w:pPr>
        <w:pStyle w:val="ListParagraph"/>
        <w:numPr>
          <w:ilvl w:val="2"/>
          <w:numId w:val="19"/>
        </w:numPr>
        <w:tabs>
          <w:tab w:pos="839" w:val="left" w:leader="none"/>
        </w:tabs>
        <w:spacing w:line="360" w:lineRule="auto" w:before="6" w:after="0"/>
        <w:ind w:left="838" w:right="270" w:hanging="360"/>
        <w:jc w:val="both"/>
        <w:rPr>
          <w:sz w:val="24"/>
        </w:rPr>
      </w:pPr>
      <w:r>
        <w:rPr>
          <w:sz w:val="24"/>
        </w:rPr>
        <w:t>SIACON 2015 SIAP-SAGARPA Servicio de Información Agroalimentaria y Pesquera </w:t>
      </w:r>
      <w:hyperlink r:id="rId141">
        <w:r>
          <w:rPr>
            <w:sz w:val="24"/>
          </w:rPr>
          <w:t>http://www.siap.gob.mx/optestadisticasiacon2016parcialsiacon-zip/,</w:t>
        </w:r>
      </w:hyperlink>
      <w:r>
        <w:rPr>
          <w:sz w:val="24"/>
        </w:rPr>
        <w:t> Consultado 16</w:t>
      </w:r>
      <w:r>
        <w:rPr>
          <w:spacing w:val="-14"/>
          <w:sz w:val="24"/>
        </w:rPr>
        <w:t> </w:t>
      </w:r>
      <w:r>
        <w:rPr>
          <w:sz w:val="24"/>
        </w:rPr>
        <w:t>Feb, 2016.</w:t>
      </w:r>
    </w:p>
    <w:p>
      <w:pPr>
        <w:pStyle w:val="ListParagraph"/>
        <w:numPr>
          <w:ilvl w:val="2"/>
          <w:numId w:val="19"/>
        </w:numPr>
        <w:tabs>
          <w:tab w:pos="839" w:val="left" w:leader="none"/>
        </w:tabs>
        <w:spacing w:line="360" w:lineRule="auto" w:before="4" w:after="0"/>
        <w:ind w:left="838" w:right="270" w:hanging="360"/>
        <w:jc w:val="both"/>
        <w:rPr>
          <w:sz w:val="24"/>
        </w:rPr>
      </w:pPr>
      <w:r>
        <w:rPr>
          <w:sz w:val="24"/>
        </w:rPr>
        <w:t>Gómez, T. G., S. Rebollar R., J. Hernández M., E. Guzmán S. Competitividad de la producción porcina de México y EUA.  Revista Comercio Exterior 2012; 62:</w:t>
      </w:r>
      <w:r>
        <w:rPr>
          <w:spacing w:val="-10"/>
          <w:sz w:val="24"/>
        </w:rPr>
        <w:t> </w:t>
      </w:r>
      <w:r>
        <w:rPr>
          <w:sz w:val="24"/>
        </w:rPr>
        <w:t>36-45</w:t>
      </w:r>
    </w:p>
    <w:p>
      <w:pPr>
        <w:pStyle w:val="ListParagraph"/>
        <w:numPr>
          <w:ilvl w:val="2"/>
          <w:numId w:val="19"/>
        </w:numPr>
        <w:tabs>
          <w:tab w:pos="839" w:val="left" w:leader="none"/>
        </w:tabs>
        <w:spacing w:line="360" w:lineRule="auto" w:before="4" w:after="0"/>
        <w:ind w:left="838" w:right="268" w:hanging="360"/>
        <w:jc w:val="both"/>
        <w:rPr>
          <w:sz w:val="24"/>
        </w:rPr>
      </w:pPr>
      <w:r>
        <w:rPr>
          <w:sz w:val="24"/>
        </w:rPr>
        <w:t>Hernández M., J., S. Rebollar R., S., R. Rojo R. Rentabilidad privada de las granjas porcinas</w:t>
      </w:r>
      <w:r>
        <w:rPr>
          <w:spacing w:val="-9"/>
          <w:sz w:val="24"/>
        </w:rPr>
        <w:t> </w:t>
      </w:r>
      <w:r>
        <w:rPr>
          <w:sz w:val="24"/>
        </w:rPr>
        <w:t>en</w:t>
      </w:r>
      <w:r>
        <w:rPr>
          <w:spacing w:val="-6"/>
          <w:sz w:val="24"/>
        </w:rPr>
        <w:t> </w:t>
      </w:r>
      <w:r>
        <w:rPr>
          <w:sz w:val="24"/>
        </w:rPr>
        <w:t>el</w:t>
      </w:r>
      <w:r>
        <w:rPr>
          <w:spacing w:val="-8"/>
          <w:sz w:val="24"/>
        </w:rPr>
        <w:t> </w:t>
      </w:r>
      <w:r>
        <w:rPr>
          <w:sz w:val="24"/>
        </w:rPr>
        <w:t>sur</w:t>
      </w:r>
      <w:r>
        <w:rPr>
          <w:spacing w:val="-9"/>
          <w:sz w:val="24"/>
        </w:rPr>
        <w:t> </w:t>
      </w:r>
      <w:r>
        <w:rPr>
          <w:sz w:val="24"/>
        </w:rPr>
        <w:t>del</w:t>
      </w:r>
      <w:r>
        <w:rPr>
          <w:spacing w:val="-8"/>
          <w:sz w:val="24"/>
        </w:rPr>
        <w:t> </w:t>
      </w:r>
      <w:r>
        <w:rPr>
          <w:sz w:val="24"/>
        </w:rPr>
        <w:t>Estado</w:t>
      </w:r>
      <w:r>
        <w:rPr>
          <w:spacing w:val="-9"/>
          <w:sz w:val="24"/>
        </w:rPr>
        <w:t> </w:t>
      </w:r>
      <w:r>
        <w:rPr>
          <w:sz w:val="24"/>
        </w:rPr>
        <w:t>de</w:t>
      </w:r>
      <w:r>
        <w:rPr>
          <w:spacing w:val="-10"/>
          <w:sz w:val="24"/>
        </w:rPr>
        <w:t> </w:t>
      </w:r>
      <w:r>
        <w:rPr>
          <w:sz w:val="24"/>
        </w:rPr>
        <w:t>México.</w:t>
      </w:r>
      <w:r>
        <w:rPr>
          <w:spacing w:val="-9"/>
          <w:sz w:val="24"/>
        </w:rPr>
        <w:t> </w:t>
      </w:r>
      <w:r>
        <w:rPr>
          <w:sz w:val="24"/>
        </w:rPr>
        <w:t>Revista</w:t>
      </w:r>
      <w:r>
        <w:rPr>
          <w:spacing w:val="-10"/>
          <w:sz w:val="24"/>
        </w:rPr>
        <w:t> </w:t>
      </w:r>
      <w:r>
        <w:rPr>
          <w:sz w:val="24"/>
        </w:rPr>
        <w:t>Universidad</w:t>
      </w:r>
      <w:r>
        <w:rPr>
          <w:spacing w:val="-4"/>
          <w:sz w:val="24"/>
        </w:rPr>
        <w:t> </w:t>
      </w:r>
      <w:r>
        <w:rPr>
          <w:sz w:val="24"/>
        </w:rPr>
        <w:t>y</w:t>
      </w:r>
      <w:r>
        <w:rPr>
          <w:spacing w:val="-13"/>
          <w:sz w:val="24"/>
        </w:rPr>
        <w:t> </w:t>
      </w:r>
      <w:r>
        <w:rPr>
          <w:sz w:val="24"/>
        </w:rPr>
        <w:t>Ciencia</w:t>
      </w:r>
      <w:r>
        <w:rPr>
          <w:spacing w:val="-9"/>
          <w:sz w:val="24"/>
        </w:rPr>
        <w:t> </w:t>
      </w:r>
      <w:r>
        <w:rPr>
          <w:sz w:val="24"/>
        </w:rPr>
        <w:t>Trópico</w:t>
      </w:r>
      <w:r>
        <w:rPr>
          <w:spacing w:val="-9"/>
          <w:sz w:val="24"/>
        </w:rPr>
        <w:t> </w:t>
      </w:r>
      <w:r>
        <w:rPr>
          <w:sz w:val="24"/>
        </w:rPr>
        <w:t>Húmedo 2008. 24</w:t>
      </w:r>
      <w:r>
        <w:rPr>
          <w:spacing w:val="-3"/>
          <w:sz w:val="24"/>
        </w:rPr>
        <w:t> </w:t>
      </w:r>
      <w:r>
        <w:rPr>
          <w:sz w:val="24"/>
        </w:rPr>
        <w:t>(2):117-124</w:t>
      </w:r>
    </w:p>
    <w:p>
      <w:pPr>
        <w:pStyle w:val="ListParagraph"/>
        <w:numPr>
          <w:ilvl w:val="2"/>
          <w:numId w:val="19"/>
        </w:numPr>
        <w:tabs>
          <w:tab w:pos="839" w:val="left" w:leader="none"/>
        </w:tabs>
        <w:spacing w:line="360" w:lineRule="auto" w:before="6" w:after="0"/>
        <w:ind w:left="838" w:right="268" w:hanging="360"/>
        <w:jc w:val="both"/>
        <w:rPr>
          <w:sz w:val="24"/>
        </w:rPr>
      </w:pPr>
      <w:r>
        <w:rPr>
          <w:sz w:val="24"/>
        </w:rPr>
        <w:t>FIRA. Fideicomisos Instituidos en Relación con la Agricultura, Perspectivas para la porcicultura</w:t>
      </w:r>
      <w:r>
        <w:rPr>
          <w:spacing w:val="-11"/>
          <w:sz w:val="24"/>
        </w:rPr>
        <w:t> </w:t>
      </w:r>
      <w:r>
        <w:rPr>
          <w:sz w:val="24"/>
        </w:rPr>
        <w:t>mexicana.</w:t>
      </w:r>
      <w:r>
        <w:rPr>
          <w:spacing w:val="-10"/>
          <w:sz w:val="24"/>
        </w:rPr>
        <w:t> </w:t>
      </w:r>
      <w:r>
        <w:rPr>
          <w:sz w:val="24"/>
        </w:rPr>
        <w:t>https://</w:t>
      </w:r>
      <w:hyperlink r:id="rId142">
        <w:r>
          <w:rPr>
            <w:sz w:val="24"/>
          </w:rPr>
          <w:t>www.fira.gob.mx/Nd/index.jsp</w:t>
        </w:r>
      </w:hyperlink>
      <w:r>
        <w:rPr>
          <w:spacing w:val="-11"/>
          <w:sz w:val="24"/>
        </w:rPr>
        <w:t> </w:t>
      </w:r>
      <w:r>
        <w:rPr>
          <w:sz w:val="24"/>
        </w:rPr>
        <w:t>Consultado</w:t>
      </w:r>
      <w:r>
        <w:rPr>
          <w:spacing w:val="-10"/>
          <w:sz w:val="24"/>
        </w:rPr>
        <w:t> </w:t>
      </w:r>
      <w:r>
        <w:rPr>
          <w:sz w:val="24"/>
        </w:rPr>
        <w:t>15</w:t>
      </w:r>
      <w:r>
        <w:rPr>
          <w:spacing w:val="-10"/>
          <w:sz w:val="24"/>
        </w:rPr>
        <w:t> </w:t>
      </w:r>
      <w:r>
        <w:rPr>
          <w:sz w:val="24"/>
        </w:rPr>
        <w:t>May,</w:t>
      </w:r>
      <w:r>
        <w:rPr>
          <w:spacing w:val="-10"/>
          <w:sz w:val="24"/>
        </w:rPr>
        <w:t> </w:t>
      </w:r>
      <w:r>
        <w:rPr>
          <w:sz w:val="24"/>
        </w:rPr>
        <w:t>2016.</w:t>
      </w:r>
    </w:p>
    <w:p>
      <w:pPr>
        <w:pStyle w:val="ListParagraph"/>
        <w:numPr>
          <w:ilvl w:val="2"/>
          <w:numId w:val="19"/>
        </w:numPr>
        <w:tabs>
          <w:tab w:pos="839" w:val="left" w:leader="none"/>
        </w:tabs>
        <w:spacing w:line="360" w:lineRule="auto" w:before="4" w:after="0"/>
        <w:ind w:left="838" w:right="270" w:hanging="360"/>
        <w:jc w:val="both"/>
        <w:rPr>
          <w:sz w:val="24"/>
        </w:rPr>
      </w:pPr>
      <w:r>
        <w:rPr>
          <w:sz w:val="24"/>
        </w:rPr>
        <w:t>Takayama,</w:t>
      </w:r>
      <w:r>
        <w:rPr>
          <w:spacing w:val="-13"/>
          <w:sz w:val="24"/>
        </w:rPr>
        <w:t> </w:t>
      </w:r>
      <w:r>
        <w:rPr>
          <w:sz w:val="24"/>
        </w:rPr>
        <w:t>T.</w:t>
      </w:r>
      <w:r>
        <w:rPr>
          <w:spacing w:val="-10"/>
          <w:sz w:val="24"/>
        </w:rPr>
        <w:t> </w:t>
      </w:r>
      <w:r>
        <w:rPr>
          <w:sz w:val="24"/>
        </w:rPr>
        <w:t>And</w:t>
      </w:r>
      <w:r>
        <w:rPr>
          <w:spacing w:val="-13"/>
          <w:sz w:val="24"/>
        </w:rPr>
        <w:t> </w:t>
      </w:r>
      <w:r>
        <w:rPr>
          <w:sz w:val="24"/>
        </w:rPr>
        <w:t>Judge</w:t>
      </w:r>
      <w:r>
        <w:rPr>
          <w:spacing w:val="-11"/>
          <w:sz w:val="24"/>
        </w:rPr>
        <w:t> </w:t>
      </w:r>
      <w:r>
        <w:rPr>
          <w:sz w:val="24"/>
        </w:rPr>
        <w:t>G.</w:t>
      </w:r>
      <w:r>
        <w:rPr>
          <w:spacing w:val="-13"/>
          <w:sz w:val="24"/>
        </w:rPr>
        <w:t> </w:t>
      </w:r>
      <w:r>
        <w:rPr>
          <w:sz w:val="24"/>
        </w:rPr>
        <w:t>G.</w:t>
      </w:r>
      <w:r>
        <w:rPr>
          <w:spacing w:val="-13"/>
          <w:sz w:val="24"/>
        </w:rPr>
        <w:t> </w:t>
      </w:r>
      <w:r>
        <w:rPr>
          <w:sz w:val="24"/>
        </w:rPr>
        <w:t>Spatial</w:t>
      </w:r>
      <w:r>
        <w:rPr>
          <w:spacing w:val="-12"/>
          <w:sz w:val="24"/>
        </w:rPr>
        <w:t> </w:t>
      </w:r>
      <w:r>
        <w:rPr>
          <w:sz w:val="24"/>
        </w:rPr>
        <w:t>Equilibrium</w:t>
      </w:r>
      <w:r>
        <w:rPr>
          <w:spacing w:val="-14"/>
          <w:sz w:val="24"/>
        </w:rPr>
        <w:t> </w:t>
      </w:r>
      <w:r>
        <w:rPr>
          <w:sz w:val="24"/>
        </w:rPr>
        <w:t>and</w:t>
      </w:r>
      <w:r>
        <w:rPr>
          <w:spacing w:val="-12"/>
          <w:sz w:val="24"/>
        </w:rPr>
        <w:t> </w:t>
      </w:r>
      <w:r>
        <w:rPr>
          <w:sz w:val="24"/>
        </w:rPr>
        <w:t>linear</w:t>
      </w:r>
      <w:r>
        <w:rPr>
          <w:spacing w:val="-13"/>
          <w:sz w:val="24"/>
        </w:rPr>
        <w:t> </w:t>
      </w:r>
      <w:r>
        <w:rPr>
          <w:sz w:val="24"/>
        </w:rPr>
        <w:t>Programming</w:t>
      </w:r>
      <w:r>
        <w:rPr>
          <w:spacing w:val="-12"/>
          <w:sz w:val="24"/>
        </w:rPr>
        <w:t> </w:t>
      </w:r>
      <w:r>
        <w:rPr>
          <w:sz w:val="24"/>
        </w:rPr>
        <w:t>J</w:t>
      </w:r>
      <w:r>
        <w:rPr>
          <w:spacing w:val="-10"/>
          <w:sz w:val="24"/>
        </w:rPr>
        <w:t> </w:t>
      </w:r>
      <w:r>
        <w:rPr>
          <w:sz w:val="24"/>
        </w:rPr>
        <w:t>Farm</w:t>
      </w:r>
      <w:r>
        <w:rPr>
          <w:spacing w:val="-12"/>
          <w:sz w:val="24"/>
        </w:rPr>
        <w:t> </w:t>
      </w:r>
      <w:r>
        <w:rPr>
          <w:sz w:val="24"/>
        </w:rPr>
        <w:t>Econ 1964;</w:t>
      </w:r>
      <w:r>
        <w:rPr>
          <w:spacing w:val="-1"/>
          <w:sz w:val="24"/>
        </w:rPr>
        <w:t> </w:t>
      </w:r>
      <w:r>
        <w:rPr>
          <w:sz w:val="24"/>
        </w:rPr>
        <w:t>46:67-93.</w:t>
      </w:r>
    </w:p>
    <w:p>
      <w:pPr>
        <w:pStyle w:val="ListParagraph"/>
        <w:numPr>
          <w:ilvl w:val="2"/>
          <w:numId w:val="19"/>
        </w:numPr>
        <w:tabs>
          <w:tab w:pos="839" w:val="left" w:leader="none"/>
        </w:tabs>
        <w:spacing w:line="362" w:lineRule="auto" w:before="4" w:after="0"/>
        <w:ind w:left="838" w:right="274" w:hanging="360"/>
        <w:jc w:val="both"/>
        <w:rPr>
          <w:sz w:val="24"/>
        </w:rPr>
      </w:pPr>
      <w:r>
        <w:rPr>
          <w:sz w:val="24"/>
        </w:rPr>
        <w:t>Calderón M. S. Matemáticas para la economía y la empresa, 4ta ed. México Pirámide; 1995.</w:t>
      </w:r>
    </w:p>
    <w:p>
      <w:pPr>
        <w:pStyle w:val="ListParagraph"/>
        <w:numPr>
          <w:ilvl w:val="2"/>
          <w:numId w:val="19"/>
        </w:numPr>
        <w:tabs>
          <w:tab w:pos="839" w:val="left" w:leader="none"/>
        </w:tabs>
        <w:spacing w:line="360" w:lineRule="auto" w:before="1" w:after="0"/>
        <w:ind w:left="838" w:right="266" w:hanging="360"/>
        <w:jc w:val="both"/>
        <w:rPr>
          <w:sz w:val="24"/>
        </w:rPr>
      </w:pPr>
      <w:r>
        <w:rPr>
          <w:sz w:val="24"/>
        </w:rPr>
        <w:t>García, S. J. A. Rodríguez, </w:t>
      </w:r>
      <w:r>
        <w:rPr>
          <w:spacing w:val="-3"/>
          <w:sz w:val="24"/>
        </w:rPr>
        <w:t>L. </w:t>
      </w:r>
      <w:r>
        <w:rPr>
          <w:sz w:val="24"/>
        </w:rPr>
        <w:t>G.; Rebollar, R. S. Análisis espacial e intertemporal sobre el almacenamiento del sorgo en México. Ciencia Ergo Sum, núm. noviembre-febrero 2005;</w:t>
      </w:r>
      <w:r>
        <w:rPr>
          <w:spacing w:val="-2"/>
          <w:sz w:val="24"/>
        </w:rPr>
        <w:t> </w:t>
      </w:r>
      <w:r>
        <w:rPr>
          <w:sz w:val="24"/>
        </w:rPr>
        <w:t>12(3):245-254.</w:t>
      </w:r>
    </w:p>
    <w:p>
      <w:pPr>
        <w:pStyle w:val="ListParagraph"/>
        <w:numPr>
          <w:ilvl w:val="2"/>
          <w:numId w:val="19"/>
        </w:numPr>
        <w:tabs>
          <w:tab w:pos="839" w:val="left" w:leader="none"/>
        </w:tabs>
        <w:spacing w:line="360" w:lineRule="auto" w:before="6" w:after="0"/>
        <w:ind w:left="838" w:right="274" w:hanging="360"/>
        <w:jc w:val="both"/>
        <w:rPr>
          <w:sz w:val="24"/>
        </w:rPr>
      </w:pPr>
      <w:r>
        <w:rPr>
          <w:sz w:val="24"/>
        </w:rPr>
        <w:t>Bassols A. B. Geografía Económica de México. Teoría, fenómenos generales, análisis regional, México D.F. ed. Trillas;</w:t>
      </w:r>
      <w:r>
        <w:rPr>
          <w:spacing w:val="-6"/>
          <w:sz w:val="24"/>
        </w:rPr>
        <w:t> </w:t>
      </w:r>
      <w:r>
        <w:rPr>
          <w:sz w:val="24"/>
        </w:rPr>
        <w:t>1975.</w:t>
      </w:r>
    </w:p>
    <w:p>
      <w:pPr>
        <w:pStyle w:val="ListParagraph"/>
        <w:numPr>
          <w:ilvl w:val="2"/>
          <w:numId w:val="19"/>
        </w:numPr>
        <w:tabs>
          <w:tab w:pos="839" w:val="left" w:leader="none"/>
        </w:tabs>
        <w:spacing w:line="360" w:lineRule="auto" w:before="6" w:after="0"/>
        <w:ind w:left="838" w:right="268" w:hanging="360"/>
        <w:jc w:val="both"/>
        <w:rPr>
          <w:sz w:val="24"/>
        </w:rPr>
      </w:pPr>
      <w:r>
        <w:rPr>
          <w:sz w:val="24"/>
        </w:rPr>
        <w:t>SIAP 2015 Servicio de Información Agroalimentaria y Pesquera </w:t>
      </w:r>
      <w:hyperlink r:id="rId114">
        <w:r>
          <w:rPr>
            <w:sz w:val="24"/>
          </w:rPr>
          <w:t>http://www.siap.gob.mx/ganaderia-resumen-municipal-pecuario,</w:t>
        </w:r>
      </w:hyperlink>
      <w:r>
        <w:rPr>
          <w:sz w:val="24"/>
        </w:rPr>
        <w:t> Consultado 23 Ene, 2016.</w:t>
      </w:r>
    </w:p>
    <w:p>
      <w:pPr>
        <w:pStyle w:val="ListParagraph"/>
        <w:numPr>
          <w:ilvl w:val="2"/>
          <w:numId w:val="19"/>
        </w:numPr>
        <w:tabs>
          <w:tab w:pos="839" w:val="left" w:leader="none"/>
        </w:tabs>
        <w:spacing w:line="360" w:lineRule="auto" w:before="4" w:after="0"/>
        <w:ind w:left="838" w:right="265" w:hanging="360"/>
        <w:jc w:val="both"/>
        <w:rPr>
          <w:sz w:val="24"/>
        </w:rPr>
      </w:pPr>
      <w:r>
        <w:rPr>
          <w:sz w:val="24"/>
        </w:rPr>
        <w:t>CONAPO. Consejo Nacional de Población </w:t>
      </w:r>
      <w:hyperlink r:id="rId111">
        <w:r>
          <w:rPr>
            <w:sz w:val="24"/>
          </w:rPr>
          <w:t>http://www.conapo.gob.mx/</w:t>
        </w:r>
      </w:hyperlink>
      <w:r>
        <w:rPr>
          <w:sz w:val="24"/>
        </w:rPr>
        <w:t> Consultado 28 Ene.</w:t>
      </w:r>
      <w:r>
        <w:rPr>
          <w:spacing w:val="-2"/>
          <w:sz w:val="24"/>
        </w:rPr>
        <w:t> </w:t>
      </w:r>
      <w:r>
        <w:rPr>
          <w:sz w:val="24"/>
        </w:rPr>
        <w:t>2016.</w:t>
      </w:r>
    </w:p>
    <w:p>
      <w:pPr>
        <w:pStyle w:val="ListParagraph"/>
        <w:numPr>
          <w:ilvl w:val="2"/>
          <w:numId w:val="19"/>
        </w:numPr>
        <w:tabs>
          <w:tab w:pos="839" w:val="left" w:leader="none"/>
        </w:tabs>
        <w:spacing w:line="360" w:lineRule="auto" w:before="4" w:after="0"/>
        <w:ind w:left="838" w:right="273" w:hanging="360"/>
        <w:jc w:val="both"/>
        <w:rPr>
          <w:sz w:val="24"/>
        </w:rPr>
      </w:pPr>
      <w:r>
        <w:rPr>
          <w:sz w:val="24"/>
        </w:rPr>
        <w:t>CONFEPORC. Confederación de Porcicultores Mexicanos A.C. Información del sector </w:t>
      </w:r>
      <w:hyperlink r:id="rId143">
        <w:r>
          <w:rPr>
            <w:sz w:val="24"/>
          </w:rPr>
          <w:t>http://www.cmp.org/,</w:t>
        </w:r>
      </w:hyperlink>
      <w:r>
        <w:rPr>
          <w:sz w:val="24"/>
        </w:rPr>
        <w:t> Consultado 24 Mzo,</w:t>
      </w:r>
      <w:r>
        <w:rPr>
          <w:spacing w:val="-4"/>
          <w:sz w:val="24"/>
        </w:rPr>
        <w:t> </w:t>
      </w:r>
      <w:r>
        <w:rPr>
          <w:sz w:val="24"/>
        </w:rPr>
        <w:t>2016.</w:t>
      </w:r>
    </w:p>
    <w:p>
      <w:pPr>
        <w:spacing w:after="0" w:line="360" w:lineRule="auto"/>
        <w:jc w:val="both"/>
        <w:rPr>
          <w:sz w:val="24"/>
        </w:rPr>
        <w:sectPr>
          <w:pgSz w:w="12240" w:h="15840"/>
          <w:pgMar w:header="984" w:footer="986" w:top="1280" w:bottom="1180" w:left="1300" w:right="1340"/>
        </w:sectPr>
      </w:pPr>
    </w:p>
    <w:p>
      <w:pPr>
        <w:pStyle w:val="ListParagraph"/>
        <w:numPr>
          <w:ilvl w:val="2"/>
          <w:numId w:val="19"/>
        </w:numPr>
        <w:tabs>
          <w:tab w:pos="839" w:val="left" w:leader="none"/>
        </w:tabs>
        <w:spacing w:line="360" w:lineRule="auto" w:before="125" w:after="0"/>
        <w:ind w:left="838" w:right="271" w:hanging="360"/>
        <w:jc w:val="both"/>
        <w:rPr>
          <w:sz w:val="24"/>
        </w:rPr>
      </w:pPr>
      <w:r>
        <w:rPr>
          <w:sz w:val="24"/>
        </w:rPr>
        <w:t>SNIIM. Sistema Nacional de Información e Integración de Mercados. Secretaria de Economía. </w:t>
      </w:r>
      <w:hyperlink r:id="rId115">
        <w:r>
          <w:rPr>
            <w:sz w:val="24"/>
          </w:rPr>
          <w:t>http://www.economia-sniim.gob.mx/nurvo/mapa.asp,</w:t>
        </w:r>
      </w:hyperlink>
      <w:r>
        <w:rPr>
          <w:sz w:val="24"/>
        </w:rPr>
        <w:t> Consultado 20 Feb, 2016.</w:t>
      </w:r>
    </w:p>
    <w:p>
      <w:pPr>
        <w:pStyle w:val="ListParagraph"/>
        <w:numPr>
          <w:ilvl w:val="2"/>
          <w:numId w:val="19"/>
        </w:numPr>
        <w:tabs>
          <w:tab w:pos="839" w:val="left" w:leader="none"/>
        </w:tabs>
        <w:spacing w:line="360" w:lineRule="auto" w:before="4" w:after="0"/>
        <w:ind w:left="838" w:right="271" w:hanging="360"/>
        <w:jc w:val="both"/>
        <w:rPr>
          <w:sz w:val="24"/>
        </w:rPr>
      </w:pPr>
      <w:r>
        <w:rPr>
          <w:sz w:val="24"/>
        </w:rPr>
        <w:t>SCT. Secretaria de Comunicaciones y Transportes </w:t>
      </w:r>
      <w:hyperlink r:id="rId113">
        <w:r>
          <w:rPr>
            <w:sz w:val="24"/>
          </w:rPr>
          <w:t>http://www.sct.gob.mx/rutas</w:t>
        </w:r>
      </w:hyperlink>
      <w:r>
        <w:rPr>
          <w:sz w:val="24"/>
        </w:rPr>
        <w:t> punto a punto, Consultado 20 Abr,</w:t>
      </w:r>
      <w:r>
        <w:rPr>
          <w:spacing w:val="-4"/>
          <w:sz w:val="24"/>
        </w:rPr>
        <w:t> </w:t>
      </w:r>
      <w:r>
        <w:rPr>
          <w:sz w:val="24"/>
        </w:rPr>
        <w:t>2016.</w:t>
      </w:r>
    </w:p>
    <w:p>
      <w:pPr>
        <w:pStyle w:val="ListParagraph"/>
        <w:numPr>
          <w:ilvl w:val="2"/>
          <w:numId w:val="19"/>
        </w:numPr>
        <w:tabs>
          <w:tab w:pos="839" w:val="left" w:leader="none"/>
        </w:tabs>
        <w:spacing w:line="360" w:lineRule="auto" w:before="4" w:after="0"/>
        <w:ind w:left="838" w:right="264" w:hanging="360"/>
        <w:jc w:val="both"/>
        <w:rPr>
          <w:sz w:val="24"/>
        </w:rPr>
      </w:pPr>
      <w:r>
        <w:rPr>
          <w:sz w:val="24"/>
        </w:rPr>
        <w:t>Rebollar R.A, Gómez T. G., Hernández M. J., Rebollar R. S., González R. F. de J. Comportamiento de la oferta y demanda regional de carne de cerdo en canal en México, 1994-2012. Rev. Mex.  Cienc. Pecu, 2014;</w:t>
      </w:r>
      <w:r>
        <w:rPr>
          <w:spacing w:val="-7"/>
          <w:sz w:val="24"/>
        </w:rPr>
        <w:t> </w:t>
      </w:r>
      <w:r>
        <w:rPr>
          <w:sz w:val="24"/>
        </w:rPr>
        <w:t>5(4):377-392.</w:t>
      </w:r>
    </w:p>
    <w:p>
      <w:pPr>
        <w:pStyle w:val="ListParagraph"/>
        <w:numPr>
          <w:ilvl w:val="2"/>
          <w:numId w:val="19"/>
        </w:numPr>
        <w:tabs>
          <w:tab w:pos="839" w:val="left" w:leader="none"/>
        </w:tabs>
        <w:spacing w:line="360" w:lineRule="auto" w:before="7" w:after="0"/>
        <w:ind w:left="838" w:right="266" w:hanging="360"/>
        <w:jc w:val="both"/>
        <w:rPr>
          <w:sz w:val="24"/>
        </w:rPr>
      </w:pPr>
      <w:r>
        <w:rPr>
          <w:sz w:val="24"/>
        </w:rPr>
        <w:t>Pérez VFC, García MR, Martínez DMA, Mora Flores JS, Vaquera HH, Gonzales EA, Efecto de las importaciones de la carne de porcino en el mercado mexicano,</w:t>
      </w:r>
      <w:r>
        <w:rPr>
          <w:spacing w:val="-36"/>
          <w:sz w:val="24"/>
        </w:rPr>
        <w:t> </w:t>
      </w:r>
      <w:r>
        <w:rPr>
          <w:sz w:val="24"/>
        </w:rPr>
        <w:t>1961-2007. Rev. Mex.  Cienc. Pecu 2010;</w:t>
      </w:r>
      <w:r>
        <w:rPr>
          <w:spacing w:val="-7"/>
          <w:sz w:val="24"/>
        </w:rPr>
        <w:t> </w:t>
      </w:r>
      <w:r>
        <w:rPr>
          <w:sz w:val="24"/>
        </w:rPr>
        <w:t>1(2):115-126.</w:t>
      </w:r>
    </w:p>
    <w:p>
      <w:pPr>
        <w:pStyle w:val="ListParagraph"/>
        <w:numPr>
          <w:ilvl w:val="2"/>
          <w:numId w:val="19"/>
        </w:numPr>
        <w:tabs>
          <w:tab w:pos="839" w:val="left" w:leader="none"/>
        </w:tabs>
        <w:spacing w:line="360" w:lineRule="auto" w:before="4" w:after="0"/>
        <w:ind w:left="838" w:right="269" w:hanging="360"/>
        <w:jc w:val="both"/>
        <w:rPr>
          <w:sz w:val="24"/>
        </w:rPr>
      </w:pPr>
      <w:r>
        <w:rPr>
          <w:sz w:val="24"/>
        </w:rPr>
        <w:t>Alston, J.M., G.W. Norton and P.G. Pardey. Science Under Scarcity: Principles and Practice for Agricultural Research Evaluation and Priority Setting. Cornell University Press, Ithaca, New York;</w:t>
      </w:r>
      <w:r>
        <w:rPr>
          <w:spacing w:val="-6"/>
          <w:sz w:val="24"/>
        </w:rPr>
        <w:t> </w:t>
      </w:r>
      <w:r>
        <w:rPr>
          <w:sz w:val="24"/>
        </w:rPr>
        <w:t>1995.</w:t>
      </w:r>
    </w:p>
    <w:p>
      <w:pPr>
        <w:pStyle w:val="ListParagraph"/>
        <w:numPr>
          <w:ilvl w:val="2"/>
          <w:numId w:val="19"/>
        </w:numPr>
        <w:tabs>
          <w:tab w:pos="839" w:val="left" w:leader="none"/>
        </w:tabs>
        <w:spacing w:line="360" w:lineRule="auto" w:before="6" w:after="0"/>
        <w:ind w:left="838" w:right="271" w:hanging="360"/>
        <w:jc w:val="both"/>
        <w:rPr>
          <w:sz w:val="24"/>
        </w:rPr>
      </w:pPr>
      <w:r>
        <w:rPr>
          <w:sz w:val="24"/>
        </w:rPr>
        <w:t>Kawaguchi T, Susuki N, Kaiser HM. A Spatial Equilibrium Model for imperfectly competitive milk markets. Am. J. Agric. Econ. 1997;</w:t>
      </w:r>
      <w:r>
        <w:rPr>
          <w:spacing w:val="-7"/>
          <w:sz w:val="24"/>
        </w:rPr>
        <w:t> </w:t>
      </w:r>
      <w:r>
        <w:rPr>
          <w:sz w:val="24"/>
        </w:rPr>
        <w:t>79:851-859.</w:t>
      </w:r>
    </w:p>
    <w:p>
      <w:pPr>
        <w:pStyle w:val="ListParagraph"/>
        <w:numPr>
          <w:ilvl w:val="2"/>
          <w:numId w:val="19"/>
        </w:numPr>
        <w:tabs>
          <w:tab w:pos="839" w:val="left" w:leader="none"/>
        </w:tabs>
        <w:spacing w:line="360" w:lineRule="auto" w:before="6" w:after="0"/>
        <w:ind w:left="838" w:right="270" w:hanging="360"/>
        <w:jc w:val="both"/>
        <w:rPr>
          <w:sz w:val="24"/>
        </w:rPr>
      </w:pPr>
      <w:r>
        <w:rPr>
          <w:sz w:val="24"/>
        </w:rPr>
        <w:t>Rosenthal, E. R. GAMS. A User´s Guide. GAMS Development Corporation. Washington, D. C., USA;</w:t>
      </w:r>
      <w:r>
        <w:rPr>
          <w:spacing w:val="-4"/>
          <w:sz w:val="24"/>
        </w:rPr>
        <w:t> </w:t>
      </w:r>
      <w:r>
        <w:rPr>
          <w:sz w:val="24"/>
        </w:rPr>
        <w:t>2008.</w:t>
      </w:r>
    </w:p>
    <w:p>
      <w:pPr>
        <w:pStyle w:val="ListParagraph"/>
        <w:numPr>
          <w:ilvl w:val="2"/>
          <w:numId w:val="19"/>
        </w:numPr>
        <w:tabs>
          <w:tab w:pos="839" w:val="left" w:leader="none"/>
        </w:tabs>
        <w:spacing w:line="360" w:lineRule="auto" w:before="6" w:after="0"/>
        <w:ind w:left="838" w:right="269" w:hanging="360"/>
        <w:jc w:val="both"/>
        <w:rPr>
          <w:sz w:val="24"/>
        </w:rPr>
      </w:pPr>
      <w:r>
        <w:rPr>
          <w:sz w:val="24"/>
        </w:rPr>
        <w:t>Gómez, T. G., S. Rebollar R., J. Hernández M., E. Guzmán S. Efecto de los aranceles</w:t>
      </w:r>
      <w:r>
        <w:rPr>
          <w:spacing w:val="-26"/>
          <w:sz w:val="24"/>
        </w:rPr>
        <w:t> </w:t>
      </w:r>
      <w:r>
        <w:rPr>
          <w:sz w:val="24"/>
        </w:rPr>
        <w:t>en la</w:t>
      </w:r>
      <w:r>
        <w:rPr>
          <w:spacing w:val="-8"/>
          <w:sz w:val="24"/>
        </w:rPr>
        <w:t> </w:t>
      </w:r>
      <w:r>
        <w:rPr>
          <w:sz w:val="24"/>
        </w:rPr>
        <w:t>competitividad</w:t>
      </w:r>
      <w:r>
        <w:rPr>
          <w:spacing w:val="-7"/>
          <w:sz w:val="24"/>
        </w:rPr>
        <w:t> </w:t>
      </w:r>
      <w:r>
        <w:rPr>
          <w:sz w:val="24"/>
        </w:rPr>
        <w:t>de</w:t>
      </w:r>
      <w:r>
        <w:rPr>
          <w:spacing w:val="-8"/>
          <w:sz w:val="24"/>
        </w:rPr>
        <w:t> </w:t>
      </w:r>
      <w:r>
        <w:rPr>
          <w:sz w:val="24"/>
        </w:rPr>
        <w:t>la</w:t>
      </w:r>
      <w:r>
        <w:rPr>
          <w:spacing w:val="-8"/>
          <w:sz w:val="24"/>
        </w:rPr>
        <w:t> </w:t>
      </w:r>
      <w:r>
        <w:rPr>
          <w:sz w:val="24"/>
        </w:rPr>
        <w:t>porcicultura</w:t>
      </w:r>
      <w:r>
        <w:rPr>
          <w:spacing w:val="-8"/>
          <w:sz w:val="24"/>
        </w:rPr>
        <w:t> </w:t>
      </w:r>
      <w:r>
        <w:rPr>
          <w:sz w:val="24"/>
        </w:rPr>
        <w:t>mexicana.</w:t>
      </w:r>
      <w:r>
        <w:rPr>
          <w:spacing w:val="-7"/>
          <w:sz w:val="24"/>
        </w:rPr>
        <w:t> </w:t>
      </w:r>
      <w:r>
        <w:rPr>
          <w:sz w:val="24"/>
        </w:rPr>
        <w:t>Tropical</w:t>
      </w:r>
      <w:r>
        <w:rPr>
          <w:spacing w:val="-7"/>
          <w:sz w:val="24"/>
        </w:rPr>
        <w:t> </w:t>
      </w:r>
      <w:r>
        <w:rPr>
          <w:sz w:val="24"/>
        </w:rPr>
        <w:t>and</w:t>
      </w:r>
      <w:r>
        <w:rPr>
          <w:spacing w:val="-7"/>
          <w:sz w:val="24"/>
        </w:rPr>
        <w:t> </w:t>
      </w:r>
      <w:r>
        <w:rPr>
          <w:sz w:val="24"/>
        </w:rPr>
        <w:t>Subtropical</w:t>
      </w:r>
      <w:r>
        <w:rPr>
          <w:spacing w:val="-7"/>
          <w:sz w:val="24"/>
        </w:rPr>
        <w:t> </w:t>
      </w:r>
      <w:r>
        <w:rPr>
          <w:sz w:val="24"/>
        </w:rPr>
        <w:t>Agroecosystems 2011;</w:t>
      </w:r>
      <w:r>
        <w:rPr>
          <w:spacing w:val="-1"/>
          <w:sz w:val="24"/>
        </w:rPr>
        <w:t> </w:t>
      </w:r>
      <w:r>
        <w:rPr>
          <w:sz w:val="24"/>
        </w:rPr>
        <w:t>14:537-542.</w:t>
      </w:r>
    </w:p>
    <w:p>
      <w:pPr>
        <w:spacing w:after="0" w:line="360" w:lineRule="auto"/>
        <w:jc w:val="both"/>
        <w:rPr>
          <w:sz w:val="24"/>
        </w:rPr>
        <w:sectPr>
          <w:pgSz w:w="12240" w:h="15840"/>
          <w:pgMar w:header="984" w:footer="986" w:top="1280" w:bottom="1180" w:left="1300" w:right="1340"/>
        </w:sectPr>
      </w:pPr>
    </w:p>
    <w:p>
      <w:pPr>
        <w:pStyle w:val="BodyText"/>
        <w:spacing w:before="125"/>
        <w:ind w:left="118" w:right="410"/>
      </w:pPr>
      <w:r>
        <w:rPr/>
        <w:t>Figura 1: Representación gráfica del modelo.</w:t>
      </w:r>
    </w:p>
    <w:p>
      <w:pPr>
        <w:pStyle w:val="BodyText"/>
        <w:rPr>
          <w:sz w:val="20"/>
        </w:rPr>
      </w:pPr>
    </w:p>
    <w:p>
      <w:pPr>
        <w:pStyle w:val="BodyText"/>
        <w:spacing w:before="2"/>
        <w:rPr>
          <w:sz w:val="19"/>
        </w:rPr>
      </w:pPr>
      <w:r>
        <w:rPr/>
        <w:pict>
          <v:group style="position:absolute;margin-left:81.599998pt;margin-top:13.005288pt;width:331.2pt;height:168pt;mso-position-horizontal-relative:page;mso-position-vertical-relative:paragraph;z-index:6064;mso-wrap-distance-left:0;mso-wrap-distance-right:0" coordorigin="1632,260" coordsize="6624,3360">
            <v:line style="position:absolute" from="1920,618" to="1920,3167" stroked="true" strokeweight=".48pt" strokecolor="#000000"/>
            <v:line style="position:absolute" from="1920,3169" to="4474,3169" stroked="true" strokeweight=".48pt" strokecolor="#000000"/>
            <v:line style="position:absolute" from="1920,908" to="3037,3185" stroked="true" strokeweight=".48pt" strokecolor="#000000"/>
            <v:line style="position:absolute" from="2035,3171" to="3779,1045" stroked="true" strokeweight=".48pt" strokecolor="#000000"/>
            <v:shape style="position:absolute;left:1778;top:260;width:386;height:439" type="#_x0000_t75" stroked="false">
              <v:imagedata r:id="rId40" o:title=""/>
            </v:shape>
            <v:shape style="position:absolute;left:4423;top:3013;width:434;height:439" type="#_x0000_t75" stroked="false">
              <v:imagedata r:id="rId41" o:title=""/>
            </v:shape>
            <v:shape style="position:absolute;left:3547;top:692;width:4709;height:610" type="#_x0000_t75" stroked="false">
              <v:imagedata r:id="rId144" o:title=""/>
            </v:shape>
            <v:shape style="position:absolute;left:3691;top:1357;width:4090;height:612" type="#_x0000_t75" stroked="false">
              <v:imagedata r:id="rId45" o:title=""/>
            </v:shape>
            <v:shape style="position:absolute;left:2714;top:2331;width:4423;height:550" type="#_x0000_t75" stroked="false">
              <v:imagedata r:id="rId44" o:title=""/>
            </v:shape>
            <v:shape style="position:absolute;left:1632;top:3181;width:384;height:439" type="#_x0000_t75" stroked="false">
              <v:imagedata r:id="rId40" o:title=""/>
            </v:shape>
            <v:shape style="position:absolute;left:1923;top:287;width:161;height:240" type="#_x0000_t202" filled="false" stroked="false">
              <v:textbox inset="0,0,0,0">
                <w:txbxContent>
                  <w:p>
                    <w:pPr>
                      <w:spacing w:line="240" w:lineRule="exact" w:before="0"/>
                      <w:ind w:left="0" w:right="0" w:firstLine="0"/>
                      <w:jc w:val="left"/>
                      <w:rPr>
                        <w:rFonts w:ascii="Arial"/>
                        <w:i/>
                        <w:sz w:val="24"/>
                      </w:rPr>
                    </w:pPr>
                    <w:r>
                      <w:rPr>
                        <w:rFonts w:ascii="Arial"/>
                        <w:i/>
                        <w:w w:val="100"/>
                        <w:sz w:val="24"/>
                      </w:rPr>
                      <w:t>P</w:t>
                    </w:r>
                  </w:p>
                </w:txbxContent>
              </v:textbox>
              <w10:wrap type="none"/>
            </v:shape>
            <v:shape style="position:absolute;left:4333;top:772;width:3020;height:240" type="#_x0000_t202" filled="false" stroked="false">
              <v:textbox inset="0,0,0,0">
                <w:txbxContent>
                  <w:p>
                    <w:pPr>
                      <w:spacing w:line="240" w:lineRule="exact" w:before="0"/>
                      <w:ind w:left="0" w:right="0" w:firstLine="0"/>
                      <w:jc w:val="left"/>
                      <w:rPr>
                        <w:rFonts w:ascii="Cambria Math" w:hAnsi="Cambria Math" w:eastAsia="Cambria Math"/>
                        <w:sz w:val="24"/>
                      </w:rPr>
                    </w:pPr>
                    <w:r>
                      <w:rPr>
                        <w:rFonts w:ascii="Cambria Math" w:hAnsi="Cambria Math" w:eastAsia="Cambria Math"/>
                        <w:sz w:val="24"/>
                      </w:rPr>
                      <w:t>���𝑎��𝑎 = 𝜆 � + ⁄   𝜔 �</w:t>
                    </w:r>
                  </w:p>
                </w:txbxContent>
              </v:textbox>
              <w10:wrap type="none"/>
            </v:shape>
            <v:shape style="position:absolute;left:5859;top:876;width:359;height:171" type="#_x0000_t202" filled="false" stroked="false">
              <v:textbox inset="0,0,0,0">
                <w:txbxContent>
                  <w:p>
                    <w:pPr>
                      <w:spacing w:line="170" w:lineRule="exact" w:before="0"/>
                      <w:ind w:left="0" w:right="0" w:firstLine="0"/>
                      <w:jc w:val="left"/>
                      <w:rPr>
                        <w:rFonts w:ascii="Cambria Math" w:eastAsia="Cambria Math"/>
                        <w:sz w:val="17"/>
                      </w:rPr>
                    </w:pPr>
                    <w:r>
                      <w:rPr>
                        <w:rFonts w:ascii="Cambria Math" w:eastAsia="Cambria Math"/>
                        <w:w w:val="110"/>
                        <w:sz w:val="17"/>
                      </w:rPr>
                      <w:t>𝑑 𝑑</w:t>
                    </w:r>
                  </w:p>
                </w:txbxContent>
              </v:textbox>
              <w10:wrap type="none"/>
            </v:shape>
            <v:shape style="position:absolute;left:6520;top:695;width:113;height:240" type="#_x0000_t202" filled="false" stroked="false">
              <v:textbox inset="0,0,0,0">
                <w:txbxContent>
                  <w:p>
                    <w:pPr>
                      <w:spacing w:line="240" w:lineRule="exact" w:before="0"/>
                      <w:ind w:left="0" w:right="0" w:firstLine="0"/>
                      <w:jc w:val="left"/>
                      <w:rPr>
                        <w:rFonts w:ascii="Cambria Math"/>
                        <w:sz w:val="24"/>
                      </w:rPr>
                    </w:pPr>
                    <w:r>
                      <w:rPr>
                        <w:rFonts w:ascii="Cambria Math"/>
                        <w:spacing w:val="-21"/>
                        <w:w w:val="100"/>
                        <w:sz w:val="24"/>
                      </w:rPr>
                      <w:t>1</w:t>
                    </w:r>
                  </w:p>
                </w:txbxContent>
              </v:textbox>
              <w10:wrap type="none"/>
            </v:shape>
            <v:shape style="position:absolute;left:7365;top:734;width:99;height:171" type="#_x0000_t202" filled="false" stroked="false">
              <v:textbox inset="0,0,0,0">
                <w:txbxContent>
                  <w:p>
                    <w:pPr>
                      <w:spacing w:line="170" w:lineRule="exact" w:before="0"/>
                      <w:ind w:left="0" w:right="0" w:firstLine="0"/>
                      <w:jc w:val="left"/>
                      <w:rPr>
                        <w:rFonts w:ascii="Cambria Math"/>
                        <w:sz w:val="17"/>
                      </w:rPr>
                    </w:pPr>
                    <w:r>
                      <w:rPr>
                        <w:rFonts w:ascii="Cambria Math"/>
                        <w:w w:val="104"/>
                        <w:sz w:val="17"/>
                      </w:rPr>
                      <w:t>2</w:t>
                    </w:r>
                  </w:p>
                </w:txbxContent>
              </v:textbox>
              <w10:wrap type="none"/>
            </v:shape>
            <v:shape style="position:absolute;left:6745;top:870;width:133;height:240" type="#_x0000_t202" filled="false" stroked="false">
              <v:textbox inset="0,0,0,0">
                <w:txbxContent>
                  <w:p>
                    <w:pPr>
                      <w:spacing w:line="240" w:lineRule="exact" w:before="0"/>
                      <w:ind w:left="0" w:right="0" w:firstLine="0"/>
                      <w:jc w:val="left"/>
                      <w:rPr>
                        <w:rFonts w:ascii="Cambria Math"/>
                        <w:sz w:val="24"/>
                      </w:rPr>
                    </w:pPr>
                    <w:r>
                      <w:rPr>
                        <w:rFonts w:ascii="Cambria Math"/>
                        <w:w w:val="100"/>
                        <w:sz w:val="24"/>
                      </w:rPr>
                      <w:t>2</w:t>
                    </w:r>
                  </w:p>
                </w:txbxContent>
              </v:textbox>
              <w10:wrap type="none"/>
            </v:shape>
            <v:shape style="position:absolute;left:7096;top:876;width:359;height:178" type="#_x0000_t202" filled="false" stroked="false">
              <v:textbox inset="0,0,0,0">
                <w:txbxContent>
                  <w:p>
                    <w:pPr>
                      <w:spacing w:line="178" w:lineRule="exact" w:before="0"/>
                      <w:ind w:left="0" w:right="0" w:firstLine="0"/>
                      <w:jc w:val="left"/>
                      <w:rPr>
                        <w:rFonts w:ascii="Cambria Math" w:eastAsia="Cambria Math"/>
                        <w:sz w:val="17"/>
                      </w:rPr>
                    </w:pPr>
                    <w:r>
                      <w:rPr>
                        <w:rFonts w:ascii="Cambria Math" w:eastAsia="Cambria Math"/>
                        <w:w w:val="110"/>
                        <w:position w:val="1"/>
                        <w:sz w:val="17"/>
                      </w:rPr>
                      <w:t>𝑑 </w:t>
                    </w:r>
                    <w:r>
                      <w:rPr>
                        <w:rFonts w:ascii="Cambria Math" w:eastAsia="Cambria Math"/>
                        <w:w w:val="110"/>
                        <w:sz w:val="17"/>
                      </w:rPr>
                      <w:t>𝑑</w:t>
                    </w:r>
                  </w:p>
                </w:txbxContent>
              </v:textbox>
              <w10:wrap type="none"/>
            </v:shape>
            <v:shape style="position:absolute;left:4381;top:1434;width:2591;height:240" type="#_x0000_t202" filled="false" stroked="false">
              <v:textbox inset="0,0,0,0">
                <w:txbxContent>
                  <w:p>
                    <w:pPr>
                      <w:spacing w:line="240" w:lineRule="exact" w:before="0"/>
                      <w:ind w:left="0" w:right="0" w:firstLine="0"/>
                      <w:jc w:val="left"/>
                      <w:rPr>
                        <w:rFonts w:ascii="Cambria Math" w:hAnsi="Cambria Math" w:eastAsia="Cambria Math"/>
                        <w:sz w:val="24"/>
                      </w:rPr>
                    </w:pPr>
                    <w:r>
                      <w:rPr>
                        <w:rFonts w:ascii="Cambria Math" w:hAnsi="Cambria Math" w:eastAsia="Cambria Math"/>
                        <w:sz w:val="24"/>
                      </w:rPr>
                      <w:t>�����𝑎 = 𝜈 � + ⁄  𝜂 �</w:t>
                    </w:r>
                  </w:p>
                </w:txbxContent>
              </v:textbox>
              <w10:wrap type="none"/>
            </v:shape>
            <v:shape style="position:absolute;left:6224;top:1357;width:133;height:240" type="#_x0000_t202" filled="false" stroked="false">
              <v:textbox inset="0,0,0,0">
                <w:txbxContent>
                  <w:p>
                    <w:pPr>
                      <w:spacing w:line="240" w:lineRule="exact" w:before="0"/>
                      <w:ind w:left="0" w:right="0" w:firstLine="0"/>
                      <w:jc w:val="left"/>
                      <w:rPr>
                        <w:rFonts w:ascii="Cambria Math"/>
                        <w:sz w:val="24"/>
                      </w:rPr>
                    </w:pPr>
                    <w:r>
                      <w:rPr>
                        <w:rFonts w:ascii="Cambria Math"/>
                        <w:w w:val="100"/>
                        <w:sz w:val="24"/>
                      </w:rPr>
                      <w:t>1</w:t>
                    </w:r>
                  </w:p>
                </w:txbxContent>
              </v:textbox>
              <w10:wrap type="none"/>
            </v:shape>
            <v:shape style="position:absolute;left:6983;top:1402;width:99;height:171" type="#_x0000_t202" filled="false" stroked="false">
              <v:textbox inset="0,0,0,0">
                <w:txbxContent>
                  <w:p>
                    <w:pPr>
                      <w:spacing w:line="170" w:lineRule="exact" w:before="0"/>
                      <w:ind w:left="0" w:right="0" w:firstLine="0"/>
                      <w:jc w:val="left"/>
                      <w:rPr>
                        <w:rFonts w:ascii="Cambria Math"/>
                        <w:sz w:val="17"/>
                      </w:rPr>
                    </w:pPr>
                    <w:r>
                      <w:rPr>
                        <w:rFonts w:ascii="Cambria Math"/>
                        <w:w w:val="104"/>
                        <w:sz w:val="17"/>
                      </w:rPr>
                      <w:t>2</w:t>
                    </w:r>
                  </w:p>
                </w:txbxContent>
              </v:textbox>
              <w10:wrap type="none"/>
            </v:shape>
            <v:shape style="position:absolute;left:5622;top:1538;width:301;height:171" type="#_x0000_t202" filled="false" stroked="false">
              <v:textbox inset="0,0,0,0">
                <w:txbxContent>
                  <w:p>
                    <w:pPr>
                      <w:spacing w:line="170" w:lineRule="exact" w:before="0"/>
                      <w:ind w:left="0" w:right="0" w:firstLine="0"/>
                      <w:jc w:val="left"/>
                      <w:rPr>
                        <w:rFonts w:ascii="Cambria Math" w:eastAsia="Cambria Math"/>
                        <w:sz w:val="17"/>
                      </w:rPr>
                    </w:pPr>
                    <w:r>
                      <w:rPr>
                        <w:rFonts w:ascii="Cambria Math" w:eastAsia="Cambria Math"/>
                        <w:w w:val="105"/>
                        <w:sz w:val="17"/>
                      </w:rPr>
                      <w:t>𝑠 𝑠</w:t>
                    </w:r>
                  </w:p>
                </w:txbxContent>
              </v:textbox>
              <w10:wrap type="none"/>
            </v:shape>
            <v:shape style="position:absolute;left:6450;top:1532;width:133;height:240" type="#_x0000_t202" filled="false" stroked="false">
              <v:textbox inset="0,0,0,0">
                <w:txbxContent>
                  <w:p>
                    <w:pPr>
                      <w:spacing w:line="240" w:lineRule="exact" w:before="0"/>
                      <w:ind w:left="0" w:right="0" w:firstLine="0"/>
                      <w:jc w:val="left"/>
                      <w:rPr>
                        <w:rFonts w:ascii="Cambria Math"/>
                        <w:sz w:val="24"/>
                      </w:rPr>
                    </w:pPr>
                    <w:r>
                      <w:rPr>
                        <w:rFonts w:ascii="Cambria Math"/>
                        <w:w w:val="100"/>
                        <w:sz w:val="24"/>
                      </w:rPr>
                      <w:t>2</w:t>
                    </w:r>
                  </w:p>
                </w:txbxContent>
              </v:textbox>
              <w10:wrap type="none"/>
            </v:shape>
            <v:shape style="position:absolute;left:6748;top:1538;width:304;height:171" type="#_x0000_t202" filled="false" stroked="false">
              <v:textbox inset="0,0,0,0">
                <w:txbxContent>
                  <w:p>
                    <w:pPr>
                      <w:spacing w:line="170" w:lineRule="exact" w:before="0"/>
                      <w:ind w:left="0" w:right="0" w:firstLine="0"/>
                      <w:jc w:val="left"/>
                      <w:rPr>
                        <w:rFonts w:ascii="Cambria Math" w:eastAsia="Cambria Math"/>
                        <w:sz w:val="17"/>
                      </w:rPr>
                    </w:pPr>
                    <w:r>
                      <w:rPr>
                        <w:rFonts w:ascii="Cambria Math" w:eastAsia="Cambria Math"/>
                        <w:w w:val="105"/>
                        <w:sz w:val="17"/>
                      </w:rPr>
                      <w:t>𝑠 𝑠</w:t>
                    </w:r>
                  </w:p>
                </w:txbxContent>
              </v:textbox>
              <w10:wrap type="none"/>
            </v:shape>
            <v:shape style="position:absolute;left:3454;top:2401;width:2945;height:275" type="#_x0000_t202" filled="false" stroked="false">
              <v:textbox inset="0,0,0,0">
                <w:txbxContent>
                  <w:p>
                    <w:pPr>
                      <w:spacing w:line="275" w:lineRule="exact" w:before="0"/>
                      <w:ind w:left="0" w:right="0" w:firstLine="0"/>
                      <w:jc w:val="left"/>
                      <w:rPr>
                        <w:rFonts w:ascii="Cambria Math" w:eastAsia="Cambria Math"/>
                        <w:sz w:val="24"/>
                      </w:rPr>
                    </w:pPr>
                    <w:r>
                      <w:rPr>
                        <w:rFonts w:ascii="Cambria Math" w:eastAsia="Cambria Math"/>
                        <w:spacing w:val="-6"/>
                        <w:w w:val="75"/>
                        <w:sz w:val="24"/>
                      </w:rPr>
                      <w:t>����� ��𝑎������ </w:t>
                    </w:r>
                    <w:r>
                      <w:rPr>
                        <w:rFonts w:ascii="Cambria Math" w:eastAsia="Cambria Math"/>
                        <w:spacing w:val="-5"/>
                        <w:w w:val="75"/>
                        <w:sz w:val="24"/>
                      </w:rPr>
                      <w:t>= </w:t>
                    </w:r>
                    <w:r>
                      <w:rPr>
                        <w:rFonts w:ascii="Cambria Math" w:eastAsia="Cambria Math"/>
                        <w:spacing w:val="-46"/>
                        <w:sz w:val="24"/>
                      </w:rPr>
                      <w:t>[�</w:t>
                    </w:r>
                    <w:r>
                      <w:rPr>
                        <w:rFonts w:ascii="Cambria Math" w:eastAsia="Cambria Math"/>
                        <w:spacing w:val="-46"/>
                        <w:position w:val="-4"/>
                        <w:sz w:val="17"/>
                      </w:rPr>
                      <w:t>𝑠𝑑</w:t>
                    </w:r>
                    <w:r>
                      <w:rPr>
                        <w:rFonts w:ascii="Cambria Math" w:eastAsia="Cambria Math"/>
                        <w:spacing w:val="27"/>
                        <w:position w:val="-4"/>
                        <w:sz w:val="17"/>
                      </w:rPr>
                      <w:t> </w:t>
                    </w:r>
                    <w:r>
                      <w:rPr>
                        <w:rFonts w:ascii="Cambria Math" w:eastAsia="Cambria Math"/>
                        <w:spacing w:val="-45"/>
                        <w:sz w:val="24"/>
                      </w:rPr>
                      <w:t>�</w:t>
                    </w:r>
                    <w:r>
                      <w:rPr>
                        <w:rFonts w:ascii="Cambria Math" w:eastAsia="Cambria Math"/>
                        <w:spacing w:val="-45"/>
                        <w:position w:val="-4"/>
                        <w:sz w:val="17"/>
                      </w:rPr>
                      <w:t>𝑠𝑑</w:t>
                    </w:r>
                    <w:r>
                      <w:rPr>
                        <w:rFonts w:ascii="Cambria Math" w:eastAsia="Cambria Math"/>
                        <w:spacing w:val="-45"/>
                        <w:sz w:val="24"/>
                      </w:rPr>
                      <w:t>]</w:t>
                    </w:r>
                  </w:p>
                </w:txbxContent>
              </v:textbox>
              <w10:wrap type="none"/>
            </v:shape>
            <v:shape style="position:absolute;left:1776;top:3208;width:134;height:240" type="#_x0000_t202" filled="false" stroked="false">
              <v:textbox inset="0,0,0,0">
                <w:txbxContent>
                  <w:p>
                    <w:pPr>
                      <w:spacing w:line="240" w:lineRule="exact" w:before="0"/>
                      <w:ind w:left="0" w:right="0" w:firstLine="0"/>
                      <w:jc w:val="left"/>
                      <w:rPr>
                        <w:rFonts w:ascii="Arial"/>
                        <w:i/>
                        <w:sz w:val="24"/>
                      </w:rPr>
                    </w:pPr>
                    <w:r>
                      <w:rPr>
                        <w:rFonts w:ascii="Arial"/>
                        <w:i/>
                        <w:w w:val="99"/>
                        <w:sz w:val="24"/>
                      </w:rPr>
                      <w:t>0</w:t>
                    </w:r>
                  </w:p>
                </w:txbxContent>
              </v:textbox>
              <w10:wrap type="none"/>
            </v:shape>
            <v:shape style="position:absolute;left:4568;top:3040;width:187;height:240" type="#_x0000_t202" filled="false" stroked="false">
              <v:textbox inset="0,0,0,0">
                <w:txbxContent>
                  <w:p>
                    <w:pPr>
                      <w:spacing w:line="240" w:lineRule="exact" w:before="0"/>
                      <w:ind w:left="0" w:right="0" w:firstLine="0"/>
                      <w:jc w:val="left"/>
                      <w:rPr>
                        <w:rFonts w:ascii="Arial"/>
                        <w:i/>
                        <w:sz w:val="24"/>
                      </w:rPr>
                    </w:pPr>
                    <w:r>
                      <w:rPr>
                        <w:rFonts w:ascii="Arial"/>
                        <w:i/>
                        <w:w w:val="100"/>
                        <w:sz w:val="24"/>
                      </w:rPr>
                      <w:t>Q</w:t>
                    </w:r>
                  </w:p>
                </w:txbxContent>
              </v:textbox>
              <w10:wrap type="none"/>
            </v:shape>
            <w10:wrap type="topAndBottom"/>
          </v:group>
        </w:pict>
      </w:r>
    </w:p>
    <w:p>
      <w:pPr>
        <w:spacing w:after="0"/>
        <w:rPr>
          <w:sz w:val="19"/>
        </w:rPr>
        <w:sectPr>
          <w:pgSz w:w="12240" w:h="15840"/>
          <w:pgMar w:header="984" w:footer="986" w:top="1280" w:bottom="1180" w:left="1300" w:right="1340"/>
        </w:sectPr>
      </w:pPr>
    </w:p>
    <w:p>
      <w:pPr>
        <w:pStyle w:val="BodyText"/>
        <w:rPr>
          <w:sz w:val="20"/>
        </w:rPr>
      </w:pPr>
    </w:p>
    <w:p>
      <w:pPr>
        <w:pStyle w:val="BodyText"/>
        <w:rPr>
          <w:sz w:val="20"/>
        </w:rPr>
      </w:pPr>
    </w:p>
    <w:p>
      <w:pPr>
        <w:pStyle w:val="BodyText"/>
        <w:rPr>
          <w:sz w:val="20"/>
        </w:rPr>
      </w:pPr>
    </w:p>
    <w:p>
      <w:pPr>
        <w:pStyle w:val="BodyText"/>
        <w:spacing w:before="186"/>
        <w:ind w:left="138" w:right="259"/>
      </w:pPr>
      <w:r>
        <w:rPr/>
        <w:t>Cuadro 1: Regiones y entidades de México.</w:t>
      </w:r>
    </w:p>
    <w:p>
      <w:pPr>
        <w:pStyle w:val="BodyText"/>
        <w:rPr>
          <w:sz w:val="20"/>
        </w:rPr>
      </w:pPr>
    </w:p>
    <w:p>
      <w:pPr>
        <w:pStyle w:val="BodyText"/>
        <w:spacing w:before="4"/>
        <w:rPr>
          <w:sz w:val="18"/>
        </w:rPr>
      </w:pPr>
      <w:r>
        <w:rPr/>
        <w:pict>
          <v:group style="position:absolute;margin-left:70.694pt;margin-top:12.535286pt;width:447.7pt;height:.5pt;mso-position-horizontal-relative:page;mso-position-vertical-relative:paragraph;z-index:6088;mso-wrap-distance-left:0;mso-wrap-distance-right:0" coordorigin="1414,251" coordsize="8954,10">
            <v:line style="position:absolute" from="1419,256" to="4316,256" stroked="true" strokeweight=".48001pt" strokecolor="#000000"/>
            <v:line style="position:absolute" from="4316,256" to="4326,256" stroked="true" strokeweight=".48001pt" strokecolor="#000000"/>
            <v:line style="position:absolute" from="4326,256" to="10363,256" stroked="true" strokeweight=".48001pt" strokecolor="#000000"/>
            <w10:wrap type="topAndBottom"/>
          </v:group>
        </w:pict>
      </w:r>
    </w:p>
    <w:p>
      <w:pPr>
        <w:tabs>
          <w:tab w:pos="5731" w:val="left" w:leader="none"/>
        </w:tabs>
        <w:spacing w:before="0"/>
        <w:ind w:left="1226" w:right="259" w:firstLine="0"/>
        <w:jc w:val="left"/>
        <w:rPr>
          <w:sz w:val="24"/>
        </w:rPr>
      </w:pPr>
      <w:r>
        <w:rPr>
          <w:b/>
          <w:sz w:val="24"/>
        </w:rPr>
        <w:t>Región</w:t>
        <w:tab/>
      </w:r>
      <w:r>
        <w:rPr>
          <w:sz w:val="24"/>
        </w:rPr>
        <w:t>Estado</w:t>
      </w:r>
    </w:p>
    <w:p>
      <w:pPr>
        <w:pStyle w:val="BodyText"/>
        <w:spacing w:before="10"/>
        <w:rPr>
          <w:sz w:val="25"/>
        </w:rPr>
      </w:pPr>
      <w:r>
        <w:rPr/>
        <w:pict>
          <v:group style="position:absolute;margin-left:70.694pt;margin-top:16.83429pt;width:447.7pt;height:.5pt;mso-position-horizontal-relative:page;mso-position-vertical-relative:paragraph;z-index:6112;mso-wrap-distance-left:0;mso-wrap-distance-right:0" coordorigin="1414,337" coordsize="8954,10">
            <v:line style="position:absolute" from="1419,342" to="4316,342" stroked="true" strokeweight=".48pt" strokecolor="#000000"/>
            <v:line style="position:absolute" from="4316,342" to="4326,342" stroked="true" strokeweight=".48pt" strokecolor="#000000"/>
            <v:line style="position:absolute" from="4326,342" to="4585,342" stroked="true" strokeweight=".48pt" strokecolor="#000000"/>
            <v:line style="position:absolute" from="4585,342" to="4595,342" stroked="true" strokeweight=".48pt" strokecolor="#000000"/>
            <v:line style="position:absolute" from="4595,342" to="10363,342" stroked="true" strokeweight=".48pt" strokecolor="#000000"/>
            <w10:wrap type="topAndBottom"/>
          </v:group>
        </w:pict>
      </w:r>
    </w:p>
    <w:p>
      <w:pPr>
        <w:pStyle w:val="BodyText"/>
        <w:tabs>
          <w:tab w:pos="3412" w:val="left" w:leader="none"/>
        </w:tabs>
        <w:spacing w:line="248" w:lineRule="exact"/>
        <w:ind w:left="246" w:right="259"/>
      </w:pPr>
      <w:r>
        <w:rPr>
          <w:b/>
        </w:rPr>
        <w:t>Noroeste</w:t>
      </w:r>
      <w:r>
        <w:rPr>
          <w:b/>
          <w:spacing w:val="-3"/>
        </w:rPr>
        <w:t> </w:t>
      </w:r>
      <w:r>
        <w:rPr>
          <w:b/>
        </w:rPr>
        <w:t>(NO)</w:t>
        <w:tab/>
      </w:r>
      <w:r>
        <w:rPr/>
        <w:t>Baja  California,  Baja  California  Sur,  Sonora,  Sinaloa   </w:t>
      </w:r>
      <w:r>
        <w:rPr>
          <w:spacing w:val="1"/>
        </w:rPr>
        <w:t> </w:t>
      </w:r>
      <w:r>
        <w:rPr/>
        <w:t>y</w:t>
      </w:r>
    </w:p>
    <w:p>
      <w:pPr>
        <w:pStyle w:val="BodyText"/>
        <w:spacing w:before="132"/>
        <w:ind w:right="2014"/>
        <w:jc w:val="center"/>
      </w:pPr>
      <w:r>
        <w:rPr/>
        <w:t>Nayarit.</w:t>
      </w:r>
    </w:p>
    <w:p>
      <w:pPr>
        <w:pStyle w:val="BodyText"/>
        <w:spacing w:before="4"/>
        <w:rPr>
          <w:sz w:val="23"/>
        </w:rPr>
      </w:pPr>
    </w:p>
    <w:p>
      <w:pPr>
        <w:pStyle w:val="BodyText"/>
        <w:tabs>
          <w:tab w:pos="3412" w:val="left" w:leader="none"/>
        </w:tabs>
        <w:spacing w:before="74"/>
        <w:ind w:left="246" w:right="259"/>
      </w:pPr>
      <w:r>
        <w:rPr>
          <w:b/>
        </w:rPr>
        <w:t>Norte</w:t>
      </w:r>
      <w:r>
        <w:rPr>
          <w:b/>
          <w:spacing w:val="-2"/>
        </w:rPr>
        <w:t> </w:t>
      </w:r>
      <w:r>
        <w:rPr>
          <w:b/>
        </w:rPr>
        <w:t>(NR)</w:t>
        <w:tab/>
      </w:r>
      <w:r>
        <w:rPr/>
        <w:t>Chihuahua, Coahuila, Durango, San Luis potosí y</w:t>
      </w:r>
      <w:r>
        <w:rPr>
          <w:spacing w:val="-14"/>
        </w:rPr>
        <w:t> </w:t>
      </w:r>
      <w:r>
        <w:rPr/>
        <w:t>Zacatecas</w:t>
      </w:r>
    </w:p>
    <w:p>
      <w:pPr>
        <w:pStyle w:val="BodyText"/>
        <w:spacing w:before="5"/>
        <w:rPr>
          <w:sz w:val="29"/>
        </w:rPr>
      </w:pPr>
    </w:p>
    <w:p>
      <w:pPr>
        <w:tabs>
          <w:tab w:pos="3412" w:val="left" w:leader="none"/>
        </w:tabs>
        <w:spacing w:before="0"/>
        <w:ind w:left="246" w:right="259" w:firstLine="0"/>
        <w:jc w:val="left"/>
        <w:rPr>
          <w:sz w:val="24"/>
        </w:rPr>
      </w:pPr>
      <w:r>
        <w:rPr>
          <w:b/>
          <w:sz w:val="24"/>
        </w:rPr>
        <w:t>Noreste</w:t>
      </w:r>
      <w:r>
        <w:rPr>
          <w:b/>
          <w:spacing w:val="-3"/>
          <w:sz w:val="24"/>
        </w:rPr>
        <w:t> </w:t>
      </w:r>
      <w:r>
        <w:rPr>
          <w:b/>
          <w:sz w:val="24"/>
        </w:rPr>
        <w:t>(NE)</w:t>
        <w:tab/>
      </w:r>
      <w:r>
        <w:rPr>
          <w:sz w:val="24"/>
        </w:rPr>
        <w:t>Nuevo León y</w:t>
      </w:r>
      <w:r>
        <w:rPr>
          <w:spacing w:val="-6"/>
          <w:sz w:val="24"/>
        </w:rPr>
        <w:t> </w:t>
      </w:r>
      <w:r>
        <w:rPr>
          <w:sz w:val="24"/>
        </w:rPr>
        <w:t>Tamaulipas.</w:t>
      </w:r>
    </w:p>
    <w:p>
      <w:pPr>
        <w:pStyle w:val="BodyText"/>
        <w:spacing w:before="4"/>
        <w:rPr>
          <w:sz w:val="29"/>
        </w:rPr>
      </w:pPr>
    </w:p>
    <w:p>
      <w:pPr>
        <w:tabs>
          <w:tab w:pos="3412" w:val="left" w:leader="none"/>
        </w:tabs>
        <w:spacing w:before="1"/>
        <w:ind w:left="246" w:right="259" w:firstLine="0"/>
        <w:jc w:val="left"/>
        <w:rPr>
          <w:sz w:val="24"/>
        </w:rPr>
      </w:pPr>
      <w:r>
        <w:rPr>
          <w:b/>
          <w:sz w:val="24"/>
        </w:rPr>
        <w:t>Centro-Occidente</w:t>
      </w:r>
      <w:r>
        <w:rPr>
          <w:b/>
          <w:spacing w:val="-4"/>
          <w:sz w:val="24"/>
        </w:rPr>
        <w:t> </w:t>
      </w:r>
      <w:r>
        <w:rPr>
          <w:b/>
          <w:sz w:val="24"/>
        </w:rPr>
        <w:t>(CO)</w:t>
        <w:tab/>
      </w:r>
      <w:r>
        <w:rPr>
          <w:sz w:val="24"/>
        </w:rPr>
        <w:t>Aguascalientes , Colima, Guanajuato, Jalisco y</w:t>
      </w:r>
      <w:r>
        <w:rPr>
          <w:spacing w:val="-14"/>
          <w:sz w:val="24"/>
        </w:rPr>
        <w:t> </w:t>
      </w:r>
      <w:r>
        <w:rPr>
          <w:sz w:val="24"/>
        </w:rPr>
        <w:t>Michoacán</w:t>
      </w:r>
    </w:p>
    <w:p>
      <w:pPr>
        <w:pStyle w:val="BodyText"/>
        <w:spacing w:before="2"/>
        <w:rPr>
          <w:sz w:val="29"/>
        </w:rPr>
      </w:pPr>
    </w:p>
    <w:p>
      <w:pPr>
        <w:pStyle w:val="BodyText"/>
        <w:tabs>
          <w:tab w:pos="3412" w:val="left" w:leader="none"/>
        </w:tabs>
        <w:spacing w:line="357" w:lineRule="auto"/>
        <w:ind w:left="3413" w:right="377" w:hanging="3167"/>
      </w:pPr>
      <w:r>
        <w:rPr>
          <w:b/>
        </w:rPr>
        <w:t>Centro-Este</w:t>
      </w:r>
      <w:r>
        <w:rPr>
          <w:b/>
          <w:spacing w:val="-3"/>
        </w:rPr>
        <w:t> </w:t>
      </w:r>
      <w:r>
        <w:rPr>
          <w:b/>
        </w:rPr>
        <w:t>(CE)</w:t>
        <w:tab/>
      </w:r>
      <w:r>
        <w:rPr/>
        <w:t>Distrito   Federal,   Hidalgo,   Estado   de</w:t>
      </w:r>
      <w:r>
        <w:rPr>
          <w:spacing w:val="5"/>
        </w:rPr>
        <w:t> </w:t>
      </w:r>
      <w:r>
        <w:rPr/>
        <w:t>México, </w:t>
      </w:r>
      <w:r>
        <w:rPr>
          <w:spacing w:val="36"/>
        </w:rPr>
        <w:t> </w:t>
      </w:r>
      <w:r>
        <w:rPr/>
        <w:t>Morelos,</w:t>
      </w:r>
      <w:r>
        <w:rPr>
          <w:w w:val="99"/>
        </w:rPr>
        <w:t> </w:t>
      </w:r>
      <w:r>
        <w:rPr/>
        <w:t>Puebla, Querétaro y</w:t>
      </w:r>
      <w:r>
        <w:rPr>
          <w:spacing w:val="-8"/>
        </w:rPr>
        <w:t> </w:t>
      </w:r>
      <w:r>
        <w:rPr/>
        <w:t>Tlaxcala.</w:t>
      </w:r>
    </w:p>
    <w:p>
      <w:pPr>
        <w:tabs>
          <w:tab w:pos="3412" w:val="left" w:leader="none"/>
        </w:tabs>
        <w:spacing w:before="213"/>
        <w:ind w:left="246" w:right="259" w:firstLine="0"/>
        <w:jc w:val="left"/>
        <w:rPr>
          <w:sz w:val="24"/>
        </w:rPr>
      </w:pPr>
      <w:r>
        <w:rPr>
          <w:b/>
          <w:sz w:val="24"/>
        </w:rPr>
        <w:t>Sur</w:t>
      </w:r>
      <w:r>
        <w:rPr>
          <w:b/>
          <w:spacing w:val="-2"/>
          <w:sz w:val="24"/>
        </w:rPr>
        <w:t> </w:t>
      </w:r>
      <w:r>
        <w:rPr>
          <w:b/>
          <w:sz w:val="24"/>
        </w:rPr>
        <w:t>(SU)</w:t>
        <w:tab/>
      </w:r>
      <w:r>
        <w:rPr>
          <w:sz w:val="24"/>
        </w:rPr>
        <w:t>Chiapas, Guerrero y</w:t>
      </w:r>
      <w:r>
        <w:rPr>
          <w:spacing w:val="-9"/>
          <w:sz w:val="24"/>
        </w:rPr>
        <w:t> </w:t>
      </w:r>
      <w:r>
        <w:rPr>
          <w:sz w:val="24"/>
        </w:rPr>
        <w:t>Oaxaca.</w:t>
      </w:r>
    </w:p>
    <w:p>
      <w:pPr>
        <w:pStyle w:val="BodyText"/>
        <w:spacing w:before="4"/>
        <w:rPr>
          <w:sz w:val="28"/>
        </w:rPr>
      </w:pPr>
    </w:p>
    <w:p>
      <w:pPr>
        <w:tabs>
          <w:tab w:pos="3412" w:val="left" w:leader="none"/>
        </w:tabs>
        <w:spacing w:before="0"/>
        <w:ind w:left="246" w:right="259" w:firstLine="0"/>
        <w:jc w:val="left"/>
        <w:rPr>
          <w:sz w:val="24"/>
        </w:rPr>
      </w:pPr>
      <w:r>
        <w:rPr>
          <w:b/>
          <w:sz w:val="24"/>
        </w:rPr>
        <w:t>Oriente</w:t>
      </w:r>
      <w:r>
        <w:rPr>
          <w:b/>
          <w:spacing w:val="-3"/>
          <w:sz w:val="24"/>
        </w:rPr>
        <w:t> </w:t>
      </w:r>
      <w:r>
        <w:rPr>
          <w:b/>
          <w:sz w:val="24"/>
        </w:rPr>
        <w:t>(OR)</w:t>
        <w:tab/>
      </w:r>
      <w:r>
        <w:rPr>
          <w:position w:val="1"/>
          <w:sz w:val="24"/>
        </w:rPr>
        <w:t>Tabasco y</w:t>
      </w:r>
      <w:r>
        <w:rPr>
          <w:spacing w:val="-7"/>
          <w:position w:val="1"/>
          <w:sz w:val="24"/>
        </w:rPr>
        <w:t> </w:t>
      </w:r>
      <w:r>
        <w:rPr>
          <w:position w:val="1"/>
          <w:sz w:val="24"/>
        </w:rPr>
        <w:t>Veracruz</w:t>
      </w:r>
    </w:p>
    <w:p>
      <w:pPr>
        <w:pStyle w:val="BodyText"/>
        <w:spacing w:before="4"/>
        <w:rPr>
          <w:sz w:val="29"/>
        </w:rPr>
      </w:pPr>
    </w:p>
    <w:p>
      <w:pPr>
        <w:tabs>
          <w:tab w:pos="3412" w:val="left" w:leader="none"/>
        </w:tabs>
        <w:spacing w:before="1"/>
        <w:ind w:left="246" w:right="259" w:firstLine="0"/>
        <w:jc w:val="left"/>
        <w:rPr>
          <w:sz w:val="24"/>
        </w:rPr>
      </w:pPr>
      <w:r>
        <w:rPr>
          <w:b/>
          <w:sz w:val="24"/>
        </w:rPr>
        <w:t>Península de</w:t>
      </w:r>
      <w:r>
        <w:rPr>
          <w:b/>
          <w:spacing w:val="-5"/>
          <w:sz w:val="24"/>
        </w:rPr>
        <w:t> </w:t>
      </w:r>
      <w:r>
        <w:rPr>
          <w:b/>
          <w:sz w:val="24"/>
        </w:rPr>
        <w:t>Yucatán</w:t>
      </w:r>
      <w:r>
        <w:rPr>
          <w:b/>
          <w:spacing w:val="-2"/>
          <w:sz w:val="24"/>
        </w:rPr>
        <w:t> </w:t>
      </w:r>
      <w:r>
        <w:rPr>
          <w:b/>
          <w:sz w:val="24"/>
        </w:rPr>
        <w:t>(PE)</w:t>
        <w:tab/>
      </w:r>
      <w:r>
        <w:rPr>
          <w:sz w:val="24"/>
        </w:rPr>
        <w:t>Campeche, Quintana Roo y</w:t>
      </w:r>
      <w:r>
        <w:rPr>
          <w:spacing w:val="-9"/>
          <w:sz w:val="24"/>
        </w:rPr>
        <w:t> </w:t>
      </w:r>
      <w:r>
        <w:rPr>
          <w:sz w:val="24"/>
        </w:rPr>
        <w:t>Yucatán.</w:t>
      </w:r>
    </w:p>
    <w:p>
      <w:pPr>
        <w:pStyle w:val="BodyText"/>
        <w:spacing w:before="1"/>
        <w:rPr>
          <w:sz w:val="26"/>
        </w:rPr>
      </w:pPr>
      <w:r>
        <w:rPr/>
        <w:pict>
          <v:group style="position:absolute;margin-left:69.973999pt;margin-top:16.954304pt;width:461.9pt;height:.5pt;mso-position-horizontal-relative:page;mso-position-vertical-relative:paragraph;z-index:6136;mso-wrap-distance-left:0;mso-wrap-distance-right:0" coordorigin="1399,339" coordsize="9238,10">
            <v:line style="position:absolute" from="1404,344" to="4585,344" stroked="true" strokeweight=".48001pt" strokecolor="#000000"/>
            <v:line style="position:absolute" from="4571,344" to="4580,344" stroked="true" strokeweight=".48001pt" strokecolor="#000000"/>
            <v:line style="position:absolute" from="4580,344" to="10632,344" stroked="true" strokeweight=".48001pt" strokecolor="#000000"/>
            <w10:wrap type="topAndBottom"/>
          </v:group>
        </w:pict>
      </w:r>
    </w:p>
    <w:p>
      <w:pPr>
        <w:spacing w:line="194" w:lineRule="exact" w:before="0"/>
        <w:ind w:left="138" w:right="259" w:firstLine="0"/>
        <w:jc w:val="left"/>
        <w:rPr>
          <w:sz w:val="20"/>
        </w:rPr>
      </w:pPr>
      <w:r>
        <w:rPr>
          <w:sz w:val="20"/>
        </w:rPr>
        <w:t>Elaboración propia.</w:t>
      </w:r>
    </w:p>
    <w:p>
      <w:pPr>
        <w:spacing w:after="0" w:line="194" w:lineRule="exact"/>
        <w:jc w:val="left"/>
        <w:rPr>
          <w:sz w:val="20"/>
        </w:rPr>
        <w:sectPr>
          <w:pgSz w:w="12240" w:h="15840"/>
          <w:pgMar w:header="984" w:footer="986" w:top="1280" w:bottom="1180" w:left="1280" w:right="1340"/>
        </w:sectPr>
      </w:pPr>
    </w:p>
    <w:p>
      <w:pPr>
        <w:spacing w:before="56"/>
        <w:ind w:left="3622" w:right="0" w:firstLine="0"/>
        <w:jc w:val="left"/>
        <w:rPr>
          <w:sz w:val="22"/>
        </w:rPr>
      </w:pPr>
      <w:r>
        <w:rPr/>
        <w:pict>
          <v:line style="position:absolute;mso-position-horizontal-relative:page;mso-position-vertical-relative:paragraph;z-index:6160;mso-wrap-distance-left:0;mso-wrap-distance-right:0" from="72.599998pt,18.109514pt" to="514.449998pt,19.159514pt" stroked="true" strokeweight=".48pt" strokecolor="#000000">
            <w10:wrap type="topAndBottom"/>
          </v:line>
        </w:pict>
      </w:r>
      <w:r>
        <w:rPr>
          <w:sz w:val="22"/>
        </w:rPr>
        <w:t>Evaluación del efecto de la aplicación de subsidios a la porcicultura mexicana.</w:t>
      </w:r>
    </w:p>
    <w:p>
      <w:pPr>
        <w:pStyle w:val="ListParagraph"/>
        <w:numPr>
          <w:ilvl w:val="0"/>
          <w:numId w:val="20"/>
        </w:numPr>
        <w:tabs>
          <w:tab w:pos="578" w:val="left" w:leader="none"/>
          <w:tab w:pos="579" w:val="left" w:leader="none"/>
        </w:tabs>
        <w:spacing w:line="240" w:lineRule="auto" w:before="95" w:after="0"/>
        <w:ind w:left="578" w:right="0" w:hanging="470"/>
        <w:jc w:val="left"/>
        <w:rPr>
          <w:sz w:val="24"/>
        </w:rPr>
      </w:pPr>
      <w:r>
        <w:rPr>
          <w:sz w:val="24"/>
        </w:rPr>
        <w:t>Cuadro 2: Efectos de la aplicación de políticas económicas a la producción, importación y consumo de carne de</w:t>
      </w:r>
      <w:r>
        <w:rPr>
          <w:spacing w:val="-21"/>
          <w:sz w:val="24"/>
        </w:rPr>
        <w:t> </w:t>
      </w:r>
      <w:r>
        <w:rPr>
          <w:sz w:val="24"/>
        </w:rPr>
        <w:t>cerdo.</w:t>
      </w:r>
    </w:p>
    <w:p>
      <w:pPr>
        <w:pStyle w:val="BodyText"/>
        <w:spacing w:before="6" w:after="1"/>
        <w:rPr>
          <w:sz w:val="17"/>
        </w:rPr>
      </w:pPr>
    </w:p>
    <w:tbl>
      <w:tblPr>
        <w:tblW w:w="0" w:type="auto"/>
        <w:jc w:val="left"/>
        <w:tblInd w:w="5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52"/>
        <w:gridCol w:w="1032"/>
        <w:gridCol w:w="1274"/>
        <w:gridCol w:w="1250"/>
        <w:gridCol w:w="1179"/>
        <w:gridCol w:w="1249"/>
        <w:gridCol w:w="1250"/>
        <w:gridCol w:w="988"/>
        <w:gridCol w:w="751"/>
        <w:gridCol w:w="1117"/>
        <w:gridCol w:w="880"/>
        <w:gridCol w:w="978"/>
      </w:tblGrid>
      <w:tr>
        <w:trPr>
          <w:trHeight w:val="310" w:hRule="exact"/>
        </w:trPr>
        <w:tc>
          <w:tcPr>
            <w:tcW w:w="1052" w:type="dxa"/>
            <w:tcBorders>
              <w:left w:val="nil"/>
              <w:bottom w:val="nil"/>
              <w:right w:val="nil"/>
            </w:tcBorders>
          </w:tcPr>
          <w:p>
            <w:pPr/>
          </w:p>
        </w:tc>
        <w:tc>
          <w:tcPr>
            <w:tcW w:w="1032" w:type="dxa"/>
            <w:tcBorders>
              <w:left w:val="nil"/>
              <w:bottom w:val="nil"/>
              <w:right w:val="nil"/>
            </w:tcBorders>
          </w:tcPr>
          <w:p>
            <w:pPr>
              <w:pStyle w:val="TableParagraph"/>
              <w:spacing w:before="77"/>
              <w:ind w:left="201"/>
              <w:rPr>
                <w:sz w:val="20"/>
              </w:rPr>
            </w:pPr>
            <w:r>
              <w:rPr>
                <w:sz w:val="20"/>
              </w:rPr>
              <w:t>Modelo</w:t>
            </w:r>
          </w:p>
        </w:tc>
        <w:tc>
          <w:tcPr>
            <w:tcW w:w="1274" w:type="dxa"/>
            <w:tcBorders>
              <w:left w:val="nil"/>
              <w:right w:val="nil"/>
            </w:tcBorders>
          </w:tcPr>
          <w:p>
            <w:pPr/>
          </w:p>
        </w:tc>
        <w:tc>
          <w:tcPr>
            <w:tcW w:w="1250" w:type="dxa"/>
            <w:tcBorders>
              <w:left w:val="nil"/>
              <w:right w:val="nil"/>
            </w:tcBorders>
          </w:tcPr>
          <w:p>
            <w:pPr/>
          </w:p>
        </w:tc>
        <w:tc>
          <w:tcPr>
            <w:tcW w:w="1179" w:type="dxa"/>
            <w:tcBorders>
              <w:left w:val="nil"/>
              <w:right w:val="nil"/>
            </w:tcBorders>
          </w:tcPr>
          <w:p>
            <w:pPr>
              <w:pStyle w:val="TableParagraph"/>
              <w:spacing w:before="70"/>
              <w:ind w:left="96"/>
              <w:rPr>
                <w:sz w:val="20"/>
              </w:rPr>
            </w:pPr>
            <w:r>
              <w:rPr>
                <w:sz w:val="20"/>
              </w:rPr>
              <w:t>Escenarios</w:t>
            </w:r>
          </w:p>
        </w:tc>
        <w:tc>
          <w:tcPr>
            <w:tcW w:w="1249" w:type="dxa"/>
            <w:tcBorders>
              <w:left w:val="nil"/>
              <w:right w:val="nil"/>
            </w:tcBorders>
          </w:tcPr>
          <w:p>
            <w:pPr/>
          </w:p>
        </w:tc>
        <w:tc>
          <w:tcPr>
            <w:tcW w:w="1250" w:type="dxa"/>
            <w:tcBorders>
              <w:left w:val="nil"/>
              <w:right w:val="nil"/>
            </w:tcBorders>
          </w:tcPr>
          <w:p>
            <w:pPr/>
          </w:p>
        </w:tc>
        <w:tc>
          <w:tcPr>
            <w:tcW w:w="988" w:type="dxa"/>
            <w:tcBorders>
              <w:left w:val="nil"/>
              <w:right w:val="nil"/>
            </w:tcBorders>
          </w:tcPr>
          <w:p>
            <w:pPr/>
          </w:p>
        </w:tc>
        <w:tc>
          <w:tcPr>
            <w:tcW w:w="751" w:type="dxa"/>
            <w:tcBorders>
              <w:left w:val="nil"/>
              <w:right w:val="nil"/>
            </w:tcBorders>
          </w:tcPr>
          <w:p>
            <w:pPr/>
          </w:p>
        </w:tc>
        <w:tc>
          <w:tcPr>
            <w:tcW w:w="1117" w:type="dxa"/>
            <w:tcBorders>
              <w:left w:val="nil"/>
              <w:right w:val="nil"/>
            </w:tcBorders>
          </w:tcPr>
          <w:p>
            <w:pPr>
              <w:pStyle w:val="TableParagraph"/>
              <w:spacing w:before="70"/>
              <w:ind w:left="70" w:right="51"/>
              <w:jc w:val="center"/>
              <w:rPr>
                <w:sz w:val="20"/>
              </w:rPr>
            </w:pPr>
            <w:r>
              <w:rPr>
                <w:sz w:val="20"/>
              </w:rPr>
              <w:t>Variaciones</w:t>
            </w:r>
          </w:p>
        </w:tc>
        <w:tc>
          <w:tcPr>
            <w:tcW w:w="1858" w:type="dxa"/>
            <w:gridSpan w:val="2"/>
            <w:tcBorders>
              <w:left w:val="nil"/>
              <w:right w:val="nil"/>
            </w:tcBorders>
          </w:tcPr>
          <w:p>
            <w:pPr/>
          </w:p>
        </w:tc>
      </w:tr>
      <w:tr>
        <w:trPr>
          <w:trHeight w:val="310" w:hRule="exact"/>
        </w:trPr>
        <w:tc>
          <w:tcPr>
            <w:tcW w:w="1052" w:type="dxa"/>
            <w:tcBorders>
              <w:top w:val="nil"/>
              <w:left w:val="nil"/>
              <w:bottom w:val="nil"/>
              <w:right w:val="nil"/>
            </w:tcBorders>
          </w:tcPr>
          <w:p>
            <w:pPr>
              <w:pStyle w:val="TableParagraph"/>
              <w:spacing w:before="41"/>
              <w:ind w:left="120"/>
              <w:rPr>
                <w:sz w:val="20"/>
              </w:rPr>
            </w:pPr>
            <w:r>
              <w:rPr>
                <w:sz w:val="20"/>
              </w:rPr>
              <w:t>Región</w:t>
            </w:r>
          </w:p>
        </w:tc>
        <w:tc>
          <w:tcPr>
            <w:tcW w:w="1032" w:type="dxa"/>
            <w:tcBorders>
              <w:top w:val="nil"/>
              <w:left w:val="nil"/>
              <w:right w:val="nil"/>
            </w:tcBorders>
          </w:tcPr>
          <w:p>
            <w:pPr>
              <w:pStyle w:val="TableParagraph"/>
              <w:ind w:left="336"/>
              <w:rPr>
                <w:sz w:val="20"/>
              </w:rPr>
            </w:pPr>
            <w:r>
              <w:rPr>
                <w:sz w:val="20"/>
              </w:rPr>
              <w:t>base</w:t>
            </w:r>
          </w:p>
        </w:tc>
        <w:tc>
          <w:tcPr>
            <w:tcW w:w="1274" w:type="dxa"/>
            <w:tcBorders>
              <w:left w:val="nil"/>
              <w:right w:val="nil"/>
            </w:tcBorders>
          </w:tcPr>
          <w:p>
            <w:pPr>
              <w:pStyle w:val="TableParagraph"/>
              <w:spacing w:before="36"/>
              <w:ind w:right="78"/>
              <w:jc w:val="center"/>
              <w:rPr>
                <w:sz w:val="20"/>
              </w:rPr>
            </w:pPr>
            <w:r>
              <w:rPr>
                <w:w w:val="99"/>
                <w:sz w:val="20"/>
              </w:rPr>
              <w:t>1</w:t>
            </w:r>
          </w:p>
        </w:tc>
        <w:tc>
          <w:tcPr>
            <w:tcW w:w="1250" w:type="dxa"/>
            <w:tcBorders>
              <w:left w:val="nil"/>
              <w:right w:val="nil"/>
            </w:tcBorders>
          </w:tcPr>
          <w:p>
            <w:pPr>
              <w:pStyle w:val="TableParagraph"/>
              <w:spacing w:before="36"/>
              <w:ind w:right="202"/>
              <w:jc w:val="center"/>
              <w:rPr>
                <w:sz w:val="20"/>
              </w:rPr>
            </w:pPr>
            <w:r>
              <w:rPr>
                <w:w w:val="99"/>
                <w:sz w:val="20"/>
              </w:rPr>
              <w:t>2</w:t>
            </w:r>
          </w:p>
        </w:tc>
        <w:tc>
          <w:tcPr>
            <w:tcW w:w="1179" w:type="dxa"/>
            <w:tcBorders>
              <w:left w:val="nil"/>
              <w:right w:val="nil"/>
            </w:tcBorders>
          </w:tcPr>
          <w:p>
            <w:pPr>
              <w:pStyle w:val="TableParagraph"/>
              <w:spacing w:before="36"/>
              <w:ind w:right="178"/>
              <w:jc w:val="center"/>
              <w:rPr>
                <w:sz w:val="20"/>
              </w:rPr>
            </w:pPr>
            <w:r>
              <w:rPr>
                <w:w w:val="99"/>
                <w:sz w:val="20"/>
              </w:rPr>
              <w:t>3</w:t>
            </w:r>
          </w:p>
        </w:tc>
        <w:tc>
          <w:tcPr>
            <w:tcW w:w="1249" w:type="dxa"/>
            <w:tcBorders>
              <w:left w:val="nil"/>
              <w:right w:val="nil"/>
            </w:tcBorders>
          </w:tcPr>
          <w:p>
            <w:pPr>
              <w:pStyle w:val="TableParagraph"/>
              <w:spacing w:before="36"/>
              <w:ind w:right="154"/>
              <w:jc w:val="center"/>
              <w:rPr>
                <w:sz w:val="20"/>
              </w:rPr>
            </w:pPr>
            <w:r>
              <w:rPr>
                <w:w w:val="99"/>
                <w:sz w:val="20"/>
              </w:rPr>
              <w:t>4</w:t>
            </w:r>
          </w:p>
        </w:tc>
        <w:tc>
          <w:tcPr>
            <w:tcW w:w="1250" w:type="dxa"/>
            <w:tcBorders>
              <w:left w:val="nil"/>
              <w:right w:val="nil"/>
            </w:tcBorders>
          </w:tcPr>
          <w:p>
            <w:pPr>
              <w:pStyle w:val="TableParagraph"/>
              <w:spacing w:before="36"/>
              <w:ind w:right="194"/>
              <w:jc w:val="center"/>
              <w:rPr>
                <w:sz w:val="20"/>
              </w:rPr>
            </w:pPr>
            <w:r>
              <w:rPr>
                <w:w w:val="99"/>
                <w:sz w:val="20"/>
              </w:rPr>
              <w:t>5</w:t>
            </w:r>
          </w:p>
        </w:tc>
        <w:tc>
          <w:tcPr>
            <w:tcW w:w="988" w:type="dxa"/>
            <w:tcBorders>
              <w:left w:val="nil"/>
              <w:right w:val="nil"/>
            </w:tcBorders>
          </w:tcPr>
          <w:p>
            <w:pPr>
              <w:pStyle w:val="TableParagraph"/>
              <w:spacing w:before="72"/>
              <w:ind w:left="328"/>
              <w:rPr>
                <w:sz w:val="20"/>
              </w:rPr>
            </w:pPr>
            <w:r>
              <w:rPr>
                <w:w w:val="99"/>
                <w:sz w:val="20"/>
              </w:rPr>
              <w:t>1</w:t>
            </w:r>
          </w:p>
        </w:tc>
        <w:tc>
          <w:tcPr>
            <w:tcW w:w="751" w:type="dxa"/>
            <w:tcBorders>
              <w:left w:val="nil"/>
              <w:right w:val="nil"/>
            </w:tcBorders>
          </w:tcPr>
          <w:p>
            <w:pPr>
              <w:pStyle w:val="TableParagraph"/>
              <w:spacing w:before="72"/>
              <w:ind w:right="76"/>
              <w:jc w:val="center"/>
              <w:rPr>
                <w:sz w:val="20"/>
              </w:rPr>
            </w:pPr>
            <w:r>
              <w:rPr>
                <w:w w:val="99"/>
                <w:sz w:val="20"/>
              </w:rPr>
              <w:t>2</w:t>
            </w:r>
          </w:p>
        </w:tc>
        <w:tc>
          <w:tcPr>
            <w:tcW w:w="1117" w:type="dxa"/>
            <w:tcBorders>
              <w:left w:val="nil"/>
              <w:right w:val="nil"/>
            </w:tcBorders>
          </w:tcPr>
          <w:p>
            <w:pPr>
              <w:pStyle w:val="TableParagraph"/>
              <w:spacing w:before="72"/>
              <w:ind w:right="15"/>
              <w:jc w:val="center"/>
              <w:rPr>
                <w:sz w:val="20"/>
              </w:rPr>
            </w:pPr>
            <w:r>
              <w:rPr>
                <w:w w:val="99"/>
                <w:sz w:val="20"/>
              </w:rPr>
              <w:t>3</w:t>
            </w:r>
          </w:p>
        </w:tc>
        <w:tc>
          <w:tcPr>
            <w:tcW w:w="880" w:type="dxa"/>
            <w:tcBorders>
              <w:left w:val="nil"/>
              <w:right w:val="nil"/>
            </w:tcBorders>
          </w:tcPr>
          <w:p>
            <w:pPr>
              <w:pStyle w:val="TableParagraph"/>
              <w:spacing w:before="72"/>
              <w:ind w:right="62"/>
              <w:jc w:val="center"/>
              <w:rPr>
                <w:sz w:val="20"/>
              </w:rPr>
            </w:pPr>
            <w:r>
              <w:rPr>
                <w:w w:val="99"/>
                <w:sz w:val="20"/>
              </w:rPr>
              <w:t>4</w:t>
            </w:r>
          </w:p>
        </w:tc>
        <w:tc>
          <w:tcPr>
            <w:tcW w:w="978" w:type="dxa"/>
            <w:tcBorders>
              <w:left w:val="nil"/>
              <w:right w:val="nil"/>
            </w:tcBorders>
          </w:tcPr>
          <w:p>
            <w:pPr>
              <w:pStyle w:val="TableParagraph"/>
              <w:spacing w:before="72"/>
              <w:ind w:left="16"/>
              <w:jc w:val="center"/>
              <w:rPr>
                <w:sz w:val="20"/>
              </w:rPr>
            </w:pPr>
            <w:r>
              <w:rPr>
                <w:w w:val="99"/>
                <w:sz w:val="20"/>
              </w:rPr>
              <w:t>5</w:t>
            </w:r>
          </w:p>
        </w:tc>
      </w:tr>
      <w:tr>
        <w:trPr>
          <w:trHeight w:val="312" w:hRule="exact"/>
        </w:trPr>
        <w:tc>
          <w:tcPr>
            <w:tcW w:w="1052" w:type="dxa"/>
            <w:tcBorders>
              <w:top w:val="nil"/>
              <w:left w:val="nil"/>
              <w:right w:val="nil"/>
            </w:tcBorders>
          </w:tcPr>
          <w:p>
            <w:pPr/>
          </w:p>
        </w:tc>
        <w:tc>
          <w:tcPr>
            <w:tcW w:w="1032" w:type="dxa"/>
            <w:tcBorders>
              <w:left w:val="nil"/>
              <w:right w:val="nil"/>
            </w:tcBorders>
          </w:tcPr>
          <w:p>
            <w:pPr/>
          </w:p>
        </w:tc>
        <w:tc>
          <w:tcPr>
            <w:tcW w:w="1274" w:type="dxa"/>
            <w:tcBorders>
              <w:left w:val="nil"/>
              <w:right w:val="nil"/>
            </w:tcBorders>
          </w:tcPr>
          <w:p>
            <w:pPr/>
          </w:p>
        </w:tc>
        <w:tc>
          <w:tcPr>
            <w:tcW w:w="1250" w:type="dxa"/>
            <w:tcBorders>
              <w:left w:val="nil"/>
              <w:right w:val="nil"/>
            </w:tcBorders>
          </w:tcPr>
          <w:p>
            <w:pPr>
              <w:pStyle w:val="TableParagraph"/>
              <w:spacing w:before="36"/>
              <w:ind w:left="244"/>
              <w:rPr>
                <w:sz w:val="20"/>
              </w:rPr>
            </w:pPr>
            <w:r>
              <w:rPr>
                <w:sz w:val="20"/>
              </w:rPr>
              <w:t>Volumen de</w:t>
            </w:r>
          </w:p>
        </w:tc>
        <w:tc>
          <w:tcPr>
            <w:tcW w:w="1179" w:type="dxa"/>
            <w:tcBorders>
              <w:left w:val="nil"/>
              <w:right w:val="nil"/>
            </w:tcBorders>
          </w:tcPr>
          <w:p>
            <w:pPr>
              <w:pStyle w:val="TableParagraph"/>
              <w:spacing w:before="36"/>
              <w:ind w:right="147"/>
              <w:jc w:val="right"/>
              <w:rPr>
                <w:sz w:val="20"/>
              </w:rPr>
            </w:pPr>
            <w:r>
              <w:rPr>
                <w:sz w:val="20"/>
              </w:rPr>
              <w:t>producción t</w:t>
            </w:r>
          </w:p>
        </w:tc>
        <w:tc>
          <w:tcPr>
            <w:tcW w:w="1249" w:type="dxa"/>
            <w:tcBorders>
              <w:left w:val="nil"/>
              <w:right w:val="nil"/>
            </w:tcBorders>
          </w:tcPr>
          <w:p>
            <w:pPr/>
          </w:p>
        </w:tc>
        <w:tc>
          <w:tcPr>
            <w:tcW w:w="1250" w:type="dxa"/>
            <w:tcBorders>
              <w:left w:val="nil"/>
              <w:right w:val="nil"/>
            </w:tcBorders>
          </w:tcPr>
          <w:p>
            <w:pPr/>
          </w:p>
        </w:tc>
        <w:tc>
          <w:tcPr>
            <w:tcW w:w="988" w:type="dxa"/>
            <w:tcBorders>
              <w:left w:val="nil"/>
              <w:right w:val="nil"/>
            </w:tcBorders>
          </w:tcPr>
          <w:p>
            <w:pPr/>
          </w:p>
        </w:tc>
        <w:tc>
          <w:tcPr>
            <w:tcW w:w="751" w:type="dxa"/>
            <w:tcBorders>
              <w:left w:val="nil"/>
              <w:right w:val="nil"/>
            </w:tcBorders>
          </w:tcPr>
          <w:p>
            <w:pPr/>
          </w:p>
        </w:tc>
        <w:tc>
          <w:tcPr>
            <w:tcW w:w="1117" w:type="dxa"/>
            <w:tcBorders>
              <w:left w:val="nil"/>
              <w:right w:val="nil"/>
            </w:tcBorders>
          </w:tcPr>
          <w:p>
            <w:pPr>
              <w:pStyle w:val="TableParagraph"/>
              <w:spacing w:before="72"/>
              <w:ind w:left="24"/>
              <w:jc w:val="center"/>
              <w:rPr>
                <w:sz w:val="20"/>
              </w:rPr>
            </w:pPr>
            <w:r>
              <w:rPr>
                <w:w w:val="99"/>
                <w:sz w:val="20"/>
              </w:rPr>
              <w:t>t</w:t>
            </w:r>
          </w:p>
        </w:tc>
        <w:tc>
          <w:tcPr>
            <w:tcW w:w="880" w:type="dxa"/>
            <w:tcBorders>
              <w:left w:val="nil"/>
              <w:right w:val="nil"/>
            </w:tcBorders>
          </w:tcPr>
          <w:p>
            <w:pPr/>
          </w:p>
        </w:tc>
        <w:tc>
          <w:tcPr>
            <w:tcW w:w="978" w:type="dxa"/>
            <w:tcBorders>
              <w:left w:val="nil"/>
              <w:right w:val="nil"/>
            </w:tcBorders>
          </w:tcPr>
          <w:p>
            <w:pPr/>
          </w:p>
        </w:tc>
      </w:tr>
      <w:tr>
        <w:trPr>
          <w:trHeight w:val="311" w:hRule="exact"/>
        </w:trPr>
        <w:tc>
          <w:tcPr>
            <w:tcW w:w="1052" w:type="dxa"/>
            <w:tcBorders>
              <w:left w:val="nil"/>
              <w:bottom w:val="nil"/>
              <w:right w:val="nil"/>
            </w:tcBorders>
          </w:tcPr>
          <w:p>
            <w:pPr>
              <w:pStyle w:val="TableParagraph"/>
              <w:spacing w:before="29"/>
              <w:ind w:left="69"/>
              <w:rPr>
                <w:sz w:val="20"/>
              </w:rPr>
            </w:pPr>
            <w:r>
              <w:rPr>
                <w:sz w:val="20"/>
              </w:rPr>
              <w:t>NO</w:t>
            </w:r>
          </w:p>
        </w:tc>
        <w:tc>
          <w:tcPr>
            <w:tcW w:w="1032" w:type="dxa"/>
            <w:tcBorders>
              <w:left w:val="nil"/>
              <w:bottom w:val="nil"/>
              <w:right w:val="nil"/>
            </w:tcBorders>
          </w:tcPr>
          <w:p>
            <w:pPr>
              <w:pStyle w:val="TableParagraph"/>
              <w:spacing w:before="58"/>
              <w:ind w:left="170"/>
              <w:rPr>
                <w:sz w:val="20"/>
              </w:rPr>
            </w:pPr>
            <w:r>
              <w:rPr>
                <w:sz w:val="20"/>
              </w:rPr>
              <w:t>193,570</w:t>
            </w:r>
          </w:p>
        </w:tc>
        <w:tc>
          <w:tcPr>
            <w:tcW w:w="1274" w:type="dxa"/>
            <w:tcBorders>
              <w:left w:val="nil"/>
              <w:bottom w:val="nil"/>
              <w:right w:val="nil"/>
            </w:tcBorders>
          </w:tcPr>
          <w:p>
            <w:pPr>
              <w:pStyle w:val="TableParagraph"/>
              <w:spacing w:before="58"/>
              <w:ind w:left="371"/>
              <w:rPr>
                <w:sz w:val="20"/>
              </w:rPr>
            </w:pPr>
            <w:r>
              <w:rPr>
                <w:sz w:val="20"/>
              </w:rPr>
              <w:t>193,630</w:t>
            </w:r>
          </w:p>
        </w:tc>
        <w:tc>
          <w:tcPr>
            <w:tcW w:w="1250" w:type="dxa"/>
            <w:tcBorders>
              <w:left w:val="nil"/>
              <w:bottom w:val="nil"/>
              <w:right w:val="nil"/>
            </w:tcBorders>
          </w:tcPr>
          <w:p>
            <w:pPr>
              <w:pStyle w:val="TableParagraph"/>
              <w:spacing w:before="58"/>
              <w:ind w:left="297"/>
              <w:rPr>
                <w:sz w:val="20"/>
              </w:rPr>
            </w:pPr>
            <w:r>
              <w:rPr>
                <w:sz w:val="20"/>
              </w:rPr>
              <w:t>193,604</w:t>
            </w:r>
          </w:p>
        </w:tc>
        <w:tc>
          <w:tcPr>
            <w:tcW w:w="1179" w:type="dxa"/>
            <w:tcBorders>
              <w:left w:val="nil"/>
              <w:bottom w:val="nil"/>
              <w:right w:val="nil"/>
            </w:tcBorders>
          </w:tcPr>
          <w:p>
            <w:pPr>
              <w:pStyle w:val="TableParagraph"/>
              <w:spacing w:before="58"/>
              <w:ind w:left="295"/>
              <w:rPr>
                <w:sz w:val="20"/>
              </w:rPr>
            </w:pPr>
            <w:r>
              <w:rPr>
                <w:sz w:val="20"/>
              </w:rPr>
              <w:t>193,563</w:t>
            </w:r>
          </w:p>
        </w:tc>
        <w:tc>
          <w:tcPr>
            <w:tcW w:w="1249" w:type="dxa"/>
            <w:tcBorders>
              <w:left w:val="nil"/>
              <w:bottom w:val="nil"/>
              <w:right w:val="nil"/>
            </w:tcBorders>
          </w:tcPr>
          <w:p>
            <w:pPr>
              <w:pStyle w:val="TableParagraph"/>
              <w:spacing w:before="58"/>
              <w:ind w:left="271"/>
              <w:rPr>
                <w:sz w:val="20"/>
              </w:rPr>
            </w:pPr>
            <w:r>
              <w:rPr>
                <w:sz w:val="20"/>
              </w:rPr>
              <w:t>193,665</w:t>
            </w:r>
          </w:p>
        </w:tc>
        <w:tc>
          <w:tcPr>
            <w:tcW w:w="1250" w:type="dxa"/>
            <w:tcBorders>
              <w:left w:val="nil"/>
              <w:bottom w:val="nil"/>
              <w:right w:val="nil"/>
            </w:tcBorders>
          </w:tcPr>
          <w:p>
            <w:pPr>
              <w:pStyle w:val="TableParagraph"/>
              <w:spacing w:before="58"/>
              <w:ind w:left="322"/>
              <w:rPr>
                <w:sz w:val="20"/>
              </w:rPr>
            </w:pPr>
            <w:r>
              <w:rPr>
                <w:sz w:val="20"/>
              </w:rPr>
              <w:t>193,641</w:t>
            </w:r>
          </w:p>
        </w:tc>
        <w:tc>
          <w:tcPr>
            <w:tcW w:w="988" w:type="dxa"/>
            <w:tcBorders>
              <w:left w:val="nil"/>
              <w:bottom w:val="nil"/>
              <w:right w:val="nil"/>
            </w:tcBorders>
          </w:tcPr>
          <w:p>
            <w:pPr>
              <w:pStyle w:val="TableParagraph"/>
              <w:spacing w:before="58"/>
              <w:ind w:left="319" w:right="359"/>
              <w:jc w:val="center"/>
              <w:rPr>
                <w:sz w:val="20"/>
              </w:rPr>
            </w:pPr>
            <w:r>
              <w:rPr>
                <w:sz w:val="20"/>
              </w:rPr>
              <w:t>60</w:t>
            </w:r>
          </w:p>
        </w:tc>
        <w:tc>
          <w:tcPr>
            <w:tcW w:w="751" w:type="dxa"/>
            <w:tcBorders>
              <w:left w:val="nil"/>
              <w:bottom w:val="nil"/>
              <w:right w:val="nil"/>
            </w:tcBorders>
          </w:tcPr>
          <w:p>
            <w:pPr>
              <w:pStyle w:val="TableParagraph"/>
              <w:spacing w:before="58"/>
              <w:ind w:left="332"/>
              <w:rPr>
                <w:sz w:val="20"/>
              </w:rPr>
            </w:pPr>
            <w:r>
              <w:rPr>
                <w:sz w:val="20"/>
              </w:rPr>
              <w:t>34</w:t>
            </w:r>
          </w:p>
        </w:tc>
        <w:tc>
          <w:tcPr>
            <w:tcW w:w="1117" w:type="dxa"/>
            <w:tcBorders>
              <w:left w:val="nil"/>
              <w:bottom w:val="nil"/>
              <w:right w:val="nil"/>
            </w:tcBorders>
          </w:tcPr>
          <w:p>
            <w:pPr>
              <w:pStyle w:val="TableParagraph"/>
              <w:spacing w:before="58"/>
              <w:ind w:left="70" w:right="140"/>
              <w:jc w:val="center"/>
              <w:rPr>
                <w:sz w:val="20"/>
              </w:rPr>
            </w:pPr>
            <w:r>
              <w:rPr>
                <w:sz w:val="20"/>
              </w:rPr>
              <w:t>-7</w:t>
            </w:r>
          </w:p>
        </w:tc>
        <w:tc>
          <w:tcPr>
            <w:tcW w:w="880" w:type="dxa"/>
            <w:tcBorders>
              <w:left w:val="nil"/>
              <w:bottom w:val="nil"/>
              <w:right w:val="nil"/>
            </w:tcBorders>
          </w:tcPr>
          <w:p>
            <w:pPr>
              <w:pStyle w:val="TableParagraph"/>
              <w:spacing w:before="58"/>
              <w:ind w:left="53" w:right="167"/>
              <w:jc w:val="center"/>
              <w:rPr>
                <w:sz w:val="20"/>
              </w:rPr>
            </w:pPr>
            <w:r>
              <w:rPr>
                <w:sz w:val="20"/>
              </w:rPr>
              <w:t>95</w:t>
            </w:r>
          </w:p>
        </w:tc>
        <w:tc>
          <w:tcPr>
            <w:tcW w:w="978" w:type="dxa"/>
            <w:tcBorders>
              <w:left w:val="nil"/>
              <w:bottom w:val="nil"/>
              <w:right w:val="nil"/>
            </w:tcBorders>
          </w:tcPr>
          <w:p>
            <w:pPr>
              <w:pStyle w:val="TableParagraph"/>
              <w:spacing w:before="58"/>
              <w:ind w:left="170" w:right="148"/>
              <w:jc w:val="center"/>
              <w:rPr>
                <w:sz w:val="20"/>
              </w:rPr>
            </w:pPr>
            <w:r>
              <w:rPr>
                <w:sz w:val="20"/>
              </w:rPr>
              <w:t>71</w:t>
            </w:r>
          </w:p>
        </w:tc>
      </w:tr>
      <w:tr>
        <w:trPr>
          <w:trHeight w:val="288" w:hRule="exact"/>
        </w:trPr>
        <w:tc>
          <w:tcPr>
            <w:tcW w:w="1052" w:type="dxa"/>
            <w:tcBorders>
              <w:top w:val="nil"/>
              <w:left w:val="nil"/>
              <w:bottom w:val="nil"/>
              <w:right w:val="nil"/>
            </w:tcBorders>
          </w:tcPr>
          <w:p>
            <w:pPr>
              <w:pStyle w:val="TableParagraph"/>
              <w:spacing w:before="11"/>
              <w:ind w:left="69"/>
              <w:rPr>
                <w:sz w:val="20"/>
              </w:rPr>
            </w:pPr>
            <w:r>
              <w:rPr>
                <w:sz w:val="20"/>
              </w:rPr>
              <w:t>NR</w:t>
            </w:r>
          </w:p>
        </w:tc>
        <w:tc>
          <w:tcPr>
            <w:tcW w:w="1032" w:type="dxa"/>
            <w:tcBorders>
              <w:top w:val="nil"/>
              <w:left w:val="nil"/>
              <w:bottom w:val="nil"/>
              <w:right w:val="nil"/>
            </w:tcBorders>
          </w:tcPr>
          <w:p>
            <w:pPr>
              <w:pStyle w:val="TableParagraph"/>
              <w:spacing w:before="39"/>
              <w:ind w:left="220"/>
              <w:rPr>
                <w:sz w:val="20"/>
              </w:rPr>
            </w:pPr>
            <w:r>
              <w:rPr>
                <w:sz w:val="20"/>
              </w:rPr>
              <w:t>33,373</w:t>
            </w:r>
          </w:p>
        </w:tc>
        <w:tc>
          <w:tcPr>
            <w:tcW w:w="1274" w:type="dxa"/>
            <w:tcBorders>
              <w:top w:val="nil"/>
              <w:left w:val="nil"/>
              <w:bottom w:val="nil"/>
              <w:right w:val="nil"/>
            </w:tcBorders>
          </w:tcPr>
          <w:p>
            <w:pPr>
              <w:pStyle w:val="TableParagraph"/>
              <w:spacing w:before="39"/>
              <w:ind w:left="470"/>
              <w:rPr>
                <w:sz w:val="20"/>
              </w:rPr>
            </w:pPr>
            <w:r>
              <w:rPr>
                <w:sz w:val="20"/>
              </w:rPr>
              <w:t>33,427</w:t>
            </w:r>
          </w:p>
        </w:tc>
        <w:tc>
          <w:tcPr>
            <w:tcW w:w="1250" w:type="dxa"/>
            <w:tcBorders>
              <w:top w:val="nil"/>
              <w:left w:val="nil"/>
              <w:bottom w:val="nil"/>
              <w:right w:val="nil"/>
            </w:tcBorders>
          </w:tcPr>
          <w:p>
            <w:pPr>
              <w:pStyle w:val="TableParagraph"/>
              <w:spacing w:before="39"/>
              <w:ind w:left="395"/>
              <w:rPr>
                <w:sz w:val="20"/>
              </w:rPr>
            </w:pPr>
            <w:r>
              <w:rPr>
                <w:sz w:val="20"/>
              </w:rPr>
              <w:t>33,420</w:t>
            </w:r>
          </w:p>
        </w:tc>
        <w:tc>
          <w:tcPr>
            <w:tcW w:w="1179" w:type="dxa"/>
            <w:tcBorders>
              <w:top w:val="nil"/>
              <w:left w:val="nil"/>
              <w:bottom w:val="nil"/>
              <w:right w:val="nil"/>
            </w:tcBorders>
          </w:tcPr>
          <w:p>
            <w:pPr>
              <w:pStyle w:val="TableParagraph"/>
              <w:spacing w:before="39"/>
              <w:ind w:left="394"/>
              <w:rPr>
                <w:sz w:val="20"/>
              </w:rPr>
            </w:pPr>
            <w:r>
              <w:rPr>
                <w:sz w:val="20"/>
              </w:rPr>
              <w:t>33,372</w:t>
            </w:r>
          </w:p>
        </w:tc>
        <w:tc>
          <w:tcPr>
            <w:tcW w:w="1249" w:type="dxa"/>
            <w:tcBorders>
              <w:top w:val="nil"/>
              <w:left w:val="nil"/>
              <w:bottom w:val="nil"/>
              <w:right w:val="nil"/>
            </w:tcBorders>
          </w:tcPr>
          <w:p>
            <w:pPr>
              <w:pStyle w:val="TableParagraph"/>
              <w:spacing w:before="39"/>
              <w:ind w:left="419"/>
              <w:rPr>
                <w:sz w:val="20"/>
              </w:rPr>
            </w:pPr>
            <w:r>
              <w:rPr>
                <w:sz w:val="20"/>
              </w:rPr>
              <w:t>33,456</w:t>
            </w:r>
          </w:p>
        </w:tc>
        <w:tc>
          <w:tcPr>
            <w:tcW w:w="1250" w:type="dxa"/>
            <w:tcBorders>
              <w:top w:val="nil"/>
              <w:left w:val="nil"/>
              <w:bottom w:val="nil"/>
              <w:right w:val="nil"/>
            </w:tcBorders>
          </w:tcPr>
          <w:p>
            <w:pPr>
              <w:pStyle w:val="TableParagraph"/>
              <w:spacing w:before="39"/>
              <w:ind w:left="421"/>
              <w:rPr>
                <w:sz w:val="20"/>
              </w:rPr>
            </w:pPr>
            <w:r>
              <w:rPr>
                <w:sz w:val="20"/>
              </w:rPr>
              <w:t>33,429</w:t>
            </w:r>
          </w:p>
        </w:tc>
        <w:tc>
          <w:tcPr>
            <w:tcW w:w="988" w:type="dxa"/>
            <w:tcBorders>
              <w:top w:val="nil"/>
              <w:left w:val="nil"/>
              <w:bottom w:val="nil"/>
              <w:right w:val="nil"/>
            </w:tcBorders>
          </w:tcPr>
          <w:p>
            <w:pPr>
              <w:pStyle w:val="TableParagraph"/>
              <w:spacing w:before="39"/>
              <w:ind w:left="319" w:right="359"/>
              <w:jc w:val="center"/>
              <w:rPr>
                <w:sz w:val="20"/>
              </w:rPr>
            </w:pPr>
            <w:r>
              <w:rPr>
                <w:sz w:val="20"/>
              </w:rPr>
              <w:t>55</w:t>
            </w:r>
          </w:p>
        </w:tc>
        <w:tc>
          <w:tcPr>
            <w:tcW w:w="751" w:type="dxa"/>
            <w:tcBorders>
              <w:top w:val="nil"/>
              <w:left w:val="nil"/>
              <w:bottom w:val="nil"/>
              <w:right w:val="nil"/>
            </w:tcBorders>
          </w:tcPr>
          <w:p>
            <w:pPr>
              <w:pStyle w:val="TableParagraph"/>
              <w:spacing w:before="39"/>
              <w:ind w:left="332"/>
              <w:rPr>
                <w:sz w:val="20"/>
              </w:rPr>
            </w:pPr>
            <w:r>
              <w:rPr>
                <w:sz w:val="20"/>
              </w:rPr>
              <w:t>47</w:t>
            </w:r>
          </w:p>
        </w:tc>
        <w:tc>
          <w:tcPr>
            <w:tcW w:w="1117" w:type="dxa"/>
            <w:tcBorders>
              <w:top w:val="nil"/>
              <w:left w:val="nil"/>
              <w:bottom w:val="nil"/>
              <w:right w:val="nil"/>
            </w:tcBorders>
          </w:tcPr>
          <w:p>
            <w:pPr>
              <w:pStyle w:val="TableParagraph"/>
              <w:spacing w:before="39"/>
              <w:ind w:left="70" w:right="140"/>
              <w:jc w:val="center"/>
              <w:rPr>
                <w:sz w:val="20"/>
              </w:rPr>
            </w:pPr>
            <w:r>
              <w:rPr>
                <w:sz w:val="20"/>
              </w:rPr>
              <w:t>-1</w:t>
            </w:r>
          </w:p>
        </w:tc>
        <w:tc>
          <w:tcPr>
            <w:tcW w:w="880" w:type="dxa"/>
            <w:tcBorders>
              <w:top w:val="nil"/>
              <w:left w:val="nil"/>
              <w:bottom w:val="nil"/>
              <w:right w:val="nil"/>
            </w:tcBorders>
          </w:tcPr>
          <w:p>
            <w:pPr>
              <w:pStyle w:val="TableParagraph"/>
              <w:spacing w:before="39"/>
              <w:ind w:left="53" w:right="167"/>
              <w:jc w:val="center"/>
              <w:rPr>
                <w:sz w:val="20"/>
              </w:rPr>
            </w:pPr>
            <w:r>
              <w:rPr>
                <w:sz w:val="20"/>
              </w:rPr>
              <w:t>83</w:t>
            </w:r>
          </w:p>
        </w:tc>
        <w:tc>
          <w:tcPr>
            <w:tcW w:w="978" w:type="dxa"/>
            <w:tcBorders>
              <w:top w:val="nil"/>
              <w:left w:val="nil"/>
              <w:bottom w:val="nil"/>
              <w:right w:val="nil"/>
            </w:tcBorders>
          </w:tcPr>
          <w:p>
            <w:pPr>
              <w:pStyle w:val="TableParagraph"/>
              <w:spacing w:before="39"/>
              <w:ind w:left="170" w:right="148"/>
              <w:jc w:val="center"/>
              <w:rPr>
                <w:sz w:val="20"/>
              </w:rPr>
            </w:pPr>
            <w:r>
              <w:rPr>
                <w:sz w:val="20"/>
              </w:rPr>
              <w:t>56</w:t>
            </w:r>
          </w:p>
        </w:tc>
      </w:tr>
      <w:tr>
        <w:trPr>
          <w:trHeight w:val="288" w:hRule="exact"/>
        </w:trPr>
        <w:tc>
          <w:tcPr>
            <w:tcW w:w="1052" w:type="dxa"/>
            <w:tcBorders>
              <w:top w:val="nil"/>
              <w:left w:val="nil"/>
              <w:bottom w:val="nil"/>
              <w:right w:val="nil"/>
            </w:tcBorders>
          </w:tcPr>
          <w:p>
            <w:pPr>
              <w:pStyle w:val="TableParagraph"/>
              <w:spacing w:before="11"/>
              <w:ind w:left="69"/>
              <w:rPr>
                <w:sz w:val="20"/>
              </w:rPr>
            </w:pPr>
            <w:r>
              <w:rPr>
                <w:sz w:val="20"/>
              </w:rPr>
              <w:t>NE</w:t>
            </w:r>
          </w:p>
        </w:tc>
        <w:tc>
          <w:tcPr>
            <w:tcW w:w="1032" w:type="dxa"/>
            <w:tcBorders>
              <w:top w:val="nil"/>
              <w:left w:val="nil"/>
              <w:bottom w:val="nil"/>
              <w:right w:val="nil"/>
            </w:tcBorders>
          </w:tcPr>
          <w:p>
            <w:pPr>
              <w:pStyle w:val="TableParagraph"/>
              <w:spacing w:before="39"/>
              <w:ind w:left="220"/>
              <w:rPr>
                <w:sz w:val="20"/>
              </w:rPr>
            </w:pPr>
            <w:r>
              <w:rPr>
                <w:sz w:val="20"/>
              </w:rPr>
              <w:t>31,604</w:t>
            </w:r>
          </w:p>
        </w:tc>
        <w:tc>
          <w:tcPr>
            <w:tcW w:w="1274" w:type="dxa"/>
            <w:tcBorders>
              <w:top w:val="nil"/>
              <w:left w:val="nil"/>
              <w:bottom w:val="nil"/>
              <w:right w:val="nil"/>
            </w:tcBorders>
          </w:tcPr>
          <w:p>
            <w:pPr>
              <w:pStyle w:val="TableParagraph"/>
              <w:spacing w:before="39"/>
              <w:ind w:left="470"/>
              <w:rPr>
                <w:sz w:val="20"/>
              </w:rPr>
            </w:pPr>
            <w:r>
              <w:rPr>
                <w:sz w:val="20"/>
              </w:rPr>
              <w:t>31,695</w:t>
            </w:r>
          </w:p>
        </w:tc>
        <w:tc>
          <w:tcPr>
            <w:tcW w:w="1250" w:type="dxa"/>
            <w:tcBorders>
              <w:top w:val="nil"/>
              <w:left w:val="nil"/>
              <w:bottom w:val="nil"/>
              <w:right w:val="nil"/>
            </w:tcBorders>
          </w:tcPr>
          <w:p>
            <w:pPr>
              <w:pStyle w:val="TableParagraph"/>
              <w:spacing w:before="39"/>
              <w:ind w:left="395"/>
              <w:rPr>
                <w:sz w:val="20"/>
              </w:rPr>
            </w:pPr>
            <w:r>
              <w:rPr>
                <w:sz w:val="20"/>
              </w:rPr>
              <w:t>31,670</w:t>
            </w:r>
          </w:p>
        </w:tc>
        <w:tc>
          <w:tcPr>
            <w:tcW w:w="1179" w:type="dxa"/>
            <w:tcBorders>
              <w:top w:val="nil"/>
              <w:left w:val="nil"/>
              <w:bottom w:val="nil"/>
              <w:right w:val="nil"/>
            </w:tcBorders>
          </w:tcPr>
          <w:p>
            <w:pPr>
              <w:pStyle w:val="TableParagraph"/>
              <w:spacing w:before="39"/>
              <w:ind w:left="394"/>
              <w:rPr>
                <w:sz w:val="20"/>
              </w:rPr>
            </w:pPr>
            <w:r>
              <w:rPr>
                <w:sz w:val="20"/>
              </w:rPr>
              <w:t>31,610</w:t>
            </w:r>
          </w:p>
        </w:tc>
        <w:tc>
          <w:tcPr>
            <w:tcW w:w="1249" w:type="dxa"/>
            <w:tcBorders>
              <w:top w:val="nil"/>
              <w:left w:val="nil"/>
              <w:bottom w:val="nil"/>
              <w:right w:val="nil"/>
            </w:tcBorders>
          </w:tcPr>
          <w:p>
            <w:pPr>
              <w:pStyle w:val="TableParagraph"/>
              <w:spacing w:before="39"/>
              <w:ind w:left="419"/>
              <w:rPr>
                <w:sz w:val="20"/>
              </w:rPr>
            </w:pPr>
            <w:r>
              <w:rPr>
                <w:sz w:val="20"/>
              </w:rPr>
              <w:t>31,747</w:t>
            </w:r>
          </w:p>
        </w:tc>
        <w:tc>
          <w:tcPr>
            <w:tcW w:w="1250" w:type="dxa"/>
            <w:tcBorders>
              <w:top w:val="nil"/>
              <w:left w:val="nil"/>
              <w:bottom w:val="nil"/>
              <w:right w:val="nil"/>
            </w:tcBorders>
          </w:tcPr>
          <w:p>
            <w:pPr>
              <w:pStyle w:val="TableParagraph"/>
              <w:spacing w:before="39"/>
              <w:ind w:left="421"/>
              <w:rPr>
                <w:sz w:val="20"/>
              </w:rPr>
            </w:pPr>
            <w:r>
              <w:rPr>
                <w:sz w:val="20"/>
              </w:rPr>
              <w:t>31,701</w:t>
            </w:r>
          </w:p>
        </w:tc>
        <w:tc>
          <w:tcPr>
            <w:tcW w:w="988" w:type="dxa"/>
            <w:tcBorders>
              <w:top w:val="nil"/>
              <w:left w:val="nil"/>
              <w:bottom w:val="nil"/>
              <w:right w:val="nil"/>
            </w:tcBorders>
          </w:tcPr>
          <w:p>
            <w:pPr>
              <w:pStyle w:val="TableParagraph"/>
              <w:spacing w:before="39"/>
              <w:ind w:left="319" w:right="359"/>
              <w:jc w:val="center"/>
              <w:rPr>
                <w:sz w:val="20"/>
              </w:rPr>
            </w:pPr>
            <w:r>
              <w:rPr>
                <w:sz w:val="20"/>
              </w:rPr>
              <w:t>91</w:t>
            </w:r>
          </w:p>
        </w:tc>
        <w:tc>
          <w:tcPr>
            <w:tcW w:w="751" w:type="dxa"/>
            <w:tcBorders>
              <w:top w:val="nil"/>
              <w:left w:val="nil"/>
              <w:bottom w:val="nil"/>
              <w:right w:val="nil"/>
            </w:tcBorders>
          </w:tcPr>
          <w:p>
            <w:pPr>
              <w:pStyle w:val="TableParagraph"/>
              <w:spacing w:before="39"/>
              <w:ind w:left="332"/>
              <w:rPr>
                <w:sz w:val="20"/>
              </w:rPr>
            </w:pPr>
            <w:r>
              <w:rPr>
                <w:sz w:val="20"/>
              </w:rPr>
              <w:t>65</w:t>
            </w:r>
          </w:p>
        </w:tc>
        <w:tc>
          <w:tcPr>
            <w:tcW w:w="1117" w:type="dxa"/>
            <w:tcBorders>
              <w:top w:val="nil"/>
              <w:left w:val="nil"/>
              <w:bottom w:val="nil"/>
              <w:right w:val="nil"/>
            </w:tcBorders>
          </w:tcPr>
          <w:p>
            <w:pPr>
              <w:pStyle w:val="TableParagraph"/>
              <w:spacing w:before="39"/>
              <w:ind w:right="72"/>
              <w:jc w:val="center"/>
              <w:rPr>
                <w:sz w:val="20"/>
              </w:rPr>
            </w:pPr>
            <w:r>
              <w:rPr>
                <w:w w:val="99"/>
                <w:sz w:val="20"/>
              </w:rPr>
              <w:t>5</w:t>
            </w:r>
          </w:p>
        </w:tc>
        <w:tc>
          <w:tcPr>
            <w:tcW w:w="880" w:type="dxa"/>
            <w:tcBorders>
              <w:top w:val="nil"/>
              <w:left w:val="nil"/>
              <w:bottom w:val="nil"/>
              <w:right w:val="nil"/>
            </w:tcBorders>
          </w:tcPr>
          <w:p>
            <w:pPr>
              <w:pStyle w:val="TableParagraph"/>
              <w:spacing w:before="39"/>
              <w:ind w:left="53" w:right="167"/>
              <w:jc w:val="center"/>
              <w:rPr>
                <w:sz w:val="20"/>
              </w:rPr>
            </w:pPr>
            <w:r>
              <w:rPr>
                <w:sz w:val="20"/>
              </w:rPr>
              <w:t>143</w:t>
            </w:r>
          </w:p>
        </w:tc>
        <w:tc>
          <w:tcPr>
            <w:tcW w:w="978" w:type="dxa"/>
            <w:tcBorders>
              <w:top w:val="nil"/>
              <w:left w:val="nil"/>
              <w:bottom w:val="nil"/>
              <w:right w:val="nil"/>
            </w:tcBorders>
          </w:tcPr>
          <w:p>
            <w:pPr>
              <w:pStyle w:val="TableParagraph"/>
              <w:spacing w:before="39"/>
              <w:ind w:left="170" w:right="148"/>
              <w:jc w:val="center"/>
              <w:rPr>
                <w:sz w:val="20"/>
              </w:rPr>
            </w:pPr>
            <w:r>
              <w:rPr>
                <w:sz w:val="20"/>
              </w:rPr>
              <w:t>96</w:t>
            </w:r>
          </w:p>
        </w:tc>
      </w:tr>
      <w:tr>
        <w:trPr>
          <w:trHeight w:val="288" w:hRule="exact"/>
        </w:trPr>
        <w:tc>
          <w:tcPr>
            <w:tcW w:w="1052" w:type="dxa"/>
            <w:tcBorders>
              <w:top w:val="nil"/>
              <w:left w:val="nil"/>
              <w:bottom w:val="nil"/>
              <w:right w:val="nil"/>
            </w:tcBorders>
          </w:tcPr>
          <w:p>
            <w:pPr>
              <w:pStyle w:val="TableParagraph"/>
              <w:spacing w:before="11"/>
              <w:ind w:left="69"/>
              <w:rPr>
                <w:sz w:val="20"/>
              </w:rPr>
            </w:pPr>
            <w:r>
              <w:rPr>
                <w:sz w:val="20"/>
              </w:rPr>
              <w:t>CO</w:t>
            </w:r>
          </w:p>
        </w:tc>
        <w:tc>
          <w:tcPr>
            <w:tcW w:w="1032" w:type="dxa"/>
            <w:tcBorders>
              <w:top w:val="nil"/>
              <w:left w:val="nil"/>
              <w:bottom w:val="nil"/>
              <w:right w:val="nil"/>
            </w:tcBorders>
          </w:tcPr>
          <w:p>
            <w:pPr>
              <w:pStyle w:val="TableParagraph"/>
              <w:spacing w:before="40"/>
              <w:ind w:left="170"/>
              <w:rPr>
                <w:sz w:val="20"/>
              </w:rPr>
            </w:pPr>
            <w:r>
              <w:rPr>
                <w:sz w:val="20"/>
              </w:rPr>
              <w:t>419,765</w:t>
            </w:r>
          </w:p>
        </w:tc>
        <w:tc>
          <w:tcPr>
            <w:tcW w:w="1274" w:type="dxa"/>
            <w:tcBorders>
              <w:top w:val="nil"/>
              <w:left w:val="nil"/>
              <w:bottom w:val="nil"/>
              <w:right w:val="nil"/>
            </w:tcBorders>
          </w:tcPr>
          <w:p>
            <w:pPr>
              <w:pStyle w:val="TableParagraph"/>
              <w:spacing w:before="40"/>
              <w:ind w:left="371"/>
              <w:rPr>
                <w:sz w:val="20"/>
              </w:rPr>
            </w:pPr>
            <w:r>
              <w:rPr>
                <w:sz w:val="20"/>
              </w:rPr>
              <w:t>419,843</w:t>
            </w:r>
          </w:p>
        </w:tc>
        <w:tc>
          <w:tcPr>
            <w:tcW w:w="1250" w:type="dxa"/>
            <w:tcBorders>
              <w:top w:val="nil"/>
              <w:left w:val="nil"/>
              <w:bottom w:val="nil"/>
              <w:right w:val="nil"/>
            </w:tcBorders>
          </w:tcPr>
          <w:p>
            <w:pPr>
              <w:pStyle w:val="TableParagraph"/>
              <w:spacing w:before="40"/>
              <w:ind w:left="297"/>
              <w:rPr>
                <w:sz w:val="20"/>
              </w:rPr>
            </w:pPr>
            <w:r>
              <w:rPr>
                <w:sz w:val="20"/>
              </w:rPr>
              <w:t>419,802</w:t>
            </w:r>
          </w:p>
        </w:tc>
        <w:tc>
          <w:tcPr>
            <w:tcW w:w="1179" w:type="dxa"/>
            <w:tcBorders>
              <w:top w:val="nil"/>
              <w:left w:val="nil"/>
              <w:bottom w:val="nil"/>
              <w:right w:val="nil"/>
            </w:tcBorders>
          </w:tcPr>
          <w:p>
            <w:pPr>
              <w:pStyle w:val="TableParagraph"/>
              <w:spacing w:before="40"/>
              <w:ind w:left="295"/>
              <w:rPr>
                <w:sz w:val="20"/>
              </w:rPr>
            </w:pPr>
            <w:r>
              <w:rPr>
                <w:sz w:val="20"/>
              </w:rPr>
              <w:t>419,767</w:t>
            </w:r>
          </w:p>
        </w:tc>
        <w:tc>
          <w:tcPr>
            <w:tcW w:w="1249" w:type="dxa"/>
            <w:tcBorders>
              <w:top w:val="nil"/>
              <w:left w:val="nil"/>
              <w:bottom w:val="nil"/>
              <w:right w:val="nil"/>
            </w:tcBorders>
          </w:tcPr>
          <w:p>
            <w:pPr>
              <w:pStyle w:val="TableParagraph"/>
              <w:spacing w:before="40"/>
              <w:ind w:left="271"/>
              <w:rPr>
                <w:sz w:val="20"/>
              </w:rPr>
            </w:pPr>
            <w:r>
              <w:rPr>
                <w:sz w:val="20"/>
              </w:rPr>
              <w:t>419,886</w:t>
            </w:r>
          </w:p>
        </w:tc>
        <w:tc>
          <w:tcPr>
            <w:tcW w:w="1250" w:type="dxa"/>
            <w:tcBorders>
              <w:top w:val="nil"/>
              <w:left w:val="nil"/>
              <w:bottom w:val="nil"/>
              <w:right w:val="nil"/>
            </w:tcBorders>
          </w:tcPr>
          <w:p>
            <w:pPr>
              <w:pStyle w:val="TableParagraph"/>
              <w:spacing w:before="40"/>
              <w:ind w:left="322"/>
              <w:rPr>
                <w:sz w:val="20"/>
              </w:rPr>
            </w:pPr>
            <w:r>
              <w:rPr>
                <w:sz w:val="20"/>
              </w:rPr>
              <w:t>419,847</w:t>
            </w:r>
          </w:p>
        </w:tc>
        <w:tc>
          <w:tcPr>
            <w:tcW w:w="988" w:type="dxa"/>
            <w:tcBorders>
              <w:top w:val="nil"/>
              <w:left w:val="nil"/>
              <w:bottom w:val="nil"/>
              <w:right w:val="nil"/>
            </w:tcBorders>
          </w:tcPr>
          <w:p>
            <w:pPr>
              <w:pStyle w:val="TableParagraph"/>
              <w:spacing w:before="40"/>
              <w:ind w:left="319" w:right="359"/>
              <w:jc w:val="center"/>
              <w:rPr>
                <w:sz w:val="20"/>
              </w:rPr>
            </w:pPr>
            <w:r>
              <w:rPr>
                <w:sz w:val="20"/>
              </w:rPr>
              <w:t>78</w:t>
            </w:r>
          </w:p>
        </w:tc>
        <w:tc>
          <w:tcPr>
            <w:tcW w:w="751" w:type="dxa"/>
            <w:tcBorders>
              <w:top w:val="nil"/>
              <w:left w:val="nil"/>
              <w:bottom w:val="nil"/>
              <w:right w:val="nil"/>
            </w:tcBorders>
          </w:tcPr>
          <w:p>
            <w:pPr>
              <w:pStyle w:val="TableParagraph"/>
              <w:spacing w:before="40"/>
              <w:ind w:left="332"/>
              <w:rPr>
                <w:sz w:val="20"/>
              </w:rPr>
            </w:pPr>
            <w:r>
              <w:rPr>
                <w:sz w:val="20"/>
              </w:rPr>
              <w:t>37</w:t>
            </w:r>
          </w:p>
        </w:tc>
        <w:tc>
          <w:tcPr>
            <w:tcW w:w="1117" w:type="dxa"/>
            <w:tcBorders>
              <w:top w:val="nil"/>
              <w:left w:val="nil"/>
              <w:bottom w:val="nil"/>
              <w:right w:val="nil"/>
            </w:tcBorders>
          </w:tcPr>
          <w:p>
            <w:pPr>
              <w:pStyle w:val="TableParagraph"/>
              <w:spacing w:before="40"/>
              <w:ind w:right="72"/>
              <w:jc w:val="center"/>
              <w:rPr>
                <w:sz w:val="20"/>
              </w:rPr>
            </w:pPr>
            <w:r>
              <w:rPr>
                <w:w w:val="99"/>
                <w:sz w:val="20"/>
              </w:rPr>
              <w:t>2</w:t>
            </w:r>
          </w:p>
        </w:tc>
        <w:tc>
          <w:tcPr>
            <w:tcW w:w="880" w:type="dxa"/>
            <w:tcBorders>
              <w:top w:val="nil"/>
              <w:left w:val="nil"/>
              <w:bottom w:val="nil"/>
              <w:right w:val="nil"/>
            </w:tcBorders>
          </w:tcPr>
          <w:p>
            <w:pPr>
              <w:pStyle w:val="TableParagraph"/>
              <w:spacing w:before="40"/>
              <w:ind w:left="53" w:right="167"/>
              <w:jc w:val="center"/>
              <w:rPr>
                <w:sz w:val="20"/>
              </w:rPr>
            </w:pPr>
            <w:r>
              <w:rPr>
                <w:sz w:val="20"/>
              </w:rPr>
              <w:t>121</w:t>
            </w:r>
          </w:p>
        </w:tc>
        <w:tc>
          <w:tcPr>
            <w:tcW w:w="978" w:type="dxa"/>
            <w:tcBorders>
              <w:top w:val="nil"/>
              <w:left w:val="nil"/>
              <w:bottom w:val="nil"/>
              <w:right w:val="nil"/>
            </w:tcBorders>
          </w:tcPr>
          <w:p>
            <w:pPr>
              <w:pStyle w:val="TableParagraph"/>
              <w:spacing w:before="40"/>
              <w:ind w:left="170" w:right="148"/>
              <w:jc w:val="center"/>
              <w:rPr>
                <w:sz w:val="20"/>
              </w:rPr>
            </w:pPr>
            <w:r>
              <w:rPr>
                <w:sz w:val="20"/>
              </w:rPr>
              <w:t>82</w:t>
            </w:r>
          </w:p>
        </w:tc>
      </w:tr>
      <w:tr>
        <w:trPr>
          <w:trHeight w:val="288" w:hRule="exact"/>
        </w:trPr>
        <w:tc>
          <w:tcPr>
            <w:tcW w:w="1052" w:type="dxa"/>
            <w:tcBorders>
              <w:top w:val="nil"/>
              <w:left w:val="nil"/>
              <w:bottom w:val="nil"/>
              <w:right w:val="nil"/>
            </w:tcBorders>
          </w:tcPr>
          <w:p>
            <w:pPr>
              <w:pStyle w:val="TableParagraph"/>
              <w:spacing w:before="11"/>
              <w:ind w:left="69"/>
              <w:rPr>
                <w:sz w:val="20"/>
              </w:rPr>
            </w:pPr>
            <w:r>
              <w:rPr>
                <w:sz w:val="20"/>
              </w:rPr>
              <w:t>CE</w:t>
            </w:r>
          </w:p>
        </w:tc>
        <w:tc>
          <w:tcPr>
            <w:tcW w:w="1032" w:type="dxa"/>
            <w:tcBorders>
              <w:top w:val="nil"/>
              <w:left w:val="nil"/>
              <w:bottom w:val="nil"/>
              <w:right w:val="nil"/>
            </w:tcBorders>
          </w:tcPr>
          <w:p>
            <w:pPr>
              <w:pStyle w:val="TableParagraph"/>
              <w:spacing w:before="39"/>
              <w:ind w:left="170"/>
              <w:rPr>
                <w:sz w:val="20"/>
              </w:rPr>
            </w:pPr>
            <w:r>
              <w:rPr>
                <w:sz w:val="20"/>
              </w:rPr>
              <w:t>233,870</w:t>
            </w:r>
          </w:p>
        </w:tc>
        <w:tc>
          <w:tcPr>
            <w:tcW w:w="1274" w:type="dxa"/>
            <w:tcBorders>
              <w:top w:val="nil"/>
              <w:left w:val="nil"/>
              <w:bottom w:val="nil"/>
              <w:right w:val="nil"/>
            </w:tcBorders>
          </w:tcPr>
          <w:p>
            <w:pPr>
              <w:pStyle w:val="TableParagraph"/>
              <w:spacing w:before="39"/>
              <w:ind w:left="371"/>
              <w:rPr>
                <w:sz w:val="20"/>
              </w:rPr>
            </w:pPr>
            <w:r>
              <w:rPr>
                <w:sz w:val="20"/>
              </w:rPr>
              <w:t>234,644</w:t>
            </w:r>
          </w:p>
        </w:tc>
        <w:tc>
          <w:tcPr>
            <w:tcW w:w="1250" w:type="dxa"/>
            <w:tcBorders>
              <w:top w:val="nil"/>
              <w:left w:val="nil"/>
              <w:bottom w:val="nil"/>
              <w:right w:val="nil"/>
            </w:tcBorders>
          </w:tcPr>
          <w:p>
            <w:pPr>
              <w:pStyle w:val="TableParagraph"/>
              <w:spacing w:before="39"/>
              <w:ind w:left="297"/>
              <w:rPr>
                <w:sz w:val="20"/>
              </w:rPr>
            </w:pPr>
            <w:r>
              <w:rPr>
                <w:sz w:val="20"/>
              </w:rPr>
              <w:t>234,286</w:t>
            </w:r>
          </w:p>
        </w:tc>
        <w:tc>
          <w:tcPr>
            <w:tcW w:w="1179" w:type="dxa"/>
            <w:tcBorders>
              <w:top w:val="nil"/>
              <w:left w:val="nil"/>
              <w:bottom w:val="nil"/>
              <w:right w:val="nil"/>
            </w:tcBorders>
          </w:tcPr>
          <w:p>
            <w:pPr>
              <w:pStyle w:val="TableParagraph"/>
              <w:spacing w:before="39"/>
              <w:ind w:left="295"/>
              <w:rPr>
                <w:sz w:val="20"/>
              </w:rPr>
            </w:pPr>
            <w:r>
              <w:rPr>
                <w:sz w:val="20"/>
              </w:rPr>
              <w:t>233,939</w:t>
            </w:r>
          </w:p>
        </w:tc>
        <w:tc>
          <w:tcPr>
            <w:tcW w:w="1249" w:type="dxa"/>
            <w:tcBorders>
              <w:top w:val="nil"/>
              <w:left w:val="nil"/>
              <w:bottom w:val="nil"/>
              <w:right w:val="nil"/>
            </w:tcBorders>
          </w:tcPr>
          <w:p>
            <w:pPr>
              <w:pStyle w:val="TableParagraph"/>
              <w:spacing w:before="39"/>
              <w:ind w:left="271"/>
              <w:rPr>
                <w:sz w:val="20"/>
              </w:rPr>
            </w:pPr>
            <w:r>
              <w:rPr>
                <w:sz w:val="20"/>
              </w:rPr>
              <w:t>235,140</w:t>
            </w:r>
          </w:p>
        </w:tc>
        <w:tc>
          <w:tcPr>
            <w:tcW w:w="1250" w:type="dxa"/>
            <w:tcBorders>
              <w:top w:val="nil"/>
              <w:left w:val="nil"/>
              <w:bottom w:val="nil"/>
              <w:right w:val="nil"/>
            </w:tcBorders>
          </w:tcPr>
          <w:p>
            <w:pPr>
              <w:pStyle w:val="TableParagraph"/>
              <w:spacing w:before="39"/>
              <w:ind w:left="322"/>
              <w:rPr>
                <w:sz w:val="20"/>
              </w:rPr>
            </w:pPr>
            <w:r>
              <w:rPr>
                <w:sz w:val="20"/>
              </w:rPr>
              <w:t>234,705</w:t>
            </w:r>
          </w:p>
        </w:tc>
        <w:tc>
          <w:tcPr>
            <w:tcW w:w="988" w:type="dxa"/>
            <w:tcBorders>
              <w:top w:val="nil"/>
              <w:left w:val="nil"/>
              <w:bottom w:val="nil"/>
              <w:right w:val="nil"/>
            </w:tcBorders>
          </w:tcPr>
          <w:p>
            <w:pPr>
              <w:pStyle w:val="TableParagraph"/>
              <w:spacing w:before="39"/>
              <w:ind w:left="321"/>
              <w:rPr>
                <w:sz w:val="20"/>
              </w:rPr>
            </w:pPr>
            <w:r>
              <w:rPr>
                <w:sz w:val="20"/>
              </w:rPr>
              <w:t>774</w:t>
            </w:r>
          </w:p>
        </w:tc>
        <w:tc>
          <w:tcPr>
            <w:tcW w:w="751" w:type="dxa"/>
            <w:tcBorders>
              <w:top w:val="nil"/>
              <w:left w:val="nil"/>
              <w:bottom w:val="nil"/>
              <w:right w:val="nil"/>
            </w:tcBorders>
          </w:tcPr>
          <w:p>
            <w:pPr>
              <w:pStyle w:val="TableParagraph"/>
              <w:spacing w:before="39"/>
              <w:ind w:left="281"/>
              <w:rPr>
                <w:sz w:val="20"/>
              </w:rPr>
            </w:pPr>
            <w:r>
              <w:rPr>
                <w:sz w:val="20"/>
              </w:rPr>
              <w:t>416</w:t>
            </w:r>
          </w:p>
        </w:tc>
        <w:tc>
          <w:tcPr>
            <w:tcW w:w="1117" w:type="dxa"/>
            <w:tcBorders>
              <w:top w:val="nil"/>
              <w:left w:val="nil"/>
              <w:bottom w:val="nil"/>
              <w:right w:val="nil"/>
            </w:tcBorders>
          </w:tcPr>
          <w:p>
            <w:pPr>
              <w:pStyle w:val="TableParagraph"/>
              <w:spacing w:before="39"/>
              <w:ind w:left="70" w:right="136"/>
              <w:jc w:val="center"/>
              <w:rPr>
                <w:sz w:val="20"/>
              </w:rPr>
            </w:pPr>
            <w:r>
              <w:rPr>
                <w:sz w:val="20"/>
              </w:rPr>
              <w:t>70</w:t>
            </w:r>
          </w:p>
        </w:tc>
        <w:tc>
          <w:tcPr>
            <w:tcW w:w="880" w:type="dxa"/>
            <w:tcBorders>
              <w:top w:val="nil"/>
              <w:left w:val="nil"/>
              <w:bottom w:val="nil"/>
              <w:right w:val="nil"/>
            </w:tcBorders>
          </w:tcPr>
          <w:p>
            <w:pPr>
              <w:pStyle w:val="TableParagraph"/>
              <w:spacing w:before="39"/>
              <w:ind w:left="53" w:right="166"/>
              <w:jc w:val="center"/>
              <w:rPr>
                <w:sz w:val="20"/>
              </w:rPr>
            </w:pPr>
            <w:r>
              <w:rPr>
                <w:sz w:val="20"/>
              </w:rPr>
              <w:t>1,270</w:t>
            </w:r>
          </w:p>
        </w:tc>
        <w:tc>
          <w:tcPr>
            <w:tcW w:w="978" w:type="dxa"/>
            <w:tcBorders>
              <w:top w:val="nil"/>
              <w:left w:val="nil"/>
              <w:bottom w:val="nil"/>
              <w:right w:val="nil"/>
            </w:tcBorders>
          </w:tcPr>
          <w:p>
            <w:pPr>
              <w:pStyle w:val="TableParagraph"/>
              <w:spacing w:before="39"/>
              <w:ind w:left="170" w:right="148"/>
              <w:jc w:val="center"/>
              <w:rPr>
                <w:sz w:val="20"/>
              </w:rPr>
            </w:pPr>
            <w:r>
              <w:rPr>
                <w:sz w:val="20"/>
              </w:rPr>
              <w:t>835</w:t>
            </w:r>
          </w:p>
        </w:tc>
      </w:tr>
      <w:tr>
        <w:trPr>
          <w:trHeight w:val="288" w:hRule="exact"/>
        </w:trPr>
        <w:tc>
          <w:tcPr>
            <w:tcW w:w="1052" w:type="dxa"/>
            <w:tcBorders>
              <w:top w:val="nil"/>
              <w:left w:val="nil"/>
              <w:bottom w:val="nil"/>
              <w:right w:val="nil"/>
            </w:tcBorders>
          </w:tcPr>
          <w:p>
            <w:pPr>
              <w:pStyle w:val="TableParagraph"/>
              <w:spacing w:before="11"/>
              <w:ind w:left="69"/>
              <w:rPr>
                <w:sz w:val="20"/>
              </w:rPr>
            </w:pPr>
            <w:r>
              <w:rPr>
                <w:sz w:val="20"/>
              </w:rPr>
              <w:t>SU</w:t>
            </w:r>
          </w:p>
        </w:tc>
        <w:tc>
          <w:tcPr>
            <w:tcW w:w="1032" w:type="dxa"/>
            <w:tcBorders>
              <w:top w:val="nil"/>
              <w:left w:val="nil"/>
              <w:bottom w:val="nil"/>
              <w:right w:val="nil"/>
            </w:tcBorders>
          </w:tcPr>
          <w:p>
            <w:pPr>
              <w:pStyle w:val="TableParagraph"/>
              <w:spacing w:before="39"/>
              <w:ind w:left="220"/>
              <w:rPr>
                <w:sz w:val="20"/>
              </w:rPr>
            </w:pPr>
            <w:r>
              <w:rPr>
                <w:sz w:val="20"/>
              </w:rPr>
              <w:t>76,296</w:t>
            </w:r>
          </w:p>
        </w:tc>
        <w:tc>
          <w:tcPr>
            <w:tcW w:w="1274" w:type="dxa"/>
            <w:tcBorders>
              <w:top w:val="nil"/>
              <w:left w:val="nil"/>
              <w:bottom w:val="nil"/>
              <w:right w:val="nil"/>
            </w:tcBorders>
          </w:tcPr>
          <w:p>
            <w:pPr>
              <w:pStyle w:val="TableParagraph"/>
              <w:spacing w:before="39"/>
              <w:ind w:left="470"/>
              <w:rPr>
                <w:sz w:val="20"/>
              </w:rPr>
            </w:pPr>
            <w:r>
              <w:rPr>
                <w:sz w:val="20"/>
              </w:rPr>
              <w:t>76,342</w:t>
            </w:r>
          </w:p>
        </w:tc>
        <w:tc>
          <w:tcPr>
            <w:tcW w:w="1250" w:type="dxa"/>
            <w:tcBorders>
              <w:top w:val="nil"/>
              <w:left w:val="nil"/>
              <w:bottom w:val="nil"/>
              <w:right w:val="nil"/>
            </w:tcBorders>
          </w:tcPr>
          <w:p>
            <w:pPr>
              <w:pStyle w:val="TableParagraph"/>
              <w:spacing w:before="39"/>
              <w:ind w:left="395"/>
              <w:rPr>
                <w:sz w:val="20"/>
              </w:rPr>
            </w:pPr>
            <w:r>
              <w:rPr>
                <w:sz w:val="20"/>
              </w:rPr>
              <w:t>76,314</w:t>
            </w:r>
          </w:p>
        </w:tc>
        <w:tc>
          <w:tcPr>
            <w:tcW w:w="1179" w:type="dxa"/>
            <w:tcBorders>
              <w:top w:val="nil"/>
              <w:left w:val="nil"/>
              <w:bottom w:val="nil"/>
              <w:right w:val="nil"/>
            </w:tcBorders>
          </w:tcPr>
          <w:p>
            <w:pPr>
              <w:pStyle w:val="TableParagraph"/>
              <w:spacing w:before="39"/>
              <w:ind w:left="394"/>
              <w:rPr>
                <w:sz w:val="20"/>
              </w:rPr>
            </w:pPr>
            <w:r>
              <w:rPr>
                <w:sz w:val="20"/>
              </w:rPr>
              <w:t>76,293</w:t>
            </w:r>
          </w:p>
        </w:tc>
        <w:tc>
          <w:tcPr>
            <w:tcW w:w="1249" w:type="dxa"/>
            <w:tcBorders>
              <w:top w:val="nil"/>
              <w:left w:val="nil"/>
              <w:bottom w:val="nil"/>
              <w:right w:val="nil"/>
            </w:tcBorders>
          </w:tcPr>
          <w:p>
            <w:pPr>
              <w:pStyle w:val="TableParagraph"/>
              <w:spacing w:before="39"/>
              <w:ind w:left="419"/>
              <w:rPr>
                <w:sz w:val="20"/>
              </w:rPr>
            </w:pPr>
            <w:r>
              <w:rPr>
                <w:sz w:val="20"/>
              </w:rPr>
              <w:t>76,382</w:t>
            </w:r>
          </w:p>
        </w:tc>
        <w:tc>
          <w:tcPr>
            <w:tcW w:w="1250" w:type="dxa"/>
            <w:tcBorders>
              <w:top w:val="nil"/>
              <w:left w:val="nil"/>
              <w:bottom w:val="nil"/>
              <w:right w:val="nil"/>
            </w:tcBorders>
          </w:tcPr>
          <w:p>
            <w:pPr>
              <w:pStyle w:val="TableParagraph"/>
              <w:spacing w:before="39"/>
              <w:ind w:left="421"/>
              <w:rPr>
                <w:sz w:val="20"/>
              </w:rPr>
            </w:pPr>
            <w:r>
              <w:rPr>
                <w:sz w:val="20"/>
              </w:rPr>
              <w:t>76,343</w:t>
            </w:r>
          </w:p>
        </w:tc>
        <w:tc>
          <w:tcPr>
            <w:tcW w:w="988" w:type="dxa"/>
            <w:tcBorders>
              <w:top w:val="nil"/>
              <w:left w:val="nil"/>
              <w:bottom w:val="nil"/>
              <w:right w:val="nil"/>
            </w:tcBorders>
          </w:tcPr>
          <w:p>
            <w:pPr>
              <w:pStyle w:val="TableParagraph"/>
              <w:spacing w:before="39"/>
              <w:ind w:left="319" w:right="359"/>
              <w:jc w:val="center"/>
              <w:rPr>
                <w:sz w:val="20"/>
              </w:rPr>
            </w:pPr>
            <w:r>
              <w:rPr>
                <w:sz w:val="20"/>
              </w:rPr>
              <w:t>46</w:t>
            </w:r>
          </w:p>
        </w:tc>
        <w:tc>
          <w:tcPr>
            <w:tcW w:w="751" w:type="dxa"/>
            <w:tcBorders>
              <w:top w:val="nil"/>
              <w:left w:val="nil"/>
              <w:bottom w:val="nil"/>
              <w:right w:val="nil"/>
            </w:tcBorders>
          </w:tcPr>
          <w:p>
            <w:pPr>
              <w:pStyle w:val="TableParagraph"/>
              <w:spacing w:before="39"/>
              <w:ind w:left="332"/>
              <w:rPr>
                <w:sz w:val="20"/>
              </w:rPr>
            </w:pPr>
            <w:r>
              <w:rPr>
                <w:sz w:val="20"/>
              </w:rPr>
              <w:t>18</w:t>
            </w:r>
          </w:p>
        </w:tc>
        <w:tc>
          <w:tcPr>
            <w:tcW w:w="1117" w:type="dxa"/>
            <w:tcBorders>
              <w:top w:val="nil"/>
              <w:left w:val="nil"/>
              <w:bottom w:val="nil"/>
              <w:right w:val="nil"/>
            </w:tcBorders>
          </w:tcPr>
          <w:p>
            <w:pPr>
              <w:pStyle w:val="TableParagraph"/>
              <w:spacing w:before="39"/>
              <w:ind w:left="70" w:right="140"/>
              <w:jc w:val="center"/>
              <w:rPr>
                <w:sz w:val="20"/>
              </w:rPr>
            </w:pPr>
            <w:r>
              <w:rPr>
                <w:sz w:val="20"/>
              </w:rPr>
              <w:t>-3</w:t>
            </w:r>
          </w:p>
        </w:tc>
        <w:tc>
          <w:tcPr>
            <w:tcW w:w="880" w:type="dxa"/>
            <w:tcBorders>
              <w:top w:val="nil"/>
              <w:left w:val="nil"/>
              <w:bottom w:val="nil"/>
              <w:right w:val="nil"/>
            </w:tcBorders>
          </w:tcPr>
          <w:p>
            <w:pPr>
              <w:pStyle w:val="TableParagraph"/>
              <w:spacing w:before="39"/>
              <w:ind w:left="53" w:right="167"/>
              <w:jc w:val="center"/>
              <w:rPr>
                <w:sz w:val="20"/>
              </w:rPr>
            </w:pPr>
            <w:r>
              <w:rPr>
                <w:sz w:val="20"/>
              </w:rPr>
              <w:t>86</w:t>
            </w:r>
          </w:p>
        </w:tc>
        <w:tc>
          <w:tcPr>
            <w:tcW w:w="978" w:type="dxa"/>
            <w:tcBorders>
              <w:top w:val="nil"/>
              <w:left w:val="nil"/>
              <w:bottom w:val="nil"/>
              <w:right w:val="nil"/>
            </w:tcBorders>
          </w:tcPr>
          <w:p>
            <w:pPr>
              <w:pStyle w:val="TableParagraph"/>
              <w:spacing w:before="39"/>
              <w:ind w:left="170" w:right="148"/>
              <w:jc w:val="center"/>
              <w:rPr>
                <w:sz w:val="20"/>
              </w:rPr>
            </w:pPr>
            <w:r>
              <w:rPr>
                <w:sz w:val="20"/>
              </w:rPr>
              <w:t>47</w:t>
            </w:r>
          </w:p>
        </w:tc>
      </w:tr>
      <w:tr>
        <w:trPr>
          <w:trHeight w:val="288" w:hRule="exact"/>
        </w:trPr>
        <w:tc>
          <w:tcPr>
            <w:tcW w:w="1052" w:type="dxa"/>
            <w:tcBorders>
              <w:top w:val="nil"/>
              <w:left w:val="nil"/>
              <w:bottom w:val="nil"/>
              <w:right w:val="nil"/>
            </w:tcBorders>
          </w:tcPr>
          <w:p>
            <w:pPr>
              <w:pStyle w:val="TableParagraph"/>
              <w:spacing w:before="11"/>
              <w:ind w:left="69"/>
              <w:rPr>
                <w:sz w:val="20"/>
              </w:rPr>
            </w:pPr>
            <w:r>
              <w:rPr>
                <w:sz w:val="20"/>
              </w:rPr>
              <w:t>OR</w:t>
            </w:r>
          </w:p>
        </w:tc>
        <w:tc>
          <w:tcPr>
            <w:tcW w:w="1032" w:type="dxa"/>
            <w:tcBorders>
              <w:top w:val="nil"/>
              <w:left w:val="nil"/>
              <w:bottom w:val="nil"/>
              <w:right w:val="nil"/>
            </w:tcBorders>
          </w:tcPr>
          <w:p>
            <w:pPr>
              <w:pStyle w:val="TableParagraph"/>
              <w:spacing w:before="39"/>
              <w:ind w:left="170"/>
              <w:rPr>
                <w:sz w:val="20"/>
              </w:rPr>
            </w:pPr>
            <w:r>
              <w:rPr>
                <w:sz w:val="20"/>
              </w:rPr>
              <w:t>132,918</w:t>
            </w:r>
          </w:p>
        </w:tc>
        <w:tc>
          <w:tcPr>
            <w:tcW w:w="1274" w:type="dxa"/>
            <w:tcBorders>
              <w:top w:val="nil"/>
              <w:left w:val="nil"/>
              <w:bottom w:val="nil"/>
              <w:right w:val="nil"/>
            </w:tcBorders>
          </w:tcPr>
          <w:p>
            <w:pPr>
              <w:pStyle w:val="TableParagraph"/>
              <w:spacing w:before="39"/>
              <w:ind w:left="371"/>
              <w:rPr>
                <w:sz w:val="20"/>
              </w:rPr>
            </w:pPr>
            <w:r>
              <w:rPr>
                <w:sz w:val="20"/>
              </w:rPr>
              <w:t>134,735</w:t>
            </w:r>
          </w:p>
        </w:tc>
        <w:tc>
          <w:tcPr>
            <w:tcW w:w="1250" w:type="dxa"/>
            <w:tcBorders>
              <w:top w:val="nil"/>
              <w:left w:val="nil"/>
              <w:bottom w:val="nil"/>
              <w:right w:val="nil"/>
            </w:tcBorders>
          </w:tcPr>
          <w:p>
            <w:pPr>
              <w:pStyle w:val="TableParagraph"/>
              <w:spacing w:before="39"/>
              <w:ind w:left="297"/>
              <w:rPr>
                <w:sz w:val="20"/>
              </w:rPr>
            </w:pPr>
            <w:r>
              <w:rPr>
                <w:sz w:val="20"/>
              </w:rPr>
              <w:t>133,545</w:t>
            </w:r>
          </w:p>
        </w:tc>
        <w:tc>
          <w:tcPr>
            <w:tcW w:w="1179" w:type="dxa"/>
            <w:tcBorders>
              <w:top w:val="nil"/>
              <w:left w:val="nil"/>
              <w:bottom w:val="nil"/>
              <w:right w:val="nil"/>
            </w:tcBorders>
          </w:tcPr>
          <w:p>
            <w:pPr>
              <w:pStyle w:val="TableParagraph"/>
              <w:spacing w:before="39"/>
              <w:ind w:left="295"/>
              <w:rPr>
                <w:sz w:val="20"/>
              </w:rPr>
            </w:pPr>
            <w:r>
              <w:rPr>
                <w:sz w:val="20"/>
              </w:rPr>
              <w:t>133,031</w:t>
            </w:r>
          </w:p>
        </w:tc>
        <w:tc>
          <w:tcPr>
            <w:tcW w:w="1249" w:type="dxa"/>
            <w:tcBorders>
              <w:top w:val="nil"/>
              <w:left w:val="nil"/>
              <w:bottom w:val="nil"/>
              <w:right w:val="nil"/>
            </w:tcBorders>
          </w:tcPr>
          <w:p>
            <w:pPr>
              <w:pStyle w:val="TableParagraph"/>
              <w:spacing w:before="39"/>
              <w:ind w:left="271"/>
              <w:rPr>
                <w:sz w:val="20"/>
              </w:rPr>
            </w:pPr>
            <w:r>
              <w:rPr>
                <w:sz w:val="20"/>
              </w:rPr>
              <w:t>135,731</w:t>
            </w:r>
          </w:p>
        </w:tc>
        <w:tc>
          <w:tcPr>
            <w:tcW w:w="1250" w:type="dxa"/>
            <w:tcBorders>
              <w:top w:val="nil"/>
              <w:left w:val="nil"/>
              <w:bottom w:val="nil"/>
              <w:right w:val="nil"/>
            </w:tcBorders>
          </w:tcPr>
          <w:p>
            <w:pPr>
              <w:pStyle w:val="TableParagraph"/>
              <w:spacing w:before="39"/>
              <w:ind w:left="322"/>
              <w:rPr>
                <w:sz w:val="20"/>
              </w:rPr>
            </w:pPr>
            <w:r>
              <w:rPr>
                <w:sz w:val="20"/>
              </w:rPr>
              <w:t>134,867</w:t>
            </w:r>
          </w:p>
        </w:tc>
        <w:tc>
          <w:tcPr>
            <w:tcW w:w="988" w:type="dxa"/>
            <w:tcBorders>
              <w:top w:val="nil"/>
              <w:left w:val="nil"/>
              <w:bottom w:val="nil"/>
              <w:right w:val="nil"/>
            </w:tcBorders>
          </w:tcPr>
          <w:p>
            <w:pPr>
              <w:pStyle w:val="TableParagraph"/>
              <w:spacing w:before="39"/>
              <w:ind w:left="244"/>
              <w:rPr>
                <w:sz w:val="20"/>
              </w:rPr>
            </w:pPr>
            <w:r>
              <w:rPr>
                <w:sz w:val="20"/>
              </w:rPr>
              <w:t>1,817</w:t>
            </w:r>
          </w:p>
        </w:tc>
        <w:tc>
          <w:tcPr>
            <w:tcW w:w="751" w:type="dxa"/>
            <w:tcBorders>
              <w:top w:val="nil"/>
              <w:left w:val="nil"/>
              <w:bottom w:val="nil"/>
              <w:right w:val="nil"/>
            </w:tcBorders>
          </w:tcPr>
          <w:p>
            <w:pPr>
              <w:pStyle w:val="TableParagraph"/>
              <w:spacing w:before="39"/>
              <w:ind w:left="281"/>
              <w:rPr>
                <w:sz w:val="20"/>
              </w:rPr>
            </w:pPr>
            <w:r>
              <w:rPr>
                <w:sz w:val="20"/>
              </w:rPr>
              <w:t>627</w:t>
            </w:r>
          </w:p>
        </w:tc>
        <w:tc>
          <w:tcPr>
            <w:tcW w:w="1117" w:type="dxa"/>
            <w:tcBorders>
              <w:top w:val="nil"/>
              <w:left w:val="nil"/>
              <w:bottom w:val="nil"/>
              <w:right w:val="nil"/>
            </w:tcBorders>
          </w:tcPr>
          <w:p>
            <w:pPr>
              <w:pStyle w:val="TableParagraph"/>
              <w:spacing w:before="39"/>
              <w:ind w:left="70" w:right="136"/>
              <w:jc w:val="center"/>
              <w:rPr>
                <w:sz w:val="20"/>
              </w:rPr>
            </w:pPr>
            <w:r>
              <w:rPr>
                <w:sz w:val="20"/>
              </w:rPr>
              <w:t>113</w:t>
            </w:r>
          </w:p>
        </w:tc>
        <w:tc>
          <w:tcPr>
            <w:tcW w:w="880" w:type="dxa"/>
            <w:tcBorders>
              <w:top w:val="nil"/>
              <w:left w:val="nil"/>
              <w:bottom w:val="nil"/>
              <w:right w:val="nil"/>
            </w:tcBorders>
          </w:tcPr>
          <w:p>
            <w:pPr>
              <w:pStyle w:val="TableParagraph"/>
              <w:spacing w:before="39"/>
              <w:ind w:left="53" w:right="166"/>
              <w:jc w:val="center"/>
              <w:rPr>
                <w:sz w:val="20"/>
              </w:rPr>
            </w:pPr>
            <w:r>
              <w:rPr>
                <w:sz w:val="20"/>
              </w:rPr>
              <w:t>2,813</w:t>
            </w:r>
          </w:p>
        </w:tc>
        <w:tc>
          <w:tcPr>
            <w:tcW w:w="978" w:type="dxa"/>
            <w:tcBorders>
              <w:top w:val="nil"/>
              <w:left w:val="nil"/>
              <w:bottom w:val="nil"/>
              <w:right w:val="nil"/>
            </w:tcBorders>
          </w:tcPr>
          <w:p>
            <w:pPr>
              <w:pStyle w:val="TableParagraph"/>
              <w:spacing w:before="39"/>
              <w:ind w:left="168" w:right="150"/>
              <w:jc w:val="center"/>
              <w:rPr>
                <w:sz w:val="20"/>
              </w:rPr>
            </w:pPr>
            <w:r>
              <w:rPr>
                <w:sz w:val="20"/>
              </w:rPr>
              <w:t>1,949</w:t>
            </w:r>
          </w:p>
        </w:tc>
      </w:tr>
      <w:tr>
        <w:trPr>
          <w:trHeight w:val="288" w:hRule="exact"/>
        </w:trPr>
        <w:tc>
          <w:tcPr>
            <w:tcW w:w="1052" w:type="dxa"/>
            <w:tcBorders>
              <w:top w:val="nil"/>
              <w:left w:val="nil"/>
              <w:bottom w:val="nil"/>
              <w:right w:val="nil"/>
            </w:tcBorders>
          </w:tcPr>
          <w:p>
            <w:pPr>
              <w:pStyle w:val="TableParagraph"/>
              <w:spacing w:before="11"/>
              <w:ind w:left="69"/>
              <w:rPr>
                <w:sz w:val="20"/>
              </w:rPr>
            </w:pPr>
            <w:r>
              <w:rPr>
                <w:sz w:val="20"/>
              </w:rPr>
              <w:t>PE</w:t>
            </w:r>
          </w:p>
        </w:tc>
        <w:tc>
          <w:tcPr>
            <w:tcW w:w="1032" w:type="dxa"/>
            <w:tcBorders>
              <w:top w:val="nil"/>
              <w:left w:val="nil"/>
              <w:bottom w:val="nil"/>
              <w:right w:val="nil"/>
            </w:tcBorders>
          </w:tcPr>
          <w:p>
            <w:pPr>
              <w:pStyle w:val="TableParagraph"/>
              <w:spacing w:before="39"/>
              <w:ind w:left="170"/>
              <w:rPr>
                <w:sz w:val="20"/>
              </w:rPr>
            </w:pPr>
            <w:r>
              <w:rPr>
                <w:sz w:val="20"/>
              </w:rPr>
              <w:t>107,128</w:t>
            </w:r>
          </w:p>
        </w:tc>
        <w:tc>
          <w:tcPr>
            <w:tcW w:w="1274" w:type="dxa"/>
            <w:tcBorders>
              <w:top w:val="nil"/>
              <w:left w:val="nil"/>
              <w:bottom w:val="nil"/>
              <w:right w:val="nil"/>
            </w:tcBorders>
          </w:tcPr>
          <w:p>
            <w:pPr>
              <w:pStyle w:val="TableParagraph"/>
              <w:spacing w:before="39"/>
              <w:ind w:left="371"/>
              <w:rPr>
                <w:sz w:val="20"/>
              </w:rPr>
            </w:pPr>
            <w:r>
              <w:rPr>
                <w:sz w:val="20"/>
              </w:rPr>
              <w:t>107,532</w:t>
            </w:r>
          </w:p>
        </w:tc>
        <w:tc>
          <w:tcPr>
            <w:tcW w:w="1250" w:type="dxa"/>
            <w:tcBorders>
              <w:top w:val="nil"/>
              <w:left w:val="nil"/>
              <w:bottom w:val="nil"/>
              <w:right w:val="nil"/>
            </w:tcBorders>
          </w:tcPr>
          <w:p>
            <w:pPr>
              <w:pStyle w:val="TableParagraph"/>
              <w:spacing w:before="39"/>
              <w:ind w:left="297"/>
              <w:rPr>
                <w:sz w:val="20"/>
              </w:rPr>
            </w:pPr>
            <w:r>
              <w:rPr>
                <w:sz w:val="20"/>
              </w:rPr>
              <w:t>107,304</w:t>
            </w:r>
          </w:p>
        </w:tc>
        <w:tc>
          <w:tcPr>
            <w:tcW w:w="1179" w:type="dxa"/>
            <w:tcBorders>
              <w:top w:val="nil"/>
              <w:left w:val="nil"/>
              <w:bottom w:val="nil"/>
              <w:right w:val="nil"/>
            </w:tcBorders>
          </w:tcPr>
          <w:p>
            <w:pPr>
              <w:pStyle w:val="TableParagraph"/>
              <w:spacing w:before="39"/>
              <w:ind w:left="295"/>
              <w:rPr>
                <w:sz w:val="20"/>
              </w:rPr>
            </w:pPr>
            <w:r>
              <w:rPr>
                <w:sz w:val="20"/>
              </w:rPr>
              <w:t>107,199</w:t>
            </w:r>
          </w:p>
        </w:tc>
        <w:tc>
          <w:tcPr>
            <w:tcW w:w="1249" w:type="dxa"/>
            <w:tcBorders>
              <w:top w:val="nil"/>
              <w:left w:val="nil"/>
              <w:bottom w:val="nil"/>
              <w:right w:val="nil"/>
            </w:tcBorders>
          </w:tcPr>
          <w:p>
            <w:pPr>
              <w:pStyle w:val="TableParagraph"/>
              <w:spacing w:before="39"/>
              <w:ind w:left="271"/>
              <w:rPr>
                <w:sz w:val="20"/>
              </w:rPr>
            </w:pPr>
            <w:r>
              <w:rPr>
                <w:sz w:val="20"/>
              </w:rPr>
              <w:t>107,752</w:t>
            </w:r>
          </w:p>
        </w:tc>
        <w:tc>
          <w:tcPr>
            <w:tcW w:w="1250" w:type="dxa"/>
            <w:tcBorders>
              <w:top w:val="nil"/>
              <w:left w:val="nil"/>
              <w:bottom w:val="nil"/>
              <w:right w:val="nil"/>
            </w:tcBorders>
          </w:tcPr>
          <w:p>
            <w:pPr>
              <w:pStyle w:val="TableParagraph"/>
              <w:spacing w:before="39"/>
              <w:ind w:left="322"/>
              <w:rPr>
                <w:sz w:val="20"/>
              </w:rPr>
            </w:pPr>
            <w:r>
              <w:rPr>
                <w:sz w:val="20"/>
              </w:rPr>
              <w:t>107,582</w:t>
            </w:r>
          </w:p>
        </w:tc>
        <w:tc>
          <w:tcPr>
            <w:tcW w:w="988" w:type="dxa"/>
            <w:tcBorders>
              <w:top w:val="nil"/>
              <w:left w:val="nil"/>
              <w:bottom w:val="nil"/>
              <w:right w:val="nil"/>
            </w:tcBorders>
          </w:tcPr>
          <w:p>
            <w:pPr>
              <w:pStyle w:val="TableParagraph"/>
              <w:spacing w:before="39"/>
              <w:ind w:left="321"/>
              <w:rPr>
                <w:sz w:val="20"/>
              </w:rPr>
            </w:pPr>
            <w:r>
              <w:rPr>
                <w:sz w:val="20"/>
              </w:rPr>
              <w:t>404</w:t>
            </w:r>
          </w:p>
        </w:tc>
        <w:tc>
          <w:tcPr>
            <w:tcW w:w="751" w:type="dxa"/>
            <w:tcBorders>
              <w:top w:val="nil"/>
              <w:left w:val="nil"/>
              <w:bottom w:val="nil"/>
              <w:right w:val="nil"/>
            </w:tcBorders>
          </w:tcPr>
          <w:p>
            <w:pPr>
              <w:pStyle w:val="TableParagraph"/>
              <w:spacing w:before="39"/>
              <w:ind w:left="281"/>
              <w:rPr>
                <w:sz w:val="20"/>
              </w:rPr>
            </w:pPr>
            <w:r>
              <w:rPr>
                <w:sz w:val="20"/>
              </w:rPr>
              <w:t>176</w:t>
            </w:r>
          </w:p>
        </w:tc>
        <w:tc>
          <w:tcPr>
            <w:tcW w:w="1117" w:type="dxa"/>
            <w:tcBorders>
              <w:top w:val="nil"/>
              <w:left w:val="nil"/>
              <w:bottom w:val="nil"/>
              <w:right w:val="nil"/>
            </w:tcBorders>
          </w:tcPr>
          <w:p>
            <w:pPr>
              <w:pStyle w:val="TableParagraph"/>
              <w:spacing w:before="39"/>
              <w:ind w:left="70" w:right="136"/>
              <w:jc w:val="center"/>
              <w:rPr>
                <w:sz w:val="20"/>
              </w:rPr>
            </w:pPr>
            <w:r>
              <w:rPr>
                <w:sz w:val="20"/>
              </w:rPr>
              <w:t>71</w:t>
            </w:r>
          </w:p>
        </w:tc>
        <w:tc>
          <w:tcPr>
            <w:tcW w:w="880" w:type="dxa"/>
            <w:tcBorders>
              <w:top w:val="nil"/>
              <w:left w:val="nil"/>
              <w:bottom w:val="nil"/>
              <w:right w:val="nil"/>
            </w:tcBorders>
          </w:tcPr>
          <w:p>
            <w:pPr>
              <w:pStyle w:val="TableParagraph"/>
              <w:spacing w:before="39"/>
              <w:ind w:left="53" w:right="167"/>
              <w:jc w:val="center"/>
              <w:rPr>
                <w:sz w:val="20"/>
              </w:rPr>
            </w:pPr>
            <w:r>
              <w:rPr>
                <w:sz w:val="20"/>
              </w:rPr>
              <w:t>624</w:t>
            </w:r>
          </w:p>
        </w:tc>
        <w:tc>
          <w:tcPr>
            <w:tcW w:w="978" w:type="dxa"/>
            <w:tcBorders>
              <w:top w:val="nil"/>
              <w:left w:val="nil"/>
              <w:bottom w:val="nil"/>
              <w:right w:val="nil"/>
            </w:tcBorders>
          </w:tcPr>
          <w:p>
            <w:pPr>
              <w:pStyle w:val="TableParagraph"/>
              <w:spacing w:before="39"/>
              <w:ind w:left="170" w:right="148"/>
              <w:jc w:val="center"/>
              <w:rPr>
                <w:sz w:val="20"/>
              </w:rPr>
            </w:pPr>
            <w:r>
              <w:rPr>
                <w:sz w:val="20"/>
              </w:rPr>
              <w:t>455</w:t>
            </w:r>
          </w:p>
        </w:tc>
      </w:tr>
      <w:tr>
        <w:trPr>
          <w:trHeight w:val="258" w:hRule="exact"/>
        </w:trPr>
        <w:tc>
          <w:tcPr>
            <w:tcW w:w="1052" w:type="dxa"/>
            <w:tcBorders>
              <w:top w:val="nil"/>
              <w:left w:val="nil"/>
              <w:bottom w:val="nil"/>
              <w:right w:val="nil"/>
            </w:tcBorders>
          </w:tcPr>
          <w:p>
            <w:pPr>
              <w:pStyle w:val="TableParagraph"/>
              <w:spacing w:before="11"/>
              <w:ind w:left="69"/>
              <w:rPr>
                <w:sz w:val="20"/>
              </w:rPr>
            </w:pPr>
            <w:r>
              <w:rPr>
                <w:sz w:val="20"/>
              </w:rPr>
              <w:t>Nacional</w:t>
            </w:r>
          </w:p>
        </w:tc>
        <w:tc>
          <w:tcPr>
            <w:tcW w:w="1032" w:type="dxa"/>
            <w:tcBorders>
              <w:top w:val="nil"/>
              <w:left w:val="nil"/>
              <w:bottom w:val="nil"/>
              <w:right w:val="nil"/>
            </w:tcBorders>
          </w:tcPr>
          <w:p>
            <w:pPr>
              <w:pStyle w:val="TableParagraph"/>
              <w:spacing w:before="11"/>
              <w:ind w:right="70"/>
              <w:jc w:val="right"/>
              <w:rPr>
                <w:sz w:val="20"/>
              </w:rPr>
            </w:pPr>
            <w:r>
              <w:rPr>
                <w:w w:val="95"/>
                <w:sz w:val="20"/>
              </w:rPr>
              <w:t>1,228,524</w:t>
            </w:r>
          </w:p>
        </w:tc>
        <w:tc>
          <w:tcPr>
            <w:tcW w:w="1274" w:type="dxa"/>
            <w:tcBorders>
              <w:top w:val="nil"/>
              <w:left w:val="nil"/>
              <w:bottom w:val="nil"/>
              <w:right w:val="nil"/>
            </w:tcBorders>
          </w:tcPr>
          <w:p>
            <w:pPr>
              <w:pStyle w:val="TableParagraph"/>
              <w:spacing w:before="11"/>
              <w:ind w:right="144"/>
              <w:jc w:val="right"/>
              <w:rPr>
                <w:sz w:val="20"/>
              </w:rPr>
            </w:pPr>
            <w:r>
              <w:rPr>
                <w:w w:val="95"/>
                <w:sz w:val="20"/>
              </w:rPr>
              <w:t>1,231,850</w:t>
            </w:r>
          </w:p>
        </w:tc>
        <w:tc>
          <w:tcPr>
            <w:tcW w:w="1250" w:type="dxa"/>
            <w:tcBorders>
              <w:top w:val="nil"/>
              <w:left w:val="nil"/>
              <w:bottom w:val="nil"/>
              <w:right w:val="nil"/>
            </w:tcBorders>
          </w:tcPr>
          <w:p>
            <w:pPr>
              <w:pStyle w:val="TableParagraph"/>
              <w:spacing w:before="11"/>
              <w:ind w:left="254"/>
              <w:rPr>
                <w:sz w:val="20"/>
              </w:rPr>
            </w:pPr>
            <w:r>
              <w:rPr>
                <w:sz w:val="20"/>
              </w:rPr>
              <w:t>1,229,945</w:t>
            </w:r>
          </w:p>
        </w:tc>
        <w:tc>
          <w:tcPr>
            <w:tcW w:w="1179" w:type="dxa"/>
            <w:tcBorders>
              <w:top w:val="nil"/>
              <w:left w:val="nil"/>
              <w:bottom w:val="nil"/>
              <w:right w:val="nil"/>
            </w:tcBorders>
          </w:tcPr>
          <w:p>
            <w:pPr>
              <w:pStyle w:val="TableParagraph"/>
              <w:spacing w:before="11"/>
              <w:ind w:right="118"/>
              <w:jc w:val="right"/>
              <w:rPr>
                <w:sz w:val="20"/>
              </w:rPr>
            </w:pPr>
            <w:r>
              <w:rPr>
                <w:w w:val="95"/>
                <w:sz w:val="20"/>
              </w:rPr>
              <w:t>1,228,774</w:t>
            </w:r>
          </w:p>
        </w:tc>
        <w:tc>
          <w:tcPr>
            <w:tcW w:w="1249" w:type="dxa"/>
            <w:tcBorders>
              <w:top w:val="nil"/>
              <w:left w:val="nil"/>
              <w:bottom w:val="nil"/>
              <w:right w:val="nil"/>
            </w:tcBorders>
          </w:tcPr>
          <w:p>
            <w:pPr>
              <w:pStyle w:val="TableParagraph"/>
              <w:spacing w:before="11"/>
              <w:ind w:right="169"/>
              <w:jc w:val="right"/>
              <w:rPr>
                <w:sz w:val="20"/>
              </w:rPr>
            </w:pPr>
            <w:r>
              <w:rPr>
                <w:w w:val="95"/>
                <w:sz w:val="20"/>
              </w:rPr>
              <w:t>1,233,760</w:t>
            </w:r>
          </w:p>
        </w:tc>
        <w:tc>
          <w:tcPr>
            <w:tcW w:w="1250" w:type="dxa"/>
            <w:tcBorders>
              <w:top w:val="nil"/>
              <w:left w:val="nil"/>
              <w:bottom w:val="nil"/>
              <w:right w:val="nil"/>
            </w:tcBorders>
          </w:tcPr>
          <w:p>
            <w:pPr>
              <w:pStyle w:val="TableParagraph"/>
              <w:spacing w:before="11"/>
              <w:ind w:right="161"/>
              <w:jc w:val="right"/>
              <w:rPr>
                <w:sz w:val="20"/>
              </w:rPr>
            </w:pPr>
            <w:r>
              <w:rPr>
                <w:w w:val="95"/>
                <w:sz w:val="20"/>
              </w:rPr>
              <w:t>1,232,114</w:t>
            </w:r>
          </w:p>
        </w:tc>
        <w:tc>
          <w:tcPr>
            <w:tcW w:w="988" w:type="dxa"/>
            <w:tcBorders>
              <w:top w:val="nil"/>
              <w:left w:val="nil"/>
              <w:bottom w:val="nil"/>
              <w:right w:val="nil"/>
            </w:tcBorders>
          </w:tcPr>
          <w:p>
            <w:pPr>
              <w:pStyle w:val="TableParagraph"/>
              <w:spacing w:before="39"/>
              <w:ind w:left="244"/>
              <w:rPr>
                <w:sz w:val="20"/>
              </w:rPr>
            </w:pPr>
            <w:r>
              <w:rPr>
                <w:sz w:val="20"/>
              </w:rPr>
              <w:t>3,326</w:t>
            </w:r>
          </w:p>
        </w:tc>
        <w:tc>
          <w:tcPr>
            <w:tcW w:w="751" w:type="dxa"/>
            <w:tcBorders>
              <w:top w:val="nil"/>
              <w:left w:val="nil"/>
              <w:bottom w:val="nil"/>
              <w:right w:val="nil"/>
            </w:tcBorders>
          </w:tcPr>
          <w:p>
            <w:pPr>
              <w:pStyle w:val="TableParagraph"/>
              <w:spacing w:before="39"/>
              <w:ind w:right="90"/>
              <w:jc w:val="right"/>
              <w:rPr>
                <w:sz w:val="20"/>
              </w:rPr>
            </w:pPr>
            <w:r>
              <w:rPr>
                <w:sz w:val="20"/>
              </w:rPr>
              <w:t>1,421</w:t>
            </w:r>
          </w:p>
        </w:tc>
        <w:tc>
          <w:tcPr>
            <w:tcW w:w="1117" w:type="dxa"/>
            <w:tcBorders>
              <w:top w:val="nil"/>
              <w:left w:val="nil"/>
              <w:bottom w:val="nil"/>
              <w:right w:val="nil"/>
            </w:tcBorders>
          </w:tcPr>
          <w:p>
            <w:pPr>
              <w:pStyle w:val="TableParagraph"/>
              <w:spacing w:before="39"/>
              <w:ind w:left="70" w:right="136"/>
              <w:jc w:val="center"/>
              <w:rPr>
                <w:sz w:val="20"/>
              </w:rPr>
            </w:pPr>
            <w:r>
              <w:rPr>
                <w:sz w:val="20"/>
              </w:rPr>
              <w:t>250</w:t>
            </w:r>
          </w:p>
        </w:tc>
        <w:tc>
          <w:tcPr>
            <w:tcW w:w="880" w:type="dxa"/>
            <w:tcBorders>
              <w:top w:val="nil"/>
              <w:left w:val="nil"/>
              <w:bottom w:val="nil"/>
              <w:right w:val="nil"/>
            </w:tcBorders>
          </w:tcPr>
          <w:p>
            <w:pPr>
              <w:pStyle w:val="TableParagraph"/>
              <w:spacing w:before="39"/>
              <w:ind w:left="53" w:right="166"/>
              <w:jc w:val="center"/>
              <w:rPr>
                <w:sz w:val="20"/>
              </w:rPr>
            </w:pPr>
            <w:r>
              <w:rPr>
                <w:sz w:val="20"/>
              </w:rPr>
              <w:t>5,236</w:t>
            </w:r>
          </w:p>
        </w:tc>
        <w:tc>
          <w:tcPr>
            <w:tcW w:w="978" w:type="dxa"/>
            <w:tcBorders>
              <w:top w:val="nil"/>
              <w:left w:val="nil"/>
              <w:bottom w:val="nil"/>
              <w:right w:val="nil"/>
            </w:tcBorders>
          </w:tcPr>
          <w:p>
            <w:pPr>
              <w:pStyle w:val="TableParagraph"/>
              <w:spacing w:before="39"/>
              <w:ind w:left="168" w:right="150"/>
              <w:jc w:val="center"/>
              <w:rPr>
                <w:sz w:val="20"/>
              </w:rPr>
            </w:pPr>
            <w:r>
              <w:rPr>
                <w:sz w:val="20"/>
              </w:rPr>
              <w:t>3,591</w:t>
            </w:r>
          </w:p>
        </w:tc>
      </w:tr>
      <w:tr>
        <w:trPr>
          <w:trHeight w:val="321" w:hRule="exact"/>
        </w:trPr>
        <w:tc>
          <w:tcPr>
            <w:tcW w:w="13000" w:type="dxa"/>
            <w:gridSpan w:val="12"/>
            <w:tcBorders>
              <w:top w:val="nil"/>
              <w:left w:val="nil"/>
              <w:bottom w:val="nil"/>
              <w:right w:val="nil"/>
            </w:tcBorders>
          </w:tcPr>
          <w:p>
            <w:pPr>
              <w:pStyle w:val="TableParagraph"/>
              <w:spacing w:before="45"/>
              <w:ind w:left="3622"/>
              <w:rPr>
                <w:sz w:val="20"/>
              </w:rPr>
            </w:pPr>
            <w:r>
              <w:rPr>
                <w:sz w:val="20"/>
              </w:rPr>
              <w:t>Volumen de importación</w:t>
            </w:r>
          </w:p>
        </w:tc>
      </w:tr>
      <w:tr>
        <w:trPr>
          <w:trHeight w:val="316" w:hRule="exact"/>
        </w:trPr>
        <w:tc>
          <w:tcPr>
            <w:tcW w:w="1052" w:type="dxa"/>
            <w:tcBorders>
              <w:left w:val="nil"/>
              <w:bottom w:val="nil"/>
              <w:right w:val="nil"/>
            </w:tcBorders>
          </w:tcPr>
          <w:p>
            <w:pPr>
              <w:pStyle w:val="TableParagraph"/>
              <w:spacing w:before="34"/>
              <w:ind w:left="69"/>
              <w:rPr>
                <w:sz w:val="20"/>
              </w:rPr>
            </w:pPr>
            <w:r>
              <w:rPr>
                <w:sz w:val="20"/>
              </w:rPr>
              <w:t>P. I. 1</w:t>
            </w:r>
          </w:p>
        </w:tc>
        <w:tc>
          <w:tcPr>
            <w:tcW w:w="1032" w:type="dxa"/>
            <w:tcBorders>
              <w:top w:val="single" w:sz="8" w:space="0" w:color="000000"/>
              <w:left w:val="nil"/>
              <w:bottom w:val="nil"/>
              <w:right w:val="nil"/>
            </w:tcBorders>
          </w:tcPr>
          <w:p>
            <w:pPr>
              <w:pStyle w:val="TableParagraph"/>
              <w:spacing w:before="58"/>
              <w:ind w:left="170"/>
              <w:rPr>
                <w:sz w:val="20"/>
              </w:rPr>
            </w:pPr>
            <w:r>
              <w:rPr>
                <w:sz w:val="20"/>
              </w:rPr>
              <w:t>777,838</w:t>
            </w:r>
          </w:p>
        </w:tc>
        <w:tc>
          <w:tcPr>
            <w:tcW w:w="1274" w:type="dxa"/>
            <w:tcBorders>
              <w:top w:val="single" w:sz="8" w:space="0" w:color="000000"/>
              <w:left w:val="nil"/>
              <w:bottom w:val="nil"/>
              <w:right w:val="nil"/>
            </w:tcBorders>
          </w:tcPr>
          <w:p>
            <w:pPr>
              <w:pStyle w:val="TableParagraph"/>
              <w:spacing w:before="58"/>
              <w:ind w:left="371"/>
              <w:rPr>
                <w:sz w:val="20"/>
              </w:rPr>
            </w:pPr>
            <w:r>
              <w:rPr>
                <w:sz w:val="20"/>
              </w:rPr>
              <w:t>766,661</w:t>
            </w:r>
          </w:p>
        </w:tc>
        <w:tc>
          <w:tcPr>
            <w:tcW w:w="1250" w:type="dxa"/>
            <w:tcBorders>
              <w:top w:val="single" w:sz="8" w:space="0" w:color="000000"/>
              <w:left w:val="nil"/>
              <w:bottom w:val="nil"/>
              <w:right w:val="nil"/>
            </w:tcBorders>
          </w:tcPr>
          <w:p>
            <w:pPr>
              <w:pStyle w:val="TableParagraph"/>
              <w:spacing w:before="58"/>
              <w:ind w:left="297"/>
              <w:rPr>
                <w:sz w:val="20"/>
              </w:rPr>
            </w:pPr>
            <w:r>
              <w:rPr>
                <w:sz w:val="20"/>
              </w:rPr>
              <w:t>777,810</w:t>
            </w:r>
          </w:p>
        </w:tc>
        <w:tc>
          <w:tcPr>
            <w:tcW w:w="1179" w:type="dxa"/>
            <w:tcBorders>
              <w:top w:val="single" w:sz="8" w:space="0" w:color="000000"/>
              <w:left w:val="nil"/>
              <w:bottom w:val="nil"/>
              <w:right w:val="nil"/>
            </w:tcBorders>
          </w:tcPr>
          <w:p>
            <w:pPr>
              <w:pStyle w:val="TableParagraph"/>
              <w:spacing w:before="58"/>
              <w:ind w:left="295"/>
              <w:rPr>
                <w:sz w:val="20"/>
              </w:rPr>
            </w:pPr>
            <w:r>
              <w:rPr>
                <w:sz w:val="20"/>
              </w:rPr>
              <w:t>778,301</w:t>
            </w:r>
          </w:p>
        </w:tc>
        <w:tc>
          <w:tcPr>
            <w:tcW w:w="1249" w:type="dxa"/>
            <w:tcBorders>
              <w:top w:val="single" w:sz="8" w:space="0" w:color="000000"/>
              <w:left w:val="nil"/>
              <w:bottom w:val="nil"/>
              <w:right w:val="nil"/>
            </w:tcBorders>
          </w:tcPr>
          <w:p>
            <w:pPr>
              <w:pStyle w:val="TableParagraph"/>
              <w:spacing w:before="58"/>
              <w:ind w:left="271"/>
              <w:rPr>
                <w:sz w:val="20"/>
              </w:rPr>
            </w:pPr>
            <w:r>
              <w:rPr>
                <w:sz w:val="20"/>
              </w:rPr>
              <w:t>765,542</w:t>
            </w:r>
          </w:p>
        </w:tc>
        <w:tc>
          <w:tcPr>
            <w:tcW w:w="1250" w:type="dxa"/>
            <w:tcBorders>
              <w:top w:val="single" w:sz="8" w:space="0" w:color="000000"/>
              <w:left w:val="nil"/>
              <w:bottom w:val="nil"/>
              <w:right w:val="nil"/>
            </w:tcBorders>
          </w:tcPr>
          <w:p>
            <w:pPr>
              <w:pStyle w:val="TableParagraph"/>
              <w:spacing w:before="58"/>
              <w:ind w:left="322"/>
              <w:rPr>
                <w:sz w:val="20"/>
              </w:rPr>
            </w:pPr>
            <w:r>
              <w:rPr>
                <w:sz w:val="20"/>
              </w:rPr>
              <w:t>766,533</w:t>
            </w:r>
          </w:p>
        </w:tc>
        <w:tc>
          <w:tcPr>
            <w:tcW w:w="988" w:type="dxa"/>
            <w:tcBorders>
              <w:top w:val="single" w:sz="8" w:space="0" w:color="000000"/>
              <w:left w:val="nil"/>
              <w:bottom w:val="nil"/>
              <w:right w:val="nil"/>
            </w:tcBorders>
          </w:tcPr>
          <w:p>
            <w:pPr>
              <w:pStyle w:val="TableParagraph"/>
              <w:spacing w:before="58"/>
              <w:ind w:left="163"/>
              <w:rPr>
                <w:sz w:val="20"/>
              </w:rPr>
            </w:pPr>
            <w:r>
              <w:rPr>
                <w:sz w:val="20"/>
              </w:rPr>
              <w:t>-11,176</w:t>
            </w:r>
          </w:p>
        </w:tc>
        <w:tc>
          <w:tcPr>
            <w:tcW w:w="751" w:type="dxa"/>
            <w:tcBorders>
              <w:top w:val="single" w:sz="8" w:space="0" w:color="000000"/>
              <w:left w:val="nil"/>
              <w:bottom w:val="nil"/>
              <w:right w:val="nil"/>
            </w:tcBorders>
          </w:tcPr>
          <w:p>
            <w:pPr>
              <w:pStyle w:val="TableParagraph"/>
              <w:spacing w:before="58"/>
              <w:ind w:left="298"/>
              <w:rPr>
                <w:sz w:val="20"/>
              </w:rPr>
            </w:pPr>
            <w:r>
              <w:rPr>
                <w:sz w:val="20"/>
              </w:rPr>
              <w:t>-28</w:t>
            </w:r>
          </w:p>
        </w:tc>
        <w:tc>
          <w:tcPr>
            <w:tcW w:w="1117" w:type="dxa"/>
            <w:tcBorders>
              <w:top w:val="single" w:sz="8" w:space="0" w:color="000000"/>
              <w:left w:val="nil"/>
              <w:bottom w:val="nil"/>
              <w:right w:val="nil"/>
            </w:tcBorders>
          </w:tcPr>
          <w:p>
            <w:pPr>
              <w:pStyle w:val="TableParagraph"/>
              <w:spacing w:before="58"/>
              <w:ind w:left="70" w:right="136"/>
              <w:jc w:val="center"/>
              <w:rPr>
                <w:sz w:val="20"/>
              </w:rPr>
            </w:pPr>
            <w:r>
              <w:rPr>
                <w:sz w:val="20"/>
              </w:rPr>
              <w:t>463</w:t>
            </w:r>
          </w:p>
        </w:tc>
        <w:tc>
          <w:tcPr>
            <w:tcW w:w="880" w:type="dxa"/>
            <w:tcBorders>
              <w:top w:val="single" w:sz="8" w:space="0" w:color="000000"/>
              <w:left w:val="nil"/>
              <w:bottom w:val="nil"/>
              <w:right w:val="nil"/>
            </w:tcBorders>
          </w:tcPr>
          <w:p>
            <w:pPr>
              <w:pStyle w:val="TableParagraph"/>
              <w:spacing w:before="58"/>
              <w:ind w:left="53" w:right="169"/>
              <w:jc w:val="center"/>
              <w:rPr>
                <w:sz w:val="20"/>
              </w:rPr>
            </w:pPr>
            <w:r>
              <w:rPr>
                <w:sz w:val="20"/>
              </w:rPr>
              <w:t>-12,295</w:t>
            </w:r>
          </w:p>
        </w:tc>
        <w:tc>
          <w:tcPr>
            <w:tcW w:w="978" w:type="dxa"/>
            <w:tcBorders>
              <w:left w:val="nil"/>
              <w:bottom w:val="nil"/>
              <w:right w:val="nil"/>
            </w:tcBorders>
          </w:tcPr>
          <w:p>
            <w:pPr>
              <w:pStyle w:val="TableParagraph"/>
              <w:spacing w:before="63"/>
              <w:ind w:left="170" w:right="150"/>
              <w:jc w:val="center"/>
              <w:rPr>
                <w:sz w:val="20"/>
              </w:rPr>
            </w:pPr>
            <w:r>
              <w:rPr>
                <w:sz w:val="20"/>
              </w:rPr>
              <w:t>-11,305</w:t>
            </w:r>
          </w:p>
        </w:tc>
      </w:tr>
      <w:tr>
        <w:trPr>
          <w:trHeight w:val="288" w:hRule="exact"/>
        </w:trPr>
        <w:tc>
          <w:tcPr>
            <w:tcW w:w="1052" w:type="dxa"/>
            <w:tcBorders>
              <w:top w:val="nil"/>
              <w:left w:val="nil"/>
              <w:bottom w:val="nil"/>
              <w:right w:val="nil"/>
            </w:tcBorders>
          </w:tcPr>
          <w:p>
            <w:pPr>
              <w:pStyle w:val="TableParagraph"/>
              <w:spacing w:before="11"/>
              <w:ind w:left="69"/>
              <w:rPr>
                <w:sz w:val="20"/>
              </w:rPr>
            </w:pPr>
            <w:r>
              <w:rPr>
                <w:sz w:val="20"/>
              </w:rPr>
              <w:t>P. I. 2</w:t>
            </w:r>
          </w:p>
        </w:tc>
        <w:tc>
          <w:tcPr>
            <w:tcW w:w="1032" w:type="dxa"/>
            <w:tcBorders>
              <w:top w:val="nil"/>
              <w:left w:val="nil"/>
              <w:bottom w:val="nil"/>
              <w:right w:val="nil"/>
            </w:tcBorders>
          </w:tcPr>
          <w:p>
            <w:pPr>
              <w:pStyle w:val="TableParagraph"/>
              <w:spacing w:before="39"/>
              <w:ind w:left="220"/>
              <w:rPr>
                <w:sz w:val="20"/>
              </w:rPr>
            </w:pPr>
            <w:r>
              <w:rPr>
                <w:sz w:val="20"/>
              </w:rPr>
              <w:t>83,217</w:t>
            </w:r>
          </w:p>
        </w:tc>
        <w:tc>
          <w:tcPr>
            <w:tcW w:w="1274" w:type="dxa"/>
            <w:tcBorders>
              <w:top w:val="nil"/>
              <w:left w:val="nil"/>
              <w:bottom w:val="nil"/>
              <w:right w:val="nil"/>
            </w:tcBorders>
          </w:tcPr>
          <w:p>
            <w:pPr>
              <w:pStyle w:val="TableParagraph"/>
              <w:spacing w:before="39"/>
              <w:ind w:left="470"/>
              <w:rPr>
                <w:sz w:val="20"/>
              </w:rPr>
            </w:pPr>
            <w:r>
              <w:rPr>
                <w:sz w:val="20"/>
              </w:rPr>
              <w:t>82,044</w:t>
            </w:r>
          </w:p>
        </w:tc>
        <w:tc>
          <w:tcPr>
            <w:tcW w:w="1250" w:type="dxa"/>
            <w:tcBorders>
              <w:top w:val="nil"/>
              <w:left w:val="nil"/>
              <w:bottom w:val="nil"/>
              <w:right w:val="nil"/>
            </w:tcBorders>
          </w:tcPr>
          <w:p>
            <w:pPr>
              <w:pStyle w:val="TableParagraph"/>
              <w:spacing w:before="39"/>
              <w:ind w:left="395"/>
              <w:rPr>
                <w:sz w:val="20"/>
              </w:rPr>
            </w:pPr>
            <w:r>
              <w:rPr>
                <w:sz w:val="20"/>
              </w:rPr>
              <w:t>83,315</w:t>
            </w:r>
          </w:p>
        </w:tc>
        <w:tc>
          <w:tcPr>
            <w:tcW w:w="1179" w:type="dxa"/>
            <w:tcBorders>
              <w:top w:val="nil"/>
              <w:left w:val="nil"/>
              <w:bottom w:val="nil"/>
              <w:right w:val="nil"/>
            </w:tcBorders>
          </w:tcPr>
          <w:p>
            <w:pPr>
              <w:pStyle w:val="TableParagraph"/>
              <w:spacing w:before="39"/>
              <w:ind w:left="394"/>
              <w:rPr>
                <w:sz w:val="20"/>
              </w:rPr>
            </w:pPr>
            <w:r>
              <w:rPr>
                <w:sz w:val="20"/>
              </w:rPr>
              <w:t>83,324</w:t>
            </w:r>
          </w:p>
        </w:tc>
        <w:tc>
          <w:tcPr>
            <w:tcW w:w="1249" w:type="dxa"/>
            <w:tcBorders>
              <w:top w:val="nil"/>
              <w:left w:val="nil"/>
              <w:bottom w:val="nil"/>
              <w:right w:val="nil"/>
            </w:tcBorders>
          </w:tcPr>
          <w:p>
            <w:pPr>
              <w:pStyle w:val="TableParagraph"/>
              <w:spacing w:before="39"/>
              <w:ind w:left="419"/>
              <w:rPr>
                <w:sz w:val="20"/>
              </w:rPr>
            </w:pPr>
            <w:r>
              <w:rPr>
                <w:sz w:val="20"/>
              </w:rPr>
              <w:t>81,997</w:t>
            </w:r>
          </w:p>
        </w:tc>
        <w:tc>
          <w:tcPr>
            <w:tcW w:w="1250" w:type="dxa"/>
            <w:tcBorders>
              <w:top w:val="nil"/>
              <w:left w:val="nil"/>
              <w:bottom w:val="nil"/>
              <w:right w:val="nil"/>
            </w:tcBorders>
          </w:tcPr>
          <w:p>
            <w:pPr>
              <w:pStyle w:val="TableParagraph"/>
              <w:spacing w:before="39"/>
              <w:ind w:left="421"/>
              <w:rPr>
                <w:sz w:val="20"/>
              </w:rPr>
            </w:pPr>
            <w:r>
              <w:rPr>
                <w:sz w:val="20"/>
              </w:rPr>
              <w:t>81,946</w:t>
            </w:r>
          </w:p>
        </w:tc>
        <w:tc>
          <w:tcPr>
            <w:tcW w:w="988" w:type="dxa"/>
            <w:tcBorders>
              <w:top w:val="nil"/>
              <w:left w:val="nil"/>
              <w:bottom w:val="nil"/>
              <w:right w:val="nil"/>
            </w:tcBorders>
          </w:tcPr>
          <w:p>
            <w:pPr>
              <w:pStyle w:val="TableParagraph"/>
              <w:spacing w:before="39"/>
              <w:ind w:left="213"/>
              <w:rPr>
                <w:sz w:val="20"/>
              </w:rPr>
            </w:pPr>
            <w:r>
              <w:rPr>
                <w:sz w:val="20"/>
              </w:rPr>
              <w:t>-1,173</w:t>
            </w:r>
          </w:p>
        </w:tc>
        <w:tc>
          <w:tcPr>
            <w:tcW w:w="751" w:type="dxa"/>
            <w:tcBorders>
              <w:top w:val="nil"/>
              <w:left w:val="nil"/>
              <w:bottom w:val="nil"/>
              <w:right w:val="nil"/>
            </w:tcBorders>
          </w:tcPr>
          <w:p>
            <w:pPr>
              <w:pStyle w:val="TableParagraph"/>
              <w:spacing w:before="39"/>
              <w:ind w:left="332"/>
              <w:rPr>
                <w:sz w:val="20"/>
              </w:rPr>
            </w:pPr>
            <w:r>
              <w:rPr>
                <w:sz w:val="20"/>
              </w:rPr>
              <w:t>97</w:t>
            </w:r>
          </w:p>
        </w:tc>
        <w:tc>
          <w:tcPr>
            <w:tcW w:w="1117" w:type="dxa"/>
            <w:tcBorders>
              <w:top w:val="nil"/>
              <w:left w:val="nil"/>
              <w:bottom w:val="nil"/>
              <w:right w:val="nil"/>
            </w:tcBorders>
          </w:tcPr>
          <w:p>
            <w:pPr>
              <w:pStyle w:val="TableParagraph"/>
              <w:spacing w:before="39"/>
              <w:ind w:left="70" w:right="136"/>
              <w:jc w:val="center"/>
              <w:rPr>
                <w:sz w:val="20"/>
              </w:rPr>
            </w:pPr>
            <w:r>
              <w:rPr>
                <w:sz w:val="20"/>
              </w:rPr>
              <w:t>106</w:t>
            </w:r>
          </w:p>
        </w:tc>
        <w:tc>
          <w:tcPr>
            <w:tcW w:w="880" w:type="dxa"/>
            <w:tcBorders>
              <w:top w:val="nil"/>
              <w:left w:val="nil"/>
              <w:bottom w:val="nil"/>
              <w:right w:val="nil"/>
            </w:tcBorders>
          </w:tcPr>
          <w:p>
            <w:pPr>
              <w:pStyle w:val="TableParagraph"/>
              <w:spacing w:before="39"/>
              <w:ind w:left="53" w:right="169"/>
              <w:jc w:val="center"/>
              <w:rPr>
                <w:sz w:val="20"/>
              </w:rPr>
            </w:pPr>
            <w:r>
              <w:rPr>
                <w:sz w:val="20"/>
              </w:rPr>
              <w:t>-1,221</w:t>
            </w:r>
          </w:p>
        </w:tc>
        <w:tc>
          <w:tcPr>
            <w:tcW w:w="978" w:type="dxa"/>
            <w:tcBorders>
              <w:top w:val="nil"/>
              <w:left w:val="nil"/>
              <w:bottom w:val="nil"/>
              <w:right w:val="nil"/>
            </w:tcBorders>
          </w:tcPr>
          <w:p>
            <w:pPr>
              <w:pStyle w:val="TableParagraph"/>
              <w:spacing w:before="39"/>
              <w:ind w:left="170" w:right="150"/>
              <w:jc w:val="center"/>
              <w:rPr>
                <w:sz w:val="20"/>
              </w:rPr>
            </w:pPr>
            <w:r>
              <w:rPr>
                <w:sz w:val="20"/>
              </w:rPr>
              <w:t>-1,272</w:t>
            </w:r>
          </w:p>
        </w:tc>
      </w:tr>
      <w:tr>
        <w:trPr>
          <w:trHeight w:val="258" w:hRule="exact"/>
        </w:trPr>
        <w:tc>
          <w:tcPr>
            <w:tcW w:w="1052" w:type="dxa"/>
            <w:tcBorders>
              <w:top w:val="nil"/>
              <w:left w:val="nil"/>
              <w:bottom w:val="nil"/>
              <w:right w:val="nil"/>
            </w:tcBorders>
          </w:tcPr>
          <w:p>
            <w:pPr>
              <w:pStyle w:val="TableParagraph"/>
              <w:spacing w:before="11"/>
              <w:ind w:left="69"/>
              <w:rPr>
                <w:sz w:val="20"/>
              </w:rPr>
            </w:pPr>
            <w:r>
              <w:rPr>
                <w:sz w:val="20"/>
              </w:rPr>
              <w:t>Nacional</w:t>
            </w:r>
          </w:p>
        </w:tc>
        <w:tc>
          <w:tcPr>
            <w:tcW w:w="1032" w:type="dxa"/>
            <w:tcBorders>
              <w:top w:val="nil"/>
              <w:left w:val="nil"/>
              <w:bottom w:val="nil"/>
              <w:right w:val="nil"/>
            </w:tcBorders>
          </w:tcPr>
          <w:p>
            <w:pPr>
              <w:pStyle w:val="TableParagraph"/>
              <w:spacing w:before="11"/>
              <w:ind w:right="69"/>
              <w:jc w:val="right"/>
              <w:rPr>
                <w:sz w:val="20"/>
              </w:rPr>
            </w:pPr>
            <w:r>
              <w:rPr>
                <w:w w:val="95"/>
                <w:sz w:val="20"/>
              </w:rPr>
              <w:t>861,055</w:t>
            </w:r>
          </w:p>
        </w:tc>
        <w:tc>
          <w:tcPr>
            <w:tcW w:w="1274" w:type="dxa"/>
            <w:tcBorders>
              <w:top w:val="nil"/>
              <w:left w:val="nil"/>
              <w:bottom w:val="nil"/>
              <w:right w:val="nil"/>
            </w:tcBorders>
          </w:tcPr>
          <w:p>
            <w:pPr>
              <w:pStyle w:val="TableParagraph"/>
              <w:spacing w:before="11"/>
              <w:ind w:right="144"/>
              <w:jc w:val="right"/>
              <w:rPr>
                <w:sz w:val="20"/>
              </w:rPr>
            </w:pPr>
            <w:r>
              <w:rPr>
                <w:w w:val="95"/>
                <w:sz w:val="20"/>
              </w:rPr>
              <w:t>848,706</w:t>
            </w:r>
          </w:p>
        </w:tc>
        <w:tc>
          <w:tcPr>
            <w:tcW w:w="1250" w:type="dxa"/>
            <w:tcBorders>
              <w:top w:val="nil"/>
              <w:left w:val="nil"/>
              <w:bottom w:val="nil"/>
              <w:right w:val="nil"/>
            </w:tcBorders>
          </w:tcPr>
          <w:p>
            <w:pPr>
              <w:pStyle w:val="TableParagraph"/>
              <w:spacing w:before="11"/>
              <w:ind w:left="403"/>
              <w:rPr>
                <w:sz w:val="20"/>
              </w:rPr>
            </w:pPr>
            <w:r>
              <w:rPr>
                <w:sz w:val="20"/>
              </w:rPr>
              <w:t>861,124</w:t>
            </w:r>
          </w:p>
        </w:tc>
        <w:tc>
          <w:tcPr>
            <w:tcW w:w="1179" w:type="dxa"/>
            <w:tcBorders>
              <w:top w:val="nil"/>
              <w:left w:val="nil"/>
              <w:bottom w:val="nil"/>
              <w:right w:val="nil"/>
            </w:tcBorders>
          </w:tcPr>
          <w:p>
            <w:pPr>
              <w:pStyle w:val="TableParagraph"/>
              <w:spacing w:before="11"/>
              <w:ind w:right="117"/>
              <w:jc w:val="right"/>
              <w:rPr>
                <w:sz w:val="20"/>
              </w:rPr>
            </w:pPr>
            <w:r>
              <w:rPr>
                <w:w w:val="95"/>
                <w:sz w:val="20"/>
              </w:rPr>
              <w:t>861,624</w:t>
            </w:r>
          </w:p>
        </w:tc>
        <w:tc>
          <w:tcPr>
            <w:tcW w:w="1249" w:type="dxa"/>
            <w:tcBorders>
              <w:top w:val="nil"/>
              <w:left w:val="nil"/>
              <w:bottom w:val="nil"/>
              <w:right w:val="nil"/>
            </w:tcBorders>
          </w:tcPr>
          <w:p>
            <w:pPr>
              <w:pStyle w:val="TableParagraph"/>
              <w:spacing w:before="11"/>
              <w:ind w:right="169"/>
              <w:jc w:val="right"/>
              <w:rPr>
                <w:sz w:val="20"/>
              </w:rPr>
            </w:pPr>
            <w:r>
              <w:rPr>
                <w:w w:val="95"/>
                <w:sz w:val="20"/>
              </w:rPr>
              <w:t>847,539</w:t>
            </w:r>
          </w:p>
        </w:tc>
        <w:tc>
          <w:tcPr>
            <w:tcW w:w="1250" w:type="dxa"/>
            <w:tcBorders>
              <w:top w:val="nil"/>
              <w:left w:val="nil"/>
              <w:bottom w:val="nil"/>
              <w:right w:val="nil"/>
            </w:tcBorders>
          </w:tcPr>
          <w:p>
            <w:pPr>
              <w:pStyle w:val="TableParagraph"/>
              <w:spacing w:before="11"/>
              <w:ind w:right="161"/>
              <w:jc w:val="right"/>
              <w:rPr>
                <w:sz w:val="20"/>
              </w:rPr>
            </w:pPr>
            <w:r>
              <w:rPr>
                <w:w w:val="95"/>
                <w:sz w:val="20"/>
              </w:rPr>
              <w:t>848,479</w:t>
            </w:r>
          </w:p>
        </w:tc>
        <w:tc>
          <w:tcPr>
            <w:tcW w:w="988" w:type="dxa"/>
            <w:tcBorders>
              <w:top w:val="nil"/>
              <w:left w:val="nil"/>
              <w:bottom w:val="nil"/>
              <w:right w:val="nil"/>
            </w:tcBorders>
          </w:tcPr>
          <w:p>
            <w:pPr>
              <w:pStyle w:val="TableParagraph"/>
              <w:spacing w:before="40"/>
              <w:ind w:left="163"/>
              <w:rPr>
                <w:sz w:val="20"/>
              </w:rPr>
            </w:pPr>
            <w:r>
              <w:rPr>
                <w:sz w:val="20"/>
              </w:rPr>
              <w:t>-12,350</w:t>
            </w:r>
          </w:p>
        </w:tc>
        <w:tc>
          <w:tcPr>
            <w:tcW w:w="751" w:type="dxa"/>
            <w:tcBorders>
              <w:top w:val="nil"/>
              <w:left w:val="nil"/>
              <w:bottom w:val="nil"/>
              <w:right w:val="nil"/>
            </w:tcBorders>
          </w:tcPr>
          <w:p>
            <w:pPr>
              <w:pStyle w:val="TableParagraph"/>
              <w:spacing w:before="40"/>
              <w:ind w:left="332"/>
              <w:rPr>
                <w:sz w:val="20"/>
              </w:rPr>
            </w:pPr>
            <w:r>
              <w:rPr>
                <w:sz w:val="20"/>
              </w:rPr>
              <w:t>69</w:t>
            </w:r>
          </w:p>
        </w:tc>
        <w:tc>
          <w:tcPr>
            <w:tcW w:w="1117" w:type="dxa"/>
            <w:tcBorders>
              <w:top w:val="nil"/>
              <w:left w:val="nil"/>
              <w:bottom w:val="nil"/>
              <w:right w:val="nil"/>
            </w:tcBorders>
          </w:tcPr>
          <w:p>
            <w:pPr>
              <w:pStyle w:val="TableParagraph"/>
              <w:spacing w:before="40"/>
              <w:ind w:left="70" w:right="136"/>
              <w:jc w:val="center"/>
              <w:rPr>
                <w:sz w:val="20"/>
              </w:rPr>
            </w:pPr>
            <w:r>
              <w:rPr>
                <w:sz w:val="20"/>
              </w:rPr>
              <w:t>569</w:t>
            </w:r>
          </w:p>
        </w:tc>
        <w:tc>
          <w:tcPr>
            <w:tcW w:w="880" w:type="dxa"/>
            <w:tcBorders>
              <w:top w:val="nil"/>
              <w:left w:val="nil"/>
              <w:bottom w:val="nil"/>
              <w:right w:val="nil"/>
            </w:tcBorders>
          </w:tcPr>
          <w:p>
            <w:pPr>
              <w:pStyle w:val="TableParagraph"/>
              <w:spacing w:before="40"/>
              <w:ind w:left="53" w:right="169"/>
              <w:jc w:val="center"/>
              <w:rPr>
                <w:sz w:val="20"/>
              </w:rPr>
            </w:pPr>
            <w:r>
              <w:rPr>
                <w:sz w:val="20"/>
              </w:rPr>
              <w:t>-13,516</w:t>
            </w:r>
          </w:p>
        </w:tc>
        <w:tc>
          <w:tcPr>
            <w:tcW w:w="978" w:type="dxa"/>
            <w:tcBorders>
              <w:top w:val="nil"/>
              <w:left w:val="nil"/>
              <w:bottom w:val="nil"/>
              <w:right w:val="nil"/>
            </w:tcBorders>
          </w:tcPr>
          <w:p>
            <w:pPr>
              <w:pStyle w:val="TableParagraph"/>
              <w:spacing w:before="40"/>
              <w:ind w:left="170" w:right="150"/>
              <w:jc w:val="center"/>
              <w:rPr>
                <w:sz w:val="20"/>
              </w:rPr>
            </w:pPr>
            <w:r>
              <w:rPr>
                <w:sz w:val="20"/>
              </w:rPr>
              <w:t>-12,577</w:t>
            </w:r>
          </w:p>
        </w:tc>
      </w:tr>
      <w:tr>
        <w:trPr>
          <w:trHeight w:val="321" w:hRule="exact"/>
        </w:trPr>
        <w:tc>
          <w:tcPr>
            <w:tcW w:w="13000" w:type="dxa"/>
            <w:gridSpan w:val="12"/>
            <w:tcBorders>
              <w:top w:val="nil"/>
              <w:left w:val="nil"/>
              <w:bottom w:val="nil"/>
              <w:right w:val="nil"/>
            </w:tcBorders>
          </w:tcPr>
          <w:p>
            <w:pPr>
              <w:pStyle w:val="TableParagraph"/>
              <w:spacing w:before="48"/>
              <w:ind w:left="3715"/>
              <w:rPr>
                <w:sz w:val="20"/>
              </w:rPr>
            </w:pPr>
            <w:r>
              <w:rPr>
                <w:sz w:val="20"/>
              </w:rPr>
              <w:t>Volumen del consumo</w:t>
            </w:r>
          </w:p>
        </w:tc>
      </w:tr>
      <w:tr>
        <w:trPr>
          <w:trHeight w:val="319" w:hRule="exact"/>
        </w:trPr>
        <w:tc>
          <w:tcPr>
            <w:tcW w:w="1052" w:type="dxa"/>
            <w:tcBorders>
              <w:left w:val="nil"/>
              <w:bottom w:val="nil"/>
              <w:right w:val="nil"/>
            </w:tcBorders>
          </w:tcPr>
          <w:p>
            <w:pPr>
              <w:pStyle w:val="TableParagraph"/>
              <w:spacing w:before="36"/>
              <w:ind w:left="69"/>
              <w:rPr>
                <w:sz w:val="20"/>
              </w:rPr>
            </w:pPr>
            <w:r>
              <w:rPr>
                <w:sz w:val="20"/>
              </w:rPr>
              <w:t>NO</w:t>
            </w:r>
          </w:p>
        </w:tc>
        <w:tc>
          <w:tcPr>
            <w:tcW w:w="1032" w:type="dxa"/>
            <w:tcBorders>
              <w:top w:val="single" w:sz="8" w:space="0" w:color="000000"/>
              <w:left w:val="nil"/>
              <w:bottom w:val="nil"/>
              <w:right w:val="nil"/>
            </w:tcBorders>
          </w:tcPr>
          <w:p>
            <w:pPr>
              <w:pStyle w:val="TableParagraph"/>
              <w:spacing w:before="60"/>
              <w:ind w:left="220"/>
              <w:rPr>
                <w:sz w:val="20"/>
              </w:rPr>
            </w:pPr>
            <w:r>
              <w:rPr>
                <w:sz w:val="20"/>
              </w:rPr>
              <w:t>80,418</w:t>
            </w:r>
          </w:p>
        </w:tc>
        <w:tc>
          <w:tcPr>
            <w:tcW w:w="1274" w:type="dxa"/>
            <w:tcBorders>
              <w:top w:val="single" w:sz="8" w:space="0" w:color="000000"/>
              <w:left w:val="nil"/>
              <w:bottom w:val="nil"/>
              <w:right w:val="nil"/>
            </w:tcBorders>
          </w:tcPr>
          <w:p>
            <w:pPr>
              <w:pStyle w:val="TableParagraph"/>
              <w:spacing w:before="60"/>
              <w:ind w:left="470"/>
              <w:rPr>
                <w:sz w:val="20"/>
              </w:rPr>
            </w:pPr>
            <w:r>
              <w:rPr>
                <w:sz w:val="20"/>
              </w:rPr>
              <w:t>80,393</w:t>
            </w:r>
          </w:p>
        </w:tc>
        <w:tc>
          <w:tcPr>
            <w:tcW w:w="1250" w:type="dxa"/>
            <w:tcBorders>
              <w:top w:val="single" w:sz="8" w:space="0" w:color="000000"/>
              <w:left w:val="nil"/>
              <w:bottom w:val="nil"/>
              <w:right w:val="nil"/>
            </w:tcBorders>
          </w:tcPr>
          <w:p>
            <w:pPr>
              <w:pStyle w:val="TableParagraph"/>
              <w:spacing w:before="60"/>
              <w:ind w:left="395"/>
              <w:rPr>
                <w:sz w:val="20"/>
              </w:rPr>
            </w:pPr>
            <w:r>
              <w:rPr>
                <w:sz w:val="20"/>
              </w:rPr>
              <w:t>80,423</w:t>
            </w:r>
          </w:p>
        </w:tc>
        <w:tc>
          <w:tcPr>
            <w:tcW w:w="1179" w:type="dxa"/>
            <w:tcBorders>
              <w:top w:val="single" w:sz="8" w:space="0" w:color="000000"/>
              <w:left w:val="nil"/>
              <w:bottom w:val="nil"/>
              <w:right w:val="nil"/>
            </w:tcBorders>
          </w:tcPr>
          <w:p>
            <w:pPr>
              <w:pStyle w:val="TableParagraph"/>
              <w:spacing w:before="60"/>
              <w:ind w:left="394"/>
              <w:rPr>
                <w:sz w:val="20"/>
              </w:rPr>
            </w:pPr>
            <w:r>
              <w:rPr>
                <w:sz w:val="20"/>
              </w:rPr>
              <w:t>80,422</w:t>
            </w:r>
          </w:p>
        </w:tc>
        <w:tc>
          <w:tcPr>
            <w:tcW w:w="1249" w:type="dxa"/>
            <w:tcBorders>
              <w:top w:val="single" w:sz="8" w:space="0" w:color="000000"/>
              <w:left w:val="nil"/>
              <w:bottom w:val="nil"/>
              <w:right w:val="nil"/>
            </w:tcBorders>
          </w:tcPr>
          <w:p>
            <w:pPr>
              <w:pStyle w:val="TableParagraph"/>
              <w:spacing w:before="60"/>
              <w:ind w:left="419"/>
              <w:rPr>
                <w:sz w:val="20"/>
              </w:rPr>
            </w:pPr>
            <w:r>
              <w:rPr>
                <w:sz w:val="20"/>
              </w:rPr>
              <w:t>80,398</w:t>
            </w:r>
          </w:p>
        </w:tc>
        <w:tc>
          <w:tcPr>
            <w:tcW w:w="1250" w:type="dxa"/>
            <w:tcBorders>
              <w:top w:val="single" w:sz="8" w:space="0" w:color="000000"/>
              <w:left w:val="nil"/>
              <w:bottom w:val="nil"/>
              <w:right w:val="nil"/>
            </w:tcBorders>
          </w:tcPr>
          <w:p>
            <w:pPr>
              <w:pStyle w:val="TableParagraph"/>
              <w:spacing w:before="60"/>
              <w:ind w:left="421"/>
              <w:rPr>
                <w:sz w:val="20"/>
              </w:rPr>
            </w:pPr>
            <w:r>
              <w:rPr>
                <w:sz w:val="20"/>
              </w:rPr>
              <w:t>80,391</w:t>
            </w:r>
          </w:p>
        </w:tc>
        <w:tc>
          <w:tcPr>
            <w:tcW w:w="988" w:type="dxa"/>
            <w:tcBorders>
              <w:top w:val="single" w:sz="8" w:space="0" w:color="000000"/>
              <w:left w:val="nil"/>
              <w:bottom w:val="nil"/>
              <w:right w:val="nil"/>
            </w:tcBorders>
          </w:tcPr>
          <w:p>
            <w:pPr>
              <w:pStyle w:val="TableParagraph"/>
              <w:spacing w:before="60"/>
              <w:ind w:left="319" w:right="361"/>
              <w:jc w:val="center"/>
              <w:rPr>
                <w:sz w:val="20"/>
              </w:rPr>
            </w:pPr>
            <w:r>
              <w:rPr>
                <w:sz w:val="20"/>
              </w:rPr>
              <w:t>-25</w:t>
            </w:r>
          </w:p>
        </w:tc>
        <w:tc>
          <w:tcPr>
            <w:tcW w:w="751" w:type="dxa"/>
            <w:tcBorders>
              <w:top w:val="single" w:sz="8" w:space="0" w:color="000000"/>
              <w:left w:val="nil"/>
              <w:bottom w:val="nil"/>
              <w:right w:val="nil"/>
            </w:tcBorders>
          </w:tcPr>
          <w:p>
            <w:pPr>
              <w:pStyle w:val="TableParagraph"/>
              <w:spacing w:before="60"/>
              <w:ind w:left="113"/>
              <w:jc w:val="center"/>
              <w:rPr>
                <w:sz w:val="20"/>
              </w:rPr>
            </w:pPr>
            <w:r>
              <w:rPr>
                <w:w w:val="99"/>
                <w:sz w:val="20"/>
              </w:rPr>
              <w:t>5</w:t>
            </w:r>
          </w:p>
        </w:tc>
        <w:tc>
          <w:tcPr>
            <w:tcW w:w="1117" w:type="dxa"/>
            <w:tcBorders>
              <w:top w:val="single" w:sz="8" w:space="0" w:color="000000"/>
              <w:left w:val="nil"/>
              <w:bottom w:val="nil"/>
              <w:right w:val="nil"/>
            </w:tcBorders>
          </w:tcPr>
          <w:p>
            <w:pPr>
              <w:pStyle w:val="TableParagraph"/>
              <w:spacing w:before="60"/>
              <w:ind w:right="72"/>
              <w:jc w:val="center"/>
              <w:rPr>
                <w:sz w:val="20"/>
              </w:rPr>
            </w:pPr>
            <w:r>
              <w:rPr>
                <w:w w:val="99"/>
                <w:sz w:val="20"/>
              </w:rPr>
              <w:t>3</w:t>
            </w:r>
          </w:p>
        </w:tc>
        <w:tc>
          <w:tcPr>
            <w:tcW w:w="880" w:type="dxa"/>
            <w:tcBorders>
              <w:top w:val="single" w:sz="8" w:space="0" w:color="000000"/>
              <w:left w:val="nil"/>
              <w:bottom w:val="nil"/>
              <w:right w:val="nil"/>
            </w:tcBorders>
          </w:tcPr>
          <w:p>
            <w:pPr>
              <w:pStyle w:val="TableParagraph"/>
              <w:spacing w:before="60"/>
              <w:ind w:left="53" w:right="169"/>
              <w:jc w:val="center"/>
              <w:rPr>
                <w:sz w:val="20"/>
              </w:rPr>
            </w:pPr>
            <w:r>
              <w:rPr>
                <w:sz w:val="20"/>
              </w:rPr>
              <w:t>-21</w:t>
            </w:r>
          </w:p>
        </w:tc>
        <w:tc>
          <w:tcPr>
            <w:tcW w:w="978" w:type="dxa"/>
            <w:tcBorders>
              <w:left w:val="nil"/>
              <w:bottom w:val="nil"/>
              <w:right w:val="nil"/>
            </w:tcBorders>
          </w:tcPr>
          <w:p>
            <w:pPr>
              <w:pStyle w:val="TableParagraph"/>
              <w:spacing w:before="65"/>
              <w:ind w:left="170" w:right="150"/>
              <w:jc w:val="center"/>
              <w:rPr>
                <w:sz w:val="20"/>
              </w:rPr>
            </w:pPr>
            <w:r>
              <w:rPr>
                <w:sz w:val="20"/>
              </w:rPr>
              <w:t>-27</w:t>
            </w:r>
          </w:p>
        </w:tc>
      </w:tr>
      <w:tr>
        <w:trPr>
          <w:trHeight w:val="288" w:hRule="exact"/>
        </w:trPr>
        <w:tc>
          <w:tcPr>
            <w:tcW w:w="1052" w:type="dxa"/>
            <w:tcBorders>
              <w:top w:val="nil"/>
              <w:left w:val="nil"/>
              <w:bottom w:val="nil"/>
              <w:right w:val="nil"/>
            </w:tcBorders>
          </w:tcPr>
          <w:p>
            <w:pPr>
              <w:pStyle w:val="TableParagraph"/>
              <w:spacing w:before="11"/>
              <w:ind w:left="69"/>
              <w:rPr>
                <w:sz w:val="20"/>
              </w:rPr>
            </w:pPr>
            <w:r>
              <w:rPr>
                <w:sz w:val="20"/>
              </w:rPr>
              <w:t>NR</w:t>
            </w:r>
          </w:p>
        </w:tc>
        <w:tc>
          <w:tcPr>
            <w:tcW w:w="1032" w:type="dxa"/>
            <w:tcBorders>
              <w:top w:val="nil"/>
              <w:left w:val="nil"/>
              <w:bottom w:val="nil"/>
              <w:right w:val="nil"/>
            </w:tcBorders>
          </w:tcPr>
          <w:p>
            <w:pPr>
              <w:pStyle w:val="TableParagraph"/>
              <w:spacing w:before="39"/>
              <w:ind w:left="170"/>
              <w:rPr>
                <w:sz w:val="20"/>
              </w:rPr>
            </w:pPr>
            <w:r>
              <w:rPr>
                <w:sz w:val="20"/>
              </w:rPr>
              <w:t>124,382</w:t>
            </w:r>
          </w:p>
        </w:tc>
        <w:tc>
          <w:tcPr>
            <w:tcW w:w="1274" w:type="dxa"/>
            <w:tcBorders>
              <w:top w:val="nil"/>
              <w:left w:val="nil"/>
              <w:bottom w:val="nil"/>
              <w:right w:val="nil"/>
            </w:tcBorders>
          </w:tcPr>
          <w:p>
            <w:pPr>
              <w:pStyle w:val="TableParagraph"/>
              <w:spacing w:before="39"/>
              <w:ind w:left="371"/>
              <w:rPr>
                <w:sz w:val="20"/>
              </w:rPr>
            </w:pPr>
            <w:r>
              <w:rPr>
                <w:sz w:val="20"/>
              </w:rPr>
              <w:t>123,835</w:t>
            </w:r>
          </w:p>
        </w:tc>
        <w:tc>
          <w:tcPr>
            <w:tcW w:w="1250" w:type="dxa"/>
            <w:tcBorders>
              <w:top w:val="nil"/>
              <w:left w:val="nil"/>
              <w:bottom w:val="nil"/>
              <w:right w:val="nil"/>
            </w:tcBorders>
          </w:tcPr>
          <w:p>
            <w:pPr>
              <w:pStyle w:val="TableParagraph"/>
              <w:spacing w:before="39"/>
              <w:ind w:left="297"/>
              <w:rPr>
                <w:sz w:val="20"/>
              </w:rPr>
            </w:pPr>
            <w:r>
              <w:rPr>
                <w:sz w:val="20"/>
              </w:rPr>
              <w:t>124,385</w:t>
            </w:r>
          </w:p>
        </w:tc>
        <w:tc>
          <w:tcPr>
            <w:tcW w:w="1179" w:type="dxa"/>
            <w:tcBorders>
              <w:top w:val="nil"/>
              <w:left w:val="nil"/>
              <w:bottom w:val="nil"/>
              <w:right w:val="nil"/>
            </w:tcBorders>
          </w:tcPr>
          <w:p>
            <w:pPr>
              <w:pStyle w:val="TableParagraph"/>
              <w:spacing w:before="39"/>
              <w:ind w:left="295"/>
              <w:rPr>
                <w:sz w:val="20"/>
              </w:rPr>
            </w:pPr>
            <w:r>
              <w:rPr>
                <w:sz w:val="20"/>
              </w:rPr>
              <w:t>124,337</w:t>
            </w:r>
          </w:p>
        </w:tc>
        <w:tc>
          <w:tcPr>
            <w:tcW w:w="1249" w:type="dxa"/>
            <w:tcBorders>
              <w:top w:val="nil"/>
              <w:left w:val="nil"/>
              <w:bottom w:val="nil"/>
              <w:right w:val="nil"/>
            </w:tcBorders>
          </w:tcPr>
          <w:p>
            <w:pPr>
              <w:pStyle w:val="TableParagraph"/>
              <w:spacing w:before="39"/>
              <w:ind w:left="271"/>
              <w:rPr>
                <w:sz w:val="20"/>
              </w:rPr>
            </w:pPr>
            <w:r>
              <w:rPr>
                <w:sz w:val="20"/>
              </w:rPr>
              <w:t>123,875</w:t>
            </w:r>
          </w:p>
        </w:tc>
        <w:tc>
          <w:tcPr>
            <w:tcW w:w="1250" w:type="dxa"/>
            <w:tcBorders>
              <w:top w:val="nil"/>
              <w:left w:val="nil"/>
              <w:bottom w:val="nil"/>
              <w:right w:val="nil"/>
            </w:tcBorders>
          </w:tcPr>
          <w:p>
            <w:pPr>
              <w:pStyle w:val="TableParagraph"/>
              <w:spacing w:before="39"/>
              <w:ind w:left="322"/>
              <w:rPr>
                <w:sz w:val="20"/>
              </w:rPr>
            </w:pPr>
            <w:r>
              <w:rPr>
                <w:sz w:val="20"/>
              </w:rPr>
              <w:t>123,836</w:t>
            </w:r>
          </w:p>
        </w:tc>
        <w:tc>
          <w:tcPr>
            <w:tcW w:w="988" w:type="dxa"/>
            <w:tcBorders>
              <w:top w:val="nil"/>
              <w:left w:val="nil"/>
              <w:bottom w:val="nil"/>
              <w:right w:val="nil"/>
            </w:tcBorders>
          </w:tcPr>
          <w:p>
            <w:pPr>
              <w:pStyle w:val="TableParagraph"/>
              <w:spacing w:before="39"/>
              <w:ind w:left="287"/>
              <w:rPr>
                <w:sz w:val="20"/>
              </w:rPr>
            </w:pPr>
            <w:r>
              <w:rPr>
                <w:sz w:val="20"/>
              </w:rPr>
              <w:t>-547</w:t>
            </w:r>
          </w:p>
        </w:tc>
        <w:tc>
          <w:tcPr>
            <w:tcW w:w="751" w:type="dxa"/>
            <w:tcBorders>
              <w:top w:val="nil"/>
              <w:left w:val="nil"/>
              <w:bottom w:val="nil"/>
              <w:right w:val="nil"/>
            </w:tcBorders>
          </w:tcPr>
          <w:p>
            <w:pPr>
              <w:pStyle w:val="TableParagraph"/>
              <w:spacing w:before="39"/>
              <w:ind w:left="113"/>
              <w:jc w:val="center"/>
              <w:rPr>
                <w:sz w:val="20"/>
              </w:rPr>
            </w:pPr>
            <w:r>
              <w:rPr>
                <w:w w:val="99"/>
                <w:sz w:val="20"/>
              </w:rPr>
              <w:t>4</w:t>
            </w:r>
          </w:p>
        </w:tc>
        <w:tc>
          <w:tcPr>
            <w:tcW w:w="1117" w:type="dxa"/>
            <w:tcBorders>
              <w:top w:val="nil"/>
              <w:left w:val="nil"/>
              <w:bottom w:val="nil"/>
              <w:right w:val="nil"/>
            </w:tcBorders>
          </w:tcPr>
          <w:p>
            <w:pPr>
              <w:pStyle w:val="TableParagraph"/>
              <w:spacing w:before="39"/>
              <w:ind w:left="70" w:right="141"/>
              <w:jc w:val="center"/>
              <w:rPr>
                <w:sz w:val="20"/>
              </w:rPr>
            </w:pPr>
            <w:r>
              <w:rPr>
                <w:sz w:val="20"/>
              </w:rPr>
              <w:t>- 45</w:t>
            </w:r>
          </w:p>
        </w:tc>
        <w:tc>
          <w:tcPr>
            <w:tcW w:w="880" w:type="dxa"/>
            <w:tcBorders>
              <w:top w:val="nil"/>
              <w:left w:val="nil"/>
              <w:bottom w:val="nil"/>
              <w:right w:val="nil"/>
            </w:tcBorders>
          </w:tcPr>
          <w:p>
            <w:pPr>
              <w:pStyle w:val="TableParagraph"/>
              <w:spacing w:before="39"/>
              <w:ind w:left="53" w:right="169"/>
              <w:jc w:val="center"/>
              <w:rPr>
                <w:sz w:val="20"/>
              </w:rPr>
            </w:pPr>
            <w:r>
              <w:rPr>
                <w:sz w:val="20"/>
              </w:rPr>
              <w:t>-507</w:t>
            </w:r>
          </w:p>
        </w:tc>
        <w:tc>
          <w:tcPr>
            <w:tcW w:w="978" w:type="dxa"/>
            <w:tcBorders>
              <w:top w:val="nil"/>
              <w:left w:val="nil"/>
              <w:bottom w:val="nil"/>
              <w:right w:val="nil"/>
            </w:tcBorders>
          </w:tcPr>
          <w:p>
            <w:pPr>
              <w:pStyle w:val="TableParagraph"/>
              <w:spacing w:before="39"/>
              <w:ind w:left="170" w:right="150"/>
              <w:jc w:val="center"/>
              <w:rPr>
                <w:sz w:val="20"/>
              </w:rPr>
            </w:pPr>
            <w:r>
              <w:rPr>
                <w:sz w:val="20"/>
              </w:rPr>
              <w:t>-546</w:t>
            </w:r>
          </w:p>
        </w:tc>
      </w:tr>
      <w:tr>
        <w:trPr>
          <w:trHeight w:val="288" w:hRule="exact"/>
        </w:trPr>
        <w:tc>
          <w:tcPr>
            <w:tcW w:w="1052" w:type="dxa"/>
            <w:tcBorders>
              <w:top w:val="nil"/>
              <w:left w:val="nil"/>
              <w:bottom w:val="nil"/>
              <w:right w:val="nil"/>
            </w:tcBorders>
          </w:tcPr>
          <w:p>
            <w:pPr>
              <w:pStyle w:val="TableParagraph"/>
              <w:spacing w:before="11"/>
              <w:ind w:left="69"/>
              <w:rPr>
                <w:sz w:val="20"/>
              </w:rPr>
            </w:pPr>
            <w:r>
              <w:rPr>
                <w:sz w:val="20"/>
              </w:rPr>
              <w:t>NE</w:t>
            </w:r>
          </w:p>
        </w:tc>
        <w:tc>
          <w:tcPr>
            <w:tcW w:w="1032" w:type="dxa"/>
            <w:tcBorders>
              <w:top w:val="nil"/>
              <w:left w:val="nil"/>
              <w:bottom w:val="nil"/>
              <w:right w:val="nil"/>
            </w:tcBorders>
          </w:tcPr>
          <w:p>
            <w:pPr>
              <w:pStyle w:val="TableParagraph"/>
              <w:spacing w:before="39"/>
              <w:ind w:left="220"/>
              <w:rPr>
                <w:sz w:val="20"/>
              </w:rPr>
            </w:pPr>
            <w:r>
              <w:rPr>
                <w:sz w:val="20"/>
              </w:rPr>
              <w:t>50,171</w:t>
            </w:r>
          </w:p>
        </w:tc>
        <w:tc>
          <w:tcPr>
            <w:tcW w:w="1274" w:type="dxa"/>
            <w:tcBorders>
              <w:top w:val="nil"/>
              <w:left w:val="nil"/>
              <w:bottom w:val="nil"/>
              <w:right w:val="nil"/>
            </w:tcBorders>
          </w:tcPr>
          <w:p>
            <w:pPr>
              <w:pStyle w:val="TableParagraph"/>
              <w:spacing w:before="39"/>
              <w:ind w:left="470"/>
              <w:rPr>
                <w:sz w:val="20"/>
              </w:rPr>
            </w:pPr>
            <w:r>
              <w:rPr>
                <w:sz w:val="20"/>
              </w:rPr>
              <w:t>50,006</w:t>
            </w:r>
          </w:p>
        </w:tc>
        <w:tc>
          <w:tcPr>
            <w:tcW w:w="1250" w:type="dxa"/>
            <w:tcBorders>
              <w:top w:val="nil"/>
              <w:left w:val="nil"/>
              <w:bottom w:val="nil"/>
              <w:right w:val="nil"/>
            </w:tcBorders>
          </w:tcPr>
          <w:p>
            <w:pPr>
              <w:pStyle w:val="TableParagraph"/>
              <w:spacing w:before="39"/>
              <w:ind w:left="395"/>
              <w:rPr>
                <w:sz w:val="20"/>
              </w:rPr>
            </w:pPr>
            <w:r>
              <w:rPr>
                <w:sz w:val="20"/>
              </w:rPr>
              <w:t>50,224</w:t>
            </w:r>
          </w:p>
        </w:tc>
        <w:tc>
          <w:tcPr>
            <w:tcW w:w="1179" w:type="dxa"/>
            <w:tcBorders>
              <w:top w:val="nil"/>
              <w:left w:val="nil"/>
              <w:bottom w:val="nil"/>
              <w:right w:val="nil"/>
            </w:tcBorders>
          </w:tcPr>
          <w:p>
            <w:pPr>
              <w:pStyle w:val="TableParagraph"/>
              <w:spacing w:before="39"/>
              <w:ind w:left="394"/>
              <w:rPr>
                <w:sz w:val="20"/>
              </w:rPr>
            </w:pPr>
            <w:r>
              <w:rPr>
                <w:sz w:val="20"/>
              </w:rPr>
              <w:t>50,185</w:t>
            </w:r>
          </w:p>
        </w:tc>
        <w:tc>
          <w:tcPr>
            <w:tcW w:w="1249" w:type="dxa"/>
            <w:tcBorders>
              <w:top w:val="nil"/>
              <w:left w:val="nil"/>
              <w:bottom w:val="nil"/>
              <w:right w:val="nil"/>
            </w:tcBorders>
          </w:tcPr>
          <w:p>
            <w:pPr>
              <w:pStyle w:val="TableParagraph"/>
              <w:spacing w:before="39"/>
              <w:ind w:left="419"/>
              <w:rPr>
                <w:sz w:val="20"/>
              </w:rPr>
            </w:pPr>
            <w:r>
              <w:rPr>
                <w:sz w:val="20"/>
              </w:rPr>
              <w:t>50,013</w:t>
            </w:r>
          </w:p>
        </w:tc>
        <w:tc>
          <w:tcPr>
            <w:tcW w:w="1250" w:type="dxa"/>
            <w:tcBorders>
              <w:top w:val="nil"/>
              <w:left w:val="nil"/>
              <w:bottom w:val="nil"/>
              <w:right w:val="nil"/>
            </w:tcBorders>
          </w:tcPr>
          <w:p>
            <w:pPr>
              <w:pStyle w:val="TableParagraph"/>
              <w:spacing w:before="39"/>
              <w:ind w:left="421"/>
              <w:rPr>
                <w:sz w:val="20"/>
              </w:rPr>
            </w:pPr>
            <w:r>
              <w:rPr>
                <w:sz w:val="20"/>
              </w:rPr>
              <w:t>49,994</w:t>
            </w:r>
          </w:p>
        </w:tc>
        <w:tc>
          <w:tcPr>
            <w:tcW w:w="988" w:type="dxa"/>
            <w:tcBorders>
              <w:top w:val="nil"/>
              <w:left w:val="nil"/>
              <w:bottom w:val="nil"/>
              <w:right w:val="nil"/>
            </w:tcBorders>
          </w:tcPr>
          <w:p>
            <w:pPr>
              <w:pStyle w:val="TableParagraph"/>
              <w:spacing w:before="39"/>
              <w:ind w:left="287"/>
              <w:rPr>
                <w:sz w:val="20"/>
              </w:rPr>
            </w:pPr>
            <w:r>
              <w:rPr>
                <w:sz w:val="20"/>
              </w:rPr>
              <w:t>-165</w:t>
            </w:r>
          </w:p>
        </w:tc>
        <w:tc>
          <w:tcPr>
            <w:tcW w:w="751" w:type="dxa"/>
            <w:tcBorders>
              <w:top w:val="nil"/>
              <w:left w:val="nil"/>
              <w:bottom w:val="nil"/>
              <w:right w:val="nil"/>
            </w:tcBorders>
          </w:tcPr>
          <w:p>
            <w:pPr>
              <w:pStyle w:val="TableParagraph"/>
              <w:spacing w:before="39"/>
              <w:ind w:left="332"/>
              <w:rPr>
                <w:sz w:val="20"/>
              </w:rPr>
            </w:pPr>
            <w:r>
              <w:rPr>
                <w:sz w:val="20"/>
              </w:rPr>
              <w:t>53</w:t>
            </w:r>
          </w:p>
        </w:tc>
        <w:tc>
          <w:tcPr>
            <w:tcW w:w="1117" w:type="dxa"/>
            <w:tcBorders>
              <w:top w:val="nil"/>
              <w:left w:val="nil"/>
              <w:bottom w:val="nil"/>
              <w:right w:val="nil"/>
            </w:tcBorders>
          </w:tcPr>
          <w:p>
            <w:pPr>
              <w:pStyle w:val="TableParagraph"/>
              <w:spacing w:before="39"/>
              <w:ind w:left="70" w:right="136"/>
              <w:jc w:val="center"/>
              <w:rPr>
                <w:sz w:val="20"/>
              </w:rPr>
            </w:pPr>
            <w:r>
              <w:rPr>
                <w:sz w:val="20"/>
              </w:rPr>
              <w:t>13</w:t>
            </w:r>
          </w:p>
        </w:tc>
        <w:tc>
          <w:tcPr>
            <w:tcW w:w="880" w:type="dxa"/>
            <w:tcBorders>
              <w:top w:val="nil"/>
              <w:left w:val="nil"/>
              <w:bottom w:val="nil"/>
              <w:right w:val="nil"/>
            </w:tcBorders>
          </w:tcPr>
          <w:p>
            <w:pPr>
              <w:pStyle w:val="TableParagraph"/>
              <w:spacing w:before="39"/>
              <w:ind w:left="53" w:right="169"/>
              <w:jc w:val="center"/>
              <w:rPr>
                <w:sz w:val="20"/>
              </w:rPr>
            </w:pPr>
            <w:r>
              <w:rPr>
                <w:sz w:val="20"/>
              </w:rPr>
              <w:t>-159</w:t>
            </w:r>
          </w:p>
        </w:tc>
        <w:tc>
          <w:tcPr>
            <w:tcW w:w="978" w:type="dxa"/>
            <w:tcBorders>
              <w:top w:val="nil"/>
              <w:left w:val="nil"/>
              <w:bottom w:val="nil"/>
              <w:right w:val="nil"/>
            </w:tcBorders>
          </w:tcPr>
          <w:p>
            <w:pPr>
              <w:pStyle w:val="TableParagraph"/>
              <w:spacing w:before="39"/>
              <w:ind w:left="170" w:right="150"/>
              <w:jc w:val="center"/>
              <w:rPr>
                <w:sz w:val="20"/>
              </w:rPr>
            </w:pPr>
            <w:r>
              <w:rPr>
                <w:sz w:val="20"/>
              </w:rPr>
              <w:t>-177</w:t>
            </w:r>
          </w:p>
        </w:tc>
      </w:tr>
      <w:tr>
        <w:trPr>
          <w:trHeight w:val="288" w:hRule="exact"/>
        </w:trPr>
        <w:tc>
          <w:tcPr>
            <w:tcW w:w="1052" w:type="dxa"/>
            <w:tcBorders>
              <w:top w:val="nil"/>
              <w:left w:val="nil"/>
              <w:bottom w:val="nil"/>
              <w:right w:val="nil"/>
            </w:tcBorders>
          </w:tcPr>
          <w:p>
            <w:pPr>
              <w:pStyle w:val="TableParagraph"/>
              <w:spacing w:before="11"/>
              <w:ind w:left="69"/>
              <w:rPr>
                <w:sz w:val="20"/>
              </w:rPr>
            </w:pPr>
            <w:r>
              <w:rPr>
                <w:sz w:val="20"/>
              </w:rPr>
              <w:t>CO</w:t>
            </w:r>
          </w:p>
        </w:tc>
        <w:tc>
          <w:tcPr>
            <w:tcW w:w="1032" w:type="dxa"/>
            <w:tcBorders>
              <w:top w:val="nil"/>
              <w:left w:val="nil"/>
              <w:bottom w:val="nil"/>
              <w:right w:val="nil"/>
            </w:tcBorders>
          </w:tcPr>
          <w:p>
            <w:pPr>
              <w:pStyle w:val="TableParagraph"/>
              <w:spacing w:before="39"/>
              <w:ind w:left="170"/>
              <w:rPr>
                <w:sz w:val="20"/>
              </w:rPr>
            </w:pPr>
            <w:r>
              <w:rPr>
                <w:sz w:val="20"/>
              </w:rPr>
              <w:t>353,192</w:t>
            </w:r>
          </w:p>
        </w:tc>
        <w:tc>
          <w:tcPr>
            <w:tcW w:w="1274" w:type="dxa"/>
            <w:tcBorders>
              <w:top w:val="nil"/>
              <w:left w:val="nil"/>
              <w:bottom w:val="nil"/>
              <w:right w:val="nil"/>
            </w:tcBorders>
          </w:tcPr>
          <w:p>
            <w:pPr>
              <w:pStyle w:val="TableParagraph"/>
              <w:spacing w:before="39"/>
              <w:ind w:left="371"/>
              <w:rPr>
                <w:sz w:val="20"/>
              </w:rPr>
            </w:pPr>
            <w:r>
              <w:rPr>
                <w:sz w:val="20"/>
              </w:rPr>
              <w:t>351,299</w:t>
            </w:r>
          </w:p>
        </w:tc>
        <w:tc>
          <w:tcPr>
            <w:tcW w:w="1250" w:type="dxa"/>
            <w:tcBorders>
              <w:top w:val="nil"/>
              <w:left w:val="nil"/>
              <w:bottom w:val="nil"/>
              <w:right w:val="nil"/>
            </w:tcBorders>
          </w:tcPr>
          <w:p>
            <w:pPr>
              <w:pStyle w:val="TableParagraph"/>
              <w:spacing w:before="39"/>
              <w:ind w:left="297"/>
              <w:rPr>
                <w:sz w:val="20"/>
              </w:rPr>
            </w:pPr>
            <w:r>
              <w:rPr>
                <w:sz w:val="20"/>
              </w:rPr>
              <w:t>353,451</w:t>
            </w:r>
          </w:p>
        </w:tc>
        <w:tc>
          <w:tcPr>
            <w:tcW w:w="1179" w:type="dxa"/>
            <w:tcBorders>
              <w:top w:val="nil"/>
              <w:left w:val="nil"/>
              <w:bottom w:val="nil"/>
              <w:right w:val="nil"/>
            </w:tcBorders>
          </w:tcPr>
          <w:p>
            <w:pPr>
              <w:pStyle w:val="TableParagraph"/>
              <w:spacing w:before="39"/>
              <w:ind w:left="295"/>
              <w:rPr>
                <w:sz w:val="20"/>
              </w:rPr>
            </w:pPr>
            <w:r>
              <w:rPr>
                <w:sz w:val="20"/>
              </w:rPr>
              <w:t>353,637</w:t>
            </w:r>
          </w:p>
        </w:tc>
        <w:tc>
          <w:tcPr>
            <w:tcW w:w="1249" w:type="dxa"/>
            <w:tcBorders>
              <w:top w:val="nil"/>
              <w:left w:val="nil"/>
              <w:bottom w:val="nil"/>
              <w:right w:val="nil"/>
            </w:tcBorders>
          </w:tcPr>
          <w:p>
            <w:pPr>
              <w:pStyle w:val="TableParagraph"/>
              <w:spacing w:before="39"/>
              <w:ind w:left="271"/>
              <w:rPr>
                <w:sz w:val="20"/>
              </w:rPr>
            </w:pPr>
            <w:r>
              <w:rPr>
                <w:sz w:val="20"/>
              </w:rPr>
              <w:t>351,577</w:t>
            </w:r>
          </w:p>
        </w:tc>
        <w:tc>
          <w:tcPr>
            <w:tcW w:w="1250" w:type="dxa"/>
            <w:tcBorders>
              <w:top w:val="nil"/>
              <w:left w:val="nil"/>
              <w:bottom w:val="nil"/>
              <w:right w:val="nil"/>
            </w:tcBorders>
          </w:tcPr>
          <w:p>
            <w:pPr>
              <w:pStyle w:val="TableParagraph"/>
              <w:spacing w:before="39"/>
              <w:ind w:left="322"/>
              <w:rPr>
                <w:sz w:val="20"/>
              </w:rPr>
            </w:pPr>
            <w:r>
              <w:rPr>
                <w:sz w:val="20"/>
              </w:rPr>
              <w:t>351,296</w:t>
            </w:r>
          </w:p>
        </w:tc>
        <w:tc>
          <w:tcPr>
            <w:tcW w:w="988" w:type="dxa"/>
            <w:tcBorders>
              <w:top w:val="nil"/>
              <w:left w:val="nil"/>
              <w:bottom w:val="nil"/>
              <w:right w:val="nil"/>
            </w:tcBorders>
          </w:tcPr>
          <w:p>
            <w:pPr>
              <w:pStyle w:val="TableParagraph"/>
              <w:spacing w:before="39"/>
              <w:ind w:left="213"/>
              <w:rPr>
                <w:sz w:val="20"/>
              </w:rPr>
            </w:pPr>
            <w:r>
              <w:rPr>
                <w:sz w:val="20"/>
              </w:rPr>
              <w:t>-1,893</w:t>
            </w:r>
          </w:p>
        </w:tc>
        <w:tc>
          <w:tcPr>
            <w:tcW w:w="751" w:type="dxa"/>
            <w:tcBorders>
              <w:top w:val="nil"/>
              <w:left w:val="nil"/>
              <w:bottom w:val="nil"/>
              <w:right w:val="nil"/>
            </w:tcBorders>
          </w:tcPr>
          <w:p>
            <w:pPr>
              <w:pStyle w:val="TableParagraph"/>
              <w:spacing w:before="39"/>
              <w:ind w:left="281"/>
              <w:rPr>
                <w:sz w:val="20"/>
              </w:rPr>
            </w:pPr>
            <w:r>
              <w:rPr>
                <w:sz w:val="20"/>
              </w:rPr>
              <w:t>259</w:t>
            </w:r>
          </w:p>
        </w:tc>
        <w:tc>
          <w:tcPr>
            <w:tcW w:w="1117" w:type="dxa"/>
            <w:tcBorders>
              <w:top w:val="nil"/>
              <w:left w:val="nil"/>
              <w:bottom w:val="nil"/>
              <w:right w:val="nil"/>
            </w:tcBorders>
          </w:tcPr>
          <w:p>
            <w:pPr>
              <w:pStyle w:val="TableParagraph"/>
              <w:spacing w:before="39"/>
              <w:ind w:left="70" w:right="136"/>
              <w:jc w:val="center"/>
              <w:rPr>
                <w:sz w:val="20"/>
              </w:rPr>
            </w:pPr>
            <w:r>
              <w:rPr>
                <w:sz w:val="20"/>
              </w:rPr>
              <w:t>445</w:t>
            </w:r>
          </w:p>
        </w:tc>
        <w:tc>
          <w:tcPr>
            <w:tcW w:w="880" w:type="dxa"/>
            <w:tcBorders>
              <w:top w:val="nil"/>
              <w:left w:val="nil"/>
              <w:bottom w:val="nil"/>
              <w:right w:val="nil"/>
            </w:tcBorders>
          </w:tcPr>
          <w:p>
            <w:pPr>
              <w:pStyle w:val="TableParagraph"/>
              <w:spacing w:before="39"/>
              <w:ind w:left="53" w:right="169"/>
              <w:jc w:val="center"/>
              <w:rPr>
                <w:sz w:val="20"/>
              </w:rPr>
            </w:pPr>
            <w:r>
              <w:rPr>
                <w:sz w:val="20"/>
              </w:rPr>
              <w:t>-1,615</w:t>
            </w:r>
          </w:p>
        </w:tc>
        <w:tc>
          <w:tcPr>
            <w:tcW w:w="978" w:type="dxa"/>
            <w:tcBorders>
              <w:top w:val="nil"/>
              <w:left w:val="nil"/>
              <w:bottom w:val="nil"/>
              <w:right w:val="nil"/>
            </w:tcBorders>
          </w:tcPr>
          <w:p>
            <w:pPr>
              <w:pStyle w:val="TableParagraph"/>
              <w:spacing w:before="39"/>
              <w:ind w:left="170" w:right="150"/>
              <w:jc w:val="center"/>
              <w:rPr>
                <w:sz w:val="20"/>
              </w:rPr>
            </w:pPr>
            <w:r>
              <w:rPr>
                <w:sz w:val="20"/>
              </w:rPr>
              <w:t>-1,896</w:t>
            </w:r>
          </w:p>
        </w:tc>
      </w:tr>
      <w:tr>
        <w:trPr>
          <w:trHeight w:val="288" w:hRule="exact"/>
        </w:trPr>
        <w:tc>
          <w:tcPr>
            <w:tcW w:w="1052" w:type="dxa"/>
            <w:tcBorders>
              <w:top w:val="nil"/>
              <w:left w:val="nil"/>
              <w:bottom w:val="nil"/>
              <w:right w:val="nil"/>
            </w:tcBorders>
          </w:tcPr>
          <w:p>
            <w:pPr>
              <w:pStyle w:val="TableParagraph"/>
              <w:spacing w:before="11"/>
              <w:ind w:left="69"/>
              <w:rPr>
                <w:sz w:val="20"/>
              </w:rPr>
            </w:pPr>
            <w:r>
              <w:rPr>
                <w:sz w:val="20"/>
              </w:rPr>
              <w:t>CE</w:t>
            </w:r>
          </w:p>
        </w:tc>
        <w:tc>
          <w:tcPr>
            <w:tcW w:w="1032" w:type="dxa"/>
            <w:tcBorders>
              <w:top w:val="nil"/>
              <w:left w:val="nil"/>
              <w:bottom w:val="nil"/>
              <w:right w:val="nil"/>
            </w:tcBorders>
          </w:tcPr>
          <w:p>
            <w:pPr>
              <w:pStyle w:val="TableParagraph"/>
              <w:spacing w:before="39"/>
              <w:ind w:left="170"/>
              <w:rPr>
                <w:sz w:val="20"/>
              </w:rPr>
            </w:pPr>
            <w:r>
              <w:rPr>
                <w:sz w:val="20"/>
              </w:rPr>
              <w:t>764,688</w:t>
            </w:r>
          </w:p>
        </w:tc>
        <w:tc>
          <w:tcPr>
            <w:tcW w:w="1274" w:type="dxa"/>
            <w:tcBorders>
              <w:top w:val="nil"/>
              <w:left w:val="nil"/>
              <w:bottom w:val="nil"/>
              <w:right w:val="nil"/>
            </w:tcBorders>
          </w:tcPr>
          <w:p>
            <w:pPr>
              <w:pStyle w:val="TableParagraph"/>
              <w:spacing w:before="39"/>
              <w:ind w:left="371"/>
              <w:rPr>
                <w:sz w:val="20"/>
              </w:rPr>
            </w:pPr>
            <w:r>
              <w:rPr>
                <w:sz w:val="20"/>
              </w:rPr>
              <w:t>760,796</w:t>
            </w:r>
          </w:p>
        </w:tc>
        <w:tc>
          <w:tcPr>
            <w:tcW w:w="1250" w:type="dxa"/>
            <w:tcBorders>
              <w:top w:val="nil"/>
              <w:left w:val="nil"/>
              <w:bottom w:val="nil"/>
              <w:right w:val="nil"/>
            </w:tcBorders>
          </w:tcPr>
          <w:p>
            <w:pPr>
              <w:pStyle w:val="TableParagraph"/>
              <w:spacing w:before="39"/>
              <w:ind w:left="297"/>
              <w:rPr>
                <w:sz w:val="20"/>
              </w:rPr>
            </w:pPr>
            <w:r>
              <w:rPr>
                <w:sz w:val="20"/>
              </w:rPr>
              <w:t>764,935</w:t>
            </w:r>
          </w:p>
        </w:tc>
        <w:tc>
          <w:tcPr>
            <w:tcW w:w="1179" w:type="dxa"/>
            <w:tcBorders>
              <w:top w:val="nil"/>
              <w:left w:val="nil"/>
              <w:bottom w:val="nil"/>
              <w:right w:val="nil"/>
            </w:tcBorders>
          </w:tcPr>
          <w:p>
            <w:pPr>
              <w:pStyle w:val="TableParagraph"/>
              <w:spacing w:before="39"/>
              <w:ind w:left="295"/>
              <w:rPr>
                <w:sz w:val="20"/>
              </w:rPr>
            </w:pPr>
            <w:r>
              <w:rPr>
                <w:sz w:val="20"/>
              </w:rPr>
              <w:t>765,012</w:t>
            </w:r>
          </w:p>
        </w:tc>
        <w:tc>
          <w:tcPr>
            <w:tcW w:w="1249" w:type="dxa"/>
            <w:tcBorders>
              <w:top w:val="nil"/>
              <w:left w:val="nil"/>
              <w:bottom w:val="nil"/>
              <w:right w:val="nil"/>
            </w:tcBorders>
          </w:tcPr>
          <w:p>
            <w:pPr>
              <w:pStyle w:val="TableParagraph"/>
              <w:spacing w:before="39"/>
              <w:ind w:left="271"/>
              <w:rPr>
                <w:sz w:val="20"/>
              </w:rPr>
            </w:pPr>
            <w:r>
              <w:rPr>
                <w:sz w:val="20"/>
              </w:rPr>
              <w:t>761,180</w:t>
            </w:r>
          </w:p>
        </w:tc>
        <w:tc>
          <w:tcPr>
            <w:tcW w:w="1250" w:type="dxa"/>
            <w:tcBorders>
              <w:top w:val="nil"/>
              <w:left w:val="nil"/>
              <w:bottom w:val="nil"/>
              <w:right w:val="nil"/>
            </w:tcBorders>
          </w:tcPr>
          <w:p>
            <w:pPr>
              <w:pStyle w:val="TableParagraph"/>
              <w:spacing w:before="39"/>
              <w:ind w:left="322"/>
              <w:rPr>
                <w:sz w:val="20"/>
              </w:rPr>
            </w:pPr>
            <w:r>
              <w:rPr>
                <w:sz w:val="20"/>
              </w:rPr>
              <w:t>760,891</w:t>
            </w:r>
          </w:p>
        </w:tc>
        <w:tc>
          <w:tcPr>
            <w:tcW w:w="988" w:type="dxa"/>
            <w:tcBorders>
              <w:top w:val="nil"/>
              <w:left w:val="nil"/>
              <w:bottom w:val="nil"/>
              <w:right w:val="nil"/>
            </w:tcBorders>
          </w:tcPr>
          <w:p>
            <w:pPr>
              <w:pStyle w:val="TableParagraph"/>
              <w:spacing w:before="39"/>
              <w:ind w:left="213"/>
              <w:rPr>
                <w:sz w:val="20"/>
              </w:rPr>
            </w:pPr>
            <w:r>
              <w:rPr>
                <w:sz w:val="20"/>
              </w:rPr>
              <w:t>-3,892</w:t>
            </w:r>
          </w:p>
        </w:tc>
        <w:tc>
          <w:tcPr>
            <w:tcW w:w="751" w:type="dxa"/>
            <w:tcBorders>
              <w:top w:val="nil"/>
              <w:left w:val="nil"/>
              <w:bottom w:val="nil"/>
              <w:right w:val="nil"/>
            </w:tcBorders>
          </w:tcPr>
          <w:p>
            <w:pPr>
              <w:pStyle w:val="TableParagraph"/>
              <w:spacing w:before="39"/>
              <w:ind w:left="281"/>
              <w:rPr>
                <w:sz w:val="20"/>
              </w:rPr>
            </w:pPr>
            <w:r>
              <w:rPr>
                <w:sz w:val="20"/>
              </w:rPr>
              <w:t>246</w:t>
            </w:r>
          </w:p>
        </w:tc>
        <w:tc>
          <w:tcPr>
            <w:tcW w:w="1117" w:type="dxa"/>
            <w:tcBorders>
              <w:top w:val="nil"/>
              <w:left w:val="nil"/>
              <w:bottom w:val="nil"/>
              <w:right w:val="nil"/>
            </w:tcBorders>
          </w:tcPr>
          <w:p>
            <w:pPr>
              <w:pStyle w:val="TableParagraph"/>
              <w:spacing w:before="39"/>
              <w:ind w:left="70" w:right="136"/>
              <w:jc w:val="center"/>
              <w:rPr>
                <w:sz w:val="20"/>
              </w:rPr>
            </w:pPr>
            <w:r>
              <w:rPr>
                <w:sz w:val="20"/>
              </w:rPr>
              <w:t>323</w:t>
            </w:r>
          </w:p>
        </w:tc>
        <w:tc>
          <w:tcPr>
            <w:tcW w:w="880" w:type="dxa"/>
            <w:tcBorders>
              <w:top w:val="nil"/>
              <w:left w:val="nil"/>
              <w:bottom w:val="nil"/>
              <w:right w:val="nil"/>
            </w:tcBorders>
          </w:tcPr>
          <w:p>
            <w:pPr>
              <w:pStyle w:val="TableParagraph"/>
              <w:spacing w:before="39"/>
              <w:ind w:left="53" w:right="166"/>
              <w:jc w:val="center"/>
              <w:rPr>
                <w:sz w:val="20"/>
              </w:rPr>
            </w:pPr>
            <w:r>
              <w:rPr>
                <w:sz w:val="20"/>
              </w:rPr>
              <w:t>- 3,508</w:t>
            </w:r>
          </w:p>
        </w:tc>
        <w:tc>
          <w:tcPr>
            <w:tcW w:w="978" w:type="dxa"/>
            <w:tcBorders>
              <w:top w:val="nil"/>
              <w:left w:val="nil"/>
              <w:bottom w:val="nil"/>
              <w:right w:val="nil"/>
            </w:tcBorders>
          </w:tcPr>
          <w:p>
            <w:pPr>
              <w:pStyle w:val="TableParagraph"/>
              <w:spacing w:before="39"/>
              <w:ind w:left="170" w:right="150"/>
              <w:jc w:val="center"/>
              <w:rPr>
                <w:sz w:val="20"/>
              </w:rPr>
            </w:pPr>
            <w:r>
              <w:rPr>
                <w:sz w:val="20"/>
              </w:rPr>
              <w:t>-3,797</w:t>
            </w:r>
          </w:p>
        </w:tc>
      </w:tr>
      <w:tr>
        <w:trPr>
          <w:trHeight w:val="288" w:hRule="exact"/>
        </w:trPr>
        <w:tc>
          <w:tcPr>
            <w:tcW w:w="1052" w:type="dxa"/>
            <w:tcBorders>
              <w:top w:val="nil"/>
              <w:left w:val="nil"/>
              <w:bottom w:val="nil"/>
              <w:right w:val="nil"/>
            </w:tcBorders>
          </w:tcPr>
          <w:p>
            <w:pPr>
              <w:pStyle w:val="TableParagraph"/>
              <w:spacing w:before="11"/>
              <w:ind w:left="69"/>
              <w:rPr>
                <w:sz w:val="20"/>
              </w:rPr>
            </w:pPr>
            <w:r>
              <w:rPr>
                <w:sz w:val="20"/>
              </w:rPr>
              <w:t>SU</w:t>
            </w:r>
          </w:p>
        </w:tc>
        <w:tc>
          <w:tcPr>
            <w:tcW w:w="1032" w:type="dxa"/>
            <w:tcBorders>
              <w:top w:val="nil"/>
              <w:left w:val="nil"/>
              <w:bottom w:val="nil"/>
              <w:right w:val="nil"/>
            </w:tcBorders>
          </w:tcPr>
          <w:p>
            <w:pPr>
              <w:pStyle w:val="TableParagraph"/>
              <w:spacing w:before="39"/>
              <w:ind w:left="170"/>
              <w:rPr>
                <w:sz w:val="20"/>
              </w:rPr>
            </w:pPr>
            <w:r>
              <w:rPr>
                <w:sz w:val="20"/>
              </w:rPr>
              <w:t>283,299</w:t>
            </w:r>
          </w:p>
        </w:tc>
        <w:tc>
          <w:tcPr>
            <w:tcW w:w="1274" w:type="dxa"/>
            <w:tcBorders>
              <w:top w:val="nil"/>
              <w:left w:val="nil"/>
              <w:bottom w:val="nil"/>
              <w:right w:val="nil"/>
            </w:tcBorders>
          </w:tcPr>
          <w:p>
            <w:pPr>
              <w:pStyle w:val="TableParagraph"/>
              <w:spacing w:before="39"/>
              <w:ind w:left="371"/>
              <w:rPr>
                <w:sz w:val="20"/>
              </w:rPr>
            </w:pPr>
            <w:r>
              <w:rPr>
                <w:sz w:val="20"/>
              </w:rPr>
              <w:t>282,464</w:t>
            </w:r>
          </w:p>
        </w:tc>
        <w:tc>
          <w:tcPr>
            <w:tcW w:w="1250" w:type="dxa"/>
            <w:tcBorders>
              <w:top w:val="nil"/>
              <w:left w:val="nil"/>
              <w:bottom w:val="nil"/>
              <w:right w:val="nil"/>
            </w:tcBorders>
          </w:tcPr>
          <w:p>
            <w:pPr>
              <w:pStyle w:val="TableParagraph"/>
              <w:spacing w:before="39"/>
              <w:ind w:left="297"/>
              <w:rPr>
                <w:sz w:val="20"/>
              </w:rPr>
            </w:pPr>
            <w:r>
              <w:rPr>
                <w:sz w:val="20"/>
              </w:rPr>
              <w:t>283,486</w:t>
            </w:r>
          </w:p>
        </w:tc>
        <w:tc>
          <w:tcPr>
            <w:tcW w:w="1179" w:type="dxa"/>
            <w:tcBorders>
              <w:top w:val="nil"/>
              <w:left w:val="nil"/>
              <w:bottom w:val="nil"/>
              <w:right w:val="nil"/>
            </w:tcBorders>
          </w:tcPr>
          <w:p>
            <w:pPr>
              <w:pStyle w:val="TableParagraph"/>
              <w:spacing w:before="39"/>
              <w:ind w:left="295"/>
              <w:rPr>
                <w:sz w:val="20"/>
              </w:rPr>
            </w:pPr>
            <w:r>
              <w:rPr>
                <w:sz w:val="20"/>
              </w:rPr>
              <w:t>283,285</w:t>
            </w:r>
          </w:p>
        </w:tc>
        <w:tc>
          <w:tcPr>
            <w:tcW w:w="1249" w:type="dxa"/>
            <w:tcBorders>
              <w:top w:val="nil"/>
              <w:left w:val="nil"/>
              <w:bottom w:val="nil"/>
              <w:right w:val="nil"/>
            </w:tcBorders>
          </w:tcPr>
          <w:p>
            <w:pPr>
              <w:pStyle w:val="TableParagraph"/>
              <w:spacing w:before="39"/>
              <w:ind w:left="271"/>
              <w:rPr>
                <w:sz w:val="20"/>
              </w:rPr>
            </w:pPr>
            <w:r>
              <w:rPr>
                <w:sz w:val="20"/>
              </w:rPr>
              <w:t>282,427</w:t>
            </w:r>
          </w:p>
        </w:tc>
        <w:tc>
          <w:tcPr>
            <w:tcW w:w="1250" w:type="dxa"/>
            <w:tcBorders>
              <w:top w:val="nil"/>
              <w:left w:val="nil"/>
              <w:bottom w:val="nil"/>
              <w:right w:val="nil"/>
            </w:tcBorders>
          </w:tcPr>
          <w:p>
            <w:pPr>
              <w:pStyle w:val="TableParagraph"/>
              <w:spacing w:before="39"/>
              <w:ind w:left="322"/>
              <w:rPr>
                <w:sz w:val="20"/>
              </w:rPr>
            </w:pPr>
            <w:r>
              <w:rPr>
                <w:sz w:val="20"/>
              </w:rPr>
              <w:t>282,451</w:t>
            </w:r>
          </w:p>
        </w:tc>
        <w:tc>
          <w:tcPr>
            <w:tcW w:w="988" w:type="dxa"/>
            <w:tcBorders>
              <w:top w:val="nil"/>
              <w:left w:val="nil"/>
              <w:bottom w:val="nil"/>
              <w:right w:val="nil"/>
            </w:tcBorders>
          </w:tcPr>
          <w:p>
            <w:pPr>
              <w:pStyle w:val="TableParagraph"/>
              <w:spacing w:before="39"/>
              <w:ind w:left="287"/>
              <w:rPr>
                <w:sz w:val="20"/>
              </w:rPr>
            </w:pPr>
            <w:r>
              <w:rPr>
                <w:sz w:val="20"/>
              </w:rPr>
              <w:t>-834</w:t>
            </w:r>
          </w:p>
        </w:tc>
        <w:tc>
          <w:tcPr>
            <w:tcW w:w="751" w:type="dxa"/>
            <w:tcBorders>
              <w:top w:val="nil"/>
              <w:left w:val="nil"/>
              <w:bottom w:val="nil"/>
              <w:right w:val="nil"/>
            </w:tcBorders>
          </w:tcPr>
          <w:p>
            <w:pPr>
              <w:pStyle w:val="TableParagraph"/>
              <w:spacing w:before="39"/>
              <w:ind w:left="281"/>
              <w:rPr>
                <w:sz w:val="20"/>
              </w:rPr>
            </w:pPr>
            <w:r>
              <w:rPr>
                <w:sz w:val="20"/>
              </w:rPr>
              <w:t>187</w:t>
            </w:r>
          </w:p>
        </w:tc>
        <w:tc>
          <w:tcPr>
            <w:tcW w:w="1117" w:type="dxa"/>
            <w:tcBorders>
              <w:top w:val="nil"/>
              <w:left w:val="nil"/>
              <w:bottom w:val="nil"/>
              <w:right w:val="nil"/>
            </w:tcBorders>
          </w:tcPr>
          <w:p>
            <w:pPr>
              <w:pStyle w:val="TableParagraph"/>
              <w:spacing w:before="39"/>
              <w:ind w:left="70" w:right="139"/>
              <w:jc w:val="center"/>
              <w:rPr>
                <w:sz w:val="20"/>
              </w:rPr>
            </w:pPr>
            <w:r>
              <w:rPr>
                <w:sz w:val="20"/>
              </w:rPr>
              <w:t>-13</w:t>
            </w:r>
          </w:p>
        </w:tc>
        <w:tc>
          <w:tcPr>
            <w:tcW w:w="880" w:type="dxa"/>
            <w:tcBorders>
              <w:top w:val="nil"/>
              <w:left w:val="nil"/>
              <w:bottom w:val="nil"/>
              <w:right w:val="nil"/>
            </w:tcBorders>
          </w:tcPr>
          <w:p>
            <w:pPr>
              <w:pStyle w:val="TableParagraph"/>
              <w:spacing w:before="39"/>
              <w:ind w:left="53" w:right="167"/>
              <w:jc w:val="center"/>
              <w:rPr>
                <w:sz w:val="20"/>
              </w:rPr>
            </w:pPr>
            <w:r>
              <w:rPr>
                <w:sz w:val="20"/>
              </w:rPr>
              <w:t>- 872</w:t>
            </w:r>
          </w:p>
        </w:tc>
        <w:tc>
          <w:tcPr>
            <w:tcW w:w="978" w:type="dxa"/>
            <w:tcBorders>
              <w:top w:val="nil"/>
              <w:left w:val="nil"/>
              <w:bottom w:val="nil"/>
              <w:right w:val="nil"/>
            </w:tcBorders>
          </w:tcPr>
          <w:p>
            <w:pPr>
              <w:pStyle w:val="TableParagraph"/>
              <w:spacing w:before="39"/>
              <w:ind w:left="170" w:right="150"/>
              <w:jc w:val="center"/>
              <w:rPr>
                <w:sz w:val="20"/>
              </w:rPr>
            </w:pPr>
            <w:r>
              <w:rPr>
                <w:sz w:val="20"/>
              </w:rPr>
              <w:t>-847</w:t>
            </w:r>
          </w:p>
        </w:tc>
      </w:tr>
      <w:tr>
        <w:trPr>
          <w:trHeight w:val="288" w:hRule="exact"/>
        </w:trPr>
        <w:tc>
          <w:tcPr>
            <w:tcW w:w="1052" w:type="dxa"/>
            <w:tcBorders>
              <w:top w:val="nil"/>
              <w:left w:val="nil"/>
              <w:bottom w:val="nil"/>
              <w:right w:val="nil"/>
            </w:tcBorders>
          </w:tcPr>
          <w:p>
            <w:pPr>
              <w:pStyle w:val="TableParagraph"/>
              <w:spacing w:before="11"/>
              <w:ind w:left="69"/>
              <w:rPr>
                <w:sz w:val="20"/>
              </w:rPr>
            </w:pPr>
            <w:r>
              <w:rPr>
                <w:sz w:val="20"/>
              </w:rPr>
              <w:t>OR</w:t>
            </w:r>
          </w:p>
        </w:tc>
        <w:tc>
          <w:tcPr>
            <w:tcW w:w="1032" w:type="dxa"/>
            <w:tcBorders>
              <w:top w:val="nil"/>
              <w:left w:val="nil"/>
              <w:bottom w:val="nil"/>
              <w:right w:val="nil"/>
            </w:tcBorders>
          </w:tcPr>
          <w:p>
            <w:pPr>
              <w:pStyle w:val="TableParagraph"/>
              <w:spacing w:before="40"/>
              <w:ind w:left="170"/>
              <w:rPr>
                <w:sz w:val="20"/>
              </w:rPr>
            </w:pPr>
            <w:r>
              <w:rPr>
                <w:sz w:val="20"/>
              </w:rPr>
              <w:t>300,128</w:t>
            </w:r>
          </w:p>
        </w:tc>
        <w:tc>
          <w:tcPr>
            <w:tcW w:w="1274" w:type="dxa"/>
            <w:tcBorders>
              <w:top w:val="nil"/>
              <w:left w:val="nil"/>
              <w:bottom w:val="nil"/>
              <w:right w:val="nil"/>
            </w:tcBorders>
          </w:tcPr>
          <w:p>
            <w:pPr>
              <w:pStyle w:val="TableParagraph"/>
              <w:spacing w:before="40"/>
              <w:ind w:left="371"/>
              <w:rPr>
                <w:sz w:val="20"/>
              </w:rPr>
            </w:pPr>
            <w:r>
              <w:rPr>
                <w:sz w:val="20"/>
              </w:rPr>
              <w:t>298,630</w:t>
            </w:r>
          </w:p>
        </w:tc>
        <w:tc>
          <w:tcPr>
            <w:tcW w:w="1250" w:type="dxa"/>
            <w:tcBorders>
              <w:top w:val="nil"/>
              <w:left w:val="nil"/>
              <w:bottom w:val="nil"/>
              <w:right w:val="nil"/>
            </w:tcBorders>
          </w:tcPr>
          <w:p>
            <w:pPr>
              <w:pStyle w:val="TableParagraph"/>
              <w:spacing w:before="40"/>
              <w:ind w:left="297"/>
              <w:rPr>
                <w:sz w:val="20"/>
              </w:rPr>
            </w:pPr>
            <w:r>
              <w:rPr>
                <w:sz w:val="20"/>
              </w:rPr>
              <w:t>300,808</w:t>
            </w:r>
          </w:p>
        </w:tc>
        <w:tc>
          <w:tcPr>
            <w:tcW w:w="1179" w:type="dxa"/>
            <w:tcBorders>
              <w:top w:val="nil"/>
              <w:left w:val="nil"/>
              <w:bottom w:val="nil"/>
              <w:right w:val="nil"/>
            </w:tcBorders>
          </w:tcPr>
          <w:p>
            <w:pPr>
              <w:pStyle w:val="TableParagraph"/>
              <w:spacing w:before="40"/>
              <w:ind w:left="295"/>
              <w:rPr>
                <w:sz w:val="20"/>
              </w:rPr>
            </w:pPr>
            <w:r>
              <w:rPr>
                <w:sz w:val="20"/>
              </w:rPr>
              <w:t>300,239</w:t>
            </w:r>
          </w:p>
        </w:tc>
        <w:tc>
          <w:tcPr>
            <w:tcW w:w="1249" w:type="dxa"/>
            <w:tcBorders>
              <w:top w:val="nil"/>
              <w:left w:val="nil"/>
              <w:bottom w:val="nil"/>
              <w:right w:val="nil"/>
            </w:tcBorders>
          </w:tcPr>
          <w:p>
            <w:pPr>
              <w:pStyle w:val="TableParagraph"/>
              <w:spacing w:before="40"/>
              <w:ind w:left="271"/>
              <w:rPr>
                <w:sz w:val="20"/>
              </w:rPr>
            </w:pPr>
            <w:r>
              <w:rPr>
                <w:sz w:val="20"/>
              </w:rPr>
              <w:t>298,699</w:t>
            </w:r>
          </w:p>
        </w:tc>
        <w:tc>
          <w:tcPr>
            <w:tcW w:w="1250" w:type="dxa"/>
            <w:tcBorders>
              <w:top w:val="nil"/>
              <w:left w:val="nil"/>
              <w:bottom w:val="nil"/>
              <w:right w:val="nil"/>
            </w:tcBorders>
          </w:tcPr>
          <w:p>
            <w:pPr>
              <w:pStyle w:val="TableParagraph"/>
              <w:spacing w:before="40"/>
              <w:ind w:left="322"/>
              <w:rPr>
                <w:sz w:val="20"/>
              </w:rPr>
            </w:pPr>
            <w:r>
              <w:rPr>
                <w:sz w:val="20"/>
              </w:rPr>
              <w:t>298,612</w:t>
            </w:r>
          </w:p>
        </w:tc>
        <w:tc>
          <w:tcPr>
            <w:tcW w:w="988" w:type="dxa"/>
            <w:tcBorders>
              <w:top w:val="nil"/>
              <w:left w:val="nil"/>
              <w:bottom w:val="nil"/>
              <w:right w:val="nil"/>
            </w:tcBorders>
          </w:tcPr>
          <w:p>
            <w:pPr>
              <w:pStyle w:val="TableParagraph"/>
              <w:spacing w:before="40"/>
              <w:ind w:left="213"/>
              <w:rPr>
                <w:sz w:val="20"/>
              </w:rPr>
            </w:pPr>
            <w:r>
              <w:rPr>
                <w:sz w:val="20"/>
              </w:rPr>
              <w:t>-1,498</w:t>
            </w:r>
          </w:p>
        </w:tc>
        <w:tc>
          <w:tcPr>
            <w:tcW w:w="751" w:type="dxa"/>
            <w:tcBorders>
              <w:top w:val="nil"/>
              <w:left w:val="nil"/>
              <w:bottom w:val="nil"/>
              <w:right w:val="nil"/>
            </w:tcBorders>
          </w:tcPr>
          <w:p>
            <w:pPr>
              <w:pStyle w:val="TableParagraph"/>
              <w:spacing w:before="40"/>
              <w:ind w:left="281"/>
              <w:rPr>
                <w:sz w:val="20"/>
              </w:rPr>
            </w:pPr>
            <w:r>
              <w:rPr>
                <w:sz w:val="20"/>
              </w:rPr>
              <w:t>680</w:t>
            </w:r>
          </w:p>
        </w:tc>
        <w:tc>
          <w:tcPr>
            <w:tcW w:w="1117" w:type="dxa"/>
            <w:tcBorders>
              <w:top w:val="nil"/>
              <w:left w:val="nil"/>
              <w:bottom w:val="nil"/>
              <w:right w:val="nil"/>
            </w:tcBorders>
          </w:tcPr>
          <w:p>
            <w:pPr>
              <w:pStyle w:val="TableParagraph"/>
              <w:spacing w:before="40"/>
              <w:ind w:left="70" w:right="136"/>
              <w:jc w:val="center"/>
              <w:rPr>
                <w:sz w:val="20"/>
              </w:rPr>
            </w:pPr>
            <w:r>
              <w:rPr>
                <w:sz w:val="20"/>
              </w:rPr>
              <w:t>111</w:t>
            </w:r>
          </w:p>
        </w:tc>
        <w:tc>
          <w:tcPr>
            <w:tcW w:w="880" w:type="dxa"/>
            <w:tcBorders>
              <w:top w:val="nil"/>
              <w:left w:val="nil"/>
              <w:bottom w:val="nil"/>
              <w:right w:val="nil"/>
            </w:tcBorders>
          </w:tcPr>
          <w:p>
            <w:pPr>
              <w:pStyle w:val="TableParagraph"/>
              <w:spacing w:before="40"/>
              <w:ind w:left="53" w:right="169"/>
              <w:jc w:val="center"/>
              <w:rPr>
                <w:sz w:val="20"/>
              </w:rPr>
            </w:pPr>
            <w:r>
              <w:rPr>
                <w:sz w:val="20"/>
              </w:rPr>
              <w:t>-1,429</w:t>
            </w:r>
          </w:p>
        </w:tc>
        <w:tc>
          <w:tcPr>
            <w:tcW w:w="978" w:type="dxa"/>
            <w:tcBorders>
              <w:top w:val="nil"/>
              <w:left w:val="nil"/>
              <w:bottom w:val="nil"/>
              <w:right w:val="nil"/>
            </w:tcBorders>
          </w:tcPr>
          <w:p>
            <w:pPr>
              <w:pStyle w:val="TableParagraph"/>
              <w:spacing w:before="40"/>
              <w:ind w:left="170" w:right="150"/>
              <w:jc w:val="center"/>
              <w:rPr>
                <w:sz w:val="20"/>
              </w:rPr>
            </w:pPr>
            <w:r>
              <w:rPr>
                <w:sz w:val="20"/>
              </w:rPr>
              <w:t>-1,516</w:t>
            </w:r>
          </w:p>
        </w:tc>
      </w:tr>
      <w:tr>
        <w:trPr>
          <w:trHeight w:val="290" w:hRule="exact"/>
        </w:trPr>
        <w:tc>
          <w:tcPr>
            <w:tcW w:w="1052" w:type="dxa"/>
            <w:tcBorders>
              <w:top w:val="nil"/>
              <w:left w:val="nil"/>
              <w:bottom w:val="nil"/>
              <w:right w:val="nil"/>
            </w:tcBorders>
          </w:tcPr>
          <w:p>
            <w:pPr>
              <w:pStyle w:val="TableParagraph"/>
              <w:spacing w:before="11"/>
              <w:ind w:left="69"/>
              <w:rPr>
                <w:sz w:val="20"/>
              </w:rPr>
            </w:pPr>
            <w:r>
              <w:rPr>
                <w:sz w:val="20"/>
              </w:rPr>
              <w:t>PE</w:t>
            </w:r>
          </w:p>
        </w:tc>
        <w:tc>
          <w:tcPr>
            <w:tcW w:w="1032" w:type="dxa"/>
            <w:tcBorders>
              <w:top w:val="nil"/>
              <w:left w:val="nil"/>
              <w:bottom w:val="nil"/>
              <w:right w:val="nil"/>
            </w:tcBorders>
          </w:tcPr>
          <w:p>
            <w:pPr>
              <w:pStyle w:val="TableParagraph"/>
              <w:spacing w:before="39"/>
              <w:ind w:left="170"/>
              <w:rPr>
                <w:sz w:val="20"/>
              </w:rPr>
            </w:pPr>
            <w:r>
              <w:rPr>
                <w:sz w:val="20"/>
              </w:rPr>
              <w:t>133,300</w:t>
            </w:r>
          </w:p>
        </w:tc>
        <w:tc>
          <w:tcPr>
            <w:tcW w:w="1274" w:type="dxa"/>
            <w:tcBorders>
              <w:top w:val="nil"/>
              <w:left w:val="nil"/>
              <w:bottom w:val="nil"/>
              <w:right w:val="nil"/>
            </w:tcBorders>
          </w:tcPr>
          <w:p>
            <w:pPr>
              <w:pStyle w:val="TableParagraph"/>
              <w:spacing w:before="39"/>
              <w:ind w:left="371"/>
              <w:rPr>
                <w:sz w:val="20"/>
              </w:rPr>
            </w:pPr>
            <w:r>
              <w:rPr>
                <w:sz w:val="20"/>
              </w:rPr>
              <w:t>133,132</w:t>
            </w:r>
          </w:p>
        </w:tc>
        <w:tc>
          <w:tcPr>
            <w:tcW w:w="1250" w:type="dxa"/>
            <w:tcBorders>
              <w:top w:val="nil"/>
              <w:left w:val="nil"/>
              <w:bottom w:val="nil"/>
              <w:right w:val="nil"/>
            </w:tcBorders>
          </w:tcPr>
          <w:p>
            <w:pPr>
              <w:pStyle w:val="TableParagraph"/>
              <w:spacing w:before="39"/>
              <w:ind w:left="297"/>
              <w:rPr>
                <w:sz w:val="20"/>
              </w:rPr>
            </w:pPr>
            <w:r>
              <w:rPr>
                <w:sz w:val="20"/>
              </w:rPr>
              <w:t>133,357</w:t>
            </w:r>
          </w:p>
        </w:tc>
        <w:tc>
          <w:tcPr>
            <w:tcW w:w="1179" w:type="dxa"/>
            <w:tcBorders>
              <w:top w:val="nil"/>
              <w:left w:val="nil"/>
              <w:bottom w:val="nil"/>
              <w:right w:val="nil"/>
            </w:tcBorders>
          </w:tcPr>
          <w:p>
            <w:pPr>
              <w:pStyle w:val="TableParagraph"/>
              <w:spacing w:before="39"/>
              <w:ind w:left="295"/>
              <w:rPr>
                <w:sz w:val="20"/>
              </w:rPr>
            </w:pPr>
            <w:r>
              <w:rPr>
                <w:sz w:val="20"/>
              </w:rPr>
              <w:t>133,283</w:t>
            </w:r>
          </w:p>
        </w:tc>
        <w:tc>
          <w:tcPr>
            <w:tcW w:w="1249" w:type="dxa"/>
            <w:tcBorders>
              <w:top w:val="nil"/>
              <w:left w:val="nil"/>
              <w:bottom w:val="nil"/>
              <w:right w:val="nil"/>
            </w:tcBorders>
          </w:tcPr>
          <w:p>
            <w:pPr>
              <w:pStyle w:val="TableParagraph"/>
              <w:spacing w:before="39"/>
              <w:ind w:left="271"/>
              <w:rPr>
                <w:sz w:val="20"/>
              </w:rPr>
            </w:pPr>
            <w:r>
              <w:rPr>
                <w:sz w:val="20"/>
              </w:rPr>
              <w:t>133,131</w:t>
            </w:r>
          </w:p>
        </w:tc>
        <w:tc>
          <w:tcPr>
            <w:tcW w:w="1250" w:type="dxa"/>
            <w:tcBorders>
              <w:top w:val="nil"/>
              <w:left w:val="nil"/>
              <w:bottom w:val="nil"/>
              <w:right w:val="nil"/>
            </w:tcBorders>
          </w:tcPr>
          <w:p>
            <w:pPr>
              <w:pStyle w:val="TableParagraph"/>
              <w:spacing w:before="39"/>
              <w:ind w:left="322"/>
              <w:rPr>
                <w:sz w:val="20"/>
              </w:rPr>
            </w:pPr>
            <w:r>
              <w:rPr>
                <w:sz w:val="20"/>
              </w:rPr>
              <w:t>133,122</w:t>
            </w:r>
          </w:p>
        </w:tc>
        <w:tc>
          <w:tcPr>
            <w:tcW w:w="988" w:type="dxa"/>
            <w:tcBorders>
              <w:top w:val="nil"/>
              <w:left w:val="nil"/>
              <w:bottom w:val="nil"/>
              <w:right w:val="nil"/>
            </w:tcBorders>
          </w:tcPr>
          <w:p>
            <w:pPr>
              <w:pStyle w:val="TableParagraph"/>
              <w:spacing w:before="39"/>
              <w:ind w:left="287"/>
              <w:rPr>
                <w:sz w:val="20"/>
              </w:rPr>
            </w:pPr>
            <w:r>
              <w:rPr>
                <w:sz w:val="20"/>
              </w:rPr>
              <w:t>-168</w:t>
            </w:r>
          </w:p>
        </w:tc>
        <w:tc>
          <w:tcPr>
            <w:tcW w:w="751" w:type="dxa"/>
            <w:tcBorders>
              <w:top w:val="nil"/>
              <w:left w:val="nil"/>
              <w:bottom w:val="nil"/>
              <w:right w:val="nil"/>
            </w:tcBorders>
          </w:tcPr>
          <w:p>
            <w:pPr>
              <w:pStyle w:val="TableParagraph"/>
              <w:spacing w:before="39"/>
              <w:ind w:left="332"/>
              <w:rPr>
                <w:sz w:val="20"/>
              </w:rPr>
            </w:pPr>
            <w:r>
              <w:rPr>
                <w:sz w:val="20"/>
              </w:rPr>
              <w:t>56</w:t>
            </w:r>
          </w:p>
        </w:tc>
        <w:tc>
          <w:tcPr>
            <w:tcW w:w="1117" w:type="dxa"/>
            <w:tcBorders>
              <w:top w:val="nil"/>
              <w:left w:val="nil"/>
              <w:bottom w:val="nil"/>
              <w:right w:val="nil"/>
            </w:tcBorders>
          </w:tcPr>
          <w:p>
            <w:pPr>
              <w:pStyle w:val="TableParagraph"/>
              <w:spacing w:before="39"/>
              <w:ind w:left="70" w:right="139"/>
              <w:jc w:val="center"/>
              <w:rPr>
                <w:sz w:val="20"/>
              </w:rPr>
            </w:pPr>
            <w:r>
              <w:rPr>
                <w:sz w:val="20"/>
              </w:rPr>
              <w:t>-18</w:t>
            </w:r>
          </w:p>
        </w:tc>
        <w:tc>
          <w:tcPr>
            <w:tcW w:w="880" w:type="dxa"/>
            <w:tcBorders>
              <w:top w:val="nil"/>
              <w:left w:val="nil"/>
              <w:bottom w:val="nil"/>
              <w:right w:val="nil"/>
            </w:tcBorders>
          </w:tcPr>
          <w:p>
            <w:pPr>
              <w:pStyle w:val="TableParagraph"/>
              <w:spacing w:before="39"/>
              <w:ind w:left="53" w:right="169"/>
              <w:jc w:val="center"/>
              <w:rPr>
                <w:sz w:val="20"/>
              </w:rPr>
            </w:pPr>
            <w:r>
              <w:rPr>
                <w:sz w:val="20"/>
              </w:rPr>
              <w:t>-170</w:t>
            </w:r>
          </w:p>
        </w:tc>
        <w:tc>
          <w:tcPr>
            <w:tcW w:w="978" w:type="dxa"/>
            <w:tcBorders>
              <w:top w:val="nil"/>
              <w:left w:val="nil"/>
              <w:bottom w:val="nil"/>
              <w:right w:val="nil"/>
            </w:tcBorders>
          </w:tcPr>
          <w:p>
            <w:pPr>
              <w:pStyle w:val="TableParagraph"/>
              <w:spacing w:before="39"/>
              <w:ind w:left="170" w:right="150"/>
              <w:jc w:val="center"/>
              <w:rPr>
                <w:sz w:val="20"/>
              </w:rPr>
            </w:pPr>
            <w:r>
              <w:rPr>
                <w:sz w:val="20"/>
              </w:rPr>
              <w:t>-179</w:t>
            </w:r>
          </w:p>
        </w:tc>
      </w:tr>
      <w:tr>
        <w:trPr>
          <w:trHeight w:val="286" w:hRule="exact"/>
        </w:trPr>
        <w:tc>
          <w:tcPr>
            <w:tcW w:w="1052" w:type="dxa"/>
            <w:tcBorders>
              <w:top w:val="nil"/>
              <w:left w:val="nil"/>
              <w:right w:val="nil"/>
            </w:tcBorders>
          </w:tcPr>
          <w:p>
            <w:pPr>
              <w:pStyle w:val="TableParagraph"/>
              <w:spacing w:before="13"/>
              <w:ind w:left="69"/>
              <w:rPr>
                <w:sz w:val="20"/>
              </w:rPr>
            </w:pPr>
            <w:r>
              <w:rPr>
                <w:sz w:val="20"/>
              </w:rPr>
              <w:t>Nacional</w:t>
            </w:r>
          </w:p>
        </w:tc>
        <w:tc>
          <w:tcPr>
            <w:tcW w:w="1032" w:type="dxa"/>
            <w:tcBorders>
              <w:top w:val="nil"/>
              <w:left w:val="nil"/>
              <w:bottom w:val="single" w:sz="8" w:space="0" w:color="000000"/>
              <w:right w:val="nil"/>
            </w:tcBorders>
          </w:tcPr>
          <w:p>
            <w:pPr>
              <w:pStyle w:val="TableParagraph"/>
              <w:spacing w:before="13"/>
              <w:ind w:right="70"/>
              <w:jc w:val="right"/>
              <w:rPr>
                <w:sz w:val="20"/>
              </w:rPr>
            </w:pPr>
            <w:r>
              <w:rPr>
                <w:w w:val="95"/>
                <w:sz w:val="20"/>
              </w:rPr>
              <w:t>2,089,579</w:t>
            </w:r>
          </w:p>
        </w:tc>
        <w:tc>
          <w:tcPr>
            <w:tcW w:w="1274" w:type="dxa"/>
            <w:tcBorders>
              <w:top w:val="nil"/>
              <w:left w:val="nil"/>
              <w:bottom w:val="single" w:sz="8" w:space="0" w:color="000000"/>
              <w:right w:val="nil"/>
            </w:tcBorders>
          </w:tcPr>
          <w:p>
            <w:pPr>
              <w:pStyle w:val="TableParagraph"/>
              <w:spacing w:before="13"/>
              <w:ind w:left="223"/>
              <w:rPr>
                <w:sz w:val="20"/>
              </w:rPr>
            </w:pPr>
            <w:r>
              <w:rPr>
                <w:sz w:val="20"/>
              </w:rPr>
              <w:t>2,080,555</w:t>
            </w:r>
          </w:p>
        </w:tc>
        <w:tc>
          <w:tcPr>
            <w:tcW w:w="1250" w:type="dxa"/>
            <w:tcBorders>
              <w:top w:val="nil"/>
              <w:left w:val="nil"/>
              <w:bottom w:val="single" w:sz="8" w:space="0" w:color="000000"/>
              <w:right w:val="nil"/>
            </w:tcBorders>
          </w:tcPr>
          <w:p>
            <w:pPr>
              <w:pStyle w:val="TableParagraph"/>
              <w:spacing w:before="13"/>
              <w:ind w:left="148"/>
              <w:rPr>
                <w:sz w:val="20"/>
              </w:rPr>
            </w:pPr>
            <w:r>
              <w:rPr>
                <w:sz w:val="20"/>
              </w:rPr>
              <w:t>2,091,069</w:t>
            </w:r>
          </w:p>
        </w:tc>
        <w:tc>
          <w:tcPr>
            <w:tcW w:w="1179" w:type="dxa"/>
            <w:tcBorders>
              <w:top w:val="nil"/>
              <w:left w:val="nil"/>
              <w:bottom w:val="single" w:sz="8" w:space="0" w:color="000000"/>
              <w:right w:val="nil"/>
            </w:tcBorders>
          </w:tcPr>
          <w:p>
            <w:pPr>
              <w:pStyle w:val="TableParagraph"/>
              <w:spacing w:before="13"/>
              <w:ind w:left="149"/>
              <w:rPr>
                <w:sz w:val="20"/>
              </w:rPr>
            </w:pPr>
            <w:r>
              <w:rPr>
                <w:sz w:val="20"/>
              </w:rPr>
              <w:t>2,090,398</w:t>
            </w:r>
          </w:p>
        </w:tc>
        <w:tc>
          <w:tcPr>
            <w:tcW w:w="1249" w:type="dxa"/>
            <w:tcBorders>
              <w:top w:val="nil"/>
              <w:left w:val="nil"/>
              <w:bottom w:val="single" w:sz="8" w:space="0" w:color="000000"/>
              <w:right w:val="nil"/>
            </w:tcBorders>
          </w:tcPr>
          <w:p>
            <w:pPr>
              <w:pStyle w:val="TableParagraph"/>
              <w:spacing w:before="13"/>
              <w:ind w:left="172"/>
              <w:rPr>
                <w:sz w:val="20"/>
              </w:rPr>
            </w:pPr>
            <w:r>
              <w:rPr>
                <w:sz w:val="20"/>
              </w:rPr>
              <w:t>2,081,299</w:t>
            </w:r>
          </w:p>
        </w:tc>
        <w:tc>
          <w:tcPr>
            <w:tcW w:w="1250" w:type="dxa"/>
            <w:tcBorders>
              <w:top w:val="nil"/>
              <w:left w:val="nil"/>
              <w:bottom w:val="single" w:sz="8" w:space="0" w:color="000000"/>
              <w:right w:val="nil"/>
            </w:tcBorders>
          </w:tcPr>
          <w:p>
            <w:pPr>
              <w:pStyle w:val="TableParagraph"/>
              <w:spacing w:before="13"/>
              <w:ind w:left="176"/>
              <w:rPr>
                <w:sz w:val="20"/>
              </w:rPr>
            </w:pPr>
            <w:r>
              <w:rPr>
                <w:sz w:val="20"/>
              </w:rPr>
              <w:t>2,080,593</w:t>
            </w:r>
          </w:p>
        </w:tc>
        <w:tc>
          <w:tcPr>
            <w:tcW w:w="988" w:type="dxa"/>
            <w:tcBorders>
              <w:top w:val="nil"/>
              <w:left w:val="nil"/>
              <w:bottom w:val="single" w:sz="8" w:space="0" w:color="000000"/>
              <w:right w:val="nil"/>
            </w:tcBorders>
          </w:tcPr>
          <w:p>
            <w:pPr>
              <w:pStyle w:val="TableParagraph"/>
              <w:spacing w:before="49"/>
              <w:ind w:left="213"/>
              <w:rPr>
                <w:sz w:val="20"/>
              </w:rPr>
            </w:pPr>
            <w:r>
              <w:rPr>
                <w:sz w:val="20"/>
              </w:rPr>
              <w:t>-9,024</w:t>
            </w:r>
          </w:p>
        </w:tc>
        <w:tc>
          <w:tcPr>
            <w:tcW w:w="751" w:type="dxa"/>
            <w:tcBorders>
              <w:top w:val="nil"/>
              <w:left w:val="nil"/>
              <w:bottom w:val="single" w:sz="8" w:space="0" w:color="000000"/>
              <w:right w:val="nil"/>
            </w:tcBorders>
          </w:tcPr>
          <w:p>
            <w:pPr>
              <w:pStyle w:val="TableParagraph"/>
              <w:spacing w:before="49"/>
              <w:ind w:right="90"/>
              <w:jc w:val="right"/>
              <w:rPr>
                <w:sz w:val="20"/>
              </w:rPr>
            </w:pPr>
            <w:r>
              <w:rPr>
                <w:sz w:val="20"/>
              </w:rPr>
              <w:t>1,490</w:t>
            </w:r>
          </w:p>
        </w:tc>
        <w:tc>
          <w:tcPr>
            <w:tcW w:w="1117" w:type="dxa"/>
            <w:tcBorders>
              <w:top w:val="nil"/>
              <w:left w:val="nil"/>
              <w:bottom w:val="single" w:sz="8" w:space="0" w:color="000000"/>
              <w:right w:val="nil"/>
            </w:tcBorders>
          </w:tcPr>
          <w:p>
            <w:pPr>
              <w:pStyle w:val="TableParagraph"/>
              <w:spacing w:before="49"/>
              <w:ind w:left="70" w:right="136"/>
              <w:jc w:val="center"/>
              <w:rPr>
                <w:sz w:val="20"/>
              </w:rPr>
            </w:pPr>
            <w:r>
              <w:rPr>
                <w:sz w:val="20"/>
              </w:rPr>
              <w:t>820</w:t>
            </w:r>
          </w:p>
        </w:tc>
        <w:tc>
          <w:tcPr>
            <w:tcW w:w="880" w:type="dxa"/>
            <w:tcBorders>
              <w:top w:val="nil"/>
              <w:left w:val="nil"/>
              <w:bottom w:val="single" w:sz="8" w:space="0" w:color="000000"/>
              <w:right w:val="nil"/>
            </w:tcBorders>
          </w:tcPr>
          <w:p>
            <w:pPr>
              <w:pStyle w:val="TableParagraph"/>
              <w:spacing w:before="49"/>
              <w:ind w:left="53" w:right="169"/>
              <w:jc w:val="center"/>
              <w:rPr>
                <w:sz w:val="20"/>
              </w:rPr>
            </w:pPr>
            <w:r>
              <w:rPr>
                <w:sz w:val="20"/>
              </w:rPr>
              <w:t>-8,280</w:t>
            </w:r>
          </w:p>
        </w:tc>
        <w:tc>
          <w:tcPr>
            <w:tcW w:w="978" w:type="dxa"/>
            <w:tcBorders>
              <w:top w:val="nil"/>
              <w:left w:val="nil"/>
              <w:right w:val="nil"/>
            </w:tcBorders>
          </w:tcPr>
          <w:p>
            <w:pPr>
              <w:pStyle w:val="TableParagraph"/>
              <w:spacing w:before="49"/>
              <w:ind w:left="170" w:right="150"/>
              <w:jc w:val="center"/>
              <w:rPr>
                <w:sz w:val="20"/>
              </w:rPr>
            </w:pPr>
            <w:r>
              <w:rPr>
                <w:sz w:val="20"/>
              </w:rPr>
              <w:t>-8,986</w:t>
            </w:r>
          </w:p>
        </w:tc>
      </w:tr>
      <w:tr>
        <w:trPr>
          <w:trHeight w:val="257" w:hRule="exact"/>
        </w:trPr>
        <w:tc>
          <w:tcPr>
            <w:tcW w:w="1052" w:type="dxa"/>
            <w:tcBorders>
              <w:left w:val="nil"/>
              <w:right w:val="nil"/>
            </w:tcBorders>
          </w:tcPr>
          <w:p>
            <w:pPr>
              <w:pStyle w:val="TableParagraph"/>
              <w:spacing w:before="10"/>
              <w:ind w:left="69"/>
              <w:rPr>
                <w:sz w:val="20"/>
              </w:rPr>
            </w:pPr>
            <w:r>
              <w:rPr>
                <w:sz w:val="20"/>
              </w:rPr>
              <w:t>VSN BDP</w:t>
            </w:r>
          </w:p>
        </w:tc>
        <w:tc>
          <w:tcPr>
            <w:tcW w:w="1032" w:type="dxa"/>
            <w:tcBorders>
              <w:top w:val="single" w:sz="8" w:space="0" w:color="000000"/>
              <w:left w:val="nil"/>
              <w:bottom w:val="single" w:sz="8" w:space="0" w:color="000000"/>
              <w:right w:val="nil"/>
            </w:tcBorders>
          </w:tcPr>
          <w:p>
            <w:pPr>
              <w:pStyle w:val="TableParagraph"/>
              <w:spacing w:before="5"/>
              <w:ind w:right="70"/>
              <w:jc w:val="right"/>
              <w:rPr>
                <w:sz w:val="20"/>
              </w:rPr>
            </w:pPr>
            <w:r>
              <w:rPr>
                <w:w w:val="95"/>
                <w:sz w:val="20"/>
              </w:rPr>
              <w:t>3.780,358</w:t>
            </w:r>
          </w:p>
        </w:tc>
        <w:tc>
          <w:tcPr>
            <w:tcW w:w="1274" w:type="dxa"/>
            <w:tcBorders>
              <w:top w:val="single" w:sz="8" w:space="0" w:color="000000"/>
              <w:left w:val="nil"/>
              <w:bottom w:val="single" w:sz="8" w:space="0" w:color="000000"/>
              <w:right w:val="nil"/>
            </w:tcBorders>
          </w:tcPr>
          <w:p>
            <w:pPr>
              <w:pStyle w:val="TableParagraph"/>
              <w:spacing w:before="5"/>
              <w:ind w:left="220"/>
              <w:rPr>
                <w:sz w:val="20"/>
              </w:rPr>
            </w:pPr>
            <w:r>
              <w:rPr>
                <w:sz w:val="20"/>
              </w:rPr>
              <w:t>3.776,862</w:t>
            </w:r>
          </w:p>
        </w:tc>
        <w:tc>
          <w:tcPr>
            <w:tcW w:w="1250" w:type="dxa"/>
            <w:tcBorders>
              <w:top w:val="single" w:sz="8" w:space="0" w:color="000000"/>
              <w:left w:val="nil"/>
              <w:bottom w:val="single" w:sz="8" w:space="0" w:color="000000"/>
              <w:right w:val="nil"/>
            </w:tcBorders>
          </w:tcPr>
          <w:p>
            <w:pPr>
              <w:pStyle w:val="TableParagraph"/>
              <w:spacing w:before="5"/>
              <w:ind w:left="146"/>
              <w:rPr>
                <w:sz w:val="20"/>
              </w:rPr>
            </w:pPr>
            <w:r>
              <w:rPr>
                <w:sz w:val="20"/>
              </w:rPr>
              <w:t>3.781,887</w:t>
            </w:r>
          </w:p>
        </w:tc>
        <w:tc>
          <w:tcPr>
            <w:tcW w:w="1179" w:type="dxa"/>
            <w:tcBorders>
              <w:top w:val="single" w:sz="8" w:space="0" w:color="000000"/>
              <w:left w:val="nil"/>
              <w:bottom w:val="single" w:sz="8" w:space="0" w:color="000000"/>
              <w:right w:val="nil"/>
            </w:tcBorders>
          </w:tcPr>
          <w:p>
            <w:pPr>
              <w:pStyle w:val="TableParagraph"/>
              <w:spacing w:before="5"/>
              <w:ind w:left="144"/>
              <w:rPr>
                <w:sz w:val="20"/>
              </w:rPr>
            </w:pPr>
            <w:r>
              <w:rPr>
                <w:sz w:val="20"/>
              </w:rPr>
              <w:t>3.780,592</w:t>
            </w:r>
          </w:p>
        </w:tc>
        <w:tc>
          <w:tcPr>
            <w:tcW w:w="1249" w:type="dxa"/>
            <w:tcBorders>
              <w:top w:val="single" w:sz="8" w:space="0" w:color="000000"/>
              <w:left w:val="nil"/>
              <w:bottom w:val="single" w:sz="8" w:space="0" w:color="000000"/>
              <w:right w:val="nil"/>
            </w:tcBorders>
          </w:tcPr>
          <w:p>
            <w:pPr>
              <w:pStyle w:val="TableParagraph"/>
              <w:spacing w:before="5"/>
              <w:ind w:left="119"/>
              <w:rPr>
                <w:sz w:val="20"/>
              </w:rPr>
            </w:pPr>
            <w:r>
              <w:rPr>
                <w:sz w:val="20"/>
              </w:rPr>
              <w:t>3.778,404</w:t>
            </w:r>
          </w:p>
        </w:tc>
        <w:tc>
          <w:tcPr>
            <w:tcW w:w="1250" w:type="dxa"/>
            <w:tcBorders>
              <w:top w:val="single" w:sz="8" w:space="0" w:color="000000"/>
              <w:left w:val="nil"/>
              <w:bottom w:val="single" w:sz="8" w:space="0" w:color="000000"/>
              <w:right w:val="nil"/>
            </w:tcBorders>
          </w:tcPr>
          <w:p>
            <w:pPr>
              <w:pStyle w:val="TableParagraph"/>
              <w:spacing w:before="5"/>
              <w:ind w:left="171"/>
              <w:rPr>
                <w:sz w:val="20"/>
              </w:rPr>
            </w:pPr>
            <w:r>
              <w:rPr>
                <w:sz w:val="20"/>
              </w:rPr>
              <w:t>3.777,065</w:t>
            </w:r>
          </w:p>
        </w:tc>
        <w:tc>
          <w:tcPr>
            <w:tcW w:w="988" w:type="dxa"/>
            <w:tcBorders>
              <w:top w:val="single" w:sz="8" w:space="0" w:color="000000"/>
              <w:left w:val="nil"/>
              <w:bottom w:val="single" w:sz="8" w:space="0" w:color="000000"/>
              <w:right w:val="nil"/>
            </w:tcBorders>
          </w:tcPr>
          <w:p>
            <w:pPr>
              <w:pStyle w:val="TableParagraph"/>
              <w:spacing w:before="5"/>
              <w:ind w:left="187"/>
              <w:rPr>
                <w:sz w:val="20"/>
              </w:rPr>
            </w:pPr>
            <w:r>
              <w:rPr>
                <w:sz w:val="20"/>
              </w:rPr>
              <w:t>- 3,496</w:t>
            </w:r>
          </w:p>
        </w:tc>
        <w:tc>
          <w:tcPr>
            <w:tcW w:w="751" w:type="dxa"/>
            <w:tcBorders>
              <w:top w:val="single" w:sz="8" w:space="0" w:color="000000"/>
              <w:left w:val="nil"/>
              <w:bottom w:val="single" w:sz="8" w:space="0" w:color="000000"/>
              <w:right w:val="nil"/>
            </w:tcBorders>
          </w:tcPr>
          <w:p>
            <w:pPr>
              <w:pStyle w:val="TableParagraph"/>
              <w:spacing w:before="5"/>
              <w:ind w:right="90"/>
              <w:jc w:val="right"/>
              <w:rPr>
                <w:sz w:val="20"/>
              </w:rPr>
            </w:pPr>
            <w:r>
              <w:rPr>
                <w:sz w:val="20"/>
              </w:rPr>
              <w:t>1,530</w:t>
            </w:r>
          </w:p>
        </w:tc>
        <w:tc>
          <w:tcPr>
            <w:tcW w:w="1117" w:type="dxa"/>
            <w:tcBorders>
              <w:top w:val="single" w:sz="8" w:space="0" w:color="000000"/>
              <w:left w:val="nil"/>
              <w:bottom w:val="single" w:sz="8" w:space="0" w:color="000000"/>
              <w:right w:val="nil"/>
            </w:tcBorders>
          </w:tcPr>
          <w:p>
            <w:pPr>
              <w:pStyle w:val="TableParagraph"/>
              <w:spacing w:before="5"/>
              <w:ind w:left="70" w:right="136"/>
              <w:jc w:val="center"/>
              <w:rPr>
                <w:sz w:val="20"/>
              </w:rPr>
            </w:pPr>
            <w:r>
              <w:rPr>
                <w:sz w:val="20"/>
              </w:rPr>
              <w:t>234</w:t>
            </w:r>
          </w:p>
        </w:tc>
        <w:tc>
          <w:tcPr>
            <w:tcW w:w="880" w:type="dxa"/>
            <w:tcBorders>
              <w:top w:val="single" w:sz="8" w:space="0" w:color="000000"/>
              <w:left w:val="nil"/>
              <w:bottom w:val="single" w:sz="8" w:space="0" w:color="000000"/>
              <w:right w:val="nil"/>
            </w:tcBorders>
          </w:tcPr>
          <w:p>
            <w:pPr>
              <w:pStyle w:val="TableParagraph"/>
              <w:spacing w:before="5"/>
              <w:ind w:left="53" w:right="169"/>
              <w:jc w:val="center"/>
              <w:rPr>
                <w:sz w:val="20"/>
              </w:rPr>
            </w:pPr>
            <w:r>
              <w:rPr>
                <w:sz w:val="20"/>
              </w:rPr>
              <w:t>-1,954</w:t>
            </w:r>
          </w:p>
        </w:tc>
        <w:tc>
          <w:tcPr>
            <w:tcW w:w="978" w:type="dxa"/>
            <w:tcBorders>
              <w:left w:val="nil"/>
              <w:right w:val="nil"/>
            </w:tcBorders>
          </w:tcPr>
          <w:p>
            <w:pPr>
              <w:pStyle w:val="TableParagraph"/>
              <w:spacing w:before="10"/>
              <w:ind w:left="170" w:right="150"/>
              <w:jc w:val="center"/>
              <w:rPr>
                <w:sz w:val="20"/>
              </w:rPr>
            </w:pPr>
            <w:r>
              <w:rPr>
                <w:sz w:val="20"/>
              </w:rPr>
              <w:t>-3,293</w:t>
            </w:r>
          </w:p>
        </w:tc>
      </w:tr>
    </w:tbl>
    <w:p>
      <w:pPr>
        <w:pStyle w:val="ListParagraph"/>
        <w:numPr>
          <w:ilvl w:val="0"/>
          <w:numId w:val="20"/>
        </w:numPr>
        <w:tabs>
          <w:tab w:pos="578" w:val="left" w:leader="none"/>
          <w:tab w:pos="579" w:val="left" w:leader="none"/>
        </w:tabs>
        <w:spacing w:line="214" w:lineRule="exact" w:before="0" w:after="0"/>
        <w:ind w:left="578" w:right="0" w:hanging="470"/>
        <w:jc w:val="left"/>
        <w:rPr>
          <w:sz w:val="20"/>
        </w:rPr>
      </w:pPr>
      <w:r>
        <w:rPr>
          <w:sz w:val="20"/>
        </w:rPr>
        <w:t>BDP: Billones de pesos. Escenarios 1: arancel 15%. Escenario    2: Subsidio 100 pesos     </w:t>
      </w:r>
      <w:r>
        <w:rPr>
          <w:spacing w:val="41"/>
          <w:sz w:val="20"/>
        </w:rPr>
        <w:t> </w:t>
      </w:r>
      <w:r>
        <w:rPr>
          <w:sz w:val="20"/>
        </w:rPr>
        <w:t>a cerdo enviado a rastro. Escenario 3:  Subsidio 200 pesos a hembra en</w:t>
      </w:r>
    </w:p>
    <w:p>
      <w:pPr>
        <w:pStyle w:val="ListParagraph"/>
        <w:numPr>
          <w:ilvl w:val="0"/>
          <w:numId w:val="20"/>
        </w:numPr>
        <w:tabs>
          <w:tab w:pos="578" w:val="left" w:leader="none"/>
          <w:tab w:pos="579" w:val="left" w:leader="none"/>
        </w:tabs>
        <w:spacing w:line="230" w:lineRule="exact" w:before="0" w:after="0"/>
        <w:ind w:left="578" w:right="0" w:hanging="470"/>
        <w:jc w:val="left"/>
        <w:rPr>
          <w:sz w:val="20"/>
        </w:rPr>
      </w:pPr>
      <w:r>
        <w:rPr>
          <w:sz w:val="20"/>
        </w:rPr>
        <w:t>inventario.</w:t>
      </w:r>
      <w:r>
        <w:rPr>
          <w:spacing w:val="8"/>
          <w:sz w:val="20"/>
        </w:rPr>
        <w:t> </w:t>
      </w:r>
      <w:r>
        <w:rPr>
          <w:sz w:val="20"/>
        </w:rPr>
        <w:t>Escenario</w:t>
      </w:r>
      <w:r>
        <w:rPr>
          <w:spacing w:val="8"/>
          <w:sz w:val="20"/>
        </w:rPr>
        <w:t> </w:t>
      </w:r>
      <w:r>
        <w:rPr>
          <w:sz w:val="20"/>
        </w:rPr>
        <w:t>4:</w:t>
      </w:r>
      <w:r>
        <w:rPr>
          <w:spacing w:val="7"/>
          <w:sz w:val="20"/>
        </w:rPr>
        <w:t> </w:t>
      </w:r>
      <w:r>
        <w:rPr>
          <w:sz w:val="20"/>
        </w:rPr>
        <w:t>Aplicación</w:t>
      </w:r>
      <w:r>
        <w:rPr>
          <w:spacing w:val="6"/>
          <w:sz w:val="20"/>
        </w:rPr>
        <w:t> </w:t>
      </w:r>
      <w:r>
        <w:rPr>
          <w:sz w:val="20"/>
        </w:rPr>
        <w:t>de</w:t>
      </w:r>
      <w:r>
        <w:rPr>
          <w:spacing w:val="8"/>
          <w:sz w:val="20"/>
        </w:rPr>
        <w:t> </w:t>
      </w:r>
      <w:r>
        <w:rPr>
          <w:sz w:val="20"/>
        </w:rPr>
        <w:t>arancel</w:t>
      </w:r>
      <w:r>
        <w:rPr>
          <w:spacing w:val="7"/>
          <w:sz w:val="20"/>
        </w:rPr>
        <w:t> </w:t>
      </w:r>
      <w:r>
        <w:rPr>
          <w:sz w:val="20"/>
        </w:rPr>
        <w:t>15%</w:t>
      </w:r>
      <w:r>
        <w:rPr>
          <w:spacing w:val="7"/>
          <w:sz w:val="20"/>
        </w:rPr>
        <w:t> </w:t>
      </w:r>
      <w:r>
        <w:rPr>
          <w:sz w:val="20"/>
        </w:rPr>
        <w:t>y</w:t>
      </w:r>
      <w:r>
        <w:rPr>
          <w:spacing w:val="4"/>
          <w:sz w:val="20"/>
        </w:rPr>
        <w:t> </w:t>
      </w:r>
      <w:r>
        <w:rPr>
          <w:sz w:val="20"/>
        </w:rPr>
        <w:t>subsidio</w:t>
      </w:r>
      <w:r>
        <w:rPr>
          <w:spacing w:val="8"/>
          <w:sz w:val="20"/>
        </w:rPr>
        <w:t> </w:t>
      </w:r>
      <w:r>
        <w:rPr>
          <w:sz w:val="20"/>
        </w:rPr>
        <w:t>100</w:t>
      </w:r>
      <w:r>
        <w:rPr>
          <w:spacing w:val="8"/>
          <w:sz w:val="20"/>
        </w:rPr>
        <w:t> </w:t>
      </w:r>
      <w:r>
        <w:rPr>
          <w:sz w:val="20"/>
        </w:rPr>
        <w:t>pesos.</w:t>
      </w:r>
      <w:r>
        <w:rPr>
          <w:spacing w:val="8"/>
          <w:sz w:val="20"/>
        </w:rPr>
        <w:t> </w:t>
      </w:r>
      <w:r>
        <w:rPr>
          <w:sz w:val="20"/>
        </w:rPr>
        <w:t>Escenario</w:t>
      </w:r>
      <w:r>
        <w:rPr>
          <w:spacing w:val="8"/>
          <w:sz w:val="20"/>
        </w:rPr>
        <w:t> </w:t>
      </w:r>
      <w:r>
        <w:rPr>
          <w:sz w:val="20"/>
        </w:rPr>
        <w:t>5:</w:t>
      </w:r>
      <w:r>
        <w:rPr>
          <w:spacing w:val="7"/>
          <w:sz w:val="20"/>
        </w:rPr>
        <w:t> </w:t>
      </w:r>
      <w:r>
        <w:rPr>
          <w:sz w:val="20"/>
        </w:rPr>
        <w:t>Aplicación</w:t>
      </w:r>
      <w:r>
        <w:rPr>
          <w:spacing w:val="6"/>
          <w:sz w:val="20"/>
        </w:rPr>
        <w:t> </w:t>
      </w:r>
      <w:r>
        <w:rPr>
          <w:sz w:val="20"/>
        </w:rPr>
        <w:t>de</w:t>
      </w:r>
      <w:r>
        <w:rPr>
          <w:spacing w:val="8"/>
          <w:sz w:val="20"/>
        </w:rPr>
        <w:t> </w:t>
      </w:r>
      <w:r>
        <w:rPr>
          <w:sz w:val="20"/>
        </w:rPr>
        <w:t>arancel</w:t>
      </w:r>
      <w:r>
        <w:rPr>
          <w:spacing w:val="7"/>
          <w:sz w:val="20"/>
        </w:rPr>
        <w:t> </w:t>
      </w:r>
      <w:r>
        <w:rPr>
          <w:sz w:val="20"/>
        </w:rPr>
        <w:t>15%</w:t>
      </w:r>
      <w:r>
        <w:rPr>
          <w:spacing w:val="7"/>
          <w:sz w:val="20"/>
        </w:rPr>
        <w:t> </w:t>
      </w:r>
      <w:r>
        <w:rPr>
          <w:sz w:val="20"/>
        </w:rPr>
        <w:t>y</w:t>
      </w:r>
      <w:r>
        <w:rPr>
          <w:spacing w:val="4"/>
          <w:sz w:val="20"/>
        </w:rPr>
        <w:t> </w:t>
      </w:r>
      <w:r>
        <w:rPr>
          <w:sz w:val="20"/>
        </w:rPr>
        <w:t>subsidio</w:t>
      </w:r>
      <w:r>
        <w:rPr>
          <w:spacing w:val="8"/>
          <w:sz w:val="20"/>
        </w:rPr>
        <w:t> </w:t>
      </w:r>
      <w:r>
        <w:rPr>
          <w:sz w:val="20"/>
        </w:rPr>
        <w:t>200</w:t>
      </w:r>
      <w:r>
        <w:rPr>
          <w:spacing w:val="8"/>
          <w:sz w:val="20"/>
        </w:rPr>
        <w:t> </w:t>
      </w:r>
      <w:r>
        <w:rPr>
          <w:sz w:val="20"/>
        </w:rPr>
        <w:t>pesos</w:t>
      </w:r>
      <w:r>
        <w:rPr>
          <w:spacing w:val="7"/>
          <w:sz w:val="20"/>
        </w:rPr>
        <w:t> </w:t>
      </w:r>
      <w:r>
        <w:rPr>
          <w:sz w:val="20"/>
        </w:rPr>
        <w:t>a</w:t>
      </w:r>
      <w:r>
        <w:rPr>
          <w:spacing w:val="8"/>
          <w:sz w:val="20"/>
        </w:rPr>
        <w:t> </w:t>
      </w:r>
      <w:r>
        <w:rPr>
          <w:sz w:val="20"/>
        </w:rPr>
        <w:t>hembra</w:t>
      </w:r>
      <w:r>
        <w:rPr>
          <w:spacing w:val="8"/>
          <w:sz w:val="20"/>
        </w:rPr>
        <w:t> </w:t>
      </w:r>
      <w:r>
        <w:rPr>
          <w:sz w:val="20"/>
        </w:rPr>
        <w:t>en</w:t>
      </w:r>
      <w:r>
        <w:rPr>
          <w:spacing w:val="9"/>
          <w:sz w:val="20"/>
        </w:rPr>
        <w:t> </w:t>
      </w:r>
      <w:r>
        <w:rPr>
          <w:sz w:val="20"/>
        </w:rPr>
        <w:t>inventario.</w:t>
      </w:r>
    </w:p>
    <w:p>
      <w:pPr>
        <w:pStyle w:val="ListParagraph"/>
        <w:numPr>
          <w:ilvl w:val="0"/>
          <w:numId w:val="20"/>
        </w:numPr>
        <w:tabs>
          <w:tab w:pos="578" w:val="left" w:leader="none"/>
          <w:tab w:pos="579" w:val="left" w:leader="none"/>
        </w:tabs>
        <w:spacing w:line="242" w:lineRule="exact" w:before="0" w:after="0"/>
        <w:ind w:left="578" w:right="0" w:hanging="470"/>
        <w:jc w:val="left"/>
        <w:rPr>
          <w:sz w:val="20"/>
        </w:rPr>
      </w:pPr>
      <w:r>
        <w:rPr>
          <w:sz w:val="20"/>
        </w:rPr>
        <w:t>Elaboración</w:t>
      </w:r>
      <w:r>
        <w:rPr>
          <w:spacing w:val="-6"/>
          <w:sz w:val="20"/>
        </w:rPr>
        <w:t> </w:t>
      </w:r>
      <w:r>
        <w:rPr>
          <w:sz w:val="20"/>
        </w:rPr>
        <w:t>propia.</w:t>
      </w:r>
    </w:p>
    <w:p>
      <w:pPr>
        <w:spacing w:after="0" w:line="242" w:lineRule="exact"/>
        <w:jc w:val="left"/>
        <w:rPr>
          <w:sz w:val="20"/>
        </w:rPr>
        <w:sectPr>
          <w:headerReference w:type="default" r:id="rId145"/>
          <w:footerReference w:type="default" r:id="rId146"/>
          <w:pgSz w:w="15840" w:h="12240" w:orient="landscape"/>
          <w:pgMar w:header="0" w:footer="986" w:top="900" w:bottom="1180" w:left="840" w:right="1300"/>
        </w:sectPr>
      </w:pPr>
    </w:p>
    <w:p>
      <w:pPr>
        <w:pStyle w:val="BodyText"/>
        <w:spacing w:line="360" w:lineRule="auto" w:before="122"/>
        <w:ind w:left="122" w:right="636"/>
        <w:rPr>
          <w:b/>
        </w:rPr>
      </w:pPr>
      <w:r>
        <w:rPr/>
        <w:t>Cuadro 3. Efecto de la aplicación de políticas económicas a los precios de la carne de cerdo en México</w:t>
      </w:r>
      <w:r>
        <w:rPr>
          <w:b/>
        </w:rPr>
        <w:t>.</w:t>
      </w:r>
    </w:p>
    <w:p>
      <w:pPr>
        <w:pStyle w:val="BodyText"/>
        <w:spacing w:before="11"/>
        <w:rPr>
          <w:b/>
          <w:sz w:val="14"/>
        </w:rPr>
      </w:pPr>
      <w:r>
        <w:rPr/>
        <w:pict>
          <v:group style="position:absolute;margin-left:84.853996pt;margin-top:10.549766pt;width:442.55pt;height:.5pt;mso-position-horizontal-relative:page;mso-position-vertical-relative:paragraph;z-index:6184;mso-wrap-distance-left:0;mso-wrap-distance-right:0" coordorigin="1697,211" coordsize="8851,10">
            <v:line style="position:absolute" from="1702,216" to="2782,216" stroked="true" strokeweight=".48pt" strokecolor="#000000"/>
            <v:line style="position:absolute" from="2782,216" to="2792,216" stroked="true" strokeweight=".48pt" strokecolor="#000000"/>
            <v:line style="position:absolute" from="2792,216" to="6995,216" stroked="true" strokeweight=".48pt" strokecolor="#000000"/>
            <v:line style="position:absolute" from="6995,216" to="7005,216" stroked="true" strokeweight=".48pt" strokecolor="#000000"/>
            <v:line style="position:absolute" from="7005,216" to="10543,216" stroked="true" strokeweight=".48pt" strokecolor="#000000"/>
            <w10:wrap type="topAndBottom"/>
          </v:group>
        </w:pict>
      </w:r>
    </w:p>
    <w:p>
      <w:pPr>
        <w:tabs>
          <w:tab w:pos="6754" w:val="left" w:leader="none"/>
        </w:tabs>
        <w:spacing w:line="262" w:lineRule="exact" w:before="0" w:after="14"/>
        <w:ind w:left="2829" w:right="410" w:firstLine="0"/>
        <w:jc w:val="left"/>
        <w:rPr>
          <w:sz w:val="22"/>
        </w:rPr>
      </w:pPr>
      <w:r>
        <w:rPr>
          <w:sz w:val="22"/>
        </w:rPr>
        <w:t>Escenarios</w:t>
        <w:tab/>
      </w:r>
      <w:r>
        <w:rPr>
          <w:position w:val="-1"/>
          <w:sz w:val="22"/>
        </w:rPr>
        <w:t>Variación</w:t>
      </w: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94"/>
        <w:gridCol w:w="658"/>
        <w:gridCol w:w="618"/>
        <w:gridCol w:w="652"/>
        <w:gridCol w:w="737"/>
        <w:gridCol w:w="772"/>
        <w:gridCol w:w="847"/>
        <w:gridCol w:w="593"/>
        <w:gridCol w:w="733"/>
        <w:gridCol w:w="736"/>
        <w:gridCol w:w="668"/>
        <w:gridCol w:w="748"/>
      </w:tblGrid>
      <w:tr>
        <w:trPr>
          <w:trHeight w:val="262" w:hRule="exact"/>
        </w:trPr>
        <w:tc>
          <w:tcPr>
            <w:tcW w:w="1094" w:type="dxa"/>
          </w:tcPr>
          <w:p>
            <w:pPr>
              <w:pStyle w:val="TableParagraph"/>
              <w:spacing w:line="124" w:lineRule="exact"/>
              <w:ind w:left="235"/>
              <w:rPr>
                <w:sz w:val="22"/>
              </w:rPr>
            </w:pPr>
            <w:r>
              <w:rPr>
                <w:sz w:val="22"/>
              </w:rPr>
              <w:t>Región</w:t>
            </w:r>
          </w:p>
        </w:tc>
        <w:tc>
          <w:tcPr>
            <w:tcW w:w="658" w:type="dxa"/>
            <w:tcBorders>
              <w:top w:val="single" w:sz="4" w:space="0" w:color="000000"/>
              <w:bottom w:val="single" w:sz="4" w:space="0" w:color="000000"/>
            </w:tcBorders>
          </w:tcPr>
          <w:p>
            <w:pPr>
              <w:pStyle w:val="TableParagraph"/>
              <w:spacing w:line="247" w:lineRule="exact"/>
              <w:ind w:right="157"/>
              <w:jc w:val="right"/>
              <w:rPr>
                <w:sz w:val="22"/>
              </w:rPr>
            </w:pPr>
            <w:r>
              <w:rPr>
                <w:sz w:val="22"/>
              </w:rPr>
              <w:t>Base</w:t>
            </w:r>
          </w:p>
        </w:tc>
        <w:tc>
          <w:tcPr>
            <w:tcW w:w="618" w:type="dxa"/>
            <w:tcBorders>
              <w:top w:val="single" w:sz="4" w:space="0" w:color="000000"/>
              <w:bottom w:val="single" w:sz="4" w:space="0" w:color="000000"/>
            </w:tcBorders>
          </w:tcPr>
          <w:p>
            <w:pPr>
              <w:pStyle w:val="TableParagraph"/>
              <w:spacing w:before="5"/>
              <w:ind w:left="9"/>
              <w:jc w:val="center"/>
              <w:rPr>
                <w:sz w:val="20"/>
              </w:rPr>
            </w:pPr>
            <w:r>
              <w:rPr>
                <w:w w:val="99"/>
                <w:sz w:val="20"/>
              </w:rPr>
              <w:t>1</w:t>
            </w:r>
          </w:p>
        </w:tc>
        <w:tc>
          <w:tcPr>
            <w:tcW w:w="652" w:type="dxa"/>
            <w:tcBorders>
              <w:top w:val="single" w:sz="4" w:space="0" w:color="000000"/>
              <w:bottom w:val="single" w:sz="4" w:space="0" w:color="000000"/>
            </w:tcBorders>
          </w:tcPr>
          <w:p>
            <w:pPr>
              <w:pStyle w:val="TableParagraph"/>
              <w:spacing w:before="5"/>
              <w:ind w:right="48"/>
              <w:jc w:val="center"/>
              <w:rPr>
                <w:sz w:val="20"/>
              </w:rPr>
            </w:pPr>
            <w:r>
              <w:rPr>
                <w:w w:val="99"/>
                <w:sz w:val="20"/>
              </w:rPr>
              <w:t>2</w:t>
            </w:r>
          </w:p>
        </w:tc>
        <w:tc>
          <w:tcPr>
            <w:tcW w:w="737" w:type="dxa"/>
            <w:tcBorders>
              <w:top w:val="single" w:sz="4" w:space="0" w:color="000000"/>
              <w:bottom w:val="single" w:sz="4" w:space="0" w:color="000000"/>
            </w:tcBorders>
          </w:tcPr>
          <w:p>
            <w:pPr>
              <w:pStyle w:val="TableParagraph"/>
              <w:spacing w:before="5"/>
              <w:ind w:right="40"/>
              <w:jc w:val="center"/>
              <w:rPr>
                <w:sz w:val="20"/>
              </w:rPr>
            </w:pPr>
            <w:r>
              <w:rPr>
                <w:w w:val="99"/>
                <w:sz w:val="20"/>
              </w:rPr>
              <w:t>3</w:t>
            </w:r>
          </w:p>
        </w:tc>
        <w:tc>
          <w:tcPr>
            <w:tcW w:w="772" w:type="dxa"/>
            <w:tcBorders>
              <w:top w:val="single" w:sz="4" w:space="0" w:color="000000"/>
              <w:bottom w:val="single" w:sz="4" w:space="0" w:color="000000"/>
            </w:tcBorders>
          </w:tcPr>
          <w:p>
            <w:pPr>
              <w:pStyle w:val="TableParagraph"/>
              <w:spacing w:line="247" w:lineRule="exact"/>
              <w:jc w:val="center"/>
              <w:rPr>
                <w:sz w:val="22"/>
              </w:rPr>
            </w:pPr>
            <w:r>
              <w:rPr>
                <w:w w:val="100"/>
                <w:sz w:val="22"/>
              </w:rPr>
              <w:t>4</w:t>
            </w:r>
          </w:p>
        </w:tc>
        <w:tc>
          <w:tcPr>
            <w:tcW w:w="847" w:type="dxa"/>
            <w:tcBorders>
              <w:top w:val="single" w:sz="4" w:space="0" w:color="000000"/>
              <w:bottom w:val="single" w:sz="4" w:space="0" w:color="000000"/>
            </w:tcBorders>
          </w:tcPr>
          <w:p>
            <w:pPr>
              <w:pStyle w:val="TableParagraph"/>
              <w:spacing w:before="5"/>
              <w:ind w:right="70"/>
              <w:jc w:val="center"/>
              <w:rPr>
                <w:sz w:val="20"/>
              </w:rPr>
            </w:pPr>
            <w:r>
              <w:rPr>
                <w:w w:val="99"/>
                <w:sz w:val="20"/>
              </w:rPr>
              <w:t>5</w:t>
            </w:r>
          </w:p>
        </w:tc>
        <w:tc>
          <w:tcPr>
            <w:tcW w:w="593" w:type="dxa"/>
            <w:tcBorders>
              <w:top w:val="single" w:sz="4" w:space="0" w:color="000000"/>
              <w:bottom w:val="single" w:sz="4" w:space="0" w:color="000000"/>
            </w:tcBorders>
          </w:tcPr>
          <w:p>
            <w:pPr>
              <w:pStyle w:val="TableParagraph"/>
              <w:spacing w:before="5"/>
              <w:ind w:right="8"/>
              <w:jc w:val="center"/>
              <w:rPr>
                <w:sz w:val="20"/>
              </w:rPr>
            </w:pPr>
            <w:r>
              <w:rPr>
                <w:w w:val="99"/>
                <w:sz w:val="20"/>
              </w:rPr>
              <w:t>1</w:t>
            </w:r>
          </w:p>
        </w:tc>
        <w:tc>
          <w:tcPr>
            <w:tcW w:w="733" w:type="dxa"/>
            <w:tcBorders>
              <w:top w:val="single" w:sz="4" w:space="0" w:color="000000"/>
              <w:bottom w:val="single" w:sz="4" w:space="0" w:color="000000"/>
            </w:tcBorders>
          </w:tcPr>
          <w:p>
            <w:pPr>
              <w:pStyle w:val="TableParagraph"/>
              <w:spacing w:before="5"/>
              <w:ind w:left="50"/>
              <w:jc w:val="center"/>
              <w:rPr>
                <w:sz w:val="20"/>
              </w:rPr>
            </w:pPr>
            <w:r>
              <w:rPr>
                <w:w w:val="99"/>
                <w:sz w:val="20"/>
              </w:rPr>
              <w:t>2</w:t>
            </w:r>
          </w:p>
        </w:tc>
        <w:tc>
          <w:tcPr>
            <w:tcW w:w="736" w:type="dxa"/>
            <w:tcBorders>
              <w:top w:val="single" w:sz="4" w:space="0" w:color="000000"/>
              <w:bottom w:val="single" w:sz="4" w:space="0" w:color="000000"/>
            </w:tcBorders>
          </w:tcPr>
          <w:p>
            <w:pPr>
              <w:pStyle w:val="TableParagraph"/>
              <w:spacing w:before="5"/>
              <w:ind w:right="48"/>
              <w:jc w:val="center"/>
              <w:rPr>
                <w:sz w:val="20"/>
              </w:rPr>
            </w:pPr>
            <w:r>
              <w:rPr>
                <w:w w:val="99"/>
                <w:sz w:val="20"/>
              </w:rPr>
              <w:t>3</w:t>
            </w:r>
          </w:p>
        </w:tc>
        <w:tc>
          <w:tcPr>
            <w:tcW w:w="668" w:type="dxa"/>
            <w:tcBorders>
              <w:top w:val="single" w:sz="4" w:space="0" w:color="000000"/>
              <w:bottom w:val="single" w:sz="4" w:space="0" w:color="000000"/>
            </w:tcBorders>
          </w:tcPr>
          <w:p>
            <w:pPr>
              <w:pStyle w:val="TableParagraph"/>
              <w:spacing w:line="247" w:lineRule="exact"/>
              <w:ind w:right="57"/>
              <w:jc w:val="center"/>
              <w:rPr>
                <w:sz w:val="22"/>
              </w:rPr>
            </w:pPr>
            <w:r>
              <w:rPr>
                <w:w w:val="100"/>
                <w:sz w:val="22"/>
              </w:rPr>
              <w:t>4</w:t>
            </w:r>
          </w:p>
        </w:tc>
        <w:tc>
          <w:tcPr>
            <w:tcW w:w="748" w:type="dxa"/>
            <w:tcBorders>
              <w:top w:val="single" w:sz="4" w:space="0" w:color="000000"/>
              <w:bottom w:val="single" w:sz="4" w:space="0" w:color="000000"/>
            </w:tcBorders>
          </w:tcPr>
          <w:p>
            <w:pPr>
              <w:pStyle w:val="TableParagraph"/>
              <w:spacing w:before="5"/>
              <w:ind w:right="19"/>
              <w:jc w:val="center"/>
              <w:rPr>
                <w:sz w:val="20"/>
              </w:rPr>
            </w:pPr>
            <w:r>
              <w:rPr>
                <w:w w:val="99"/>
                <w:sz w:val="20"/>
              </w:rPr>
              <w:t>5</w:t>
            </w:r>
          </w:p>
        </w:tc>
      </w:tr>
      <w:tr>
        <w:trPr>
          <w:trHeight w:val="312" w:hRule="exact"/>
        </w:trPr>
        <w:tc>
          <w:tcPr>
            <w:tcW w:w="1094" w:type="dxa"/>
            <w:tcBorders>
              <w:bottom w:val="single" w:sz="4" w:space="0" w:color="000000"/>
            </w:tcBorders>
          </w:tcPr>
          <w:p>
            <w:pPr/>
          </w:p>
        </w:tc>
        <w:tc>
          <w:tcPr>
            <w:tcW w:w="658" w:type="dxa"/>
            <w:tcBorders>
              <w:top w:val="single" w:sz="4" w:space="0" w:color="000000"/>
              <w:bottom w:val="single" w:sz="4" w:space="0" w:color="000000"/>
            </w:tcBorders>
          </w:tcPr>
          <w:p>
            <w:pPr/>
          </w:p>
        </w:tc>
        <w:tc>
          <w:tcPr>
            <w:tcW w:w="618" w:type="dxa"/>
            <w:tcBorders>
              <w:top w:val="single" w:sz="4" w:space="0" w:color="000000"/>
              <w:bottom w:val="single" w:sz="4" w:space="0" w:color="000000"/>
            </w:tcBorders>
          </w:tcPr>
          <w:p>
            <w:pPr/>
          </w:p>
        </w:tc>
        <w:tc>
          <w:tcPr>
            <w:tcW w:w="652" w:type="dxa"/>
            <w:tcBorders>
              <w:top w:val="single" w:sz="4" w:space="0" w:color="000000"/>
              <w:bottom w:val="single" w:sz="4" w:space="0" w:color="000000"/>
            </w:tcBorders>
          </w:tcPr>
          <w:p>
            <w:pPr/>
          </w:p>
        </w:tc>
        <w:tc>
          <w:tcPr>
            <w:tcW w:w="737" w:type="dxa"/>
            <w:tcBorders>
              <w:top w:val="single" w:sz="4" w:space="0" w:color="000000"/>
              <w:bottom w:val="single" w:sz="4" w:space="0" w:color="000000"/>
            </w:tcBorders>
          </w:tcPr>
          <w:p>
            <w:pPr/>
          </w:p>
        </w:tc>
        <w:tc>
          <w:tcPr>
            <w:tcW w:w="772" w:type="dxa"/>
            <w:tcBorders>
              <w:top w:val="single" w:sz="4" w:space="0" w:color="000000"/>
              <w:bottom w:val="single" w:sz="4" w:space="0" w:color="000000"/>
            </w:tcBorders>
          </w:tcPr>
          <w:p>
            <w:pPr/>
          </w:p>
        </w:tc>
        <w:tc>
          <w:tcPr>
            <w:tcW w:w="847" w:type="dxa"/>
            <w:tcBorders>
              <w:top w:val="single" w:sz="4" w:space="0" w:color="000000"/>
              <w:bottom w:val="single" w:sz="4" w:space="0" w:color="000000"/>
            </w:tcBorders>
          </w:tcPr>
          <w:p>
            <w:pPr>
              <w:pStyle w:val="TableParagraph"/>
              <w:spacing w:before="18"/>
              <w:ind w:left="171" w:right="133"/>
              <w:jc w:val="center"/>
              <w:rPr>
                <w:sz w:val="22"/>
              </w:rPr>
            </w:pPr>
            <w:r>
              <w:rPr>
                <w:sz w:val="22"/>
              </w:rPr>
              <w:t>Pesos</w:t>
            </w:r>
          </w:p>
        </w:tc>
        <w:tc>
          <w:tcPr>
            <w:tcW w:w="593" w:type="dxa"/>
            <w:tcBorders>
              <w:top w:val="single" w:sz="4" w:space="0" w:color="000000"/>
              <w:bottom w:val="single" w:sz="4" w:space="0" w:color="000000"/>
            </w:tcBorders>
          </w:tcPr>
          <w:p>
            <w:pPr/>
          </w:p>
        </w:tc>
        <w:tc>
          <w:tcPr>
            <w:tcW w:w="733" w:type="dxa"/>
            <w:tcBorders>
              <w:top w:val="single" w:sz="4" w:space="0" w:color="000000"/>
              <w:bottom w:val="single" w:sz="4" w:space="0" w:color="000000"/>
            </w:tcBorders>
          </w:tcPr>
          <w:p>
            <w:pPr/>
          </w:p>
        </w:tc>
        <w:tc>
          <w:tcPr>
            <w:tcW w:w="736" w:type="dxa"/>
            <w:tcBorders>
              <w:top w:val="single" w:sz="4" w:space="0" w:color="000000"/>
              <w:bottom w:val="single" w:sz="4" w:space="0" w:color="000000"/>
            </w:tcBorders>
          </w:tcPr>
          <w:p>
            <w:pPr/>
          </w:p>
        </w:tc>
        <w:tc>
          <w:tcPr>
            <w:tcW w:w="668" w:type="dxa"/>
            <w:tcBorders>
              <w:top w:val="single" w:sz="4" w:space="0" w:color="000000"/>
              <w:bottom w:val="single" w:sz="4" w:space="0" w:color="000000"/>
            </w:tcBorders>
          </w:tcPr>
          <w:p>
            <w:pPr/>
          </w:p>
        </w:tc>
        <w:tc>
          <w:tcPr>
            <w:tcW w:w="748" w:type="dxa"/>
            <w:tcBorders>
              <w:top w:val="single" w:sz="4" w:space="0" w:color="000000"/>
              <w:bottom w:val="single" w:sz="4" w:space="0" w:color="000000"/>
            </w:tcBorders>
          </w:tcPr>
          <w:p>
            <w:pPr/>
          </w:p>
        </w:tc>
      </w:tr>
      <w:tr>
        <w:trPr>
          <w:trHeight w:val="289" w:hRule="exact"/>
        </w:trPr>
        <w:tc>
          <w:tcPr>
            <w:tcW w:w="1094" w:type="dxa"/>
            <w:tcBorders>
              <w:top w:val="single" w:sz="4" w:space="0" w:color="000000"/>
            </w:tcBorders>
          </w:tcPr>
          <w:p>
            <w:pPr>
              <w:pStyle w:val="TableParagraph"/>
              <w:spacing w:before="22"/>
              <w:ind w:left="84"/>
              <w:rPr>
                <w:sz w:val="20"/>
              </w:rPr>
            </w:pPr>
            <w:r>
              <w:rPr>
                <w:sz w:val="20"/>
              </w:rPr>
              <w:t>NO</w:t>
            </w:r>
          </w:p>
        </w:tc>
        <w:tc>
          <w:tcPr>
            <w:tcW w:w="658" w:type="dxa"/>
            <w:tcBorders>
              <w:top w:val="single" w:sz="4" w:space="0" w:color="000000"/>
            </w:tcBorders>
          </w:tcPr>
          <w:p>
            <w:pPr>
              <w:pStyle w:val="TableParagraph"/>
              <w:spacing w:before="10"/>
              <w:ind w:right="120"/>
              <w:jc w:val="right"/>
              <w:rPr>
                <w:sz w:val="22"/>
              </w:rPr>
            </w:pPr>
            <w:r>
              <w:rPr>
                <w:sz w:val="22"/>
              </w:rPr>
              <w:t>31.8</w:t>
            </w:r>
          </w:p>
        </w:tc>
        <w:tc>
          <w:tcPr>
            <w:tcW w:w="618" w:type="dxa"/>
            <w:tcBorders>
              <w:top w:val="single" w:sz="4" w:space="0" w:color="000000"/>
            </w:tcBorders>
          </w:tcPr>
          <w:p>
            <w:pPr>
              <w:pStyle w:val="TableParagraph"/>
              <w:spacing w:before="10"/>
              <w:ind w:left="102" w:right="90"/>
              <w:jc w:val="center"/>
              <w:rPr>
                <w:sz w:val="22"/>
              </w:rPr>
            </w:pPr>
            <w:r>
              <w:rPr>
                <w:sz w:val="22"/>
              </w:rPr>
              <w:t>33.5</w:t>
            </w:r>
          </w:p>
        </w:tc>
        <w:tc>
          <w:tcPr>
            <w:tcW w:w="652" w:type="dxa"/>
            <w:tcBorders>
              <w:top w:val="single" w:sz="4" w:space="0" w:color="000000"/>
            </w:tcBorders>
          </w:tcPr>
          <w:p>
            <w:pPr>
              <w:pStyle w:val="TableParagraph"/>
              <w:spacing w:before="10"/>
              <w:ind w:left="91" w:right="135"/>
              <w:jc w:val="center"/>
              <w:rPr>
                <w:sz w:val="22"/>
              </w:rPr>
            </w:pPr>
            <w:r>
              <w:rPr>
                <w:sz w:val="22"/>
              </w:rPr>
              <w:t>31.4</w:t>
            </w:r>
          </w:p>
        </w:tc>
        <w:tc>
          <w:tcPr>
            <w:tcW w:w="737" w:type="dxa"/>
            <w:tcBorders>
              <w:top w:val="single" w:sz="4" w:space="0" w:color="000000"/>
            </w:tcBorders>
          </w:tcPr>
          <w:p>
            <w:pPr>
              <w:pStyle w:val="TableParagraph"/>
              <w:spacing w:before="10"/>
              <w:ind w:left="137" w:right="173"/>
              <w:jc w:val="center"/>
              <w:rPr>
                <w:sz w:val="22"/>
              </w:rPr>
            </w:pPr>
            <w:r>
              <w:rPr>
                <w:sz w:val="22"/>
              </w:rPr>
              <w:t>31.5</w:t>
            </w:r>
          </w:p>
        </w:tc>
        <w:tc>
          <w:tcPr>
            <w:tcW w:w="772" w:type="dxa"/>
            <w:tcBorders>
              <w:top w:val="single" w:sz="4" w:space="0" w:color="000000"/>
            </w:tcBorders>
          </w:tcPr>
          <w:p>
            <w:pPr>
              <w:pStyle w:val="TableParagraph"/>
              <w:spacing w:before="10"/>
              <w:ind w:left="174" w:right="171"/>
              <w:jc w:val="center"/>
              <w:rPr>
                <w:sz w:val="22"/>
              </w:rPr>
            </w:pPr>
            <w:r>
              <w:rPr>
                <w:sz w:val="22"/>
              </w:rPr>
              <w:t>33.2</w:t>
            </w:r>
          </w:p>
        </w:tc>
        <w:tc>
          <w:tcPr>
            <w:tcW w:w="847" w:type="dxa"/>
            <w:tcBorders>
              <w:top w:val="single" w:sz="4" w:space="0" w:color="000000"/>
            </w:tcBorders>
          </w:tcPr>
          <w:p>
            <w:pPr>
              <w:pStyle w:val="TableParagraph"/>
              <w:spacing w:before="10"/>
              <w:ind w:left="67" w:right="133"/>
              <w:jc w:val="center"/>
              <w:rPr>
                <w:sz w:val="22"/>
              </w:rPr>
            </w:pPr>
            <w:r>
              <w:rPr>
                <w:sz w:val="22"/>
              </w:rPr>
              <w:t>33.6</w:t>
            </w:r>
          </w:p>
        </w:tc>
        <w:tc>
          <w:tcPr>
            <w:tcW w:w="593" w:type="dxa"/>
            <w:tcBorders>
              <w:top w:val="single" w:sz="4" w:space="0" w:color="000000"/>
            </w:tcBorders>
          </w:tcPr>
          <w:p>
            <w:pPr>
              <w:pStyle w:val="TableParagraph"/>
              <w:spacing w:before="10"/>
              <w:ind w:left="134" w:right="143"/>
              <w:jc w:val="center"/>
              <w:rPr>
                <w:sz w:val="22"/>
              </w:rPr>
            </w:pPr>
            <w:r>
              <w:rPr>
                <w:sz w:val="22"/>
              </w:rPr>
              <w:t>1.7</w:t>
            </w:r>
          </w:p>
        </w:tc>
        <w:tc>
          <w:tcPr>
            <w:tcW w:w="733" w:type="dxa"/>
            <w:tcBorders>
              <w:top w:val="single" w:sz="4" w:space="0" w:color="000000"/>
            </w:tcBorders>
          </w:tcPr>
          <w:p>
            <w:pPr>
              <w:pStyle w:val="TableParagraph"/>
              <w:spacing w:before="10"/>
              <w:ind w:left="144" w:right="93"/>
              <w:jc w:val="center"/>
              <w:rPr>
                <w:sz w:val="22"/>
              </w:rPr>
            </w:pPr>
            <w:r>
              <w:rPr>
                <w:sz w:val="22"/>
              </w:rPr>
              <w:t>-</w:t>
            </w:r>
            <w:r>
              <w:rPr>
                <w:spacing w:val="52"/>
                <w:sz w:val="22"/>
              </w:rPr>
              <w:t> </w:t>
            </w:r>
            <w:r>
              <w:rPr>
                <w:sz w:val="22"/>
              </w:rPr>
              <w:t>0.4</w:t>
            </w:r>
          </w:p>
        </w:tc>
        <w:tc>
          <w:tcPr>
            <w:tcW w:w="736" w:type="dxa"/>
            <w:tcBorders>
              <w:top w:val="single" w:sz="4" w:space="0" w:color="000000"/>
            </w:tcBorders>
          </w:tcPr>
          <w:p>
            <w:pPr>
              <w:pStyle w:val="TableParagraph"/>
              <w:spacing w:before="10"/>
              <w:ind w:right="165"/>
              <w:jc w:val="right"/>
              <w:rPr>
                <w:sz w:val="22"/>
              </w:rPr>
            </w:pPr>
            <w:r>
              <w:rPr>
                <w:sz w:val="22"/>
              </w:rPr>
              <w:t>-</w:t>
            </w:r>
            <w:r>
              <w:rPr>
                <w:spacing w:val="52"/>
                <w:sz w:val="22"/>
              </w:rPr>
              <w:t> </w:t>
            </w:r>
            <w:r>
              <w:rPr>
                <w:sz w:val="22"/>
              </w:rPr>
              <w:t>0.2</w:t>
            </w:r>
          </w:p>
        </w:tc>
        <w:tc>
          <w:tcPr>
            <w:tcW w:w="668" w:type="dxa"/>
            <w:tcBorders>
              <w:top w:val="single" w:sz="4" w:space="0" w:color="000000"/>
            </w:tcBorders>
          </w:tcPr>
          <w:p>
            <w:pPr>
              <w:pStyle w:val="TableParagraph"/>
              <w:spacing w:before="10"/>
              <w:ind w:left="148" w:right="203"/>
              <w:jc w:val="center"/>
              <w:rPr>
                <w:sz w:val="22"/>
              </w:rPr>
            </w:pPr>
            <w:r>
              <w:rPr>
                <w:sz w:val="22"/>
              </w:rPr>
              <w:t>1.4</w:t>
            </w:r>
          </w:p>
        </w:tc>
        <w:tc>
          <w:tcPr>
            <w:tcW w:w="748" w:type="dxa"/>
            <w:tcBorders>
              <w:top w:val="single" w:sz="4" w:space="0" w:color="000000"/>
            </w:tcBorders>
          </w:tcPr>
          <w:p>
            <w:pPr>
              <w:pStyle w:val="TableParagraph"/>
              <w:spacing w:before="10"/>
              <w:ind w:left="206" w:right="226"/>
              <w:jc w:val="center"/>
              <w:rPr>
                <w:sz w:val="22"/>
              </w:rPr>
            </w:pPr>
            <w:r>
              <w:rPr>
                <w:sz w:val="22"/>
              </w:rPr>
              <w:t>1.9</w:t>
            </w:r>
          </w:p>
        </w:tc>
      </w:tr>
      <w:tr>
        <w:trPr>
          <w:trHeight w:val="288" w:hRule="exact"/>
        </w:trPr>
        <w:tc>
          <w:tcPr>
            <w:tcW w:w="1094" w:type="dxa"/>
          </w:tcPr>
          <w:p>
            <w:pPr>
              <w:pStyle w:val="TableParagraph"/>
              <w:spacing w:before="25"/>
              <w:ind w:left="84"/>
              <w:rPr>
                <w:sz w:val="20"/>
              </w:rPr>
            </w:pPr>
            <w:r>
              <w:rPr>
                <w:sz w:val="20"/>
              </w:rPr>
              <w:t>NR</w:t>
            </w:r>
          </w:p>
        </w:tc>
        <w:tc>
          <w:tcPr>
            <w:tcW w:w="658" w:type="dxa"/>
          </w:tcPr>
          <w:p>
            <w:pPr>
              <w:pStyle w:val="TableParagraph"/>
              <w:spacing w:before="14"/>
              <w:ind w:right="120"/>
              <w:jc w:val="right"/>
              <w:rPr>
                <w:sz w:val="22"/>
              </w:rPr>
            </w:pPr>
            <w:r>
              <w:rPr>
                <w:sz w:val="22"/>
              </w:rPr>
              <w:t>41.2</w:t>
            </w:r>
          </w:p>
        </w:tc>
        <w:tc>
          <w:tcPr>
            <w:tcW w:w="618" w:type="dxa"/>
          </w:tcPr>
          <w:p>
            <w:pPr>
              <w:pStyle w:val="TableParagraph"/>
              <w:spacing w:before="14"/>
              <w:ind w:left="102" w:right="90"/>
              <w:jc w:val="center"/>
              <w:rPr>
                <w:sz w:val="22"/>
              </w:rPr>
            </w:pPr>
            <w:r>
              <w:rPr>
                <w:sz w:val="22"/>
              </w:rPr>
              <w:t>43.4</w:t>
            </w:r>
          </w:p>
        </w:tc>
        <w:tc>
          <w:tcPr>
            <w:tcW w:w="652" w:type="dxa"/>
          </w:tcPr>
          <w:p>
            <w:pPr>
              <w:pStyle w:val="TableParagraph"/>
              <w:spacing w:before="14"/>
              <w:ind w:left="91" w:right="135"/>
              <w:jc w:val="center"/>
              <w:rPr>
                <w:sz w:val="22"/>
              </w:rPr>
            </w:pPr>
            <w:r>
              <w:rPr>
                <w:sz w:val="22"/>
              </w:rPr>
              <w:t>41.2</w:t>
            </w:r>
          </w:p>
        </w:tc>
        <w:tc>
          <w:tcPr>
            <w:tcW w:w="737" w:type="dxa"/>
          </w:tcPr>
          <w:p>
            <w:pPr>
              <w:pStyle w:val="TableParagraph"/>
              <w:spacing w:before="14"/>
              <w:ind w:left="137" w:right="173"/>
              <w:jc w:val="center"/>
              <w:rPr>
                <w:sz w:val="22"/>
              </w:rPr>
            </w:pPr>
            <w:r>
              <w:rPr>
                <w:sz w:val="22"/>
              </w:rPr>
              <w:t>41.4</w:t>
            </w:r>
          </w:p>
        </w:tc>
        <w:tc>
          <w:tcPr>
            <w:tcW w:w="772" w:type="dxa"/>
          </w:tcPr>
          <w:p>
            <w:pPr>
              <w:pStyle w:val="TableParagraph"/>
              <w:spacing w:before="14"/>
              <w:ind w:left="174" w:right="171"/>
              <w:jc w:val="center"/>
              <w:rPr>
                <w:sz w:val="22"/>
              </w:rPr>
            </w:pPr>
            <w:r>
              <w:rPr>
                <w:sz w:val="22"/>
              </w:rPr>
              <w:t>43.2</w:t>
            </w:r>
          </w:p>
        </w:tc>
        <w:tc>
          <w:tcPr>
            <w:tcW w:w="847" w:type="dxa"/>
          </w:tcPr>
          <w:p>
            <w:pPr>
              <w:pStyle w:val="TableParagraph"/>
              <w:spacing w:before="14"/>
              <w:ind w:left="67" w:right="133"/>
              <w:jc w:val="center"/>
              <w:rPr>
                <w:sz w:val="22"/>
              </w:rPr>
            </w:pPr>
            <w:r>
              <w:rPr>
                <w:sz w:val="22"/>
              </w:rPr>
              <w:t>43.3</w:t>
            </w:r>
          </w:p>
        </w:tc>
        <w:tc>
          <w:tcPr>
            <w:tcW w:w="593" w:type="dxa"/>
          </w:tcPr>
          <w:p>
            <w:pPr>
              <w:pStyle w:val="TableParagraph"/>
              <w:spacing w:before="14"/>
              <w:ind w:left="134" w:right="143"/>
              <w:jc w:val="center"/>
              <w:rPr>
                <w:sz w:val="22"/>
              </w:rPr>
            </w:pPr>
            <w:r>
              <w:rPr>
                <w:sz w:val="22"/>
              </w:rPr>
              <w:t>2.1</w:t>
            </w:r>
          </w:p>
        </w:tc>
        <w:tc>
          <w:tcPr>
            <w:tcW w:w="733" w:type="dxa"/>
          </w:tcPr>
          <w:p>
            <w:pPr>
              <w:pStyle w:val="TableParagraph"/>
              <w:spacing w:before="14"/>
              <w:ind w:left="144" w:right="93"/>
              <w:jc w:val="center"/>
              <w:rPr>
                <w:sz w:val="22"/>
              </w:rPr>
            </w:pPr>
            <w:r>
              <w:rPr>
                <w:sz w:val="22"/>
              </w:rPr>
              <w:t>-</w:t>
            </w:r>
            <w:r>
              <w:rPr>
                <w:spacing w:val="52"/>
                <w:sz w:val="22"/>
              </w:rPr>
              <w:t> </w:t>
            </w:r>
            <w:r>
              <w:rPr>
                <w:sz w:val="22"/>
              </w:rPr>
              <w:t>0.0</w:t>
            </w:r>
          </w:p>
        </w:tc>
        <w:tc>
          <w:tcPr>
            <w:tcW w:w="736" w:type="dxa"/>
          </w:tcPr>
          <w:p>
            <w:pPr>
              <w:pStyle w:val="TableParagraph"/>
              <w:spacing w:line="250" w:lineRule="exact"/>
              <w:ind w:left="203"/>
              <w:rPr>
                <w:sz w:val="22"/>
              </w:rPr>
            </w:pPr>
            <w:r>
              <w:rPr>
                <w:sz w:val="22"/>
              </w:rPr>
              <w:t>0.2</w:t>
            </w:r>
          </w:p>
        </w:tc>
        <w:tc>
          <w:tcPr>
            <w:tcW w:w="668" w:type="dxa"/>
          </w:tcPr>
          <w:p>
            <w:pPr>
              <w:pStyle w:val="TableParagraph"/>
              <w:spacing w:before="14"/>
              <w:ind w:left="148" w:right="203"/>
              <w:jc w:val="center"/>
              <w:rPr>
                <w:sz w:val="22"/>
              </w:rPr>
            </w:pPr>
            <w:r>
              <w:rPr>
                <w:sz w:val="22"/>
              </w:rPr>
              <w:t>2.0</w:t>
            </w:r>
          </w:p>
        </w:tc>
        <w:tc>
          <w:tcPr>
            <w:tcW w:w="748" w:type="dxa"/>
          </w:tcPr>
          <w:p>
            <w:pPr>
              <w:pStyle w:val="TableParagraph"/>
              <w:spacing w:before="14"/>
              <w:ind w:left="206" w:right="226"/>
              <w:jc w:val="center"/>
              <w:rPr>
                <w:sz w:val="22"/>
              </w:rPr>
            </w:pPr>
            <w:r>
              <w:rPr>
                <w:sz w:val="22"/>
              </w:rPr>
              <w:t>2.1</w:t>
            </w:r>
          </w:p>
        </w:tc>
      </w:tr>
      <w:tr>
        <w:trPr>
          <w:trHeight w:val="288" w:hRule="exact"/>
        </w:trPr>
        <w:tc>
          <w:tcPr>
            <w:tcW w:w="1094" w:type="dxa"/>
          </w:tcPr>
          <w:p>
            <w:pPr>
              <w:pStyle w:val="TableParagraph"/>
              <w:spacing w:before="25"/>
              <w:ind w:left="84"/>
              <w:rPr>
                <w:sz w:val="20"/>
              </w:rPr>
            </w:pPr>
            <w:r>
              <w:rPr>
                <w:sz w:val="20"/>
              </w:rPr>
              <w:t>NE</w:t>
            </w:r>
          </w:p>
        </w:tc>
        <w:tc>
          <w:tcPr>
            <w:tcW w:w="658" w:type="dxa"/>
          </w:tcPr>
          <w:p>
            <w:pPr>
              <w:pStyle w:val="TableParagraph"/>
              <w:spacing w:before="14"/>
              <w:ind w:right="120"/>
              <w:jc w:val="right"/>
              <w:rPr>
                <w:sz w:val="22"/>
              </w:rPr>
            </w:pPr>
            <w:r>
              <w:rPr>
                <w:sz w:val="22"/>
              </w:rPr>
              <w:t>36.7</w:t>
            </w:r>
          </w:p>
        </w:tc>
        <w:tc>
          <w:tcPr>
            <w:tcW w:w="618" w:type="dxa"/>
          </w:tcPr>
          <w:p>
            <w:pPr>
              <w:pStyle w:val="TableParagraph"/>
              <w:spacing w:before="14"/>
              <w:ind w:left="102" w:right="90"/>
              <w:jc w:val="center"/>
              <w:rPr>
                <w:sz w:val="22"/>
              </w:rPr>
            </w:pPr>
            <w:r>
              <w:rPr>
                <w:sz w:val="22"/>
              </w:rPr>
              <w:t>38.5</w:t>
            </w:r>
          </w:p>
        </w:tc>
        <w:tc>
          <w:tcPr>
            <w:tcW w:w="652" w:type="dxa"/>
          </w:tcPr>
          <w:p>
            <w:pPr>
              <w:pStyle w:val="TableParagraph"/>
              <w:spacing w:before="14"/>
              <w:ind w:left="91" w:right="135"/>
              <w:jc w:val="center"/>
              <w:rPr>
                <w:sz w:val="22"/>
              </w:rPr>
            </w:pPr>
            <w:r>
              <w:rPr>
                <w:sz w:val="22"/>
              </w:rPr>
              <w:t>36.1</w:t>
            </w:r>
          </w:p>
        </w:tc>
        <w:tc>
          <w:tcPr>
            <w:tcW w:w="737" w:type="dxa"/>
          </w:tcPr>
          <w:p>
            <w:pPr>
              <w:pStyle w:val="TableParagraph"/>
              <w:spacing w:before="14"/>
              <w:ind w:left="137" w:right="173"/>
              <w:jc w:val="center"/>
              <w:rPr>
                <w:sz w:val="22"/>
              </w:rPr>
            </w:pPr>
            <w:r>
              <w:rPr>
                <w:sz w:val="22"/>
              </w:rPr>
              <w:t>36.5</w:t>
            </w:r>
          </w:p>
        </w:tc>
        <w:tc>
          <w:tcPr>
            <w:tcW w:w="772" w:type="dxa"/>
          </w:tcPr>
          <w:p>
            <w:pPr>
              <w:pStyle w:val="TableParagraph"/>
              <w:spacing w:before="14"/>
              <w:ind w:left="174" w:right="171"/>
              <w:jc w:val="center"/>
              <w:rPr>
                <w:sz w:val="22"/>
              </w:rPr>
            </w:pPr>
            <w:r>
              <w:rPr>
                <w:sz w:val="22"/>
              </w:rPr>
              <w:t>38.4</w:t>
            </w:r>
          </w:p>
        </w:tc>
        <w:tc>
          <w:tcPr>
            <w:tcW w:w="847" w:type="dxa"/>
          </w:tcPr>
          <w:p>
            <w:pPr>
              <w:pStyle w:val="TableParagraph"/>
              <w:spacing w:before="14"/>
              <w:ind w:left="67" w:right="133"/>
              <w:jc w:val="center"/>
              <w:rPr>
                <w:sz w:val="22"/>
              </w:rPr>
            </w:pPr>
            <w:r>
              <w:rPr>
                <w:sz w:val="22"/>
              </w:rPr>
              <w:t>38.6</w:t>
            </w:r>
          </w:p>
        </w:tc>
        <w:tc>
          <w:tcPr>
            <w:tcW w:w="593" w:type="dxa"/>
          </w:tcPr>
          <w:p>
            <w:pPr>
              <w:pStyle w:val="TableParagraph"/>
              <w:spacing w:before="14"/>
              <w:ind w:left="134" w:right="143"/>
              <w:jc w:val="center"/>
              <w:rPr>
                <w:sz w:val="22"/>
              </w:rPr>
            </w:pPr>
            <w:r>
              <w:rPr>
                <w:sz w:val="22"/>
              </w:rPr>
              <w:t>1.8</w:t>
            </w:r>
          </w:p>
        </w:tc>
        <w:tc>
          <w:tcPr>
            <w:tcW w:w="733" w:type="dxa"/>
          </w:tcPr>
          <w:p>
            <w:pPr>
              <w:pStyle w:val="TableParagraph"/>
              <w:spacing w:before="14"/>
              <w:ind w:left="144" w:right="93"/>
              <w:jc w:val="center"/>
              <w:rPr>
                <w:sz w:val="22"/>
              </w:rPr>
            </w:pPr>
            <w:r>
              <w:rPr>
                <w:sz w:val="22"/>
              </w:rPr>
              <w:t>-</w:t>
            </w:r>
            <w:r>
              <w:rPr>
                <w:spacing w:val="52"/>
                <w:sz w:val="22"/>
              </w:rPr>
              <w:t> </w:t>
            </w:r>
            <w:r>
              <w:rPr>
                <w:sz w:val="22"/>
              </w:rPr>
              <w:t>0.6</w:t>
            </w:r>
          </w:p>
        </w:tc>
        <w:tc>
          <w:tcPr>
            <w:tcW w:w="736" w:type="dxa"/>
          </w:tcPr>
          <w:p>
            <w:pPr>
              <w:pStyle w:val="TableParagraph"/>
              <w:spacing w:line="250" w:lineRule="exact"/>
              <w:ind w:right="165"/>
              <w:jc w:val="right"/>
              <w:rPr>
                <w:sz w:val="22"/>
              </w:rPr>
            </w:pPr>
            <w:r>
              <w:rPr>
                <w:sz w:val="22"/>
              </w:rPr>
              <w:t>-</w:t>
            </w:r>
            <w:r>
              <w:rPr>
                <w:spacing w:val="52"/>
                <w:sz w:val="22"/>
              </w:rPr>
              <w:t> </w:t>
            </w:r>
            <w:r>
              <w:rPr>
                <w:sz w:val="22"/>
              </w:rPr>
              <w:t>0.1</w:t>
            </w:r>
          </w:p>
        </w:tc>
        <w:tc>
          <w:tcPr>
            <w:tcW w:w="668" w:type="dxa"/>
          </w:tcPr>
          <w:p>
            <w:pPr>
              <w:pStyle w:val="TableParagraph"/>
              <w:spacing w:before="14"/>
              <w:ind w:left="148" w:right="203"/>
              <w:jc w:val="center"/>
              <w:rPr>
                <w:sz w:val="22"/>
              </w:rPr>
            </w:pPr>
            <w:r>
              <w:rPr>
                <w:sz w:val="22"/>
              </w:rPr>
              <w:t>1.7</w:t>
            </w:r>
          </w:p>
        </w:tc>
        <w:tc>
          <w:tcPr>
            <w:tcW w:w="748" w:type="dxa"/>
          </w:tcPr>
          <w:p>
            <w:pPr>
              <w:pStyle w:val="TableParagraph"/>
              <w:spacing w:before="14"/>
              <w:ind w:left="206" w:right="226"/>
              <w:jc w:val="center"/>
              <w:rPr>
                <w:sz w:val="22"/>
              </w:rPr>
            </w:pPr>
            <w:r>
              <w:rPr>
                <w:sz w:val="22"/>
              </w:rPr>
              <w:t>2.0</w:t>
            </w:r>
          </w:p>
        </w:tc>
      </w:tr>
      <w:tr>
        <w:trPr>
          <w:trHeight w:val="288" w:hRule="exact"/>
        </w:trPr>
        <w:tc>
          <w:tcPr>
            <w:tcW w:w="1094" w:type="dxa"/>
          </w:tcPr>
          <w:p>
            <w:pPr>
              <w:pStyle w:val="TableParagraph"/>
              <w:spacing w:before="25"/>
              <w:ind w:left="84"/>
              <w:rPr>
                <w:sz w:val="20"/>
              </w:rPr>
            </w:pPr>
            <w:r>
              <w:rPr>
                <w:sz w:val="20"/>
              </w:rPr>
              <w:t>CO</w:t>
            </w:r>
          </w:p>
        </w:tc>
        <w:tc>
          <w:tcPr>
            <w:tcW w:w="658" w:type="dxa"/>
          </w:tcPr>
          <w:p>
            <w:pPr>
              <w:pStyle w:val="TableParagraph"/>
              <w:spacing w:before="14"/>
              <w:ind w:right="120"/>
              <w:jc w:val="right"/>
              <w:rPr>
                <w:sz w:val="22"/>
              </w:rPr>
            </w:pPr>
            <w:r>
              <w:rPr>
                <w:sz w:val="22"/>
              </w:rPr>
              <w:t>43.3</w:t>
            </w:r>
          </w:p>
        </w:tc>
        <w:tc>
          <w:tcPr>
            <w:tcW w:w="618" w:type="dxa"/>
          </w:tcPr>
          <w:p>
            <w:pPr>
              <w:pStyle w:val="TableParagraph"/>
              <w:spacing w:before="14"/>
              <w:ind w:left="102" w:right="90"/>
              <w:jc w:val="center"/>
              <w:rPr>
                <w:sz w:val="22"/>
              </w:rPr>
            </w:pPr>
            <w:r>
              <w:rPr>
                <w:sz w:val="22"/>
              </w:rPr>
              <w:t>44.9</w:t>
            </w:r>
          </w:p>
        </w:tc>
        <w:tc>
          <w:tcPr>
            <w:tcW w:w="652" w:type="dxa"/>
          </w:tcPr>
          <w:p>
            <w:pPr>
              <w:pStyle w:val="TableParagraph"/>
              <w:spacing w:before="14"/>
              <w:ind w:left="91" w:right="135"/>
              <w:jc w:val="center"/>
              <w:rPr>
                <w:sz w:val="22"/>
              </w:rPr>
            </w:pPr>
            <w:r>
              <w:rPr>
                <w:sz w:val="22"/>
              </w:rPr>
              <w:t>43.0</w:t>
            </w:r>
          </w:p>
        </w:tc>
        <w:tc>
          <w:tcPr>
            <w:tcW w:w="737" w:type="dxa"/>
          </w:tcPr>
          <w:p>
            <w:pPr>
              <w:pStyle w:val="TableParagraph"/>
              <w:spacing w:before="14"/>
              <w:ind w:left="137" w:right="173"/>
              <w:jc w:val="center"/>
              <w:rPr>
                <w:sz w:val="22"/>
              </w:rPr>
            </w:pPr>
            <w:r>
              <w:rPr>
                <w:sz w:val="22"/>
              </w:rPr>
              <w:t>42.9</w:t>
            </w:r>
          </w:p>
        </w:tc>
        <w:tc>
          <w:tcPr>
            <w:tcW w:w="772" w:type="dxa"/>
          </w:tcPr>
          <w:p>
            <w:pPr>
              <w:pStyle w:val="TableParagraph"/>
              <w:spacing w:before="14"/>
              <w:ind w:left="174" w:right="171"/>
              <w:jc w:val="center"/>
              <w:rPr>
                <w:sz w:val="22"/>
              </w:rPr>
            </w:pPr>
            <w:r>
              <w:rPr>
                <w:sz w:val="22"/>
              </w:rPr>
              <w:t>44.7</w:t>
            </w:r>
          </w:p>
        </w:tc>
        <w:tc>
          <w:tcPr>
            <w:tcW w:w="847" w:type="dxa"/>
          </w:tcPr>
          <w:p>
            <w:pPr>
              <w:pStyle w:val="TableParagraph"/>
              <w:spacing w:before="14"/>
              <w:ind w:left="67" w:right="133"/>
              <w:jc w:val="center"/>
              <w:rPr>
                <w:sz w:val="22"/>
              </w:rPr>
            </w:pPr>
            <w:r>
              <w:rPr>
                <w:sz w:val="22"/>
              </w:rPr>
              <w:t>44.9</w:t>
            </w:r>
          </w:p>
        </w:tc>
        <w:tc>
          <w:tcPr>
            <w:tcW w:w="593" w:type="dxa"/>
          </w:tcPr>
          <w:p>
            <w:pPr>
              <w:pStyle w:val="TableParagraph"/>
              <w:spacing w:before="14"/>
              <w:ind w:left="134" w:right="143"/>
              <w:jc w:val="center"/>
              <w:rPr>
                <w:sz w:val="22"/>
              </w:rPr>
            </w:pPr>
            <w:r>
              <w:rPr>
                <w:sz w:val="22"/>
              </w:rPr>
              <w:t>1.7</w:t>
            </w:r>
          </w:p>
        </w:tc>
        <w:tc>
          <w:tcPr>
            <w:tcW w:w="733" w:type="dxa"/>
          </w:tcPr>
          <w:p>
            <w:pPr>
              <w:pStyle w:val="TableParagraph"/>
              <w:spacing w:before="14"/>
              <w:ind w:left="144" w:right="93"/>
              <w:jc w:val="center"/>
              <w:rPr>
                <w:sz w:val="22"/>
              </w:rPr>
            </w:pPr>
            <w:r>
              <w:rPr>
                <w:sz w:val="22"/>
              </w:rPr>
              <w:t>-</w:t>
            </w:r>
            <w:r>
              <w:rPr>
                <w:spacing w:val="52"/>
                <w:sz w:val="22"/>
              </w:rPr>
              <w:t> </w:t>
            </w:r>
            <w:r>
              <w:rPr>
                <w:sz w:val="22"/>
              </w:rPr>
              <w:t>0.2</w:t>
            </w:r>
          </w:p>
        </w:tc>
        <w:tc>
          <w:tcPr>
            <w:tcW w:w="736" w:type="dxa"/>
          </w:tcPr>
          <w:p>
            <w:pPr>
              <w:pStyle w:val="TableParagraph"/>
              <w:spacing w:line="250" w:lineRule="exact"/>
              <w:ind w:right="165"/>
              <w:jc w:val="right"/>
              <w:rPr>
                <w:sz w:val="22"/>
              </w:rPr>
            </w:pPr>
            <w:r>
              <w:rPr>
                <w:sz w:val="22"/>
              </w:rPr>
              <w:t>-</w:t>
            </w:r>
            <w:r>
              <w:rPr>
                <w:spacing w:val="52"/>
                <w:sz w:val="22"/>
              </w:rPr>
              <w:t> </w:t>
            </w:r>
            <w:r>
              <w:rPr>
                <w:sz w:val="22"/>
              </w:rPr>
              <w:t>0.4</w:t>
            </w:r>
          </w:p>
        </w:tc>
        <w:tc>
          <w:tcPr>
            <w:tcW w:w="668" w:type="dxa"/>
          </w:tcPr>
          <w:p>
            <w:pPr>
              <w:pStyle w:val="TableParagraph"/>
              <w:spacing w:before="14"/>
              <w:ind w:left="148" w:right="203"/>
              <w:jc w:val="center"/>
              <w:rPr>
                <w:sz w:val="22"/>
              </w:rPr>
            </w:pPr>
            <w:r>
              <w:rPr>
                <w:sz w:val="22"/>
              </w:rPr>
              <w:t>1.4</w:t>
            </w:r>
          </w:p>
        </w:tc>
        <w:tc>
          <w:tcPr>
            <w:tcW w:w="748" w:type="dxa"/>
          </w:tcPr>
          <w:p>
            <w:pPr>
              <w:pStyle w:val="TableParagraph"/>
              <w:spacing w:before="14"/>
              <w:ind w:left="206" w:right="226"/>
              <w:jc w:val="center"/>
              <w:rPr>
                <w:sz w:val="22"/>
              </w:rPr>
            </w:pPr>
            <w:r>
              <w:rPr>
                <w:sz w:val="22"/>
              </w:rPr>
              <w:t>1.7</w:t>
            </w:r>
          </w:p>
        </w:tc>
      </w:tr>
      <w:tr>
        <w:trPr>
          <w:trHeight w:val="288" w:hRule="exact"/>
        </w:trPr>
        <w:tc>
          <w:tcPr>
            <w:tcW w:w="1094" w:type="dxa"/>
          </w:tcPr>
          <w:p>
            <w:pPr>
              <w:pStyle w:val="TableParagraph"/>
              <w:spacing w:before="25"/>
              <w:ind w:left="84"/>
              <w:rPr>
                <w:sz w:val="20"/>
              </w:rPr>
            </w:pPr>
            <w:r>
              <w:rPr>
                <w:sz w:val="20"/>
              </w:rPr>
              <w:t>C-E</w:t>
            </w:r>
          </w:p>
        </w:tc>
        <w:tc>
          <w:tcPr>
            <w:tcW w:w="658" w:type="dxa"/>
          </w:tcPr>
          <w:p>
            <w:pPr>
              <w:pStyle w:val="TableParagraph"/>
              <w:spacing w:before="14"/>
              <w:ind w:right="120"/>
              <w:jc w:val="right"/>
              <w:rPr>
                <w:sz w:val="22"/>
              </w:rPr>
            </w:pPr>
            <w:r>
              <w:rPr>
                <w:sz w:val="22"/>
              </w:rPr>
              <w:t>39.7</w:t>
            </w:r>
          </w:p>
        </w:tc>
        <w:tc>
          <w:tcPr>
            <w:tcW w:w="618" w:type="dxa"/>
          </w:tcPr>
          <w:p>
            <w:pPr>
              <w:pStyle w:val="TableParagraph"/>
              <w:spacing w:before="14"/>
              <w:ind w:left="102" w:right="90"/>
              <w:jc w:val="center"/>
              <w:rPr>
                <w:sz w:val="22"/>
              </w:rPr>
            </w:pPr>
            <w:r>
              <w:rPr>
                <w:sz w:val="22"/>
              </w:rPr>
              <w:t>41.6</w:t>
            </w:r>
          </w:p>
        </w:tc>
        <w:tc>
          <w:tcPr>
            <w:tcW w:w="652" w:type="dxa"/>
          </w:tcPr>
          <w:p>
            <w:pPr>
              <w:pStyle w:val="TableParagraph"/>
              <w:spacing w:before="14"/>
              <w:ind w:left="91" w:right="135"/>
              <w:jc w:val="center"/>
              <w:rPr>
                <w:sz w:val="22"/>
              </w:rPr>
            </w:pPr>
            <w:r>
              <w:rPr>
                <w:sz w:val="22"/>
              </w:rPr>
              <w:t>39.5</w:t>
            </w:r>
          </w:p>
        </w:tc>
        <w:tc>
          <w:tcPr>
            <w:tcW w:w="737" w:type="dxa"/>
          </w:tcPr>
          <w:p>
            <w:pPr>
              <w:pStyle w:val="TableParagraph"/>
              <w:spacing w:before="14"/>
              <w:ind w:left="137" w:right="173"/>
              <w:jc w:val="center"/>
              <w:rPr>
                <w:sz w:val="22"/>
              </w:rPr>
            </w:pPr>
            <w:r>
              <w:rPr>
                <w:sz w:val="22"/>
              </w:rPr>
              <w:t>39.5</w:t>
            </w:r>
          </w:p>
        </w:tc>
        <w:tc>
          <w:tcPr>
            <w:tcW w:w="772" w:type="dxa"/>
          </w:tcPr>
          <w:p>
            <w:pPr>
              <w:pStyle w:val="TableParagraph"/>
              <w:spacing w:before="14"/>
              <w:ind w:left="174" w:right="171"/>
              <w:jc w:val="center"/>
              <w:rPr>
                <w:sz w:val="22"/>
              </w:rPr>
            </w:pPr>
            <w:r>
              <w:rPr>
                <w:sz w:val="22"/>
              </w:rPr>
              <w:t>41.4</w:t>
            </w:r>
          </w:p>
        </w:tc>
        <w:tc>
          <w:tcPr>
            <w:tcW w:w="847" w:type="dxa"/>
          </w:tcPr>
          <w:p>
            <w:pPr>
              <w:pStyle w:val="TableParagraph"/>
              <w:spacing w:before="14"/>
              <w:ind w:left="67" w:right="133"/>
              <w:jc w:val="center"/>
              <w:rPr>
                <w:sz w:val="22"/>
              </w:rPr>
            </w:pPr>
            <w:r>
              <w:rPr>
                <w:sz w:val="22"/>
              </w:rPr>
              <w:t>41.5</w:t>
            </w:r>
          </w:p>
        </w:tc>
        <w:tc>
          <w:tcPr>
            <w:tcW w:w="593" w:type="dxa"/>
          </w:tcPr>
          <w:p>
            <w:pPr>
              <w:pStyle w:val="TableParagraph"/>
              <w:spacing w:before="14"/>
              <w:ind w:left="134" w:right="143"/>
              <w:jc w:val="center"/>
              <w:rPr>
                <w:sz w:val="22"/>
              </w:rPr>
            </w:pPr>
            <w:r>
              <w:rPr>
                <w:sz w:val="22"/>
              </w:rPr>
              <w:t>1.9</w:t>
            </w:r>
          </w:p>
        </w:tc>
        <w:tc>
          <w:tcPr>
            <w:tcW w:w="733" w:type="dxa"/>
          </w:tcPr>
          <w:p>
            <w:pPr>
              <w:pStyle w:val="TableParagraph"/>
              <w:spacing w:before="14"/>
              <w:ind w:left="144" w:right="93"/>
              <w:jc w:val="center"/>
              <w:rPr>
                <w:sz w:val="22"/>
              </w:rPr>
            </w:pPr>
            <w:r>
              <w:rPr>
                <w:sz w:val="22"/>
              </w:rPr>
              <w:t>-</w:t>
            </w:r>
            <w:r>
              <w:rPr>
                <w:spacing w:val="52"/>
                <w:sz w:val="22"/>
              </w:rPr>
              <w:t> </w:t>
            </w:r>
            <w:r>
              <w:rPr>
                <w:sz w:val="22"/>
              </w:rPr>
              <w:t>0.1</w:t>
            </w:r>
          </w:p>
        </w:tc>
        <w:tc>
          <w:tcPr>
            <w:tcW w:w="736" w:type="dxa"/>
          </w:tcPr>
          <w:p>
            <w:pPr>
              <w:pStyle w:val="TableParagraph"/>
              <w:spacing w:line="250" w:lineRule="exact"/>
              <w:ind w:right="165"/>
              <w:jc w:val="right"/>
              <w:rPr>
                <w:sz w:val="22"/>
              </w:rPr>
            </w:pPr>
            <w:r>
              <w:rPr>
                <w:sz w:val="22"/>
              </w:rPr>
              <w:t>-</w:t>
            </w:r>
            <w:r>
              <w:rPr>
                <w:spacing w:val="52"/>
                <w:sz w:val="22"/>
              </w:rPr>
              <w:t> </w:t>
            </w:r>
            <w:r>
              <w:rPr>
                <w:sz w:val="22"/>
              </w:rPr>
              <w:t>0.2</w:t>
            </w:r>
          </w:p>
        </w:tc>
        <w:tc>
          <w:tcPr>
            <w:tcW w:w="668" w:type="dxa"/>
          </w:tcPr>
          <w:p>
            <w:pPr>
              <w:pStyle w:val="TableParagraph"/>
              <w:spacing w:before="14"/>
              <w:ind w:left="148" w:right="203"/>
              <w:jc w:val="center"/>
              <w:rPr>
                <w:sz w:val="22"/>
              </w:rPr>
            </w:pPr>
            <w:r>
              <w:rPr>
                <w:sz w:val="22"/>
              </w:rPr>
              <w:t>1.7</w:t>
            </w:r>
          </w:p>
        </w:tc>
        <w:tc>
          <w:tcPr>
            <w:tcW w:w="748" w:type="dxa"/>
          </w:tcPr>
          <w:p>
            <w:pPr>
              <w:pStyle w:val="TableParagraph"/>
              <w:spacing w:before="14"/>
              <w:ind w:left="206" w:right="226"/>
              <w:jc w:val="center"/>
              <w:rPr>
                <w:sz w:val="22"/>
              </w:rPr>
            </w:pPr>
            <w:r>
              <w:rPr>
                <w:sz w:val="22"/>
              </w:rPr>
              <w:t>1.9</w:t>
            </w:r>
          </w:p>
        </w:tc>
      </w:tr>
      <w:tr>
        <w:trPr>
          <w:trHeight w:val="288" w:hRule="exact"/>
        </w:trPr>
        <w:tc>
          <w:tcPr>
            <w:tcW w:w="1094" w:type="dxa"/>
          </w:tcPr>
          <w:p>
            <w:pPr>
              <w:pStyle w:val="TableParagraph"/>
              <w:spacing w:before="26"/>
              <w:ind w:left="84"/>
              <w:rPr>
                <w:sz w:val="20"/>
              </w:rPr>
            </w:pPr>
            <w:r>
              <w:rPr>
                <w:sz w:val="20"/>
              </w:rPr>
              <w:t>SU</w:t>
            </w:r>
          </w:p>
        </w:tc>
        <w:tc>
          <w:tcPr>
            <w:tcW w:w="658" w:type="dxa"/>
          </w:tcPr>
          <w:p>
            <w:pPr>
              <w:pStyle w:val="TableParagraph"/>
              <w:spacing w:before="14"/>
              <w:ind w:right="120"/>
              <w:jc w:val="right"/>
              <w:rPr>
                <w:sz w:val="22"/>
              </w:rPr>
            </w:pPr>
            <w:r>
              <w:rPr>
                <w:sz w:val="22"/>
              </w:rPr>
              <w:t>40.2</w:t>
            </w:r>
          </w:p>
        </w:tc>
        <w:tc>
          <w:tcPr>
            <w:tcW w:w="618" w:type="dxa"/>
          </w:tcPr>
          <w:p>
            <w:pPr>
              <w:pStyle w:val="TableParagraph"/>
              <w:spacing w:before="14"/>
              <w:ind w:left="102" w:right="90"/>
              <w:jc w:val="center"/>
              <w:rPr>
                <w:sz w:val="22"/>
              </w:rPr>
            </w:pPr>
            <w:r>
              <w:rPr>
                <w:sz w:val="22"/>
              </w:rPr>
              <w:t>42.2</w:t>
            </w:r>
          </w:p>
        </w:tc>
        <w:tc>
          <w:tcPr>
            <w:tcW w:w="652" w:type="dxa"/>
          </w:tcPr>
          <w:p>
            <w:pPr>
              <w:pStyle w:val="TableParagraph"/>
              <w:spacing w:before="14"/>
              <w:ind w:left="91" w:right="135"/>
              <w:jc w:val="center"/>
              <w:rPr>
                <w:sz w:val="22"/>
              </w:rPr>
            </w:pPr>
            <w:r>
              <w:rPr>
                <w:sz w:val="22"/>
              </w:rPr>
              <w:t>39.7</w:t>
            </w:r>
          </w:p>
        </w:tc>
        <w:tc>
          <w:tcPr>
            <w:tcW w:w="737" w:type="dxa"/>
          </w:tcPr>
          <w:p>
            <w:pPr>
              <w:pStyle w:val="TableParagraph"/>
              <w:spacing w:before="14"/>
              <w:ind w:left="137" w:right="173"/>
              <w:jc w:val="center"/>
              <w:rPr>
                <w:sz w:val="22"/>
              </w:rPr>
            </w:pPr>
            <w:r>
              <w:rPr>
                <w:sz w:val="22"/>
              </w:rPr>
              <w:t>40.2</w:t>
            </w:r>
          </w:p>
        </w:tc>
        <w:tc>
          <w:tcPr>
            <w:tcW w:w="772" w:type="dxa"/>
          </w:tcPr>
          <w:p>
            <w:pPr>
              <w:pStyle w:val="TableParagraph"/>
              <w:spacing w:before="14"/>
              <w:ind w:left="174" w:right="171"/>
              <w:jc w:val="center"/>
              <w:rPr>
                <w:sz w:val="22"/>
              </w:rPr>
            </w:pPr>
            <w:r>
              <w:rPr>
                <w:sz w:val="22"/>
              </w:rPr>
              <w:t>42.3</w:t>
            </w:r>
          </w:p>
        </w:tc>
        <w:tc>
          <w:tcPr>
            <w:tcW w:w="847" w:type="dxa"/>
          </w:tcPr>
          <w:p>
            <w:pPr>
              <w:pStyle w:val="TableParagraph"/>
              <w:spacing w:before="14"/>
              <w:ind w:left="67" w:right="133"/>
              <w:jc w:val="center"/>
              <w:rPr>
                <w:sz w:val="22"/>
              </w:rPr>
            </w:pPr>
            <w:r>
              <w:rPr>
                <w:sz w:val="22"/>
              </w:rPr>
              <w:t>42.2</w:t>
            </w:r>
          </w:p>
        </w:tc>
        <w:tc>
          <w:tcPr>
            <w:tcW w:w="593" w:type="dxa"/>
          </w:tcPr>
          <w:p>
            <w:pPr>
              <w:pStyle w:val="TableParagraph"/>
              <w:spacing w:before="14"/>
              <w:ind w:left="134" w:right="143"/>
              <w:jc w:val="center"/>
              <w:rPr>
                <w:sz w:val="22"/>
              </w:rPr>
            </w:pPr>
            <w:r>
              <w:rPr>
                <w:sz w:val="22"/>
              </w:rPr>
              <w:t>2.0</w:t>
            </w:r>
          </w:p>
        </w:tc>
        <w:tc>
          <w:tcPr>
            <w:tcW w:w="733" w:type="dxa"/>
          </w:tcPr>
          <w:p>
            <w:pPr>
              <w:pStyle w:val="TableParagraph"/>
              <w:spacing w:before="14"/>
              <w:ind w:left="144" w:right="93"/>
              <w:jc w:val="center"/>
              <w:rPr>
                <w:sz w:val="22"/>
              </w:rPr>
            </w:pPr>
            <w:r>
              <w:rPr>
                <w:sz w:val="22"/>
              </w:rPr>
              <w:t>-</w:t>
            </w:r>
            <w:r>
              <w:rPr>
                <w:spacing w:val="52"/>
                <w:sz w:val="22"/>
              </w:rPr>
              <w:t> </w:t>
            </w:r>
            <w:r>
              <w:rPr>
                <w:sz w:val="22"/>
              </w:rPr>
              <w:t>0.5</w:t>
            </w:r>
          </w:p>
        </w:tc>
        <w:tc>
          <w:tcPr>
            <w:tcW w:w="736" w:type="dxa"/>
          </w:tcPr>
          <w:p>
            <w:pPr>
              <w:pStyle w:val="TableParagraph"/>
              <w:spacing w:line="251" w:lineRule="exact"/>
              <w:ind w:left="203"/>
              <w:rPr>
                <w:sz w:val="22"/>
              </w:rPr>
            </w:pPr>
            <w:r>
              <w:rPr>
                <w:sz w:val="22"/>
              </w:rPr>
              <w:t>0.0</w:t>
            </w:r>
          </w:p>
        </w:tc>
        <w:tc>
          <w:tcPr>
            <w:tcW w:w="668" w:type="dxa"/>
          </w:tcPr>
          <w:p>
            <w:pPr>
              <w:pStyle w:val="TableParagraph"/>
              <w:spacing w:before="14"/>
              <w:ind w:left="148" w:right="203"/>
              <w:jc w:val="center"/>
              <w:rPr>
                <w:sz w:val="22"/>
              </w:rPr>
            </w:pPr>
            <w:r>
              <w:rPr>
                <w:sz w:val="22"/>
              </w:rPr>
              <w:t>2.1</w:t>
            </w:r>
          </w:p>
        </w:tc>
        <w:tc>
          <w:tcPr>
            <w:tcW w:w="748" w:type="dxa"/>
          </w:tcPr>
          <w:p>
            <w:pPr>
              <w:pStyle w:val="TableParagraph"/>
              <w:spacing w:before="14"/>
              <w:ind w:left="206" w:right="226"/>
              <w:jc w:val="center"/>
              <w:rPr>
                <w:sz w:val="22"/>
              </w:rPr>
            </w:pPr>
            <w:r>
              <w:rPr>
                <w:sz w:val="22"/>
              </w:rPr>
              <w:t>2.1</w:t>
            </w:r>
          </w:p>
        </w:tc>
      </w:tr>
      <w:tr>
        <w:trPr>
          <w:trHeight w:val="288" w:hRule="exact"/>
        </w:trPr>
        <w:tc>
          <w:tcPr>
            <w:tcW w:w="1094" w:type="dxa"/>
          </w:tcPr>
          <w:p>
            <w:pPr>
              <w:pStyle w:val="TableParagraph"/>
              <w:spacing w:before="25"/>
              <w:ind w:left="84"/>
              <w:rPr>
                <w:sz w:val="20"/>
              </w:rPr>
            </w:pPr>
            <w:r>
              <w:rPr>
                <w:sz w:val="20"/>
              </w:rPr>
              <w:t>OR</w:t>
            </w:r>
          </w:p>
        </w:tc>
        <w:tc>
          <w:tcPr>
            <w:tcW w:w="658" w:type="dxa"/>
          </w:tcPr>
          <w:p>
            <w:pPr>
              <w:pStyle w:val="TableParagraph"/>
              <w:spacing w:before="14"/>
              <w:ind w:right="120"/>
              <w:jc w:val="right"/>
              <w:rPr>
                <w:sz w:val="22"/>
              </w:rPr>
            </w:pPr>
            <w:r>
              <w:rPr>
                <w:sz w:val="22"/>
              </w:rPr>
              <w:t>41.2</w:t>
            </w:r>
          </w:p>
        </w:tc>
        <w:tc>
          <w:tcPr>
            <w:tcW w:w="618" w:type="dxa"/>
          </w:tcPr>
          <w:p>
            <w:pPr>
              <w:pStyle w:val="TableParagraph"/>
              <w:spacing w:before="14"/>
              <w:ind w:left="102" w:right="90"/>
              <w:jc w:val="center"/>
              <w:rPr>
                <w:sz w:val="22"/>
              </w:rPr>
            </w:pPr>
            <w:r>
              <w:rPr>
                <w:sz w:val="22"/>
              </w:rPr>
              <w:t>43.1</w:t>
            </w:r>
          </w:p>
        </w:tc>
        <w:tc>
          <w:tcPr>
            <w:tcW w:w="652" w:type="dxa"/>
          </w:tcPr>
          <w:p>
            <w:pPr>
              <w:pStyle w:val="TableParagraph"/>
              <w:spacing w:before="14"/>
              <w:ind w:left="91" w:right="135"/>
              <w:jc w:val="center"/>
              <w:rPr>
                <w:sz w:val="22"/>
              </w:rPr>
            </w:pPr>
            <w:r>
              <w:rPr>
                <w:sz w:val="22"/>
              </w:rPr>
              <w:t>40.4</w:t>
            </w:r>
          </w:p>
        </w:tc>
        <w:tc>
          <w:tcPr>
            <w:tcW w:w="737" w:type="dxa"/>
          </w:tcPr>
          <w:p>
            <w:pPr>
              <w:pStyle w:val="TableParagraph"/>
              <w:spacing w:before="14"/>
              <w:ind w:left="137" w:right="173"/>
              <w:jc w:val="center"/>
              <w:rPr>
                <w:sz w:val="22"/>
              </w:rPr>
            </w:pPr>
            <w:r>
              <w:rPr>
                <w:sz w:val="22"/>
              </w:rPr>
              <w:t>41.1</w:t>
            </w:r>
          </w:p>
        </w:tc>
        <w:tc>
          <w:tcPr>
            <w:tcW w:w="772" w:type="dxa"/>
          </w:tcPr>
          <w:p>
            <w:pPr>
              <w:pStyle w:val="TableParagraph"/>
              <w:spacing w:before="14"/>
              <w:ind w:left="174" w:right="171"/>
              <w:jc w:val="center"/>
              <w:rPr>
                <w:sz w:val="22"/>
              </w:rPr>
            </w:pPr>
            <w:r>
              <w:rPr>
                <w:sz w:val="22"/>
              </w:rPr>
              <w:t>43.0</w:t>
            </w:r>
          </w:p>
        </w:tc>
        <w:tc>
          <w:tcPr>
            <w:tcW w:w="847" w:type="dxa"/>
          </w:tcPr>
          <w:p>
            <w:pPr>
              <w:pStyle w:val="TableParagraph"/>
              <w:spacing w:before="14"/>
              <w:ind w:left="67" w:right="133"/>
              <w:jc w:val="center"/>
              <w:rPr>
                <w:sz w:val="22"/>
              </w:rPr>
            </w:pPr>
            <w:r>
              <w:rPr>
                <w:sz w:val="22"/>
              </w:rPr>
              <w:t>43.1</w:t>
            </w:r>
          </w:p>
        </w:tc>
        <w:tc>
          <w:tcPr>
            <w:tcW w:w="593" w:type="dxa"/>
          </w:tcPr>
          <w:p>
            <w:pPr>
              <w:pStyle w:val="TableParagraph"/>
              <w:spacing w:before="14"/>
              <w:ind w:left="134" w:right="143"/>
              <w:jc w:val="center"/>
              <w:rPr>
                <w:sz w:val="22"/>
              </w:rPr>
            </w:pPr>
            <w:r>
              <w:rPr>
                <w:sz w:val="22"/>
              </w:rPr>
              <w:t>1.9</w:t>
            </w:r>
          </w:p>
        </w:tc>
        <w:tc>
          <w:tcPr>
            <w:tcW w:w="733" w:type="dxa"/>
          </w:tcPr>
          <w:p>
            <w:pPr>
              <w:pStyle w:val="TableParagraph"/>
              <w:spacing w:before="14"/>
              <w:ind w:left="144" w:right="93"/>
              <w:jc w:val="center"/>
              <w:rPr>
                <w:sz w:val="22"/>
              </w:rPr>
            </w:pPr>
            <w:r>
              <w:rPr>
                <w:sz w:val="22"/>
              </w:rPr>
              <w:t>-</w:t>
            </w:r>
            <w:r>
              <w:rPr>
                <w:spacing w:val="52"/>
                <w:sz w:val="22"/>
              </w:rPr>
              <w:t> </w:t>
            </w:r>
            <w:r>
              <w:rPr>
                <w:sz w:val="22"/>
              </w:rPr>
              <w:t>0.8</w:t>
            </w:r>
          </w:p>
        </w:tc>
        <w:tc>
          <w:tcPr>
            <w:tcW w:w="736" w:type="dxa"/>
          </w:tcPr>
          <w:p>
            <w:pPr>
              <w:pStyle w:val="TableParagraph"/>
              <w:spacing w:line="250" w:lineRule="exact"/>
              <w:ind w:right="165"/>
              <w:jc w:val="right"/>
              <w:rPr>
                <w:sz w:val="22"/>
              </w:rPr>
            </w:pPr>
            <w:r>
              <w:rPr>
                <w:sz w:val="22"/>
              </w:rPr>
              <w:t>-</w:t>
            </w:r>
            <w:r>
              <w:rPr>
                <w:spacing w:val="52"/>
                <w:sz w:val="22"/>
              </w:rPr>
              <w:t> </w:t>
            </w:r>
            <w:r>
              <w:rPr>
                <w:sz w:val="22"/>
              </w:rPr>
              <w:t>0.1</w:t>
            </w:r>
          </w:p>
        </w:tc>
        <w:tc>
          <w:tcPr>
            <w:tcW w:w="668" w:type="dxa"/>
          </w:tcPr>
          <w:p>
            <w:pPr>
              <w:pStyle w:val="TableParagraph"/>
              <w:spacing w:before="14"/>
              <w:ind w:left="148" w:right="203"/>
              <w:jc w:val="center"/>
              <w:rPr>
                <w:sz w:val="22"/>
              </w:rPr>
            </w:pPr>
            <w:r>
              <w:rPr>
                <w:sz w:val="22"/>
              </w:rPr>
              <w:t>1.8</w:t>
            </w:r>
          </w:p>
        </w:tc>
        <w:tc>
          <w:tcPr>
            <w:tcW w:w="748" w:type="dxa"/>
          </w:tcPr>
          <w:p>
            <w:pPr>
              <w:pStyle w:val="TableParagraph"/>
              <w:spacing w:before="14"/>
              <w:ind w:left="206" w:right="226"/>
              <w:jc w:val="center"/>
              <w:rPr>
                <w:sz w:val="22"/>
              </w:rPr>
            </w:pPr>
            <w:r>
              <w:rPr>
                <w:sz w:val="22"/>
              </w:rPr>
              <w:t>1.9</w:t>
            </w:r>
          </w:p>
        </w:tc>
      </w:tr>
      <w:tr>
        <w:trPr>
          <w:trHeight w:val="296" w:hRule="exact"/>
        </w:trPr>
        <w:tc>
          <w:tcPr>
            <w:tcW w:w="1094" w:type="dxa"/>
          </w:tcPr>
          <w:p>
            <w:pPr>
              <w:pStyle w:val="TableParagraph"/>
              <w:spacing w:before="25"/>
              <w:ind w:left="84"/>
              <w:rPr>
                <w:sz w:val="20"/>
              </w:rPr>
            </w:pPr>
            <w:r>
              <w:rPr>
                <w:sz w:val="20"/>
              </w:rPr>
              <w:t>PE</w:t>
            </w:r>
          </w:p>
        </w:tc>
        <w:tc>
          <w:tcPr>
            <w:tcW w:w="658" w:type="dxa"/>
          </w:tcPr>
          <w:p>
            <w:pPr>
              <w:pStyle w:val="TableParagraph"/>
              <w:spacing w:before="14"/>
              <w:ind w:right="120"/>
              <w:jc w:val="right"/>
              <w:rPr>
                <w:sz w:val="22"/>
              </w:rPr>
            </w:pPr>
            <w:r>
              <w:rPr>
                <w:sz w:val="22"/>
              </w:rPr>
              <w:t>47.2</w:t>
            </w:r>
          </w:p>
        </w:tc>
        <w:tc>
          <w:tcPr>
            <w:tcW w:w="618" w:type="dxa"/>
          </w:tcPr>
          <w:p>
            <w:pPr>
              <w:pStyle w:val="TableParagraph"/>
              <w:spacing w:before="14"/>
              <w:ind w:left="102" w:right="90"/>
              <w:jc w:val="center"/>
              <w:rPr>
                <w:sz w:val="22"/>
              </w:rPr>
            </w:pPr>
            <w:r>
              <w:rPr>
                <w:sz w:val="22"/>
              </w:rPr>
              <w:t>49.4</w:t>
            </w:r>
          </w:p>
        </w:tc>
        <w:tc>
          <w:tcPr>
            <w:tcW w:w="652" w:type="dxa"/>
          </w:tcPr>
          <w:p>
            <w:pPr>
              <w:pStyle w:val="TableParagraph"/>
              <w:spacing w:before="14"/>
              <w:ind w:left="91" w:right="135"/>
              <w:jc w:val="center"/>
              <w:rPr>
                <w:sz w:val="22"/>
              </w:rPr>
            </w:pPr>
            <w:r>
              <w:rPr>
                <w:sz w:val="22"/>
              </w:rPr>
              <w:t>46.4</w:t>
            </w:r>
          </w:p>
        </w:tc>
        <w:tc>
          <w:tcPr>
            <w:tcW w:w="737" w:type="dxa"/>
          </w:tcPr>
          <w:p>
            <w:pPr>
              <w:pStyle w:val="TableParagraph"/>
              <w:spacing w:before="14"/>
              <w:ind w:left="137" w:right="173"/>
              <w:jc w:val="center"/>
              <w:rPr>
                <w:sz w:val="22"/>
              </w:rPr>
            </w:pPr>
            <w:r>
              <w:rPr>
                <w:sz w:val="22"/>
              </w:rPr>
              <w:t>47.4</w:t>
            </w:r>
          </w:p>
        </w:tc>
        <w:tc>
          <w:tcPr>
            <w:tcW w:w="772" w:type="dxa"/>
          </w:tcPr>
          <w:p>
            <w:pPr>
              <w:pStyle w:val="TableParagraph"/>
              <w:spacing w:before="14"/>
              <w:ind w:left="174" w:right="171"/>
              <w:jc w:val="center"/>
              <w:rPr>
                <w:sz w:val="22"/>
              </w:rPr>
            </w:pPr>
            <w:r>
              <w:rPr>
                <w:sz w:val="22"/>
              </w:rPr>
              <w:t>49.4</w:t>
            </w:r>
          </w:p>
        </w:tc>
        <w:tc>
          <w:tcPr>
            <w:tcW w:w="847" w:type="dxa"/>
          </w:tcPr>
          <w:p>
            <w:pPr>
              <w:pStyle w:val="TableParagraph"/>
              <w:spacing w:before="14"/>
              <w:ind w:left="67" w:right="133"/>
              <w:jc w:val="center"/>
              <w:rPr>
                <w:sz w:val="22"/>
              </w:rPr>
            </w:pPr>
            <w:r>
              <w:rPr>
                <w:sz w:val="22"/>
              </w:rPr>
              <w:t>49.5</w:t>
            </w:r>
          </w:p>
        </w:tc>
        <w:tc>
          <w:tcPr>
            <w:tcW w:w="593" w:type="dxa"/>
          </w:tcPr>
          <w:p>
            <w:pPr>
              <w:pStyle w:val="TableParagraph"/>
              <w:spacing w:before="14"/>
              <w:ind w:left="134" w:right="143"/>
              <w:jc w:val="center"/>
              <w:rPr>
                <w:sz w:val="22"/>
              </w:rPr>
            </w:pPr>
            <w:r>
              <w:rPr>
                <w:sz w:val="22"/>
              </w:rPr>
              <w:t>2.2</w:t>
            </w:r>
          </w:p>
        </w:tc>
        <w:tc>
          <w:tcPr>
            <w:tcW w:w="733" w:type="dxa"/>
          </w:tcPr>
          <w:p>
            <w:pPr>
              <w:pStyle w:val="TableParagraph"/>
              <w:spacing w:before="14"/>
              <w:ind w:left="144" w:right="93"/>
              <w:jc w:val="center"/>
              <w:rPr>
                <w:sz w:val="22"/>
              </w:rPr>
            </w:pPr>
            <w:r>
              <w:rPr>
                <w:sz w:val="22"/>
              </w:rPr>
              <w:t>-</w:t>
            </w:r>
            <w:r>
              <w:rPr>
                <w:spacing w:val="52"/>
                <w:sz w:val="22"/>
              </w:rPr>
              <w:t> </w:t>
            </w:r>
            <w:r>
              <w:rPr>
                <w:sz w:val="22"/>
              </w:rPr>
              <w:t>0.7</w:t>
            </w:r>
          </w:p>
        </w:tc>
        <w:tc>
          <w:tcPr>
            <w:tcW w:w="736" w:type="dxa"/>
          </w:tcPr>
          <w:p>
            <w:pPr>
              <w:pStyle w:val="TableParagraph"/>
              <w:spacing w:line="250" w:lineRule="exact"/>
              <w:ind w:left="203"/>
              <w:rPr>
                <w:sz w:val="22"/>
              </w:rPr>
            </w:pPr>
            <w:r>
              <w:rPr>
                <w:sz w:val="22"/>
              </w:rPr>
              <w:t>0.2</w:t>
            </w:r>
          </w:p>
        </w:tc>
        <w:tc>
          <w:tcPr>
            <w:tcW w:w="668" w:type="dxa"/>
          </w:tcPr>
          <w:p>
            <w:pPr>
              <w:pStyle w:val="TableParagraph"/>
              <w:spacing w:before="14"/>
              <w:ind w:left="148" w:right="203"/>
              <w:jc w:val="center"/>
              <w:rPr>
                <w:sz w:val="22"/>
              </w:rPr>
            </w:pPr>
            <w:r>
              <w:rPr>
                <w:sz w:val="22"/>
              </w:rPr>
              <w:t>2.2</w:t>
            </w:r>
          </w:p>
        </w:tc>
        <w:tc>
          <w:tcPr>
            <w:tcW w:w="748" w:type="dxa"/>
          </w:tcPr>
          <w:p>
            <w:pPr>
              <w:pStyle w:val="TableParagraph"/>
              <w:spacing w:before="14"/>
              <w:ind w:left="206" w:right="226"/>
              <w:jc w:val="center"/>
              <w:rPr>
                <w:sz w:val="22"/>
              </w:rPr>
            </w:pPr>
            <w:r>
              <w:rPr>
                <w:sz w:val="22"/>
              </w:rPr>
              <w:t>2.4</w:t>
            </w:r>
          </w:p>
        </w:tc>
      </w:tr>
      <w:tr>
        <w:trPr>
          <w:trHeight w:val="292" w:hRule="exact"/>
        </w:trPr>
        <w:tc>
          <w:tcPr>
            <w:tcW w:w="1094" w:type="dxa"/>
          </w:tcPr>
          <w:p>
            <w:pPr>
              <w:pStyle w:val="TableParagraph"/>
              <w:spacing w:before="17"/>
              <w:ind w:left="84"/>
              <w:rPr>
                <w:sz w:val="20"/>
              </w:rPr>
            </w:pPr>
            <w:r>
              <w:rPr>
                <w:sz w:val="20"/>
              </w:rPr>
              <w:t>P. I. 1</w:t>
            </w:r>
          </w:p>
        </w:tc>
        <w:tc>
          <w:tcPr>
            <w:tcW w:w="658" w:type="dxa"/>
          </w:tcPr>
          <w:p>
            <w:pPr>
              <w:pStyle w:val="TableParagraph"/>
              <w:spacing w:before="6"/>
              <w:ind w:right="120"/>
              <w:jc w:val="right"/>
              <w:rPr>
                <w:sz w:val="22"/>
              </w:rPr>
            </w:pPr>
            <w:r>
              <w:rPr>
                <w:sz w:val="22"/>
              </w:rPr>
              <w:t>27.4</w:t>
            </w:r>
          </w:p>
        </w:tc>
        <w:tc>
          <w:tcPr>
            <w:tcW w:w="618" w:type="dxa"/>
          </w:tcPr>
          <w:p>
            <w:pPr>
              <w:pStyle w:val="TableParagraph"/>
              <w:spacing w:before="6"/>
              <w:ind w:left="102" w:right="90"/>
              <w:jc w:val="center"/>
              <w:rPr>
                <w:sz w:val="22"/>
              </w:rPr>
            </w:pPr>
            <w:r>
              <w:rPr>
                <w:sz w:val="22"/>
              </w:rPr>
              <w:t>31.6</w:t>
            </w:r>
          </w:p>
        </w:tc>
        <w:tc>
          <w:tcPr>
            <w:tcW w:w="652" w:type="dxa"/>
          </w:tcPr>
          <w:p>
            <w:pPr>
              <w:pStyle w:val="TableParagraph"/>
              <w:spacing w:before="6"/>
              <w:ind w:left="91" w:right="135"/>
              <w:jc w:val="center"/>
              <w:rPr>
                <w:sz w:val="22"/>
              </w:rPr>
            </w:pPr>
            <w:r>
              <w:rPr>
                <w:sz w:val="22"/>
              </w:rPr>
              <w:t>27.4</w:t>
            </w:r>
          </w:p>
        </w:tc>
        <w:tc>
          <w:tcPr>
            <w:tcW w:w="737" w:type="dxa"/>
          </w:tcPr>
          <w:p>
            <w:pPr>
              <w:pStyle w:val="TableParagraph"/>
              <w:spacing w:before="6"/>
              <w:ind w:left="137" w:right="173"/>
              <w:jc w:val="center"/>
              <w:rPr>
                <w:sz w:val="22"/>
              </w:rPr>
            </w:pPr>
            <w:r>
              <w:rPr>
                <w:sz w:val="22"/>
              </w:rPr>
              <w:t>27.4</w:t>
            </w:r>
          </w:p>
        </w:tc>
        <w:tc>
          <w:tcPr>
            <w:tcW w:w="772" w:type="dxa"/>
          </w:tcPr>
          <w:p>
            <w:pPr>
              <w:pStyle w:val="TableParagraph"/>
              <w:spacing w:before="6"/>
              <w:ind w:left="174" w:right="171"/>
              <w:jc w:val="center"/>
              <w:rPr>
                <w:sz w:val="22"/>
              </w:rPr>
            </w:pPr>
            <w:r>
              <w:rPr>
                <w:sz w:val="22"/>
              </w:rPr>
              <w:t>31.6</w:t>
            </w:r>
          </w:p>
        </w:tc>
        <w:tc>
          <w:tcPr>
            <w:tcW w:w="847" w:type="dxa"/>
          </w:tcPr>
          <w:p>
            <w:pPr>
              <w:pStyle w:val="TableParagraph"/>
              <w:spacing w:before="6"/>
              <w:ind w:left="67" w:right="133"/>
              <w:jc w:val="center"/>
              <w:rPr>
                <w:sz w:val="22"/>
              </w:rPr>
            </w:pPr>
            <w:r>
              <w:rPr>
                <w:sz w:val="22"/>
              </w:rPr>
              <w:t>31.6</w:t>
            </w:r>
          </w:p>
        </w:tc>
        <w:tc>
          <w:tcPr>
            <w:tcW w:w="593" w:type="dxa"/>
          </w:tcPr>
          <w:p>
            <w:pPr>
              <w:pStyle w:val="TableParagraph"/>
              <w:spacing w:before="6"/>
              <w:ind w:left="134" w:right="143"/>
              <w:jc w:val="center"/>
              <w:rPr>
                <w:sz w:val="22"/>
              </w:rPr>
            </w:pPr>
            <w:r>
              <w:rPr>
                <w:sz w:val="22"/>
              </w:rPr>
              <w:t>4.1</w:t>
            </w:r>
          </w:p>
        </w:tc>
        <w:tc>
          <w:tcPr>
            <w:tcW w:w="733" w:type="dxa"/>
          </w:tcPr>
          <w:p>
            <w:pPr>
              <w:pStyle w:val="TableParagraph"/>
              <w:spacing w:before="6"/>
              <w:ind w:left="144" w:right="91"/>
              <w:jc w:val="center"/>
              <w:rPr>
                <w:sz w:val="22"/>
              </w:rPr>
            </w:pPr>
            <w:r>
              <w:rPr>
                <w:sz w:val="22"/>
              </w:rPr>
              <w:t>0.0</w:t>
            </w:r>
          </w:p>
        </w:tc>
        <w:tc>
          <w:tcPr>
            <w:tcW w:w="736" w:type="dxa"/>
          </w:tcPr>
          <w:p>
            <w:pPr>
              <w:pStyle w:val="TableParagraph"/>
              <w:spacing w:before="6"/>
              <w:ind w:left="203"/>
              <w:rPr>
                <w:sz w:val="22"/>
              </w:rPr>
            </w:pPr>
            <w:r>
              <w:rPr>
                <w:sz w:val="22"/>
              </w:rPr>
              <w:t>0.0</w:t>
            </w:r>
          </w:p>
        </w:tc>
        <w:tc>
          <w:tcPr>
            <w:tcW w:w="668" w:type="dxa"/>
          </w:tcPr>
          <w:p>
            <w:pPr>
              <w:pStyle w:val="TableParagraph"/>
              <w:spacing w:before="6"/>
              <w:ind w:left="148" w:right="203"/>
              <w:jc w:val="center"/>
              <w:rPr>
                <w:sz w:val="22"/>
              </w:rPr>
            </w:pPr>
            <w:r>
              <w:rPr>
                <w:sz w:val="22"/>
              </w:rPr>
              <w:t>4.1</w:t>
            </w:r>
          </w:p>
        </w:tc>
        <w:tc>
          <w:tcPr>
            <w:tcW w:w="748" w:type="dxa"/>
          </w:tcPr>
          <w:p>
            <w:pPr>
              <w:pStyle w:val="TableParagraph"/>
              <w:spacing w:before="6"/>
              <w:ind w:left="206" w:right="226"/>
              <w:jc w:val="center"/>
              <w:rPr>
                <w:sz w:val="22"/>
              </w:rPr>
            </w:pPr>
            <w:r>
              <w:rPr>
                <w:sz w:val="22"/>
              </w:rPr>
              <w:t>4.1</w:t>
            </w:r>
          </w:p>
        </w:tc>
      </w:tr>
      <w:tr>
        <w:trPr>
          <w:trHeight w:val="301" w:hRule="exact"/>
        </w:trPr>
        <w:tc>
          <w:tcPr>
            <w:tcW w:w="1094" w:type="dxa"/>
            <w:tcBorders>
              <w:bottom w:val="single" w:sz="4" w:space="0" w:color="000000"/>
            </w:tcBorders>
          </w:tcPr>
          <w:p>
            <w:pPr>
              <w:pStyle w:val="TableParagraph"/>
              <w:spacing w:before="18"/>
              <w:ind w:left="84"/>
              <w:rPr>
                <w:sz w:val="20"/>
              </w:rPr>
            </w:pPr>
            <w:r>
              <w:rPr>
                <w:sz w:val="20"/>
              </w:rPr>
              <w:t>P. I. 2</w:t>
            </w:r>
          </w:p>
        </w:tc>
        <w:tc>
          <w:tcPr>
            <w:tcW w:w="658" w:type="dxa"/>
            <w:tcBorders>
              <w:bottom w:val="single" w:sz="8" w:space="0" w:color="000000"/>
            </w:tcBorders>
          </w:tcPr>
          <w:p>
            <w:pPr>
              <w:pStyle w:val="TableParagraph"/>
              <w:spacing w:before="9"/>
              <w:ind w:right="120"/>
              <w:jc w:val="right"/>
              <w:rPr>
                <w:sz w:val="22"/>
              </w:rPr>
            </w:pPr>
            <w:r>
              <w:rPr>
                <w:sz w:val="22"/>
              </w:rPr>
              <w:t>27.4</w:t>
            </w:r>
          </w:p>
        </w:tc>
        <w:tc>
          <w:tcPr>
            <w:tcW w:w="618" w:type="dxa"/>
            <w:tcBorders>
              <w:bottom w:val="single" w:sz="8" w:space="0" w:color="000000"/>
            </w:tcBorders>
          </w:tcPr>
          <w:p>
            <w:pPr>
              <w:pStyle w:val="TableParagraph"/>
              <w:spacing w:before="9"/>
              <w:ind w:left="102" w:right="90"/>
              <w:jc w:val="center"/>
              <w:rPr>
                <w:sz w:val="22"/>
              </w:rPr>
            </w:pPr>
            <w:r>
              <w:rPr>
                <w:sz w:val="22"/>
              </w:rPr>
              <w:t>31.6</w:t>
            </w:r>
          </w:p>
        </w:tc>
        <w:tc>
          <w:tcPr>
            <w:tcW w:w="652" w:type="dxa"/>
            <w:tcBorders>
              <w:bottom w:val="single" w:sz="8" w:space="0" w:color="000000"/>
            </w:tcBorders>
          </w:tcPr>
          <w:p>
            <w:pPr>
              <w:pStyle w:val="TableParagraph"/>
              <w:spacing w:before="9"/>
              <w:ind w:left="91" w:right="135"/>
              <w:jc w:val="center"/>
              <w:rPr>
                <w:sz w:val="22"/>
              </w:rPr>
            </w:pPr>
            <w:r>
              <w:rPr>
                <w:sz w:val="22"/>
              </w:rPr>
              <w:t>27.4</w:t>
            </w:r>
          </w:p>
        </w:tc>
        <w:tc>
          <w:tcPr>
            <w:tcW w:w="737" w:type="dxa"/>
            <w:tcBorders>
              <w:bottom w:val="single" w:sz="8" w:space="0" w:color="000000"/>
            </w:tcBorders>
          </w:tcPr>
          <w:p>
            <w:pPr>
              <w:pStyle w:val="TableParagraph"/>
              <w:spacing w:before="9"/>
              <w:ind w:left="137" w:right="173"/>
              <w:jc w:val="center"/>
              <w:rPr>
                <w:sz w:val="22"/>
              </w:rPr>
            </w:pPr>
            <w:r>
              <w:rPr>
                <w:sz w:val="22"/>
              </w:rPr>
              <w:t>27.4</w:t>
            </w:r>
          </w:p>
        </w:tc>
        <w:tc>
          <w:tcPr>
            <w:tcW w:w="772" w:type="dxa"/>
            <w:tcBorders>
              <w:bottom w:val="single" w:sz="8" w:space="0" w:color="000000"/>
            </w:tcBorders>
          </w:tcPr>
          <w:p>
            <w:pPr>
              <w:pStyle w:val="TableParagraph"/>
              <w:spacing w:before="9"/>
              <w:ind w:left="174" w:right="171"/>
              <w:jc w:val="center"/>
              <w:rPr>
                <w:sz w:val="22"/>
              </w:rPr>
            </w:pPr>
            <w:r>
              <w:rPr>
                <w:sz w:val="22"/>
              </w:rPr>
              <w:t>31.6</w:t>
            </w:r>
          </w:p>
        </w:tc>
        <w:tc>
          <w:tcPr>
            <w:tcW w:w="847" w:type="dxa"/>
            <w:tcBorders>
              <w:bottom w:val="single" w:sz="8" w:space="0" w:color="000000"/>
            </w:tcBorders>
          </w:tcPr>
          <w:p>
            <w:pPr>
              <w:pStyle w:val="TableParagraph"/>
              <w:spacing w:before="9"/>
              <w:ind w:left="67" w:right="133"/>
              <w:jc w:val="center"/>
              <w:rPr>
                <w:sz w:val="22"/>
              </w:rPr>
            </w:pPr>
            <w:r>
              <w:rPr>
                <w:sz w:val="22"/>
              </w:rPr>
              <w:t>31.6</w:t>
            </w:r>
          </w:p>
        </w:tc>
        <w:tc>
          <w:tcPr>
            <w:tcW w:w="593" w:type="dxa"/>
            <w:tcBorders>
              <w:bottom w:val="single" w:sz="8" w:space="0" w:color="000000"/>
            </w:tcBorders>
          </w:tcPr>
          <w:p>
            <w:pPr>
              <w:pStyle w:val="TableParagraph"/>
              <w:spacing w:before="9"/>
              <w:ind w:left="134" w:right="143"/>
              <w:jc w:val="center"/>
              <w:rPr>
                <w:sz w:val="22"/>
              </w:rPr>
            </w:pPr>
            <w:r>
              <w:rPr>
                <w:sz w:val="22"/>
              </w:rPr>
              <w:t>4.1</w:t>
            </w:r>
          </w:p>
        </w:tc>
        <w:tc>
          <w:tcPr>
            <w:tcW w:w="733" w:type="dxa"/>
            <w:tcBorders>
              <w:bottom w:val="single" w:sz="8" w:space="0" w:color="000000"/>
            </w:tcBorders>
          </w:tcPr>
          <w:p>
            <w:pPr>
              <w:pStyle w:val="TableParagraph"/>
              <w:spacing w:before="9"/>
              <w:ind w:left="144" w:right="91"/>
              <w:jc w:val="center"/>
              <w:rPr>
                <w:sz w:val="22"/>
              </w:rPr>
            </w:pPr>
            <w:r>
              <w:rPr>
                <w:sz w:val="22"/>
              </w:rPr>
              <w:t>0.0</w:t>
            </w:r>
          </w:p>
        </w:tc>
        <w:tc>
          <w:tcPr>
            <w:tcW w:w="736" w:type="dxa"/>
            <w:tcBorders>
              <w:bottom w:val="single" w:sz="8" w:space="0" w:color="000000"/>
            </w:tcBorders>
          </w:tcPr>
          <w:p>
            <w:pPr>
              <w:pStyle w:val="TableParagraph"/>
              <w:spacing w:before="9"/>
              <w:ind w:left="203"/>
              <w:rPr>
                <w:sz w:val="22"/>
              </w:rPr>
            </w:pPr>
            <w:r>
              <w:rPr>
                <w:sz w:val="22"/>
              </w:rPr>
              <w:t>0.0</w:t>
            </w:r>
          </w:p>
        </w:tc>
        <w:tc>
          <w:tcPr>
            <w:tcW w:w="668" w:type="dxa"/>
            <w:tcBorders>
              <w:bottom w:val="single" w:sz="8" w:space="0" w:color="000000"/>
            </w:tcBorders>
          </w:tcPr>
          <w:p>
            <w:pPr>
              <w:pStyle w:val="TableParagraph"/>
              <w:spacing w:before="9"/>
              <w:ind w:left="148" w:right="203"/>
              <w:jc w:val="center"/>
              <w:rPr>
                <w:sz w:val="22"/>
              </w:rPr>
            </w:pPr>
            <w:r>
              <w:rPr>
                <w:sz w:val="22"/>
              </w:rPr>
              <w:t>4.1</w:t>
            </w:r>
          </w:p>
        </w:tc>
        <w:tc>
          <w:tcPr>
            <w:tcW w:w="748" w:type="dxa"/>
            <w:tcBorders>
              <w:bottom w:val="single" w:sz="4" w:space="0" w:color="000000"/>
            </w:tcBorders>
          </w:tcPr>
          <w:p>
            <w:pPr>
              <w:pStyle w:val="TableParagraph"/>
              <w:spacing w:before="9"/>
              <w:ind w:left="206" w:right="226"/>
              <w:jc w:val="center"/>
              <w:rPr>
                <w:sz w:val="22"/>
              </w:rPr>
            </w:pPr>
            <w:r>
              <w:rPr>
                <w:sz w:val="22"/>
              </w:rPr>
              <w:t>4.1</w:t>
            </w:r>
          </w:p>
        </w:tc>
      </w:tr>
      <w:tr>
        <w:trPr>
          <w:trHeight w:val="434" w:hRule="exact"/>
        </w:trPr>
        <w:tc>
          <w:tcPr>
            <w:tcW w:w="1094" w:type="dxa"/>
            <w:tcBorders>
              <w:bottom w:val="single" w:sz="4" w:space="0" w:color="000000"/>
            </w:tcBorders>
          </w:tcPr>
          <w:p>
            <w:pPr>
              <w:pStyle w:val="TableParagraph"/>
              <w:spacing w:before="73"/>
              <w:ind w:left="84"/>
              <w:rPr>
                <w:sz w:val="22"/>
              </w:rPr>
            </w:pPr>
            <w:r>
              <w:rPr>
                <w:sz w:val="22"/>
              </w:rPr>
              <w:t>Nacional</w:t>
            </w:r>
          </w:p>
        </w:tc>
        <w:tc>
          <w:tcPr>
            <w:tcW w:w="658" w:type="dxa"/>
            <w:tcBorders>
              <w:bottom w:val="single" w:sz="8" w:space="0" w:color="000000"/>
            </w:tcBorders>
          </w:tcPr>
          <w:p>
            <w:pPr>
              <w:pStyle w:val="TableParagraph"/>
              <w:spacing w:before="73"/>
              <w:ind w:right="120"/>
              <w:jc w:val="right"/>
              <w:rPr>
                <w:sz w:val="22"/>
              </w:rPr>
            </w:pPr>
            <w:r>
              <w:rPr>
                <w:sz w:val="22"/>
              </w:rPr>
              <w:t>37.6</w:t>
            </w:r>
          </w:p>
        </w:tc>
        <w:tc>
          <w:tcPr>
            <w:tcW w:w="618" w:type="dxa"/>
            <w:tcBorders>
              <w:bottom w:val="single" w:sz="8" w:space="0" w:color="000000"/>
            </w:tcBorders>
          </w:tcPr>
          <w:p>
            <w:pPr>
              <w:pStyle w:val="TableParagraph"/>
              <w:spacing w:before="73"/>
              <w:ind w:left="102" w:right="90"/>
              <w:jc w:val="center"/>
              <w:rPr>
                <w:sz w:val="22"/>
              </w:rPr>
            </w:pPr>
            <w:r>
              <w:rPr>
                <w:sz w:val="22"/>
              </w:rPr>
              <w:t>40.0</w:t>
            </w:r>
          </w:p>
        </w:tc>
        <w:tc>
          <w:tcPr>
            <w:tcW w:w="652" w:type="dxa"/>
            <w:tcBorders>
              <w:bottom w:val="single" w:sz="8" w:space="0" w:color="000000"/>
            </w:tcBorders>
          </w:tcPr>
          <w:p>
            <w:pPr>
              <w:pStyle w:val="TableParagraph"/>
              <w:spacing w:before="73"/>
              <w:ind w:left="91" w:right="135"/>
              <w:jc w:val="center"/>
              <w:rPr>
                <w:sz w:val="22"/>
              </w:rPr>
            </w:pPr>
            <w:r>
              <w:rPr>
                <w:sz w:val="22"/>
              </w:rPr>
              <w:t>37.3</w:t>
            </w:r>
          </w:p>
        </w:tc>
        <w:tc>
          <w:tcPr>
            <w:tcW w:w="737" w:type="dxa"/>
            <w:tcBorders>
              <w:bottom w:val="single" w:sz="8" w:space="0" w:color="000000"/>
            </w:tcBorders>
          </w:tcPr>
          <w:p>
            <w:pPr>
              <w:pStyle w:val="TableParagraph"/>
              <w:spacing w:before="73"/>
              <w:ind w:left="137" w:right="173"/>
              <w:jc w:val="center"/>
              <w:rPr>
                <w:sz w:val="22"/>
              </w:rPr>
            </w:pPr>
            <w:r>
              <w:rPr>
                <w:sz w:val="22"/>
              </w:rPr>
              <w:t>37.5</w:t>
            </w:r>
          </w:p>
        </w:tc>
        <w:tc>
          <w:tcPr>
            <w:tcW w:w="772" w:type="dxa"/>
            <w:tcBorders>
              <w:bottom w:val="single" w:sz="8" w:space="0" w:color="000000"/>
            </w:tcBorders>
          </w:tcPr>
          <w:p>
            <w:pPr>
              <w:pStyle w:val="TableParagraph"/>
              <w:spacing w:before="73"/>
              <w:ind w:left="174" w:right="171"/>
              <w:jc w:val="center"/>
              <w:rPr>
                <w:sz w:val="22"/>
              </w:rPr>
            </w:pPr>
            <w:r>
              <w:rPr>
                <w:sz w:val="22"/>
              </w:rPr>
              <w:t>39.9</w:t>
            </w:r>
          </w:p>
        </w:tc>
        <w:tc>
          <w:tcPr>
            <w:tcW w:w="847" w:type="dxa"/>
            <w:tcBorders>
              <w:bottom w:val="single" w:sz="8" w:space="0" w:color="000000"/>
            </w:tcBorders>
          </w:tcPr>
          <w:p>
            <w:pPr>
              <w:pStyle w:val="TableParagraph"/>
              <w:spacing w:before="73"/>
              <w:ind w:left="67" w:right="133"/>
              <w:jc w:val="center"/>
              <w:rPr>
                <w:sz w:val="22"/>
              </w:rPr>
            </w:pPr>
            <w:r>
              <w:rPr>
                <w:sz w:val="22"/>
              </w:rPr>
              <w:t>40.0</w:t>
            </w:r>
          </w:p>
        </w:tc>
        <w:tc>
          <w:tcPr>
            <w:tcW w:w="593" w:type="dxa"/>
            <w:tcBorders>
              <w:bottom w:val="single" w:sz="8" w:space="0" w:color="000000"/>
            </w:tcBorders>
          </w:tcPr>
          <w:p>
            <w:pPr>
              <w:pStyle w:val="TableParagraph"/>
              <w:spacing w:before="73"/>
              <w:ind w:left="134" w:right="143"/>
              <w:jc w:val="center"/>
              <w:rPr>
                <w:sz w:val="22"/>
              </w:rPr>
            </w:pPr>
            <w:r>
              <w:rPr>
                <w:sz w:val="22"/>
              </w:rPr>
              <w:t>2.4</w:t>
            </w:r>
          </w:p>
        </w:tc>
        <w:tc>
          <w:tcPr>
            <w:tcW w:w="733" w:type="dxa"/>
            <w:tcBorders>
              <w:bottom w:val="single" w:sz="8" w:space="0" w:color="000000"/>
            </w:tcBorders>
          </w:tcPr>
          <w:p>
            <w:pPr>
              <w:pStyle w:val="TableParagraph"/>
              <w:spacing w:before="73"/>
              <w:ind w:left="142" w:right="93"/>
              <w:jc w:val="center"/>
              <w:rPr>
                <w:sz w:val="22"/>
              </w:rPr>
            </w:pPr>
            <w:r>
              <w:rPr>
                <w:sz w:val="22"/>
              </w:rPr>
              <w:t>- 0.3</w:t>
            </w:r>
          </w:p>
        </w:tc>
        <w:tc>
          <w:tcPr>
            <w:tcW w:w="736" w:type="dxa"/>
            <w:tcBorders>
              <w:bottom w:val="single" w:sz="8" w:space="0" w:color="000000"/>
            </w:tcBorders>
          </w:tcPr>
          <w:p>
            <w:pPr>
              <w:pStyle w:val="TableParagraph"/>
              <w:spacing w:before="73"/>
              <w:ind w:right="191"/>
              <w:jc w:val="right"/>
              <w:rPr>
                <w:sz w:val="22"/>
              </w:rPr>
            </w:pPr>
            <w:r>
              <w:rPr>
                <w:sz w:val="22"/>
              </w:rPr>
              <w:t>- 0.1</w:t>
            </w:r>
          </w:p>
        </w:tc>
        <w:tc>
          <w:tcPr>
            <w:tcW w:w="668" w:type="dxa"/>
            <w:tcBorders>
              <w:bottom w:val="single" w:sz="8" w:space="0" w:color="000000"/>
            </w:tcBorders>
          </w:tcPr>
          <w:p>
            <w:pPr>
              <w:pStyle w:val="TableParagraph"/>
              <w:spacing w:before="73"/>
              <w:ind w:left="148" w:right="203"/>
              <w:jc w:val="center"/>
              <w:rPr>
                <w:sz w:val="22"/>
              </w:rPr>
            </w:pPr>
            <w:r>
              <w:rPr>
                <w:sz w:val="22"/>
              </w:rPr>
              <w:t>2.3</w:t>
            </w:r>
          </w:p>
        </w:tc>
        <w:tc>
          <w:tcPr>
            <w:tcW w:w="748" w:type="dxa"/>
            <w:tcBorders>
              <w:bottom w:val="single" w:sz="4" w:space="0" w:color="000000"/>
            </w:tcBorders>
          </w:tcPr>
          <w:p>
            <w:pPr>
              <w:pStyle w:val="TableParagraph"/>
              <w:spacing w:before="73"/>
              <w:ind w:left="206" w:right="226"/>
              <w:jc w:val="center"/>
              <w:rPr>
                <w:sz w:val="22"/>
              </w:rPr>
            </w:pPr>
            <w:r>
              <w:rPr>
                <w:sz w:val="22"/>
              </w:rPr>
              <w:t>2.4</w:t>
            </w:r>
          </w:p>
        </w:tc>
      </w:tr>
    </w:tbl>
    <w:p>
      <w:pPr>
        <w:spacing w:line="213" w:lineRule="exact" w:before="0"/>
        <w:ind w:left="122" w:right="0" w:firstLine="0"/>
        <w:jc w:val="both"/>
        <w:rPr>
          <w:sz w:val="20"/>
        </w:rPr>
      </w:pPr>
      <w:r>
        <w:rPr>
          <w:sz w:val="20"/>
        </w:rPr>
        <w:t>Base: modelo base. Escenario 1: Arancel 15%. Escenario    2: Subsidio 100 pesos     a cerdo  enviado a rastro.</w:t>
      </w:r>
    </w:p>
    <w:p>
      <w:pPr>
        <w:spacing w:before="0"/>
        <w:ind w:left="122" w:right="646" w:firstLine="0"/>
        <w:jc w:val="both"/>
        <w:rPr>
          <w:sz w:val="20"/>
        </w:rPr>
      </w:pPr>
      <w:r>
        <w:rPr>
          <w:sz w:val="20"/>
        </w:rPr>
        <w:t>Escenario 3: Subsidio 200 pesos a hembra en inventario. Escenario 4: Aplicación de arancel 15% y subsidio 100 pesos. Escenario 5: Aplicación de arancel 15% y subsidio 200 pesos a hembra en inventario. Elaboración propia.</w:t>
      </w:r>
    </w:p>
    <w:p>
      <w:pPr>
        <w:spacing w:after="0"/>
        <w:jc w:val="both"/>
        <w:rPr>
          <w:sz w:val="20"/>
        </w:rPr>
        <w:sectPr>
          <w:headerReference w:type="default" r:id="rId147"/>
          <w:footerReference w:type="default" r:id="rId148"/>
          <w:pgSz w:w="12240" w:h="15840"/>
          <w:pgMar w:header="982" w:footer="986" w:top="1280" w:bottom="1180" w:left="1580" w:right="1060"/>
          <w:pgNumType w:start="162"/>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2"/>
        <w:numPr>
          <w:ilvl w:val="1"/>
          <w:numId w:val="2"/>
        </w:numPr>
        <w:tabs>
          <w:tab w:pos="3046" w:val="left" w:leader="none"/>
          <w:tab w:pos="3047" w:val="left" w:leader="none"/>
        </w:tabs>
        <w:spacing w:line="1081" w:lineRule="exact" w:before="0" w:after="0"/>
        <w:ind w:left="3046" w:right="0" w:hanging="2132"/>
        <w:jc w:val="left"/>
      </w:pPr>
      <w:bookmarkStart w:name="_bookmark27" w:id="46"/>
      <w:bookmarkEnd w:id="46"/>
      <w:r>
        <w:rPr/>
      </w:r>
      <w:bookmarkStart w:name="_bookmark27" w:id="47"/>
      <w:bookmarkEnd w:id="47"/>
      <w:r>
        <w:rPr/>
        <w:t>DISC</w:t>
      </w:r>
      <w:r>
        <w:rPr/>
        <w:t>USIÓN</w:t>
      </w:r>
    </w:p>
    <w:p>
      <w:pPr>
        <w:spacing w:before="555"/>
        <w:ind w:left="2301" w:right="410" w:firstLine="0"/>
        <w:jc w:val="left"/>
        <w:rPr>
          <w:sz w:val="96"/>
        </w:rPr>
      </w:pPr>
      <w:r>
        <w:rPr>
          <w:sz w:val="96"/>
        </w:rPr>
        <w:t>GENERAL</w:t>
      </w:r>
    </w:p>
    <w:p>
      <w:pPr>
        <w:spacing w:after="0"/>
        <w:jc w:val="left"/>
        <w:rPr>
          <w:sz w:val="96"/>
        </w:rPr>
        <w:sectPr>
          <w:pgSz w:w="12240" w:h="15840"/>
          <w:pgMar w:header="982" w:footer="986" w:top="1280" w:bottom="1180" w:left="1580" w:right="1060"/>
        </w:sectPr>
      </w:pPr>
    </w:p>
    <w:p>
      <w:pPr>
        <w:pStyle w:val="BodyText"/>
        <w:spacing w:line="360" w:lineRule="auto" w:before="122"/>
        <w:ind w:left="122" w:right="634"/>
        <w:jc w:val="both"/>
      </w:pPr>
      <w:r>
        <w:rPr/>
        <w:t>En México, los rastros que existen que son privados o son administrados por el gobierno en alguno de sus tres niveles, proporcionan áreas e instalaciones para la matanza, faenado, conservación y distribución de carne y productos cárnicos en condiciones adecuadas de higiene,</w:t>
      </w:r>
      <w:r>
        <w:rPr>
          <w:spacing w:val="-6"/>
        </w:rPr>
        <w:t> </w:t>
      </w:r>
      <w:r>
        <w:rPr/>
        <w:t>los</w:t>
      </w:r>
      <w:r>
        <w:rPr>
          <w:spacing w:val="-3"/>
        </w:rPr>
        <w:t> </w:t>
      </w:r>
      <w:r>
        <w:rPr/>
        <w:t>cuales</w:t>
      </w:r>
      <w:r>
        <w:rPr>
          <w:spacing w:val="-7"/>
        </w:rPr>
        <w:t> </w:t>
      </w:r>
      <w:r>
        <w:rPr/>
        <w:t>son</w:t>
      </w:r>
      <w:r>
        <w:rPr>
          <w:spacing w:val="-3"/>
        </w:rPr>
        <w:t> </w:t>
      </w:r>
      <w:r>
        <w:rPr/>
        <w:t>establecidos</w:t>
      </w:r>
      <w:r>
        <w:rPr>
          <w:spacing w:val="-5"/>
        </w:rPr>
        <w:t> </w:t>
      </w:r>
      <w:r>
        <w:rPr/>
        <w:t>según</w:t>
      </w:r>
      <w:r>
        <w:rPr>
          <w:spacing w:val="-6"/>
        </w:rPr>
        <w:t> </w:t>
      </w:r>
      <w:r>
        <w:rPr/>
        <w:t>SENASICA</w:t>
      </w:r>
      <w:r>
        <w:rPr>
          <w:spacing w:val="-5"/>
        </w:rPr>
        <w:t> </w:t>
      </w:r>
      <w:r>
        <w:rPr/>
        <w:t>de</w:t>
      </w:r>
      <w:r>
        <w:rPr>
          <w:spacing w:val="-7"/>
        </w:rPr>
        <w:t> </w:t>
      </w:r>
      <w:r>
        <w:rPr/>
        <w:t>acuerdo</w:t>
      </w:r>
      <w:r>
        <w:rPr>
          <w:spacing w:val="-5"/>
        </w:rPr>
        <w:t> </w:t>
      </w:r>
      <w:r>
        <w:rPr/>
        <w:t>a</w:t>
      </w:r>
      <w:r>
        <w:rPr>
          <w:spacing w:val="-7"/>
        </w:rPr>
        <w:t> </w:t>
      </w:r>
      <w:r>
        <w:rPr/>
        <w:t>patrones</w:t>
      </w:r>
      <w:r>
        <w:rPr>
          <w:spacing w:val="-6"/>
        </w:rPr>
        <w:t> </w:t>
      </w:r>
      <w:r>
        <w:rPr/>
        <w:t>de</w:t>
      </w:r>
      <w:r>
        <w:rPr>
          <w:spacing w:val="-7"/>
        </w:rPr>
        <w:t> </w:t>
      </w:r>
      <w:r>
        <w:rPr/>
        <w:t>consumo,</w:t>
      </w:r>
      <w:r>
        <w:rPr>
          <w:spacing w:val="-6"/>
        </w:rPr>
        <w:t> </w:t>
      </w:r>
      <w:r>
        <w:rPr/>
        <w:t>la dotación</w:t>
      </w:r>
      <w:r>
        <w:rPr>
          <w:spacing w:val="-8"/>
        </w:rPr>
        <w:t> </w:t>
      </w:r>
      <w:r>
        <w:rPr/>
        <w:t>de</w:t>
      </w:r>
      <w:r>
        <w:rPr>
          <w:spacing w:val="-10"/>
        </w:rPr>
        <w:t> </w:t>
      </w:r>
      <w:r>
        <w:rPr/>
        <w:t>carne</w:t>
      </w:r>
      <w:r>
        <w:rPr>
          <w:spacing w:val="-9"/>
        </w:rPr>
        <w:t> </w:t>
      </w:r>
      <w:r>
        <w:rPr/>
        <w:t>por</w:t>
      </w:r>
      <w:r>
        <w:rPr>
          <w:spacing w:val="-9"/>
        </w:rPr>
        <w:t> </w:t>
      </w:r>
      <w:r>
        <w:rPr/>
        <w:t>habitante</w:t>
      </w:r>
      <w:r>
        <w:rPr>
          <w:spacing w:val="-6"/>
        </w:rPr>
        <w:t> </w:t>
      </w:r>
      <w:r>
        <w:rPr/>
        <w:t>y</w:t>
      </w:r>
      <w:r>
        <w:rPr>
          <w:spacing w:val="-16"/>
        </w:rPr>
        <w:t> </w:t>
      </w:r>
      <w:r>
        <w:rPr/>
        <w:t>la</w:t>
      </w:r>
      <w:r>
        <w:rPr>
          <w:spacing w:val="-10"/>
        </w:rPr>
        <w:t> </w:t>
      </w:r>
      <w:r>
        <w:rPr/>
        <w:t>población</w:t>
      </w:r>
      <w:r>
        <w:rPr>
          <w:spacing w:val="-8"/>
        </w:rPr>
        <w:t> </w:t>
      </w:r>
      <w:r>
        <w:rPr/>
        <w:t>a</w:t>
      </w:r>
      <w:r>
        <w:rPr>
          <w:spacing w:val="-10"/>
        </w:rPr>
        <w:t> </w:t>
      </w:r>
      <w:r>
        <w:rPr/>
        <w:t>atender.</w:t>
      </w:r>
      <w:r>
        <w:rPr>
          <w:spacing w:val="-7"/>
        </w:rPr>
        <w:t> </w:t>
      </w:r>
      <w:r>
        <w:rPr/>
        <w:t>Los</w:t>
      </w:r>
      <w:r>
        <w:rPr>
          <w:spacing w:val="-8"/>
        </w:rPr>
        <w:t> </w:t>
      </w:r>
      <w:r>
        <w:rPr/>
        <w:t>rastros</w:t>
      </w:r>
      <w:r>
        <w:rPr>
          <w:spacing w:val="-8"/>
        </w:rPr>
        <w:t> </w:t>
      </w:r>
      <w:r>
        <w:rPr/>
        <w:t>municipales</w:t>
      </w:r>
      <w:r>
        <w:rPr>
          <w:spacing w:val="-8"/>
        </w:rPr>
        <w:t> </w:t>
      </w:r>
      <w:r>
        <w:rPr/>
        <w:t>se</w:t>
      </w:r>
      <w:r>
        <w:rPr>
          <w:spacing w:val="-9"/>
        </w:rPr>
        <w:t> </w:t>
      </w:r>
      <w:r>
        <w:rPr/>
        <w:t>localizan en poblaciones no menores de 5,000 habitantes y los rastros tipo inspección federal en poblaciones con más de un millón de habitantes, variando elementos como: la superficie construida, la matanza diaria y el promedio generado de kilos de carne para su consumo por día</w:t>
      </w:r>
      <w:r>
        <w:rPr>
          <w:spacing w:val="-8"/>
        </w:rPr>
        <w:t> </w:t>
      </w:r>
      <w:r>
        <w:rPr/>
        <w:t>(SENASICA,</w:t>
      </w:r>
      <w:r>
        <w:rPr>
          <w:spacing w:val="-8"/>
        </w:rPr>
        <w:t> </w:t>
      </w:r>
      <w:r>
        <w:rPr/>
        <w:t>2016).</w:t>
      </w:r>
      <w:r>
        <w:rPr>
          <w:spacing w:val="-5"/>
        </w:rPr>
        <w:t> </w:t>
      </w:r>
      <w:r>
        <w:rPr/>
        <w:t>Sin</w:t>
      </w:r>
      <w:r>
        <w:rPr>
          <w:spacing w:val="-7"/>
        </w:rPr>
        <w:t> </w:t>
      </w:r>
      <w:r>
        <w:rPr/>
        <w:t>embargo</w:t>
      </w:r>
      <w:r>
        <w:rPr>
          <w:spacing w:val="-7"/>
        </w:rPr>
        <w:t> </w:t>
      </w:r>
      <w:r>
        <w:rPr/>
        <w:t>ninguna</w:t>
      </w:r>
      <w:r>
        <w:rPr>
          <w:spacing w:val="-8"/>
        </w:rPr>
        <w:t> </w:t>
      </w:r>
      <w:r>
        <w:rPr/>
        <w:t>de</w:t>
      </w:r>
      <w:r>
        <w:rPr>
          <w:spacing w:val="-8"/>
        </w:rPr>
        <w:t> </w:t>
      </w:r>
      <w:r>
        <w:rPr/>
        <w:t>las</w:t>
      </w:r>
      <w:r>
        <w:rPr>
          <w:spacing w:val="-8"/>
        </w:rPr>
        <w:t> </w:t>
      </w:r>
      <w:r>
        <w:rPr/>
        <w:t>disposiciones</w:t>
      </w:r>
      <w:r>
        <w:rPr>
          <w:spacing w:val="-7"/>
        </w:rPr>
        <w:t> </w:t>
      </w:r>
      <w:r>
        <w:rPr/>
        <w:t>generadas</w:t>
      </w:r>
      <w:r>
        <w:rPr>
          <w:spacing w:val="-7"/>
        </w:rPr>
        <w:t> </w:t>
      </w:r>
      <w:r>
        <w:rPr/>
        <w:t>en</w:t>
      </w:r>
      <w:r>
        <w:rPr>
          <w:spacing w:val="-7"/>
        </w:rPr>
        <w:t> </w:t>
      </w:r>
      <w:r>
        <w:rPr/>
        <w:t>las</w:t>
      </w:r>
      <w:r>
        <w:rPr>
          <w:spacing w:val="-8"/>
        </w:rPr>
        <w:t> </w:t>
      </w:r>
      <w:r>
        <w:rPr/>
        <w:t>guías</w:t>
      </w:r>
      <w:r>
        <w:rPr>
          <w:spacing w:val="-7"/>
        </w:rPr>
        <w:t> </w:t>
      </w:r>
      <w:r>
        <w:rPr/>
        <w:t>de establecimiento de rastros, considera el origen de los animales que se sacrifican en dichos rastros, por lo que la ubicación actual de los rastros en el territorio del Estado de México,</w:t>
      </w:r>
      <w:r>
        <w:rPr>
          <w:spacing w:val="-27"/>
        </w:rPr>
        <w:t> </w:t>
      </w:r>
      <w:r>
        <w:rPr/>
        <w:t>no disminuye el costo de distribución de los cerdos que se trasladan vivos o en</w:t>
      </w:r>
      <w:r>
        <w:rPr>
          <w:spacing w:val="-14"/>
        </w:rPr>
        <w:t> </w:t>
      </w:r>
      <w:r>
        <w:rPr/>
        <w:t>canal.</w:t>
      </w:r>
    </w:p>
    <w:p>
      <w:pPr>
        <w:pStyle w:val="BodyText"/>
        <w:spacing w:line="360" w:lineRule="auto" w:before="205"/>
        <w:ind w:left="122" w:right="637"/>
        <w:jc w:val="both"/>
      </w:pPr>
      <w:r>
        <w:rPr/>
        <w:t>Algunos</w:t>
      </w:r>
      <w:r>
        <w:rPr>
          <w:spacing w:val="-6"/>
        </w:rPr>
        <w:t> </w:t>
      </w:r>
      <w:r>
        <w:rPr/>
        <w:t>países</w:t>
      </w:r>
      <w:r>
        <w:rPr>
          <w:spacing w:val="-6"/>
        </w:rPr>
        <w:t> </w:t>
      </w:r>
      <w:r>
        <w:rPr/>
        <w:t>utilizan</w:t>
      </w:r>
      <w:r>
        <w:rPr>
          <w:spacing w:val="-6"/>
        </w:rPr>
        <w:t> </w:t>
      </w:r>
      <w:r>
        <w:rPr/>
        <w:t>aranceles</w:t>
      </w:r>
      <w:r>
        <w:rPr>
          <w:spacing w:val="-6"/>
        </w:rPr>
        <w:t> </w:t>
      </w:r>
      <w:r>
        <w:rPr/>
        <w:t>sobre</w:t>
      </w:r>
      <w:r>
        <w:rPr>
          <w:spacing w:val="-6"/>
        </w:rPr>
        <w:t> </w:t>
      </w:r>
      <w:r>
        <w:rPr/>
        <w:t>las</w:t>
      </w:r>
      <w:r>
        <w:rPr>
          <w:spacing w:val="-7"/>
        </w:rPr>
        <w:t> </w:t>
      </w:r>
      <w:r>
        <w:rPr/>
        <w:t>importaciones</w:t>
      </w:r>
      <w:r>
        <w:rPr>
          <w:spacing w:val="-7"/>
        </w:rPr>
        <w:t> </w:t>
      </w:r>
      <w:r>
        <w:rPr/>
        <w:t>para</w:t>
      </w:r>
      <w:r>
        <w:rPr>
          <w:spacing w:val="-8"/>
        </w:rPr>
        <w:t> </w:t>
      </w:r>
      <w:r>
        <w:rPr/>
        <w:t>mantener</w:t>
      </w:r>
      <w:r>
        <w:rPr>
          <w:spacing w:val="-5"/>
        </w:rPr>
        <w:t> </w:t>
      </w:r>
      <w:r>
        <w:rPr/>
        <w:t>el</w:t>
      </w:r>
      <w:r>
        <w:rPr>
          <w:spacing w:val="-3"/>
        </w:rPr>
        <w:t> </w:t>
      </w:r>
      <w:r>
        <w:rPr/>
        <w:t>precio</w:t>
      </w:r>
      <w:r>
        <w:rPr>
          <w:spacing w:val="-6"/>
        </w:rPr>
        <w:t> </w:t>
      </w:r>
      <w:r>
        <w:rPr/>
        <w:t>interior</w:t>
      </w:r>
      <w:r>
        <w:rPr>
          <w:spacing w:val="-5"/>
        </w:rPr>
        <w:t> </w:t>
      </w:r>
      <w:r>
        <w:rPr/>
        <w:t>de un</w:t>
      </w:r>
      <w:r>
        <w:rPr>
          <w:spacing w:val="-11"/>
        </w:rPr>
        <w:t> </w:t>
      </w:r>
      <w:r>
        <w:rPr/>
        <w:t>producto</w:t>
      </w:r>
      <w:r>
        <w:rPr>
          <w:spacing w:val="-11"/>
        </w:rPr>
        <w:t> </w:t>
      </w:r>
      <w:r>
        <w:rPr/>
        <w:t>por</w:t>
      </w:r>
      <w:r>
        <w:rPr>
          <w:spacing w:val="-12"/>
        </w:rPr>
        <w:t> </w:t>
      </w:r>
      <w:r>
        <w:rPr/>
        <w:t>encima</w:t>
      </w:r>
      <w:r>
        <w:rPr>
          <w:spacing w:val="-12"/>
        </w:rPr>
        <w:t> </w:t>
      </w:r>
      <w:r>
        <w:rPr/>
        <w:t>de</w:t>
      </w:r>
      <w:r>
        <w:rPr>
          <w:spacing w:val="-12"/>
        </w:rPr>
        <w:t> </w:t>
      </w:r>
      <w:r>
        <w:rPr/>
        <w:t>los</w:t>
      </w:r>
      <w:r>
        <w:rPr>
          <w:spacing w:val="-10"/>
        </w:rPr>
        <w:t> </w:t>
      </w:r>
      <w:r>
        <w:rPr/>
        <w:t>niveles</w:t>
      </w:r>
      <w:r>
        <w:rPr>
          <w:spacing w:val="-11"/>
        </w:rPr>
        <w:t> </w:t>
      </w:r>
      <w:r>
        <w:rPr/>
        <w:t>mundiales</w:t>
      </w:r>
      <w:r>
        <w:rPr>
          <w:spacing w:val="-9"/>
        </w:rPr>
        <w:t> </w:t>
      </w:r>
      <w:r>
        <w:rPr/>
        <w:t>y</w:t>
      </w:r>
      <w:r>
        <w:rPr>
          <w:spacing w:val="-16"/>
        </w:rPr>
        <w:t> </w:t>
      </w:r>
      <w:r>
        <w:rPr/>
        <w:t>permitir</w:t>
      </w:r>
      <w:r>
        <w:rPr>
          <w:spacing w:val="-12"/>
        </w:rPr>
        <w:t> </w:t>
      </w:r>
      <w:r>
        <w:rPr/>
        <w:t>así</w:t>
      </w:r>
      <w:r>
        <w:rPr>
          <w:spacing w:val="-10"/>
        </w:rPr>
        <w:t> </w:t>
      </w:r>
      <w:r>
        <w:rPr/>
        <w:t>a</w:t>
      </w:r>
      <w:r>
        <w:rPr>
          <w:spacing w:val="-12"/>
        </w:rPr>
        <w:t> </w:t>
      </w:r>
      <w:r>
        <w:rPr/>
        <w:t>la</w:t>
      </w:r>
      <w:r>
        <w:rPr>
          <w:spacing w:val="-12"/>
        </w:rPr>
        <w:t> </w:t>
      </w:r>
      <w:r>
        <w:rPr/>
        <w:t>industria</w:t>
      </w:r>
      <w:r>
        <w:rPr>
          <w:spacing w:val="-12"/>
        </w:rPr>
        <w:t> </w:t>
      </w:r>
      <w:r>
        <w:rPr/>
        <w:t>nacional</w:t>
      </w:r>
      <w:r>
        <w:rPr>
          <w:spacing w:val="-11"/>
        </w:rPr>
        <w:t> </w:t>
      </w:r>
      <w:r>
        <w:rPr/>
        <w:t>obtener mayores</w:t>
      </w:r>
      <w:r>
        <w:rPr>
          <w:spacing w:val="-10"/>
        </w:rPr>
        <w:t> </w:t>
      </w:r>
      <w:r>
        <w:rPr/>
        <w:t>beneficios</w:t>
      </w:r>
      <w:r>
        <w:rPr>
          <w:spacing w:val="-10"/>
        </w:rPr>
        <w:t> </w:t>
      </w:r>
      <w:r>
        <w:rPr/>
        <w:t>que</w:t>
      </w:r>
      <w:r>
        <w:rPr>
          <w:spacing w:val="-11"/>
        </w:rPr>
        <w:t> </w:t>
      </w:r>
      <w:r>
        <w:rPr/>
        <w:t>en</w:t>
      </w:r>
      <w:r>
        <w:rPr>
          <w:spacing w:val="-10"/>
        </w:rPr>
        <w:t> </w:t>
      </w:r>
      <w:r>
        <w:rPr/>
        <w:t>condiciones</w:t>
      </w:r>
      <w:r>
        <w:rPr>
          <w:spacing w:val="-10"/>
        </w:rPr>
        <w:t> </w:t>
      </w:r>
      <w:r>
        <w:rPr/>
        <w:t>de</w:t>
      </w:r>
      <w:r>
        <w:rPr>
          <w:spacing w:val="-11"/>
        </w:rPr>
        <w:t> </w:t>
      </w:r>
      <w:r>
        <w:rPr/>
        <w:t>libre</w:t>
      </w:r>
      <w:r>
        <w:rPr>
          <w:spacing w:val="-11"/>
        </w:rPr>
        <w:t> </w:t>
      </w:r>
      <w:r>
        <w:rPr/>
        <w:t>comercio,</w:t>
      </w:r>
      <w:r>
        <w:rPr>
          <w:spacing w:val="-10"/>
        </w:rPr>
        <w:t> </w:t>
      </w:r>
      <w:r>
        <w:rPr/>
        <w:t>sin</w:t>
      </w:r>
      <w:r>
        <w:rPr>
          <w:spacing w:val="-10"/>
        </w:rPr>
        <w:t> </w:t>
      </w:r>
      <w:r>
        <w:rPr/>
        <w:t>embargo</w:t>
      </w:r>
      <w:r>
        <w:rPr>
          <w:spacing w:val="-10"/>
        </w:rPr>
        <w:t> </w:t>
      </w:r>
      <w:r>
        <w:rPr/>
        <w:t>esta</w:t>
      </w:r>
      <w:r>
        <w:rPr>
          <w:spacing w:val="-8"/>
        </w:rPr>
        <w:t> </w:t>
      </w:r>
      <w:r>
        <w:rPr/>
        <w:t>protección</w:t>
      </w:r>
      <w:r>
        <w:rPr>
          <w:spacing w:val="-10"/>
        </w:rPr>
        <w:t> </w:t>
      </w:r>
      <w:r>
        <w:rPr/>
        <w:t>puede tener</w:t>
      </w:r>
      <w:r>
        <w:rPr>
          <w:spacing w:val="-7"/>
        </w:rPr>
        <w:t> </w:t>
      </w:r>
      <w:r>
        <w:rPr/>
        <w:t>un</w:t>
      </w:r>
      <w:r>
        <w:rPr>
          <w:spacing w:val="-4"/>
        </w:rPr>
        <w:t> </w:t>
      </w:r>
      <w:r>
        <w:rPr/>
        <w:t>alto</w:t>
      </w:r>
      <w:r>
        <w:rPr>
          <w:spacing w:val="-6"/>
        </w:rPr>
        <w:t> </w:t>
      </w:r>
      <w:r>
        <w:rPr/>
        <w:t>costo</w:t>
      </w:r>
      <w:r>
        <w:rPr>
          <w:spacing w:val="-6"/>
        </w:rPr>
        <w:t> </w:t>
      </w:r>
      <w:r>
        <w:rPr/>
        <w:t>para</w:t>
      </w:r>
      <w:r>
        <w:rPr>
          <w:spacing w:val="-7"/>
        </w:rPr>
        <w:t> </w:t>
      </w:r>
      <w:r>
        <w:rPr/>
        <w:t>la</w:t>
      </w:r>
      <w:r>
        <w:rPr>
          <w:spacing w:val="-5"/>
        </w:rPr>
        <w:t> </w:t>
      </w:r>
      <w:r>
        <w:rPr/>
        <w:t>sociedad,</w:t>
      </w:r>
      <w:r>
        <w:rPr>
          <w:spacing w:val="-1"/>
        </w:rPr>
        <w:t> </w:t>
      </w:r>
      <w:r>
        <w:rPr>
          <w:spacing w:val="-3"/>
        </w:rPr>
        <w:t>ya</w:t>
      </w:r>
      <w:r>
        <w:rPr>
          <w:spacing w:val="-5"/>
        </w:rPr>
        <w:t> </w:t>
      </w:r>
      <w:r>
        <w:rPr/>
        <w:t>que</w:t>
      </w:r>
      <w:r>
        <w:rPr>
          <w:spacing w:val="-7"/>
        </w:rPr>
        <w:t> </w:t>
      </w:r>
      <w:r>
        <w:rPr/>
        <w:t>la</w:t>
      </w:r>
      <w:r>
        <w:rPr>
          <w:spacing w:val="-7"/>
        </w:rPr>
        <w:t> </w:t>
      </w:r>
      <w:r>
        <w:rPr/>
        <w:t>pérdida</w:t>
      </w:r>
      <w:r>
        <w:rPr>
          <w:spacing w:val="-7"/>
        </w:rPr>
        <w:t> </w:t>
      </w:r>
      <w:r>
        <w:rPr/>
        <w:t>que</w:t>
      </w:r>
      <w:r>
        <w:rPr>
          <w:spacing w:val="-5"/>
        </w:rPr>
        <w:t> </w:t>
      </w:r>
      <w:r>
        <w:rPr/>
        <w:t>experimentan</w:t>
      </w:r>
      <w:r>
        <w:rPr>
          <w:spacing w:val="-7"/>
        </w:rPr>
        <w:t> </w:t>
      </w:r>
      <w:r>
        <w:rPr/>
        <w:t>los</w:t>
      </w:r>
      <w:r>
        <w:rPr>
          <w:spacing w:val="-6"/>
        </w:rPr>
        <w:t> </w:t>
      </w:r>
      <w:r>
        <w:rPr/>
        <w:t>consumidores</w:t>
      </w:r>
      <w:r>
        <w:rPr>
          <w:spacing w:val="-6"/>
        </w:rPr>
        <w:t> </w:t>
      </w:r>
      <w:r>
        <w:rPr/>
        <w:t>es mayor que la ganancia que obtienen los productores nacionales. (Pindyck</w:t>
      </w:r>
      <w:r>
        <w:rPr>
          <w:spacing w:val="-12"/>
        </w:rPr>
        <w:t> </w:t>
      </w:r>
      <w:r>
        <w:rPr/>
        <w:t>2001)</w:t>
      </w:r>
    </w:p>
    <w:p>
      <w:pPr>
        <w:pStyle w:val="BodyText"/>
        <w:spacing w:line="360" w:lineRule="auto" w:before="203"/>
        <w:ind w:left="122" w:right="633"/>
        <w:jc w:val="both"/>
      </w:pPr>
      <w:r>
        <w:rPr/>
        <w:t>Lo anterior coincide con los resultados de la presente investigación, en que la aplicación de aranceles a la carne de cerdo importada de Estados Unidos en un 10, 20 y 30% traería como consecuencia un incremento en la producción de la porcicultura regional y nacional, esta medida permitiría al productor nacional ser competitivo, sin embargo a nivel regional y nacional el consumo de este producto disminuiría, esta situación generaría una disminución en los beneficios sociales </w:t>
      </w:r>
      <w:r>
        <w:rPr>
          <w:spacing w:val="-3"/>
        </w:rPr>
        <w:t>ya </w:t>
      </w:r>
      <w:r>
        <w:rPr/>
        <w:t>que el VSN también disminuye, estos resultados son también similares</w:t>
      </w:r>
      <w:r>
        <w:rPr>
          <w:spacing w:val="-11"/>
        </w:rPr>
        <w:t> </w:t>
      </w:r>
      <w:r>
        <w:rPr/>
        <w:t>a</w:t>
      </w:r>
      <w:r>
        <w:rPr>
          <w:spacing w:val="-12"/>
        </w:rPr>
        <w:t> </w:t>
      </w:r>
      <w:r>
        <w:rPr/>
        <w:t>los</w:t>
      </w:r>
      <w:r>
        <w:rPr>
          <w:spacing w:val="-10"/>
        </w:rPr>
        <w:t> </w:t>
      </w:r>
      <w:r>
        <w:rPr/>
        <w:t>encontrados</w:t>
      </w:r>
      <w:r>
        <w:rPr>
          <w:spacing w:val="-11"/>
        </w:rPr>
        <w:t> </w:t>
      </w:r>
      <w:r>
        <w:rPr/>
        <w:t>por</w:t>
      </w:r>
      <w:r>
        <w:rPr>
          <w:spacing w:val="-12"/>
        </w:rPr>
        <w:t> </w:t>
      </w:r>
      <w:r>
        <w:rPr/>
        <w:t>(Gómez</w:t>
      </w:r>
      <w:r>
        <w:rPr>
          <w:spacing w:val="-9"/>
        </w:rPr>
        <w:t> </w:t>
      </w:r>
      <w:r>
        <w:rPr>
          <w:i/>
        </w:rPr>
        <w:t>et</w:t>
      </w:r>
      <w:r>
        <w:rPr>
          <w:i/>
          <w:spacing w:val="-11"/>
        </w:rPr>
        <w:t> </w:t>
      </w:r>
      <w:r>
        <w:rPr>
          <w:i/>
        </w:rPr>
        <w:t>al</w:t>
      </w:r>
      <w:r>
        <w:rPr/>
        <w:t>.,</w:t>
      </w:r>
      <w:r>
        <w:rPr>
          <w:spacing w:val="-11"/>
        </w:rPr>
        <w:t> </w:t>
      </w:r>
      <w:r>
        <w:rPr/>
        <w:t>2011)</w:t>
      </w:r>
      <w:r>
        <w:rPr>
          <w:spacing w:val="-12"/>
        </w:rPr>
        <w:t> </w:t>
      </w:r>
      <w:r>
        <w:rPr/>
        <w:t>estos</w:t>
      </w:r>
      <w:r>
        <w:rPr>
          <w:spacing w:val="-10"/>
        </w:rPr>
        <w:t> </w:t>
      </w:r>
      <w:r>
        <w:rPr/>
        <w:t>autores</w:t>
      </w:r>
      <w:r>
        <w:rPr>
          <w:spacing w:val="-11"/>
        </w:rPr>
        <w:t> </w:t>
      </w:r>
      <w:r>
        <w:rPr/>
        <w:t>indicaron</w:t>
      </w:r>
      <w:r>
        <w:rPr>
          <w:spacing w:val="-10"/>
        </w:rPr>
        <w:t> </w:t>
      </w:r>
      <w:r>
        <w:rPr/>
        <w:t>que</w:t>
      </w:r>
      <w:r>
        <w:rPr>
          <w:spacing w:val="-10"/>
        </w:rPr>
        <w:t> </w:t>
      </w:r>
      <w:r>
        <w:rPr/>
        <w:t>la</w:t>
      </w:r>
      <w:r>
        <w:rPr>
          <w:spacing w:val="-12"/>
        </w:rPr>
        <w:t> </w:t>
      </w:r>
      <w:r>
        <w:rPr/>
        <w:t>aplicación de un arancel de 20% a las importaciones de carne de cerdo en EUA y Canadá, traería</w:t>
      </w:r>
      <w:r>
        <w:rPr>
          <w:spacing w:val="-30"/>
        </w:rPr>
        <w:t> </w:t>
      </w:r>
      <w:r>
        <w:rPr/>
        <w:t>como consecuencia un incremento tanto en la producción nacional mexicana, como en el precio interno o doméstico. Sin embargo, estos autores señalan que podría ser una alternativa que ayude</w:t>
      </w:r>
      <w:r>
        <w:rPr>
          <w:spacing w:val="-7"/>
        </w:rPr>
        <w:t> </w:t>
      </w:r>
      <w:r>
        <w:rPr/>
        <w:t>a</w:t>
      </w:r>
      <w:r>
        <w:rPr>
          <w:spacing w:val="-7"/>
        </w:rPr>
        <w:t> </w:t>
      </w:r>
      <w:r>
        <w:rPr/>
        <w:t>la</w:t>
      </w:r>
      <w:r>
        <w:rPr>
          <w:spacing w:val="-7"/>
        </w:rPr>
        <w:t> </w:t>
      </w:r>
      <w:r>
        <w:rPr/>
        <w:t>porcicultura</w:t>
      </w:r>
      <w:r>
        <w:rPr>
          <w:spacing w:val="-7"/>
        </w:rPr>
        <w:t> </w:t>
      </w:r>
      <w:r>
        <w:rPr/>
        <w:t>nacional</w:t>
      </w:r>
      <w:r>
        <w:rPr>
          <w:spacing w:val="-6"/>
        </w:rPr>
        <w:t> </w:t>
      </w:r>
      <w:r>
        <w:rPr/>
        <w:t>a</w:t>
      </w:r>
      <w:r>
        <w:rPr>
          <w:spacing w:val="-7"/>
        </w:rPr>
        <w:t> </w:t>
      </w:r>
      <w:r>
        <w:rPr/>
        <w:t>ser</w:t>
      </w:r>
      <w:r>
        <w:rPr>
          <w:spacing w:val="-7"/>
        </w:rPr>
        <w:t> </w:t>
      </w:r>
      <w:r>
        <w:rPr/>
        <w:t>competitiva</w:t>
      </w:r>
      <w:r>
        <w:rPr>
          <w:spacing w:val="-4"/>
        </w:rPr>
        <w:t> </w:t>
      </w:r>
      <w:r>
        <w:rPr/>
        <w:t>cuando</w:t>
      </w:r>
      <w:r>
        <w:rPr>
          <w:spacing w:val="-6"/>
        </w:rPr>
        <w:t> </w:t>
      </w:r>
      <w:r>
        <w:rPr/>
        <w:t>el</w:t>
      </w:r>
      <w:r>
        <w:rPr>
          <w:spacing w:val="-6"/>
        </w:rPr>
        <w:t> </w:t>
      </w:r>
      <w:r>
        <w:rPr/>
        <w:t>precio</w:t>
      </w:r>
      <w:r>
        <w:rPr>
          <w:spacing w:val="-6"/>
        </w:rPr>
        <w:t> </w:t>
      </w:r>
      <w:r>
        <w:rPr/>
        <w:t>de</w:t>
      </w:r>
      <w:r>
        <w:rPr>
          <w:spacing w:val="-5"/>
        </w:rPr>
        <w:t> </w:t>
      </w:r>
      <w:r>
        <w:rPr/>
        <w:t>esa</w:t>
      </w:r>
      <w:r>
        <w:rPr>
          <w:spacing w:val="-7"/>
        </w:rPr>
        <w:t> </w:t>
      </w:r>
      <w:r>
        <w:rPr/>
        <w:t>carne</w:t>
      </w:r>
      <w:r>
        <w:rPr>
          <w:spacing w:val="-8"/>
        </w:rPr>
        <w:t> </w:t>
      </w:r>
      <w:r>
        <w:rPr/>
        <w:t>sea</w:t>
      </w:r>
      <w:r>
        <w:rPr>
          <w:spacing w:val="-7"/>
        </w:rPr>
        <w:t> </w:t>
      </w:r>
      <w:r>
        <w:rPr/>
        <w:t>menor</w:t>
      </w:r>
      <w:r>
        <w:rPr>
          <w:spacing w:val="-1"/>
        </w:rPr>
        <w:t> </w:t>
      </w:r>
      <w:r>
        <w:rPr/>
        <w:t>al costo de producción interno pero la aplicación continua de los mismos generaría elevación de</w:t>
      </w:r>
      <w:r>
        <w:rPr>
          <w:spacing w:val="31"/>
        </w:rPr>
        <w:t> </w:t>
      </w:r>
      <w:r>
        <w:rPr/>
        <w:t>los</w:t>
      </w:r>
      <w:r>
        <w:rPr>
          <w:spacing w:val="33"/>
        </w:rPr>
        <w:t> </w:t>
      </w:r>
      <w:r>
        <w:rPr/>
        <w:t>precios</w:t>
      </w:r>
      <w:r>
        <w:rPr>
          <w:spacing w:val="33"/>
        </w:rPr>
        <w:t> </w:t>
      </w:r>
      <w:r>
        <w:rPr/>
        <w:t>al</w:t>
      </w:r>
      <w:r>
        <w:rPr>
          <w:spacing w:val="32"/>
        </w:rPr>
        <w:t> </w:t>
      </w:r>
      <w:r>
        <w:rPr/>
        <w:t>consumidor</w:t>
      </w:r>
      <w:r>
        <w:rPr>
          <w:spacing w:val="31"/>
        </w:rPr>
        <w:t> </w:t>
      </w:r>
      <w:r>
        <w:rPr/>
        <w:t>con</w:t>
      </w:r>
      <w:r>
        <w:rPr>
          <w:spacing w:val="32"/>
        </w:rPr>
        <w:t> </w:t>
      </w:r>
      <w:r>
        <w:rPr/>
        <w:t>una</w:t>
      </w:r>
      <w:r>
        <w:rPr>
          <w:spacing w:val="31"/>
        </w:rPr>
        <w:t> </w:t>
      </w:r>
      <w:r>
        <w:rPr/>
        <w:t>baja</w:t>
      </w:r>
      <w:r>
        <w:rPr>
          <w:spacing w:val="31"/>
        </w:rPr>
        <w:t> </w:t>
      </w:r>
      <w:r>
        <w:rPr/>
        <w:t>en</w:t>
      </w:r>
      <w:r>
        <w:rPr>
          <w:spacing w:val="32"/>
        </w:rPr>
        <w:t> </w:t>
      </w:r>
      <w:r>
        <w:rPr/>
        <w:t>la</w:t>
      </w:r>
      <w:r>
        <w:rPr>
          <w:spacing w:val="31"/>
        </w:rPr>
        <w:t> </w:t>
      </w:r>
      <w:r>
        <w:rPr/>
        <w:t>demanda.</w:t>
      </w:r>
      <w:r>
        <w:rPr>
          <w:spacing w:val="32"/>
        </w:rPr>
        <w:t> </w:t>
      </w:r>
      <w:r>
        <w:rPr/>
        <w:t>Por</w:t>
      </w:r>
      <w:r>
        <w:rPr>
          <w:spacing w:val="31"/>
        </w:rPr>
        <w:t> </w:t>
      </w:r>
      <w:r>
        <w:rPr/>
        <w:t>otro</w:t>
      </w:r>
      <w:r>
        <w:rPr>
          <w:spacing w:val="32"/>
        </w:rPr>
        <w:t> </w:t>
      </w:r>
      <w:r>
        <w:rPr/>
        <w:t>lado,</w:t>
      </w:r>
      <w:r>
        <w:rPr>
          <w:spacing w:val="32"/>
        </w:rPr>
        <w:t> </w:t>
      </w:r>
      <w:r>
        <w:rPr/>
        <w:t>indican</w:t>
      </w:r>
      <w:r>
        <w:rPr>
          <w:spacing w:val="32"/>
        </w:rPr>
        <w:t> </w:t>
      </w:r>
      <w:r>
        <w:rPr/>
        <w:t>que</w:t>
      </w:r>
      <w:r>
        <w:rPr>
          <w:spacing w:val="31"/>
        </w:rPr>
        <w:t> </w:t>
      </w:r>
      <w:r>
        <w:rPr/>
        <w:t>la</w:t>
      </w:r>
    </w:p>
    <w:p>
      <w:pPr>
        <w:spacing w:after="0" w:line="360" w:lineRule="auto"/>
        <w:jc w:val="both"/>
        <w:sectPr>
          <w:pgSz w:w="12240" w:h="15840"/>
          <w:pgMar w:header="982" w:footer="986" w:top="1280" w:bottom="1180" w:left="1580" w:right="1060"/>
        </w:sectPr>
      </w:pPr>
    </w:p>
    <w:p>
      <w:pPr>
        <w:pStyle w:val="BodyText"/>
        <w:spacing w:line="360" w:lineRule="auto" w:before="122"/>
        <w:ind w:left="122" w:right="634"/>
        <w:jc w:val="both"/>
      </w:pPr>
      <w:r>
        <w:rPr/>
        <w:t>aplicación efectiva de una arancel del 5% en 2010 por parte de México a la carne de cerdo importada proveniente de EUA, habría provocado un efecto poco significativo al mercado mexicano;</w:t>
      </w:r>
      <w:r>
        <w:rPr>
          <w:spacing w:val="-11"/>
        </w:rPr>
        <w:t> </w:t>
      </w:r>
      <w:r>
        <w:rPr/>
        <w:t>esto</w:t>
      </w:r>
      <w:r>
        <w:rPr>
          <w:spacing w:val="-10"/>
        </w:rPr>
        <w:t> </w:t>
      </w:r>
      <w:r>
        <w:rPr/>
        <w:t>es,</w:t>
      </w:r>
      <w:r>
        <w:rPr>
          <w:spacing w:val="-11"/>
        </w:rPr>
        <w:t> </w:t>
      </w:r>
      <w:r>
        <w:rPr/>
        <w:t>tanto</w:t>
      </w:r>
      <w:r>
        <w:rPr>
          <w:spacing w:val="-11"/>
        </w:rPr>
        <w:t> </w:t>
      </w:r>
      <w:r>
        <w:rPr/>
        <w:t>la</w:t>
      </w:r>
      <w:r>
        <w:rPr>
          <w:spacing w:val="-12"/>
        </w:rPr>
        <w:t> </w:t>
      </w:r>
      <w:r>
        <w:rPr/>
        <w:t>producción</w:t>
      </w:r>
      <w:r>
        <w:rPr>
          <w:spacing w:val="-11"/>
        </w:rPr>
        <w:t> </w:t>
      </w:r>
      <w:r>
        <w:rPr/>
        <w:t>nacional</w:t>
      </w:r>
      <w:r>
        <w:rPr>
          <w:spacing w:val="-9"/>
        </w:rPr>
        <w:t> </w:t>
      </w:r>
      <w:r>
        <w:rPr/>
        <w:t>como</w:t>
      </w:r>
      <w:r>
        <w:rPr>
          <w:spacing w:val="-11"/>
        </w:rPr>
        <w:t> </w:t>
      </w:r>
      <w:r>
        <w:rPr/>
        <w:t>el</w:t>
      </w:r>
      <w:r>
        <w:rPr>
          <w:spacing w:val="-11"/>
        </w:rPr>
        <w:t> </w:t>
      </w:r>
      <w:r>
        <w:rPr/>
        <w:t>precio</w:t>
      </w:r>
      <w:r>
        <w:rPr>
          <w:spacing w:val="-9"/>
        </w:rPr>
        <w:t> </w:t>
      </w:r>
      <w:r>
        <w:rPr/>
        <w:t>al</w:t>
      </w:r>
      <w:r>
        <w:rPr>
          <w:spacing w:val="-8"/>
        </w:rPr>
        <w:t> </w:t>
      </w:r>
      <w:r>
        <w:rPr/>
        <w:t>consumidor</w:t>
      </w:r>
      <w:r>
        <w:rPr>
          <w:spacing w:val="-11"/>
        </w:rPr>
        <w:t> </w:t>
      </w:r>
      <w:r>
        <w:rPr/>
        <w:t>de</w:t>
      </w:r>
      <w:r>
        <w:rPr>
          <w:spacing w:val="-12"/>
        </w:rPr>
        <w:t> </w:t>
      </w:r>
      <w:r>
        <w:rPr/>
        <w:t>dicha</w:t>
      </w:r>
      <w:r>
        <w:rPr>
          <w:spacing w:val="-10"/>
        </w:rPr>
        <w:t> </w:t>
      </w:r>
      <w:r>
        <w:rPr/>
        <w:t>carne, podrían haberse incrementado en términos relativos solamente menos de un punto y más de un punto y medio porcentual,</w:t>
      </w:r>
      <w:r>
        <w:rPr>
          <w:spacing w:val="-7"/>
        </w:rPr>
        <w:t> </w:t>
      </w:r>
      <w:r>
        <w:rPr/>
        <w:t>respectivamente.</w:t>
      </w:r>
    </w:p>
    <w:p>
      <w:pPr>
        <w:pStyle w:val="BodyText"/>
        <w:spacing w:line="360" w:lineRule="auto" w:before="205"/>
        <w:ind w:left="122" w:right="638"/>
        <w:jc w:val="both"/>
      </w:pPr>
      <w:r>
        <w:rPr/>
        <w:t>Sobre la aplicación de subsidios, según Pindyck (2001) este tipo de medida de protección a la actividad de producción interna de un país sobre un bien, incrementa el ingreso al productor,</w:t>
      </w:r>
      <w:r>
        <w:rPr>
          <w:spacing w:val="-9"/>
        </w:rPr>
        <w:t> </w:t>
      </w:r>
      <w:r>
        <w:rPr/>
        <w:t>lo</w:t>
      </w:r>
      <w:r>
        <w:rPr>
          <w:spacing w:val="-8"/>
        </w:rPr>
        <w:t> </w:t>
      </w:r>
      <w:r>
        <w:rPr/>
        <w:t>que</w:t>
      </w:r>
      <w:r>
        <w:rPr>
          <w:spacing w:val="-10"/>
        </w:rPr>
        <w:t> </w:t>
      </w:r>
      <w:r>
        <w:rPr/>
        <w:t>le</w:t>
      </w:r>
      <w:r>
        <w:rPr>
          <w:spacing w:val="-9"/>
        </w:rPr>
        <w:t> </w:t>
      </w:r>
      <w:r>
        <w:rPr/>
        <w:t>permite</w:t>
      </w:r>
      <w:r>
        <w:rPr>
          <w:spacing w:val="-10"/>
        </w:rPr>
        <w:t> </w:t>
      </w:r>
      <w:r>
        <w:rPr/>
        <w:t>ser</w:t>
      </w:r>
      <w:r>
        <w:rPr>
          <w:spacing w:val="-9"/>
        </w:rPr>
        <w:t> </w:t>
      </w:r>
      <w:r>
        <w:rPr/>
        <w:t>competitivo,</w:t>
      </w:r>
      <w:r>
        <w:rPr>
          <w:spacing w:val="-8"/>
        </w:rPr>
        <w:t> </w:t>
      </w:r>
      <w:r>
        <w:rPr/>
        <w:t>sin</w:t>
      </w:r>
      <w:r>
        <w:rPr>
          <w:spacing w:val="-8"/>
        </w:rPr>
        <w:t> </w:t>
      </w:r>
      <w:r>
        <w:rPr/>
        <w:t>perjudicar</w:t>
      </w:r>
      <w:r>
        <w:rPr>
          <w:spacing w:val="-9"/>
        </w:rPr>
        <w:t> </w:t>
      </w:r>
      <w:r>
        <w:rPr/>
        <w:t>al</w:t>
      </w:r>
      <w:r>
        <w:rPr>
          <w:spacing w:val="-6"/>
        </w:rPr>
        <w:t> </w:t>
      </w:r>
      <w:r>
        <w:rPr/>
        <w:t>consumidor,</w:t>
      </w:r>
      <w:r>
        <w:rPr>
          <w:spacing w:val="-7"/>
        </w:rPr>
        <w:t> </w:t>
      </w:r>
      <w:r>
        <w:rPr/>
        <w:t>y</w:t>
      </w:r>
      <w:r>
        <w:rPr>
          <w:spacing w:val="-9"/>
        </w:rPr>
        <w:t> </w:t>
      </w:r>
      <w:r>
        <w:rPr/>
        <w:t>su</w:t>
      </w:r>
      <w:r>
        <w:rPr>
          <w:spacing w:val="-8"/>
        </w:rPr>
        <w:t> </w:t>
      </w:r>
      <w:r>
        <w:rPr/>
        <w:t>aplicación</w:t>
      </w:r>
      <w:r>
        <w:rPr>
          <w:spacing w:val="-8"/>
        </w:rPr>
        <w:t> </w:t>
      </w:r>
      <w:r>
        <w:rPr/>
        <w:t>no modifica los precios de venta ni el consumo del mismo</w:t>
      </w:r>
      <w:r>
        <w:rPr>
          <w:spacing w:val="-12"/>
        </w:rPr>
        <w:t> </w:t>
      </w:r>
      <w:r>
        <w:rPr/>
        <w:t>mercado.</w:t>
      </w:r>
    </w:p>
    <w:p>
      <w:pPr>
        <w:pStyle w:val="BodyText"/>
      </w:pPr>
    </w:p>
    <w:p>
      <w:pPr>
        <w:pStyle w:val="BodyText"/>
        <w:spacing w:line="360" w:lineRule="auto" w:before="143"/>
        <w:ind w:left="122" w:right="634"/>
        <w:jc w:val="both"/>
      </w:pPr>
      <w:r>
        <w:rPr/>
        <w:t>Los resultados obtenidos en la presente investigación concuerdan con la teoría económica, </w:t>
      </w:r>
      <w:r>
        <w:rPr>
          <w:spacing w:val="-3"/>
        </w:rPr>
        <w:t>ya </w:t>
      </w:r>
      <w:r>
        <w:rPr/>
        <w:t>que aplicando los subsidios se incrementan los valores de producción y consumo y el VSN,</w:t>
      </w:r>
      <w:r>
        <w:rPr>
          <w:spacing w:val="-10"/>
        </w:rPr>
        <w:t> </w:t>
      </w:r>
      <w:r>
        <w:rPr/>
        <w:t>los</w:t>
      </w:r>
      <w:r>
        <w:rPr>
          <w:spacing w:val="-9"/>
        </w:rPr>
        <w:t> </w:t>
      </w:r>
      <w:r>
        <w:rPr/>
        <w:t>precios</w:t>
      </w:r>
      <w:r>
        <w:rPr>
          <w:spacing w:val="-9"/>
        </w:rPr>
        <w:t> </w:t>
      </w:r>
      <w:r>
        <w:rPr/>
        <w:t>disminuyen</w:t>
      </w:r>
      <w:r>
        <w:rPr>
          <w:spacing w:val="-10"/>
        </w:rPr>
        <w:t> </w:t>
      </w:r>
      <w:r>
        <w:rPr/>
        <w:t>solamente</w:t>
      </w:r>
      <w:r>
        <w:rPr>
          <w:spacing w:val="-10"/>
        </w:rPr>
        <w:t> </w:t>
      </w:r>
      <w:r>
        <w:rPr/>
        <w:t>$0.3</w:t>
      </w:r>
      <w:r>
        <w:rPr>
          <w:spacing w:val="-9"/>
        </w:rPr>
        <w:t> </w:t>
      </w:r>
      <w:r>
        <w:rPr/>
        <w:t>por</w:t>
      </w:r>
      <w:r>
        <w:rPr>
          <w:spacing w:val="-10"/>
        </w:rPr>
        <w:t> </w:t>
      </w:r>
      <w:r>
        <w:rPr/>
        <w:t>kg,</w:t>
      </w:r>
      <w:r>
        <w:rPr>
          <w:spacing w:val="-10"/>
        </w:rPr>
        <w:t> </w:t>
      </w:r>
      <w:r>
        <w:rPr/>
        <w:t>lo</w:t>
      </w:r>
      <w:r>
        <w:rPr>
          <w:spacing w:val="-9"/>
        </w:rPr>
        <w:t> </w:t>
      </w:r>
      <w:r>
        <w:rPr/>
        <w:t>cual</w:t>
      </w:r>
      <w:r>
        <w:rPr>
          <w:spacing w:val="-9"/>
        </w:rPr>
        <w:t> </w:t>
      </w:r>
      <w:r>
        <w:rPr/>
        <w:t>genera</w:t>
      </w:r>
      <w:r>
        <w:rPr>
          <w:spacing w:val="-11"/>
        </w:rPr>
        <w:t> </w:t>
      </w:r>
      <w:r>
        <w:rPr/>
        <w:t>un</w:t>
      </w:r>
      <w:r>
        <w:rPr>
          <w:spacing w:val="-10"/>
        </w:rPr>
        <w:t> </w:t>
      </w:r>
      <w:r>
        <w:rPr/>
        <w:t>beneficio</w:t>
      </w:r>
      <w:r>
        <w:rPr>
          <w:spacing w:val="-10"/>
        </w:rPr>
        <w:t> </w:t>
      </w:r>
      <w:r>
        <w:rPr/>
        <w:t>al</w:t>
      </w:r>
      <w:r>
        <w:rPr>
          <w:spacing w:val="-9"/>
        </w:rPr>
        <w:t> </w:t>
      </w:r>
      <w:r>
        <w:rPr/>
        <w:t>productor y al consumidor sin embargo su aplicación representaría un gasto para el gobierno de </w:t>
      </w:r>
      <w:r>
        <w:rPr>
          <w:spacing w:val="31"/>
        </w:rPr>
        <w:t> </w:t>
      </w:r>
      <w:r>
        <w:rPr/>
        <w:t>hasta</w:t>
      </w:r>
    </w:p>
    <w:p>
      <w:pPr>
        <w:pStyle w:val="BodyText"/>
        <w:spacing w:before="6"/>
        <w:ind w:left="122"/>
        <w:jc w:val="both"/>
      </w:pPr>
      <w:r>
        <w:rPr/>
        <w:t>$1530 millones de pesos.</w:t>
      </w:r>
    </w:p>
    <w:p>
      <w:pPr>
        <w:spacing w:after="0"/>
        <w:jc w:val="both"/>
        <w:sectPr>
          <w:pgSz w:w="12240" w:h="15840"/>
          <w:pgMar w:header="982" w:footer="986" w:top="1280" w:bottom="1180" w:left="1580" w:right="10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pStyle w:val="Heading2"/>
        <w:spacing w:line="1080" w:lineRule="exact"/>
        <w:ind w:left="858"/>
      </w:pPr>
      <w:bookmarkStart w:name="_bookmark28" w:id="48"/>
      <w:bookmarkEnd w:id="48"/>
      <w:r>
        <w:rPr/>
      </w:r>
      <w:r>
        <w:rPr/>
        <w:t>X. CONCLUSIÓN</w:t>
      </w:r>
    </w:p>
    <w:p>
      <w:pPr>
        <w:spacing w:before="555"/>
        <w:ind w:left="2301" w:right="410" w:firstLine="0"/>
        <w:jc w:val="left"/>
        <w:rPr>
          <w:sz w:val="96"/>
        </w:rPr>
      </w:pPr>
      <w:r>
        <w:rPr>
          <w:sz w:val="96"/>
        </w:rPr>
        <w:t>GENERAL</w:t>
      </w:r>
    </w:p>
    <w:p>
      <w:pPr>
        <w:spacing w:after="0"/>
        <w:jc w:val="left"/>
        <w:rPr>
          <w:sz w:val="96"/>
        </w:rPr>
        <w:sectPr>
          <w:pgSz w:w="12240" w:h="15840"/>
          <w:pgMar w:header="982" w:footer="986" w:top="1280" w:bottom="1180" w:left="1580" w:right="1060"/>
        </w:sectPr>
      </w:pPr>
    </w:p>
    <w:p>
      <w:pPr>
        <w:pStyle w:val="BodyText"/>
        <w:spacing w:line="360" w:lineRule="auto" w:before="122"/>
        <w:ind w:left="122" w:right="636"/>
        <w:jc w:val="both"/>
      </w:pPr>
      <w:r>
        <w:rPr/>
        <w:t>La ubicación y el tamaño de los rastros en el sur del Estado de México, así como en todo el Territorio Estatal no es el adecuado debido a que su localización no minimiza el costo de distribución.</w:t>
      </w:r>
    </w:p>
    <w:p>
      <w:pPr>
        <w:pStyle w:val="BodyText"/>
        <w:spacing w:line="360" w:lineRule="auto" w:before="205"/>
        <w:ind w:left="122" w:right="636"/>
        <w:jc w:val="both"/>
      </w:pPr>
      <w:r>
        <w:rPr/>
        <w:t>En el sur del Estado se debe considerar la existencia de nuevos rastros en los municipios de Temascaltepec y San Simón de Guerrero con un sacrificio de 67 y 35 cerdos por semana respectivamente para el año 2030 manteniendo el sacrificio de los rastros existentes y si no se considerara la planta actual de rastros Temascaltepec debería tener el rastro más grande de la zona sur del Estado de México con un sacrificio de 288 cerdos por semana.</w:t>
      </w:r>
    </w:p>
    <w:p>
      <w:pPr>
        <w:pStyle w:val="BodyText"/>
        <w:spacing w:line="360" w:lineRule="auto" w:before="206"/>
        <w:ind w:left="122" w:right="637"/>
        <w:jc w:val="both"/>
      </w:pPr>
      <w:r>
        <w:rPr/>
        <w:t>A nivel Estado la proyección para 2030 indica que solamente debe aumentarse la capacidad de planta en tres distritos, Atlacomulco, Tejupilco y Toluca, se debe analizar si es más rentable construir los nuevos rastros y/o ampliar los existentes de acuerdo a una</w:t>
      </w:r>
      <w:r>
        <w:rPr>
          <w:spacing w:val="-34"/>
        </w:rPr>
        <w:t> </w:t>
      </w:r>
      <w:r>
        <w:rPr/>
        <w:t>distribución óptima, o seguir utilizando los rastros actuales que propician un mayor costo en el proceso de comercialización de cerdos y sus canales en el Estado de México y el Distrito</w:t>
      </w:r>
      <w:r>
        <w:rPr>
          <w:spacing w:val="-16"/>
        </w:rPr>
        <w:t> </w:t>
      </w:r>
      <w:r>
        <w:rPr/>
        <w:t>Federal.</w:t>
      </w:r>
    </w:p>
    <w:p>
      <w:pPr>
        <w:pStyle w:val="BodyText"/>
        <w:spacing w:line="360" w:lineRule="auto" w:before="205"/>
        <w:ind w:left="122" w:right="638"/>
        <w:jc w:val="both"/>
      </w:pPr>
      <w:r>
        <w:rPr/>
        <w:t>El modelo que maximiza el VSN incrementa en 0.28 % la producción de cerdo en México, y disminuye las importaciones y consumo nacionales de 1.65 % y 0.52 % respectivamente, con respecto a lo observado en 2015. Debido a que esta diferencia entre lo real (observado en</w:t>
      </w:r>
      <w:r>
        <w:rPr>
          <w:spacing w:val="-7"/>
        </w:rPr>
        <w:t> </w:t>
      </w:r>
      <w:r>
        <w:rPr/>
        <w:t>2015)</w:t>
      </w:r>
      <w:r>
        <w:rPr>
          <w:spacing w:val="-6"/>
        </w:rPr>
        <w:t> </w:t>
      </w:r>
      <w:r>
        <w:rPr/>
        <w:t>y</w:t>
      </w:r>
      <w:r>
        <w:rPr>
          <w:spacing w:val="-11"/>
        </w:rPr>
        <w:t> </w:t>
      </w:r>
      <w:r>
        <w:rPr/>
        <w:t>el</w:t>
      </w:r>
      <w:r>
        <w:rPr>
          <w:spacing w:val="-7"/>
        </w:rPr>
        <w:t> </w:t>
      </w:r>
      <w:r>
        <w:rPr/>
        <w:t>modelo</w:t>
      </w:r>
      <w:r>
        <w:rPr>
          <w:spacing w:val="-7"/>
        </w:rPr>
        <w:t> </w:t>
      </w:r>
      <w:r>
        <w:rPr/>
        <w:t>óptimo</w:t>
      </w:r>
      <w:r>
        <w:rPr>
          <w:spacing w:val="-7"/>
        </w:rPr>
        <w:t> </w:t>
      </w:r>
      <w:r>
        <w:rPr/>
        <w:t>es</w:t>
      </w:r>
      <w:r>
        <w:rPr>
          <w:spacing w:val="-7"/>
        </w:rPr>
        <w:t> </w:t>
      </w:r>
      <w:r>
        <w:rPr/>
        <w:t>de</w:t>
      </w:r>
      <w:r>
        <w:rPr>
          <w:spacing w:val="47"/>
        </w:rPr>
        <w:t> </w:t>
      </w:r>
      <w:r>
        <w:rPr/>
        <w:t>0.11</w:t>
      </w:r>
      <w:r>
        <w:rPr>
          <w:spacing w:val="-9"/>
        </w:rPr>
        <w:t> </w:t>
      </w:r>
      <w:r>
        <w:rPr/>
        <w:t>%,</w:t>
      </w:r>
      <w:r>
        <w:rPr>
          <w:spacing w:val="-7"/>
        </w:rPr>
        <w:t> </w:t>
      </w:r>
      <w:r>
        <w:rPr/>
        <w:t>se</w:t>
      </w:r>
      <w:r>
        <w:rPr>
          <w:spacing w:val="-8"/>
        </w:rPr>
        <w:t> </w:t>
      </w:r>
      <w:r>
        <w:rPr/>
        <w:t>considera</w:t>
      </w:r>
      <w:r>
        <w:rPr>
          <w:spacing w:val="-8"/>
        </w:rPr>
        <w:t> </w:t>
      </w:r>
      <w:r>
        <w:rPr/>
        <w:t>que</w:t>
      </w:r>
      <w:r>
        <w:rPr>
          <w:spacing w:val="-8"/>
        </w:rPr>
        <w:t> </w:t>
      </w:r>
      <w:r>
        <w:rPr/>
        <w:t>este</w:t>
      </w:r>
      <w:r>
        <w:rPr>
          <w:spacing w:val="-7"/>
        </w:rPr>
        <w:t> </w:t>
      </w:r>
      <w:r>
        <w:rPr/>
        <w:t>último</w:t>
      </w:r>
      <w:r>
        <w:rPr>
          <w:spacing w:val="-7"/>
        </w:rPr>
        <w:t> </w:t>
      </w:r>
      <w:r>
        <w:rPr/>
        <w:t>es</w:t>
      </w:r>
      <w:r>
        <w:rPr>
          <w:spacing w:val="-7"/>
        </w:rPr>
        <w:t> </w:t>
      </w:r>
      <w:r>
        <w:rPr/>
        <w:t>válido</w:t>
      </w:r>
      <w:r>
        <w:rPr>
          <w:spacing w:val="-7"/>
        </w:rPr>
        <w:t> </w:t>
      </w:r>
      <w:r>
        <w:rPr/>
        <w:t>para</w:t>
      </w:r>
      <w:r>
        <w:rPr>
          <w:spacing w:val="-8"/>
        </w:rPr>
        <w:t> </w:t>
      </w:r>
      <w:r>
        <w:rPr/>
        <w:t>poder sugerir recomendaciones de política económica en favor del mercado de la carne porcina en México.</w:t>
      </w:r>
    </w:p>
    <w:p>
      <w:pPr>
        <w:pStyle w:val="BodyText"/>
        <w:spacing w:line="360" w:lineRule="auto" w:before="205"/>
        <w:ind w:left="122" w:right="636"/>
        <w:jc w:val="both"/>
      </w:pPr>
      <w:r>
        <w:rPr/>
        <w:t>Los aranceles, como medida de política comercial, son un instrumento que fortalece a la producción nacional, ya que funcionan como medida de protección, sin embargo también reducen el consumo, al incrementarse el costo de adquisición del producto para los consumidores nacionales. Lo cual concuerda con esta investigación ya que la aplicación de aranceles redujo el VSN, beneficiando a los productores internos de las regiones con mayor dinámica en la producción, pero se perjudica a la otra parte del mercado que es el consumo. La aplicación de aranceles, serían una recomendación económica útil a los productores nacionales ante riesgos de importaciones con precios menores a los costos de producción nacionales.</w:t>
      </w:r>
    </w:p>
    <w:p>
      <w:pPr>
        <w:spacing w:after="0" w:line="360" w:lineRule="auto"/>
        <w:jc w:val="both"/>
        <w:sectPr>
          <w:pgSz w:w="12240" w:h="15840"/>
          <w:pgMar w:header="982" w:footer="986" w:top="1280" w:bottom="1180" w:left="1580" w:right="1060"/>
        </w:sectPr>
      </w:pPr>
    </w:p>
    <w:p>
      <w:pPr>
        <w:pStyle w:val="BodyText"/>
        <w:spacing w:line="360" w:lineRule="auto" w:before="122"/>
        <w:ind w:left="122" w:right="635"/>
        <w:jc w:val="both"/>
      </w:pPr>
      <w:r>
        <w:rPr/>
        <w:t>Las políticas económicas como lo son los aranceles y los subsidios, funcionan como</w:t>
      </w:r>
      <w:r>
        <w:rPr>
          <w:spacing w:val="-28"/>
        </w:rPr>
        <w:t> </w:t>
      </w:r>
      <w:r>
        <w:rPr/>
        <w:t>medida de protección a la producción nacional, pero actúan de forma diferente, </w:t>
      </w:r>
      <w:r>
        <w:rPr>
          <w:spacing w:val="-3"/>
        </w:rPr>
        <w:t>ya </w:t>
      </w:r>
      <w:r>
        <w:rPr/>
        <w:t>que mientras los aranceles representan un ingreso adicional al gobierno, también incrementan el costo del producto</w:t>
      </w:r>
      <w:r>
        <w:rPr>
          <w:spacing w:val="-13"/>
        </w:rPr>
        <w:t> </w:t>
      </w:r>
      <w:r>
        <w:rPr/>
        <w:t>para</w:t>
      </w:r>
      <w:r>
        <w:rPr>
          <w:spacing w:val="-14"/>
        </w:rPr>
        <w:t> </w:t>
      </w:r>
      <w:r>
        <w:rPr/>
        <w:t>consumidores</w:t>
      </w:r>
      <w:r>
        <w:rPr>
          <w:spacing w:val="-8"/>
        </w:rPr>
        <w:t> </w:t>
      </w:r>
      <w:r>
        <w:rPr/>
        <w:t>y</w:t>
      </w:r>
      <w:r>
        <w:rPr>
          <w:spacing w:val="-18"/>
        </w:rPr>
        <w:t> </w:t>
      </w:r>
      <w:r>
        <w:rPr/>
        <w:t>reducen</w:t>
      </w:r>
      <w:r>
        <w:rPr>
          <w:spacing w:val="-13"/>
        </w:rPr>
        <w:t> </w:t>
      </w:r>
      <w:r>
        <w:rPr/>
        <w:t>su</w:t>
      </w:r>
      <w:r>
        <w:rPr>
          <w:spacing w:val="-11"/>
        </w:rPr>
        <w:t> </w:t>
      </w:r>
      <w:r>
        <w:rPr/>
        <w:t>consumo,</w:t>
      </w:r>
      <w:r>
        <w:rPr>
          <w:spacing w:val="35"/>
        </w:rPr>
        <w:t> </w:t>
      </w:r>
      <w:r>
        <w:rPr/>
        <w:t>los</w:t>
      </w:r>
      <w:r>
        <w:rPr>
          <w:spacing w:val="-13"/>
        </w:rPr>
        <w:t> </w:t>
      </w:r>
      <w:r>
        <w:rPr/>
        <w:t>subsidios</w:t>
      </w:r>
      <w:r>
        <w:rPr>
          <w:spacing w:val="-11"/>
        </w:rPr>
        <w:t> </w:t>
      </w:r>
      <w:r>
        <w:rPr/>
        <w:t>por</w:t>
      </w:r>
      <w:r>
        <w:rPr>
          <w:spacing w:val="-14"/>
        </w:rPr>
        <w:t> </w:t>
      </w:r>
      <w:r>
        <w:rPr/>
        <w:t>otra</w:t>
      </w:r>
      <w:r>
        <w:rPr>
          <w:spacing w:val="-15"/>
        </w:rPr>
        <w:t> </w:t>
      </w:r>
      <w:r>
        <w:rPr/>
        <w:t>parte,</w:t>
      </w:r>
      <w:r>
        <w:rPr>
          <w:spacing w:val="-13"/>
        </w:rPr>
        <w:t> </w:t>
      </w:r>
      <w:r>
        <w:rPr/>
        <w:t>incrementan la producción y el consumo nacional, pero su aplicación le genera un gasto al</w:t>
      </w:r>
      <w:r>
        <w:rPr>
          <w:spacing w:val="-14"/>
        </w:rPr>
        <w:t> </w:t>
      </w:r>
      <w:r>
        <w:rPr/>
        <w:t>gobierno.</w:t>
      </w:r>
    </w:p>
    <w:p>
      <w:pPr>
        <w:pStyle w:val="BodyText"/>
        <w:spacing w:line="360" w:lineRule="auto" w:before="6"/>
        <w:ind w:left="122" w:right="635"/>
        <w:jc w:val="both"/>
      </w:pPr>
      <w:r>
        <w:rPr/>
        <w:t>Finalmente, la producción porcícola en México, es sensible a la aplicación de aranceles y/o subsidios, por lo que estos resultados se convierten en una herramienta económica útil a los hacedores de políticas económicas públicas para conocer los efectos que generaría su aplicación.</w:t>
      </w:r>
    </w:p>
    <w:p>
      <w:pPr>
        <w:spacing w:after="0" w:line="360" w:lineRule="auto"/>
        <w:jc w:val="both"/>
        <w:sectPr>
          <w:pgSz w:w="12240" w:h="15840"/>
          <w:pgMar w:header="982" w:footer="986" w:top="1280" w:bottom="1180" w:left="1580" w:right="10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tabs>
          <w:tab w:pos="1899" w:val="left" w:leader="none"/>
        </w:tabs>
        <w:spacing w:line="360" w:lineRule="auto" w:before="95"/>
        <w:ind w:left="565" w:right="1085" w:firstLine="160"/>
      </w:pPr>
      <w:bookmarkStart w:name="_bookmark29" w:id="49"/>
      <w:bookmarkEnd w:id="49"/>
      <w:r>
        <w:rPr/>
      </w:r>
      <w:r>
        <w:rPr/>
        <w:t>X.</w:t>
        <w:tab/>
        <w:t>REFERENCIAS BIBLIOGRAFICAS</w:t>
      </w:r>
    </w:p>
    <w:p>
      <w:pPr>
        <w:spacing w:after="0" w:line="360" w:lineRule="auto"/>
        <w:sectPr>
          <w:pgSz w:w="12240" w:h="15840"/>
          <w:pgMar w:header="982" w:footer="986" w:top="1280" w:bottom="1180" w:left="1580" w:right="1060"/>
        </w:sectPr>
      </w:pPr>
    </w:p>
    <w:p>
      <w:pPr>
        <w:pStyle w:val="BodyText"/>
        <w:spacing w:line="360" w:lineRule="auto" w:before="122"/>
        <w:ind w:right="641"/>
        <w:jc w:val="right"/>
      </w:pPr>
      <w:r>
        <w:rPr/>
        <w:t>Bassols A. B. 1992 El Desarrollo Regional de México: teoría y práctica Libros de la Revista Problemas del Desarrollo. Instituto de Investigaciones Económicas, UNAM, México.</w:t>
      </w:r>
    </w:p>
    <w:p>
      <w:pPr>
        <w:pStyle w:val="BodyText"/>
      </w:pPr>
    </w:p>
    <w:p>
      <w:pPr>
        <w:tabs>
          <w:tab w:pos="4941" w:val="left" w:leader="none"/>
          <w:tab w:pos="8224" w:val="left" w:leader="none"/>
        </w:tabs>
        <w:spacing w:line="360" w:lineRule="auto" w:before="143"/>
        <w:ind w:left="830" w:right="640" w:hanging="708"/>
        <w:jc w:val="both"/>
        <w:rPr>
          <w:sz w:val="24"/>
        </w:rPr>
      </w:pPr>
      <w:r>
        <w:rPr>
          <w:sz w:val="24"/>
        </w:rPr>
        <w:t>CEPAL 2006. Comisión Económica para América Latina, conceptos de competitividad e instrumentos</w:t>
        <w:tab/>
        <w:t>para</w:t>
        <w:tab/>
        <w:t>medirla </w:t>
      </w:r>
      <w:hyperlink r:id="rId149">
        <w:r>
          <w:rPr>
            <w:spacing w:val="-1"/>
            <w:sz w:val="22"/>
            <w:u w:val="single"/>
          </w:rPr>
          <w:t>http://www..cl/mexico/capacidadescomerciales/taller%20panama/documentosypresentacion</w:t>
        </w:r>
      </w:hyperlink>
      <w:r>
        <w:rPr>
          <w:spacing w:val="-1"/>
          <w:sz w:val="22"/>
          <w:u w:val="single"/>
        </w:rPr>
        <w:t> </w:t>
      </w:r>
      <w:hyperlink r:id="rId149">
        <w:r>
          <w:rPr>
            <w:sz w:val="22"/>
            <w:u w:val="single"/>
          </w:rPr>
          <w:t>es/3.conceptosdecompetitividad_rp.pdf Consultado 14 enero</w:t>
        </w:r>
        <w:r>
          <w:rPr>
            <w:spacing w:val="-12"/>
            <w:sz w:val="22"/>
            <w:u w:val="single"/>
          </w:rPr>
          <w:t> </w:t>
        </w:r>
        <w:r>
          <w:rPr>
            <w:sz w:val="22"/>
            <w:u w:val="single"/>
          </w:rPr>
          <w:t>201</w:t>
        </w:r>
      </w:hyperlink>
      <w:r>
        <w:rPr>
          <w:sz w:val="24"/>
        </w:rPr>
        <w:t>6.</w:t>
      </w:r>
    </w:p>
    <w:p>
      <w:pPr>
        <w:pStyle w:val="BodyText"/>
        <w:rPr>
          <w:sz w:val="20"/>
        </w:rPr>
      </w:pPr>
    </w:p>
    <w:p>
      <w:pPr>
        <w:pStyle w:val="BodyText"/>
        <w:spacing w:line="360" w:lineRule="auto" w:before="189"/>
        <w:ind w:left="830" w:right="641" w:hanging="708"/>
        <w:jc w:val="both"/>
      </w:pPr>
      <w:r>
        <w:rPr/>
        <w:t>CONAPO 2015. Consejo Nacional de Población </w:t>
      </w:r>
      <w:hyperlink r:id="rId111">
        <w:r>
          <w:rPr/>
          <w:t>http://www.conapo.gob.mx/</w:t>
        </w:r>
      </w:hyperlink>
      <w:r>
        <w:rPr/>
        <w:t> Citado en 22 de Octubre 2016.</w:t>
      </w:r>
    </w:p>
    <w:p>
      <w:pPr>
        <w:pStyle w:val="BodyText"/>
      </w:pPr>
    </w:p>
    <w:p>
      <w:pPr>
        <w:pStyle w:val="BodyText"/>
        <w:spacing w:line="360" w:lineRule="auto" w:before="143"/>
        <w:ind w:left="830" w:right="639" w:hanging="708"/>
        <w:jc w:val="both"/>
      </w:pPr>
      <w:r>
        <w:rPr/>
        <w:t>CONFEPORC 2015. Confederación de Porcicultores Mexicanos A.</w:t>
      </w:r>
      <w:r>
        <w:rPr>
          <w:spacing w:val="-36"/>
        </w:rPr>
        <w:t> </w:t>
      </w:r>
      <w:r>
        <w:rPr/>
        <w:t>C. </w:t>
      </w:r>
      <w:hyperlink r:id="rId143">
        <w:r>
          <w:rPr/>
          <w:t>http://www.cmp.org/</w:t>
        </w:r>
      </w:hyperlink>
      <w:r>
        <w:rPr/>
        <w:t> Consultado 5 Septiembre del</w:t>
      </w:r>
      <w:r>
        <w:rPr>
          <w:spacing w:val="-4"/>
        </w:rPr>
        <w:t> </w:t>
      </w:r>
      <w:r>
        <w:rPr/>
        <w:t>2016.</w:t>
      </w:r>
    </w:p>
    <w:p>
      <w:pPr>
        <w:pStyle w:val="BodyText"/>
      </w:pPr>
    </w:p>
    <w:p>
      <w:pPr>
        <w:pStyle w:val="BodyText"/>
        <w:spacing w:line="360" w:lineRule="auto" w:before="143"/>
        <w:ind w:left="830" w:right="644" w:hanging="708"/>
        <w:jc w:val="both"/>
      </w:pPr>
      <w:r>
        <w:rPr/>
        <w:t>Díaz B. A. 2006 “Efectos de la globalización en la competitividad y en los sistemas productivos locales de México”, Observatorio de la Economía Latinoamericana vol. 5.</w:t>
      </w:r>
    </w:p>
    <w:p>
      <w:pPr>
        <w:pStyle w:val="BodyText"/>
      </w:pPr>
    </w:p>
    <w:p>
      <w:pPr>
        <w:pStyle w:val="BodyText"/>
        <w:spacing w:line="360" w:lineRule="auto" w:before="143"/>
        <w:ind w:left="830" w:right="642" w:hanging="708"/>
        <w:jc w:val="both"/>
      </w:pPr>
      <w:r>
        <w:rPr/>
        <w:t>FAO 2015. Food and Agriculture Organization of the United Nations, Perspectiva Agricola </w:t>
      </w:r>
      <w:hyperlink r:id="rId150">
        <w:r>
          <w:rPr/>
          <w:t>2011–2020 http://www.fao.org/home/en/</w:t>
        </w:r>
      </w:hyperlink>
      <w:r>
        <w:rPr/>
        <w:t> Consultado 6 de Noviembre del 2016.</w:t>
      </w:r>
    </w:p>
    <w:p>
      <w:pPr>
        <w:pStyle w:val="BodyText"/>
      </w:pPr>
    </w:p>
    <w:p>
      <w:pPr>
        <w:pStyle w:val="BodyText"/>
        <w:spacing w:line="360" w:lineRule="auto" w:before="143"/>
        <w:ind w:left="830" w:right="642" w:hanging="708"/>
        <w:jc w:val="both"/>
      </w:pPr>
      <w:r>
        <w:rPr/>
        <w:t>FIRA. Fideicomisos Instituidos en Relación con la Agricultura, Perspectivas para la porcicultura mexicana. https:/</w:t>
      </w:r>
      <w:hyperlink r:id="rId142">
        <w:r>
          <w:rPr/>
          <w:t>/www.fir</w:t>
        </w:r>
      </w:hyperlink>
      <w:r>
        <w:rPr/>
        <w:t>a</w:t>
      </w:r>
      <w:hyperlink r:id="rId142">
        <w:r>
          <w:rPr/>
          <w:t>.gob.mx/Nd/index.jsp</w:t>
        </w:r>
      </w:hyperlink>
      <w:r>
        <w:rPr/>
        <w:t> Consultado 15 May, 2016.</w:t>
      </w:r>
    </w:p>
    <w:p>
      <w:pPr>
        <w:pStyle w:val="BodyText"/>
      </w:pPr>
    </w:p>
    <w:p>
      <w:pPr>
        <w:pStyle w:val="BodyText"/>
        <w:spacing w:line="360" w:lineRule="auto" w:before="143"/>
        <w:ind w:left="830" w:right="642" w:hanging="708"/>
        <w:jc w:val="both"/>
      </w:pPr>
      <w:r>
        <w:rPr/>
        <w:t>García S. J. A. 2010. Notas sobre Modelos de Equilibrio Espacial e Intertemporal, Colegio de Postgraduados, Institución de enseñanza, Investigación y Extensión en Ciencias Agrícolas Campus Montecillo pp. 29:32, 71:80.</w:t>
      </w:r>
    </w:p>
    <w:p>
      <w:pPr>
        <w:spacing w:after="0" w:line="360" w:lineRule="auto"/>
        <w:jc w:val="both"/>
        <w:sectPr>
          <w:pgSz w:w="12240" w:h="15840"/>
          <w:pgMar w:header="982" w:footer="986" w:top="1280" w:bottom="1180" w:left="1580" w:right="1060"/>
        </w:sectPr>
      </w:pPr>
    </w:p>
    <w:p>
      <w:pPr>
        <w:pStyle w:val="BodyText"/>
        <w:spacing w:line="360" w:lineRule="auto" w:before="122"/>
        <w:ind w:left="830" w:right="641" w:hanging="708"/>
        <w:jc w:val="both"/>
      </w:pPr>
      <w:r>
        <w:rPr/>
        <w:t>Gómez, T. G., S. Rebollar R., J. Hernández M., E. Guzmán S. 2011. Efecto de los aranceles en la competitividad de la porcicultura mexicana. Tropical and Subtropical Agroecosystems. 14. 537-542.</w:t>
      </w:r>
    </w:p>
    <w:p>
      <w:pPr>
        <w:pStyle w:val="BodyText"/>
      </w:pPr>
    </w:p>
    <w:p>
      <w:pPr>
        <w:pStyle w:val="BodyText"/>
        <w:spacing w:line="360" w:lineRule="auto" w:before="143"/>
        <w:ind w:left="830" w:right="637" w:hanging="708"/>
        <w:jc w:val="both"/>
      </w:pPr>
      <w:r>
        <w:rPr/>
        <w:t>Gómez, T. G., S. Rebollar R., J. Hernández M., E. Guzmán S. 2012. Competitividad de la producción porcina de México y EUA. Revista Comercio Exterior. Vol. 62 pág.36- 45.</w:t>
      </w:r>
    </w:p>
    <w:p>
      <w:pPr>
        <w:pStyle w:val="BodyText"/>
      </w:pPr>
    </w:p>
    <w:p>
      <w:pPr>
        <w:pStyle w:val="BodyText"/>
        <w:spacing w:line="360" w:lineRule="auto" w:before="143"/>
        <w:ind w:left="830" w:right="642" w:hanging="708"/>
        <w:jc w:val="both"/>
      </w:pPr>
      <w:r>
        <w:rPr/>
        <w:t>Gómez, T. G., S. Rebollar R., J. Hernández M., E. Guzmán S. Competitividad de la producción porcina de México y EUA.  Revista Comercio Exterior 2012; 62: 36-45</w:t>
      </w:r>
    </w:p>
    <w:p>
      <w:pPr>
        <w:pStyle w:val="BodyText"/>
      </w:pPr>
    </w:p>
    <w:p>
      <w:pPr>
        <w:pStyle w:val="BodyText"/>
        <w:spacing w:line="360" w:lineRule="auto" w:before="143"/>
        <w:ind w:right="640"/>
        <w:jc w:val="right"/>
      </w:pPr>
      <w:r>
        <w:rPr/>
        <w:t>Hernández M., J., S. Rebollar R., S., R. Rojo R. Rentabilidad privada de las granjas porcinas en el sur del Estado de México. Revista Universidad y Ciencia Trópico Húmedo 2008.</w:t>
      </w:r>
    </w:p>
    <w:p>
      <w:pPr>
        <w:pStyle w:val="BodyText"/>
      </w:pPr>
    </w:p>
    <w:p>
      <w:pPr>
        <w:pStyle w:val="BodyText"/>
        <w:spacing w:line="360" w:lineRule="auto" w:before="143"/>
        <w:ind w:left="830" w:right="640" w:hanging="708"/>
        <w:jc w:val="both"/>
      </w:pPr>
      <w:r>
        <w:rPr/>
        <w:t>Pindyck R.S., Rubinfeld D.L. 2001 Microeconomia, 5ta ed. Ed. Pearson Prentice Hall, España Madrid.</w:t>
      </w:r>
    </w:p>
    <w:p>
      <w:pPr>
        <w:pStyle w:val="BodyText"/>
      </w:pPr>
    </w:p>
    <w:p>
      <w:pPr>
        <w:pStyle w:val="BodyText"/>
        <w:spacing w:line="360" w:lineRule="auto" w:before="143"/>
        <w:ind w:left="830" w:right="637" w:hanging="708"/>
        <w:jc w:val="both"/>
      </w:pPr>
      <w:r>
        <w:rPr/>
        <w:t>Servicio Nacional de Sanidad Inocuidad y Calidad Agroalimentaria (SENASICA) </w:t>
      </w:r>
      <w:hyperlink r:id="rId151">
        <w:r>
          <w:rPr/>
          <w:t>http://senasica.gob.mx/?id=743</w:t>
        </w:r>
      </w:hyperlink>
      <w:r>
        <w:rPr/>
        <w:t> Guía para el establecimiento de rastros consultado</w:t>
      </w:r>
      <w:r>
        <w:rPr>
          <w:spacing w:val="-14"/>
        </w:rPr>
        <w:t> </w:t>
      </w:r>
      <w:r>
        <w:rPr/>
        <w:t>el 20 Junio de</w:t>
      </w:r>
      <w:r>
        <w:rPr>
          <w:spacing w:val="1"/>
        </w:rPr>
        <w:t> </w:t>
      </w:r>
      <w:r>
        <w:rPr/>
        <w:t>2016.</w:t>
      </w:r>
    </w:p>
    <w:p>
      <w:pPr>
        <w:pStyle w:val="BodyText"/>
      </w:pPr>
    </w:p>
    <w:p>
      <w:pPr>
        <w:pStyle w:val="BodyText"/>
        <w:spacing w:line="360" w:lineRule="auto" w:before="143"/>
        <w:ind w:left="830" w:right="639" w:hanging="708"/>
        <w:jc w:val="both"/>
      </w:pPr>
      <w:r>
        <w:rPr/>
        <w:t>SIACON 2015 SIAP-SAGARPA Servicio de Información Agroalimentaria y Pesquera </w:t>
      </w:r>
      <w:hyperlink r:id="rId141">
        <w:r>
          <w:rPr/>
          <w:t>http://www.siap.gob.mx/optestadisticasiacon2016parcialsiacon-zip/,</w:t>
        </w:r>
      </w:hyperlink>
      <w:r>
        <w:rPr/>
        <w:t>  Consultado 16</w:t>
      </w:r>
    </w:p>
    <w:p>
      <w:pPr>
        <w:pStyle w:val="BodyText"/>
        <w:spacing w:before="6"/>
        <w:ind w:left="830" w:right="410"/>
      </w:pPr>
      <w:r>
        <w:rPr/>
        <w:t>Feb, 2016.</w:t>
      </w:r>
    </w:p>
    <w:p>
      <w:pPr>
        <w:pStyle w:val="BodyText"/>
      </w:pPr>
    </w:p>
    <w:p>
      <w:pPr>
        <w:pStyle w:val="BodyText"/>
      </w:pPr>
    </w:p>
    <w:p>
      <w:pPr>
        <w:pStyle w:val="BodyText"/>
        <w:spacing w:line="360" w:lineRule="auto"/>
        <w:ind w:left="830" w:right="637" w:hanging="708"/>
        <w:jc w:val="both"/>
      </w:pPr>
      <w:r>
        <w:rPr/>
        <w:t>SNIIM 2015. Sistema Nacional de Información e Integración de Mercados. Secretaria de Economía </w:t>
      </w:r>
      <w:hyperlink r:id="rId152">
        <w:r>
          <w:rPr/>
          <w:t>http://www.economia-sniim.gob.mx/nuevo/mapa.asp</w:t>
        </w:r>
      </w:hyperlink>
      <w:r>
        <w:rPr/>
        <w:t> Consultado 21 de Enero 2016.</w:t>
      </w:r>
    </w:p>
    <w:p>
      <w:pPr>
        <w:pStyle w:val="BodyText"/>
      </w:pPr>
    </w:p>
    <w:p>
      <w:pPr>
        <w:pStyle w:val="BodyText"/>
        <w:spacing w:line="360" w:lineRule="auto" w:before="140"/>
        <w:ind w:left="830" w:right="643" w:hanging="708"/>
        <w:jc w:val="both"/>
      </w:pPr>
      <w:r>
        <w:rPr/>
        <w:t>Tinoco J., J.L. 2004. La Porcicultura mexicana y el Tratado de Libre Comercio de América del Norte. Universidad Autónoma de México.</w:t>
      </w:r>
    </w:p>
    <w:p>
      <w:pPr>
        <w:spacing w:after="0" w:line="360" w:lineRule="auto"/>
        <w:jc w:val="both"/>
        <w:sectPr>
          <w:pgSz w:w="12240" w:h="15840"/>
          <w:pgMar w:header="982" w:footer="986" w:top="1280" w:bottom="1180" w:left="1580" w:right="1060"/>
        </w:sectPr>
      </w:pPr>
    </w:p>
    <w:p>
      <w:pPr>
        <w:pStyle w:val="BodyText"/>
        <w:tabs>
          <w:tab w:pos="1343" w:val="left" w:leader="none"/>
          <w:tab w:pos="3020" w:val="left" w:leader="none"/>
          <w:tab w:pos="4241" w:val="left" w:leader="none"/>
          <w:tab w:pos="5383" w:val="left" w:leader="none"/>
          <w:tab w:pos="7082" w:val="left" w:leader="none"/>
          <w:tab w:pos="7852" w:val="left" w:leader="none"/>
        </w:tabs>
        <w:spacing w:line="360" w:lineRule="auto" w:before="122"/>
        <w:ind w:left="830" w:right="636" w:hanging="708"/>
      </w:pPr>
      <w:r>
        <w:rPr/>
        <w:t>USDA</w:t>
        <w:tab/>
        <w:tab/>
        <w:t>2014.</w:t>
        <w:tab/>
        <w:t>United</w:t>
        <w:tab/>
        <w:t>States</w:t>
        <w:tab/>
      </w:r>
      <w:r>
        <w:rPr>
          <w:spacing w:val="-1"/>
        </w:rPr>
        <w:t>Department</w:t>
        <w:tab/>
      </w:r>
      <w:r>
        <w:rPr/>
        <w:t>of</w:t>
        <w:tab/>
        <w:t> Agriculture </w:t>
      </w:r>
      <w:hyperlink r:id="rId116">
        <w:r>
          <w:rPr/>
          <w:t>http://www.usda.gov/wps/portal/usda/usdahome</w:t>
        </w:r>
      </w:hyperlink>
      <w:r>
        <w:rPr/>
        <w:t> Consultado</w:t>
      </w:r>
      <w:r>
        <w:rPr>
          <w:spacing w:val="-8"/>
        </w:rPr>
        <w:t> </w:t>
      </w:r>
      <w:r>
        <w:rPr/>
        <w:t>12</w:t>
      </w:r>
      <w:r>
        <w:rPr>
          <w:spacing w:val="-2"/>
        </w:rPr>
        <w:t> </w:t>
      </w:r>
      <w:r>
        <w:rPr/>
        <w:t>Agosto 2015.</w:t>
      </w:r>
    </w:p>
    <w:p>
      <w:pPr>
        <w:pStyle w:val="BodyText"/>
      </w:pPr>
    </w:p>
    <w:p>
      <w:pPr>
        <w:pStyle w:val="BodyText"/>
        <w:tabs>
          <w:tab w:pos="1343" w:val="left" w:leader="none"/>
          <w:tab w:pos="3020" w:val="left" w:leader="none"/>
          <w:tab w:pos="4241" w:val="left" w:leader="none"/>
          <w:tab w:pos="5383" w:val="left" w:leader="none"/>
          <w:tab w:pos="7082" w:val="left" w:leader="none"/>
          <w:tab w:pos="7852" w:val="left" w:leader="none"/>
        </w:tabs>
        <w:spacing w:line="360" w:lineRule="auto" w:before="143"/>
        <w:ind w:left="830" w:right="745" w:hanging="708"/>
      </w:pPr>
      <w:r>
        <w:rPr/>
        <w:t>USDA</w:t>
        <w:tab/>
        <w:tab/>
        <w:t>2015.</w:t>
        <w:tab/>
        <w:t>United</w:t>
        <w:tab/>
        <w:t>States</w:t>
        <w:tab/>
      </w:r>
      <w:r>
        <w:rPr>
          <w:spacing w:val="-1"/>
        </w:rPr>
        <w:t>Department</w:t>
        <w:tab/>
      </w:r>
      <w:r>
        <w:rPr/>
        <w:t>of</w:t>
        <w:tab/>
        <w:t> Agriculture </w:t>
      </w:r>
      <w:hyperlink r:id="rId153">
        <w:r>
          <w:rPr>
            <w:u w:val="single"/>
          </w:rPr>
          <w:t>http://www.usda.gov/wps/portal/usda/usdahome</w:t>
        </w:r>
        <w:r>
          <w:rPr>
            <w:spacing w:val="-6"/>
            <w:u w:val="single"/>
          </w:rPr>
          <w:t> </w:t>
        </w:r>
        <w:r>
          <w:rPr>
            <w:u w:val="single"/>
          </w:rPr>
          <w:t>Consultado</w:t>
        </w:r>
        <w:r>
          <w:rPr>
            <w:spacing w:val="-4"/>
            <w:u w:val="single"/>
          </w:rPr>
          <w:t> </w:t>
        </w:r>
        <w:r>
          <w:rPr>
            <w:u w:val="single"/>
          </w:rPr>
          <w:t>13</w:t>
        </w:r>
        <w:r>
          <w:rPr>
            <w:w w:val="99"/>
            <w:u w:val="single"/>
          </w:rPr>
          <w:t> </w:t>
        </w:r>
        <w:r>
          <w:rPr>
            <w:u w:val="single"/>
          </w:rPr>
          <w:t>Noviembre</w:t>
        </w:r>
        <w:r>
          <w:rPr>
            <w:spacing w:val="-3"/>
            <w:u w:val="single"/>
          </w:rPr>
          <w:t> </w:t>
        </w:r>
        <w:r>
          <w:rPr>
            <w:u w:val="single"/>
          </w:rPr>
          <w:t>2016</w:t>
        </w:r>
      </w:hyperlink>
      <w:r>
        <w:rPr/>
        <w:t>.</w:t>
      </w:r>
    </w:p>
    <w:sectPr>
      <w:pgSz w:w="12240" w:h="15840"/>
      <w:pgMar w:header="982" w:footer="986" w:top="1280" w:bottom="1180" w:left="1580" w:right="10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Light">
    <w:altName w:val="Calibri Light"/>
    <w:charset w:val="0"/>
    <w:family w:val="swiss"/>
    <w:pitch w:val="variable"/>
  </w:font>
  <w:font w:name="Cambria Math">
    <w:altName w:val="Cambria Math"/>
    <w:charset w:val="0"/>
    <w:family w:val="roman"/>
    <w:pitch w:val="variable"/>
  </w:font>
  <w:font w:name="Symbol">
    <w:altName w:val="Symbol"/>
    <w:charset w:val="2"/>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8456" from="71.400002pt,747pt" to="539.400002pt,747pt" stroked="true" strokeweight=".48pt" strokecolor="#000000">
          <w10:wrap type="none"/>
        </v:line>
      </w:pict>
    </w:r>
    <w:r>
      <w:rPr/>
      <w:pict>
        <v:line style="position:absolute;mso-position-horizontal-relative:page;mso-position-vertical-relative:page;z-index:-148432" from="70.800003pt,729.960022pt" to="539.350003pt,729.960022pt" stroked="true" strokeweight=".48pt" strokecolor="#000000">
          <w10:wrap type="none"/>
        </v:line>
      </w:pict>
    </w:r>
    <w:r>
      <w:rPr/>
      <w:pict>
        <v:shape style="position:absolute;margin-left:69.944pt;margin-top:731.452393pt;width:146.4pt;height:13.05pt;mso-position-horizontal-relative:page;mso-position-vertical-relative:page;z-index:-148408" type="#_x0000_t202" filled="false" stroked="false">
          <v:textbox inset="0,0,0,0">
            <w:txbxContent>
              <w:p>
                <w:pPr>
                  <w:spacing w:line="245" w:lineRule="exact" w:before="0"/>
                  <w:ind w:left="20" w:right="-2" w:firstLine="0"/>
                  <w:jc w:val="left"/>
                  <w:rPr>
                    <w:sz w:val="22"/>
                  </w:rPr>
                </w:pPr>
                <w:r>
                  <w:rPr>
                    <w:sz w:val="22"/>
                  </w:rPr>
                  <w:t>Héctor Hugo Velázquez Villalva</w:t>
                </w:r>
              </w:p>
            </w:txbxContent>
          </v:textbox>
          <w10:wrap type="none"/>
        </v:shape>
      </w:pict>
    </w:r>
    <w:r>
      <w:rPr/>
      <w:pict>
        <v:shape style="position:absolute;margin-left:478.26001pt;margin-top:731.452393pt;width:55.4pt;height:13.05pt;mso-position-horizontal-relative:page;mso-position-vertical-relative:page;z-index:-148384" type="#_x0000_t202" filled="false" stroked="false">
          <v:textbox inset="0,0,0,0">
            <w:txbxContent>
              <w:p>
                <w:pPr>
                  <w:spacing w:line="245" w:lineRule="exact" w:before="0"/>
                  <w:ind w:left="20" w:right="0" w:firstLine="0"/>
                  <w:jc w:val="left"/>
                  <w:rPr>
                    <w:sz w:val="22"/>
                  </w:rPr>
                </w:pPr>
                <w:r>
                  <w:rPr>
                    <w:sz w:val="22"/>
                  </w:rPr>
                  <w:t>Página | </w:t>
                </w:r>
                <w:r>
                  <w:rPr/>
                  <w:fldChar w:fldCharType="begin"/>
                </w:r>
                <w:r>
                  <w:rPr>
                    <w:sz w:val="22"/>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7472" from="85.559998pt,747.119995pt" to="553.559998pt,747.119995pt" stroked="true" strokeweight=".48pt" strokecolor="#000000">
          <w10:wrap type="none"/>
        </v:line>
      </w:pict>
    </w:r>
    <w:r>
      <w:rPr/>
      <w:pict>
        <v:line style="position:absolute;mso-position-horizontal-relative:page;mso-position-vertical-relative:page;z-index:-147448" from="84.959999pt,729.960022pt" to="553.509999pt,729.960022pt" stroked="true" strokeweight=".48pt" strokecolor="#000000">
          <w10:wrap type="none"/>
        </v:line>
      </w:pict>
    </w:r>
    <w:r>
      <w:rPr/>
      <w:pict>
        <v:shape style="position:absolute;margin-left:84.103996pt;margin-top:731.452393pt;width:146.4pt;height:13.05pt;mso-position-horizontal-relative:page;mso-position-vertical-relative:page;z-index:-147424" type="#_x0000_t202" filled="false" stroked="false">
          <v:textbox inset="0,0,0,0">
            <w:txbxContent>
              <w:p>
                <w:pPr>
                  <w:spacing w:line="245" w:lineRule="exact" w:before="0"/>
                  <w:ind w:left="20" w:right="-2" w:firstLine="0"/>
                  <w:jc w:val="left"/>
                  <w:rPr>
                    <w:sz w:val="22"/>
                  </w:rPr>
                </w:pPr>
                <w:r>
                  <w:rPr>
                    <w:sz w:val="22"/>
                  </w:rPr>
                  <w:t>Héctor Hugo Velázquez Villalva</w:t>
                </w:r>
              </w:p>
            </w:txbxContent>
          </v:textbox>
          <w10:wrap type="none"/>
        </v:shape>
      </w:pict>
    </w:r>
    <w:r>
      <w:rPr/>
      <w:pict>
        <v:shape style="position:absolute;margin-left:471.899994pt;margin-top:731.452393pt;width:57.15pt;height:13.05pt;mso-position-horizontal-relative:page;mso-position-vertical-relative:page;z-index:-147400" type="#_x0000_t202" filled="false" stroked="false">
          <v:textbox inset="0,0,0,0">
            <w:txbxContent>
              <w:p>
                <w:pPr>
                  <w:spacing w:line="245" w:lineRule="exact" w:before="0"/>
                  <w:ind w:left="20" w:right="0" w:firstLine="0"/>
                  <w:jc w:val="left"/>
                  <w:rPr>
                    <w:sz w:val="22"/>
                  </w:rPr>
                </w:pPr>
                <w:r>
                  <w:rPr>
                    <w:sz w:val="22"/>
                  </w:rPr>
                  <w:t>Página | </w:t>
                </w:r>
                <w:r>
                  <w:rPr/>
                  <w:fldChar w:fldCharType="begin"/>
                </w:r>
                <w:r>
                  <w:rPr>
                    <w:sz w:val="22"/>
                  </w:rPr>
                  <w:instrText> PAGE </w:instrText>
                </w:r>
                <w:r>
                  <w:rPr/>
                  <w:fldChar w:fldCharType="separate"/>
                </w:r>
                <w:r>
                  <w:rPr/>
                  <w:t>162</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8360" from="71.400002pt,747pt" to="539.400002pt,747pt" stroked="true" strokeweight=".48pt" strokecolor="#000000">
          <w10:wrap type="none"/>
        </v:line>
      </w:pict>
    </w:r>
    <w:r>
      <w:rPr/>
      <w:pict>
        <v:line style="position:absolute;mso-position-horizontal-relative:page;mso-position-vertical-relative:page;z-index:-148336" from="70.800003pt,729.960022pt" to="539.350003pt,729.960022pt" stroked="true" strokeweight=".48pt" strokecolor="#000000">
          <w10:wrap type="none"/>
        </v:line>
      </w:pict>
    </w:r>
    <w:r>
      <w:rPr/>
      <w:pict>
        <v:shape style="position:absolute;margin-left:69.944pt;margin-top:731.452393pt;width:146.4pt;height:13.05pt;mso-position-horizontal-relative:page;mso-position-vertical-relative:page;z-index:-148312" type="#_x0000_t202" filled="false" stroked="false">
          <v:textbox inset="0,0,0,0">
            <w:txbxContent>
              <w:p>
                <w:pPr>
                  <w:spacing w:line="245" w:lineRule="exact" w:before="0"/>
                  <w:ind w:left="20" w:right="-2" w:firstLine="0"/>
                  <w:jc w:val="left"/>
                  <w:rPr>
                    <w:sz w:val="22"/>
                  </w:rPr>
                </w:pPr>
                <w:r>
                  <w:rPr>
                    <w:sz w:val="22"/>
                  </w:rPr>
                  <w:t>Héctor Hugo Velázquez Villalva</w:t>
                </w:r>
              </w:p>
            </w:txbxContent>
          </v:textbox>
          <w10:wrap type="none"/>
        </v:shape>
      </w:pict>
    </w:r>
    <w:r>
      <w:rPr/>
      <w:pict>
        <v:shape style="position:absolute;margin-left:478.26001pt;margin-top:731.452393pt;width:55.4pt;height:13.05pt;mso-position-horizontal-relative:page;mso-position-vertical-relative:page;z-index:-148288" type="#_x0000_t202" filled="false" stroked="false">
          <v:textbox inset="0,0,0,0">
            <w:txbxContent>
              <w:p>
                <w:pPr>
                  <w:spacing w:line="245" w:lineRule="exact" w:before="0"/>
                  <w:ind w:left="20" w:right="0" w:firstLine="0"/>
                  <w:jc w:val="left"/>
                  <w:rPr>
                    <w:sz w:val="22"/>
                  </w:rPr>
                </w:pPr>
                <w:r>
                  <w:rPr>
                    <w:sz w:val="22"/>
                  </w:rPr>
                  <w:t>Página | </w:t>
                </w:r>
                <w:r>
                  <w:rPr/>
                  <w:fldChar w:fldCharType="begin"/>
                </w:r>
                <w:r>
                  <w:rPr>
                    <w:sz w:val="22"/>
                  </w:rPr>
                  <w:instrText> PAGE  \* roman </w:instrText>
                </w:r>
                <w:r>
                  <w:rPr/>
                  <w:fldChar w:fldCharType="separate"/>
                </w:r>
                <w:r>
                  <w:rPr/>
                  <w:t>xiii</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8264" from="71.400002pt,747pt" to="539.400002pt,747pt" stroked="true" strokeweight=".48pt" strokecolor="#000000">
          <w10:wrap type="none"/>
        </v:line>
      </w:pict>
    </w:r>
    <w:r>
      <w:rPr/>
      <w:pict>
        <v:line style="position:absolute;mso-position-horizontal-relative:page;mso-position-vertical-relative:page;z-index:-148240" from="70.800003pt,729.960022pt" to="539.350003pt,729.960022pt" stroked="true" strokeweight=".48pt" strokecolor="#000000">
          <w10:wrap type="none"/>
        </v:line>
      </w:pict>
    </w:r>
    <w:r>
      <w:rPr/>
      <w:pict>
        <v:shape style="position:absolute;margin-left:69.944pt;margin-top:731.452393pt;width:146.4pt;height:13.05pt;mso-position-horizontal-relative:page;mso-position-vertical-relative:page;z-index:-148216" type="#_x0000_t202" filled="false" stroked="false">
          <v:textbox inset="0,0,0,0">
            <w:txbxContent>
              <w:p>
                <w:pPr>
                  <w:spacing w:line="245" w:lineRule="exact" w:before="0"/>
                  <w:ind w:left="20" w:right="-2" w:firstLine="0"/>
                  <w:jc w:val="left"/>
                  <w:rPr>
                    <w:sz w:val="22"/>
                  </w:rPr>
                </w:pPr>
                <w:r>
                  <w:rPr>
                    <w:sz w:val="22"/>
                  </w:rPr>
                  <w:t>Héctor Hugo Velázquez Villalva</w:t>
                </w:r>
              </w:p>
            </w:txbxContent>
          </v:textbox>
          <w10:wrap type="none"/>
        </v:shape>
      </w:pict>
    </w:r>
    <w:r>
      <w:rPr/>
      <w:pict>
        <v:shape style="position:absolute;margin-left:478.859985pt;margin-top:731.452393pt;width:54.75pt;height:13.05pt;mso-position-horizontal-relative:page;mso-position-vertical-relative:page;z-index:-148192" type="#_x0000_t202" filled="false" stroked="false">
          <v:textbox inset="0,0,0,0">
            <w:txbxContent>
              <w:p>
                <w:pPr>
                  <w:spacing w:line="245" w:lineRule="exact" w:before="0"/>
                  <w:ind w:left="20" w:right="0" w:firstLine="0"/>
                  <w:jc w:val="left"/>
                  <w:rPr>
                    <w:sz w:val="22"/>
                  </w:rPr>
                </w:pPr>
                <w:r>
                  <w:rPr>
                    <w:sz w:val="22"/>
                  </w:rPr>
                  <w:t>Página | </w:t>
                </w:r>
                <w:r>
                  <w:rPr/>
                  <w:fldChar w:fldCharType="begin"/>
                </w:r>
                <w:r>
                  <w:rPr>
                    <w:sz w:val="22"/>
                  </w:rPr>
                  <w:instrText> PAGE  \* roman </w:instrText>
                </w:r>
                <w:r>
                  <w:rPr/>
                  <w:fldChar w:fldCharType="separate"/>
                </w:r>
                <w:r>
                  <w:rPr/>
                  <w:t>xiv</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8168" from="71.400002pt,747pt" to="539.400002pt,747pt" stroked="true" strokeweight=".48pt" strokecolor="#000000">
          <w10:wrap type="none"/>
        </v:line>
      </w:pict>
    </w:r>
    <w:r>
      <w:rPr/>
      <w:pict>
        <v:line style="position:absolute;mso-position-horizontal-relative:page;mso-position-vertical-relative:page;z-index:-148144" from="70.800003pt,729.960022pt" to="539.350003pt,729.960022pt" stroked="true" strokeweight=".48pt" strokecolor="#000000">
          <w10:wrap type="none"/>
        </v:line>
      </w:pict>
    </w:r>
    <w:r>
      <w:rPr/>
      <w:pict>
        <v:shape style="position:absolute;margin-left:69.944pt;margin-top:731.452393pt;width:146.4pt;height:13.05pt;mso-position-horizontal-relative:page;mso-position-vertical-relative:page;z-index:-148120" type="#_x0000_t202" filled="false" stroked="false">
          <v:textbox inset="0,0,0,0">
            <w:txbxContent>
              <w:p>
                <w:pPr>
                  <w:spacing w:line="245" w:lineRule="exact" w:before="0"/>
                  <w:ind w:left="20" w:right="-2" w:firstLine="0"/>
                  <w:jc w:val="left"/>
                  <w:rPr>
                    <w:sz w:val="22"/>
                  </w:rPr>
                </w:pPr>
                <w:r>
                  <w:rPr>
                    <w:sz w:val="22"/>
                  </w:rPr>
                  <w:t>Héctor Hugo Velázquez Villalva</w:t>
                </w:r>
              </w:p>
            </w:txbxContent>
          </v:textbox>
          <w10:wrap type="none"/>
        </v:shape>
      </w:pict>
    </w:r>
    <w:r>
      <w:rPr/>
      <w:pict>
        <v:shape style="position:absolute;margin-left:472.73999pt;margin-top:731.452393pt;width:60.85pt;height:13.05pt;mso-position-horizontal-relative:page;mso-position-vertical-relative:page;z-index:-148096" type="#_x0000_t202" filled="false" stroked="false">
          <v:textbox inset="0,0,0,0">
            <w:txbxContent>
              <w:p>
                <w:pPr>
                  <w:spacing w:line="245" w:lineRule="exact" w:before="0"/>
                  <w:ind w:left="20" w:right="0" w:firstLine="0"/>
                  <w:jc w:val="left"/>
                  <w:rPr>
                    <w:sz w:val="22"/>
                  </w:rPr>
                </w:pPr>
                <w:r>
                  <w:rPr>
                    <w:sz w:val="22"/>
                  </w:rPr>
                  <w:t>Página | </w:t>
                </w:r>
                <w:r>
                  <w:rPr/>
                  <w:fldChar w:fldCharType="begin"/>
                </w:r>
                <w:r>
                  <w:rPr>
                    <w:sz w:val="22"/>
                  </w:rPr>
                  <w:instrText> PAGE  \* roman </w:instrText>
                </w:r>
                <w:r>
                  <w:rPr/>
                  <w:fldChar w:fldCharType="separate"/>
                </w:r>
                <w:r>
                  <w:rPr/>
                  <w:t>xviii</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8072" from="71.400002pt,747pt" to="539.400002pt,747pt" stroked="true" strokeweight=".48pt" strokecolor="#000000">
          <w10:wrap type="none"/>
        </v:line>
      </w:pict>
    </w:r>
    <w:r>
      <w:rPr/>
      <w:pict>
        <v:line style="position:absolute;mso-position-horizontal-relative:page;mso-position-vertical-relative:page;z-index:-148048" from="70.800003pt,729.960022pt" to="539.350003pt,729.960022pt" stroked="true" strokeweight=".48pt" strokecolor="#000000">
          <w10:wrap type="none"/>
        </v:line>
      </w:pict>
    </w:r>
    <w:r>
      <w:rPr/>
      <w:pict>
        <v:shape style="position:absolute;margin-left:69.944pt;margin-top:731.452393pt;width:146.4pt;height:13.05pt;mso-position-horizontal-relative:page;mso-position-vertical-relative:page;z-index:-148024" type="#_x0000_t202" filled="false" stroked="false">
          <v:textbox inset="0,0,0,0">
            <w:txbxContent>
              <w:p>
                <w:pPr>
                  <w:spacing w:line="245" w:lineRule="exact" w:before="0"/>
                  <w:ind w:left="20" w:right="-2" w:firstLine="0"/>
                  <w:jc w:val="left"/>
                  <w:rPr>
                    <w:sz w:val="22"/>
                  </w:rPr>
                </w:pPr>
                <w:r>
                  <w:rPr>
                    <w:sz w:val="22"/>
                  </w:rPr>
                  <w:t>Héctor Hugo Velázquez Villalva</w:t>
                </w:r>
              </w:p>
            </w:txbxContent>
          </v:textbox>
          <w10:wrap type="none"/>
        </v:shape>
      </w:pict>
    </w:r>
    <w:r>
      <w:rPr/>
      <w:pict>
        <v:shape style="position:absolute;margin-left:481.980011pt;margin-top:731.452393pt;width:51.6pt;height:13.05pt;mso-position-horizontal-relative:page;mso-position-vertical-relative:page;z-index:-148000" type="#_x0000_t202" filled="false" stroked="false">
          <v:textbox inset="0,0,0,0">
            <w:txbxContent>
              <w:p>
                <w:pPr>
                  <w:spacing w:line="245" w:lineRule="exact" w:before="0"/>
                  <w:ind w:left="20" w:right="0" w:firstLine="0"/>
                  <w:jc w:val="left"/>
                  <w:rPr>
                    <w:sz w:val="22"/>
                  </w:rPr>
                </w:pPr>
                <w:r>
                  <w:rPr>
                    <w:sz w:val="22"/>
                  </w:rPr>
                  <w:t>Página | </w:t>
                </w:r>
                <w:r>
                  <w:rPr/>
                  <w:fldChar w:fldCharType="begin"/>
                </w:r>
                <w:r>
                  <w:rPr>
                    <w:sz w:val="22"/>
                  </w:rPr>
                  <w:instrText> PAGE </w:instrText>
                </w:r>
                <w:r>
                  <w:rPr/>
                  <w:fldChar w:fldCharType="separate"/>
                </w:r>
                <w:r>
                  <w:rPr/>
                  <w:t>10</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7976" from="71.400002pt,747pt" to="539.400002pt,747pt" stroked="true" strokeweight=".48pt" strokecolor="#000000">
          <w10:wrap type="none"/>
        </v:line>
      </w:pict>
    </w:r>
    <w:r>
      <w:rPr/>
      <w:pict>
        <v:line style="position:absolute;mso-position-horizontal-relative:page;mso-position-vertical-relative:page;z-index:-147952" from="70.800003pt,729.960022pt" to="539.350003pt,729.960022pt" stroked="true" strokeweight=".48pt" strokecolor="#000000">
          <w10:wrap type="none"/>
        </v:line>
      </w:pict>
    </w:r>
    <w:r>
      <w:rPr/>
      <w:pict>
        <v:shape style="position:absolute;margin-left:69.944pt;margin-top:731.452393pt;width:146.4pt;height:13.05pt;mso-position-horizontal-relative:page;mso-position-vertical-relative:page;z-index:-147928" type="#_x0000_t202" filled="false" stroked="false">
          <v:textbox inset="0,0,0,0">
            <w:txbxContent>
              <w:p>
                <w:pPr>
                  <w:spacing w:line="245" w:lineRule="exact" w:before="0"/>
                  <w:ind w:left="20" w:right="-2" w:firstLine="0"/>
                  <w:jc w:val="left"/>
                  <w:rPr>
                    <w:sz w:val="22"/>
                  </w:rPr>
                </w:pPr>
                <w:r>
                  <w:rPr>
                    <w:sz w:val="22"/>
                  </w:rPr>
                  <w:t>Héctor Hugo Velázquez Villalva</w:t>
                </w:r>
              </w:p>
            </w:txbxContent>
          </v:textbox>
          <w10:wrap type="none"/>
        </v:shape>
      </w:pict>
    </w:r>
    <w:r>
      <w:rPr/>
      <w:pict>
        <v:shape style="position:absolute;margin-left:481.980011pt;margin-top:731.452393pt;width:51.6pt;height:13.05pt;mso-position-horizontal-relative:page;mso-position-vertical-relative:page;z-index:-147904" type="#_x0000_t202" filled="false" stroked="false">
          <v:textbox inset="0,0,0,0">
            <w:txbxContent>
              <w:p>
                <w:pPr>
                  <w:spacing w:line="245" w:lineRule="exact" w:before="0"/>
                  <w:ind w:left="20" w:right="0" w:firstLine="0"/>
                  <w:jc w:val="left"/>
                  <w:rPr>
                    <w:sz w:val="22"/>
                  </w:rPr>
                </w:pPr>
                <w:r>
                  <w:rPr>
                    <w:sz w:val="22"/>
                  </w:rPr>
                  <w:t>Página | </w:t>
                </w:r>
                <w:r>
                  <w:rPr/>
                  <w:fldChar w:fldCharType="begin"/>
                </w:r>
                <w:r>
                  <w:rPr>
                    <w:sz w:val="22"/>
                  </w:rPr>
                  <w:instrText> PAGE </w:instrText>
                </w:r>
                <w:r>
                  <w:rPr/>
                  <w:fldChar w:fldCharType="separate"/>
                </w:r>
                <w:r>
                  <w:rPr/>
                  <w:t>21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7808" from="71.400002pt,747pt" to="539.400002pt,747pt" stroked="true" strokeweight=".48pt" strokecolor="#000000">
          <w10:wrap type="none"/>
        </v:line>
      </w:pict>
    </w:r>
    <w:r>
      <w:rPr/>
      <w:pict>
        <v:line style="position:absolute;mso-position-horizontal-relative:page;mso-position-vertical-relative:page;z-index:-147784" from="70.800003pt,729.960022pt" to="539.350003pt,729.960022pt" stroked="true" strokeweight=".48pt" strokecolor="#000000">
          <w10:wrap type="none"/>
        </v:line>
      </w:pict>
    </w:r>
    <w:r>
      <w:rPr/>
      <w:pict>
        <v:shape style="position:absolute;margin-left:69.944pt;margin-top:731.452393pt;width:146.4pt;height:13.05pt;mso-position-horizontal-relative:page;mso-position-vertical-relative:page;z-index:-147760" type="#_x0000_t202" filled="false" stroked="false">
          <v:textbox inset="0,0,0,0">
            <w:txbxContent>
              <w:p>
                <w:pPr>
                  <w:spacing w:line="245" w:lineRule="exact" w:before="0"/>
                  <w:ind w:left="20" w:right="-2" w:firstLine="0"/>
                  <w:jc w:val="left"/>
                  <w:rPr>
                    <w:sz w:val="22"/>
                  </w:rPr>
                </w:pPr>
                <w:r>
                  <w:rPr>
                    <w:sz w:val="22"/>
                  </w:rPr>
                  <w:t>Héctor Hugo Velázquez Villalva</w:t>
                </w:r>
              </w:p>
            </w:txbxContent>
          </v:textbox>
          <w10:wrap type="none"/>
        </v:shape>
      </w:pict>
    </w:r>
    <w:r>
      <w:rPr/>
      <w:pict>
        <v:shape style="position:absolute;margin-left:476.459991pt;margin-top:731.452393pt;width:56.15pt;height:13.05pt;mso-position-horizontal-relative:page;mso-position-vertical-relative:page;z-index:-147736" type="#_x0000_t202" filled="false" stroked="false">
          <v:textbox inset="0,0,0,0">
            <w:txbxContent>
              <w:p>
                <w:pPr>
                  <w:spacing w:line="245" w:lineRule="exact" w:before="0"/>
                  <w:ind w:left="20" w:right="0" w:firstLine="0"/>
                  <w:jc w:val="left"/>
                  <w:rPr>
                    <w:sz w:val="22"/>
                  </w:rPr>
                </w:pPr>
                <w:r>
                  <w:rPr>
                    <w:sz w:val="22"/>
                  </w:rPr>
                  <w:t>Página | 100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7712" from="71.400002pt,747pt" to="539.400002pt,747pt" stroked="true" strokeweight=".48pt" strokecolor="#000000">
          <w10:wrap type="none"/>
        </v:line>
      </w:pict>
    </w:r>
    <w:r>
      <w:rPr/>
      <w:pict>
        <v:line style="position:absolute;mso-position-horizontal-relative:page;mso-position-vertical-relative:page;z-index:-147688" from="70.800003pt,729.960022pt" to="539.350003pt,729.960022pt" stroked="true" strokeweight=".48pt" strokecolor="#000000">
          <w10:wrap type="none"/>
        </v:line>
      </w:pict>
    </w:r>
    <w:r>
      <w:rPr/>
      <w:pict>
        <v:shape style="position:absolute;margin-left:69.944pt;margin-top:731.452393pt;width:146.4pt;height:13.05pt;mso-position-horizontal-relative:page;mso-position-vertical-relative:page;z-index:-147664" type="#_x0000_t202" filled="false" stroked="false">
          <v:textbox inset="0,0,0,0">
            <w:txbxContent>
              <w:p>
                <w:pPr>
                  <w:spacing w:line="245" w:lineRule="exact" w:before="0"/>
                  <w:ind w:left="20" w:right="-2" w:firstLine="0"/>
                  <w:jc w:val="left"/>
                  <w:rPr>
                    <w:sz w:val="22"/>
                  </w:rPr>
                </w:pPr>
                <w:r>
                  <w:rPr>
                    <w:sz w:val="22"/>
                  </w:rPr>
                  <w:t>Héctor Hugo Velázquez Villalva</w:t>
                </w:r>
              </w:p>
            </w:txbxContent>
          </v:textbox>
          <w10:wrap type="none"/>
        </v:shape>
      </w:pict>
    </w:r>
    <w:r>
      <w:rPr/>
      <w:pict>
        <v:shape style="position:absolute;margin-left:476.459991pt;margin-top:731.452393pt;width:57.15pt;height:13.05pt;mso-position-horizontal-relative:page;mso-position-vertical-relative:page;z-index:-147640" type="#_x0000_t202" filled="false" stroked="false">
          <v:textbox inset="0,0,0,0">
            <w:txbxContent>
              <w:p>
                <w:pPr>
                  <w:spacing w:line="245" w:lineRule="exact" w:before="0"/>
                  <w:ind w:left="20" w:right="0" w:firstLine="0"/>
                  <w:jc w:val="left"/>
                  <w:rPr>
                    <w:sz w:val="22"/>
                  </w:rPr>
                </w:pPr>
                <w:r>
                  <w:rPr>
                    <w:sz w:val="22"/>
                  </w:rPr>
                  <w:t>Página | </w:t>
                </w:r>
                <w:r>
                  <w:rPr/>
                  <w:fldChar w:fldCharType="begin"/>
                </w:r>
                <w:r>
                  <w:rPr>
                    <w:sz w:val="22"/>
                  </w:rPr>
                  <w:instrText> PAGE </w:instrText>
                </w:r>
                <w:r>
                  <w:rPr/>
                  <w:fldChar w:fldCharType="separate"/>
                </w:r>
                <w:r>
                  <w:rPr/>
                  <w:t>101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7616" from="71.400002pt,567pt" to="539.400002pt,567pt" stroked="true" strokeweight=".48pt" strokecolor="#000000">
          <w10:wrap type="none"/>
        </v:line>
      </w:pict>
    </w:r>
    <w:r>
      <w:rPr/>
      <w:pict>
        <v:line style="position:absolute;mso-position-horizontal-relative:page;mso-position-vertical-relative:page;z-index:-147592" from="70.800003pt,549.960022pt" to="539.350003pt,549.960022pt" stroked="true" strokeweight=".48pt" strokecolor="#000000">
          <w10:wrap type="none"/>
        </v:line>
      </w:pict>
    </w:r>
    <w:r>
      <w:rPr/>
      <w:pict>
        <v:shape style="position:absolute;margin-left:69.919998pt;margin-top:551.452393pt;width:146.4pt;height:13.05pt;mso-position-horizontal-relative:page;mso-position-vertical-relative:page;z-index:-147568" type="#_x0000_t202" filled="false" stroked="false">
          <v:textbox inset="0,0,0,0">
            <w:txbxContent>
              <w:p>
                <w:pPr>
                  <w:spacing w:line="245" w:lineRule="exact" w:before="0"/>
                  <w:ind w:left="20" w:right="-2" w:firstLine="0"/>
                  <w:jc w:val="left"/>
                  <w:rPr>
                    <w:sz w:val="22"/>
                  </w:rPr>
                </w:pPr>
                <w:r>
                  <w:rPr>
                    <w:sz w:val="22"/>
                  </w:rPr>
                  <w:t>Héctor Hugo Velázquez Villalva</w:t>
                </w:r>
              </w:p>
            </w:txbxContent>
          </v:textbox>
          <w10:wrap type="none"/>
        </v:shape>
      </w:pict>
    </w:r>
    <w:r>
      <w:rPr/>
      <w:pict>
        <v:shape style="position:absolute;margin-left:666.059998pt;margin-top:551.452393pt;width:56.15pt;height:13.05pt;mso-position-horizontal-relative:page;mso-position-vertical-relative:page;z-index:-147544" type="#_x0000_t202" filled="false" stroked="false">
          <v:textbox inset="0,0,0,0">
            <w:txbxContent>
              <w:p>
                <w:pPr>
                  <w:spacing w:line="245" w:lineRule="exact" w:before="0"/>
                  <w:ind w:left="20" w:right="0" w:firstLine="0"/>
                  <w:jc w:val="left"/>
                  <w:rPr>
                    <w:sz w:val="22"/>
                  </w:rPr>
                </w:pPr>
                <w:r>
                  <w:rPr>
                    <w:sz w:val="22"/>
                  </w:rPr>
                  <w:t>Página | 161</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286879">
          <wp:simplePos x="0" y="0"/>
          <wp:positionH relativeFrom="page">
            <wp:posOffset>769619</wp:posOffset>
          </wp:positionH>
          <wp:positionV relativeFrom="page">
            <wp:posOffset>900683</wp:posOffset>
          </wp:positionV>
          <wp:extent cx="1356360" cy="1179576"/>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1" cstate="print"/>
                  <a:stretch>
                    <a:fillRect/>
                  </a:stretch>
                </pic:blipFill>
                <pic:spPr>
                  <a:xfrm>
                    <a:off x="0" y="0"/>
                    <a:ext cx="1356360" cy="1179576"/>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171.100006pt;margin-top:71.482384pt;width:368.1pt;height:16.05pt;mso-position-horizontal-relative:page;mso-position-vertical-relative:page;z-index:-148552" type="#_x0000_t202" filled="false" stroked="false">
          <v:textbox inset="0,0,0,0">
            <w:txbxContent>
              <w:p>
                <w:pPr>
                  <w:spacing w:line="307" w:lineRule="exact" w:before="0"/>
                  <w:ind w:left="20" w:right="0" w:firstLine="0"/>
                  <w:jc w:val="left"/>
                  <w:rPr>
                    <w:b/>
                    <w:sz w:val="28"/>
                  </w:rPr>
                </w:pPr>
                <w:r>
                  <w:rPr>
                    <w:b/>
                    <w:sz w:val="28"/>
                  </w:rPr>
                  <w:t>UNIVERSIDAD AUTÓNOMA DEL ESTADO DE MÉXICO</w:t>
                </w:r>
              </w:p>
            </w:txbxContent>
          </v:textbox>
          <w10:wrap type="none"/>
        </v:shape>
      </w:pict>
    </w:r>
    <w:r>
      <w:rPr/>
      <w:pict>
        <v:shape style="position:absolute;margin-left:202.330002pt;margin-top:104.362381pt;width:309.05pt;height:40.2pt;mso-position-horizontal-relative:page;mso-position-vertical-relative:page;z-index:-148528" type="#_x0000_t202" filled="false" stroked="false">
          <v:textbox inset="0,0,0,0">
            <w:txbxContent>
              <w:p>
                <w:pPr>
                  <w:spacing w:line="307" w:lineRule="exact" w:before="0"/>
                  <w:ind w:left="1" w:right="69" w:firstLine="0"/>
                  <w:jc w:val="center"/>
                  <w:rPr>
                    <w:b/>
                    <w:sz w:val="28"/>
                  </w:rPr>
                </w:pPr>
                <w:r>
                  <w:rPr>
                    <w:b/>
                    <w:sz w:val="28"/>
                  </w:rPr>
                  <w:t>MAESTRÍA Y DOCTORADO EN</w:t>
                </w:r>
                <w:r>
                  <w:rPr>
                    <w:b/>
                    <w:spacing w:val="-13"/>
                    <w:sz w:val="28"/>
                  </w:rPr>
                  <w:t> </w:t>
                </w:r>
                <w:r>
                  <w:rPr>
                    <w:b/>
                    <w:sz w:val="28"/>
                  </w:rPr>
                  <w:t>CIENCIAS</w:t>
                </w:r>
              </w:p>
              <w:p>
                <w:pPr>
                  <w:spacing w:before="160"/>
                  <w:ind w:left="1" w:right="1" w:firstLine="0"/>
                  <w:jc w:val="center"/>
                  <w:rPr>
                    <w:b/>
                    <w:sz w:val="28"/>
                  </w:rPr>
                </w:pPr>
                <w:r>
                  <w:rPr>
                    <w:b/>
                    <w:sz w:val="28"/>
                  </w:rPr>
                  <w:t>AGROPECUARIAS Y RECURSOS NATURALES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8504" from="72.599998pt,63.119999pt" to="514.449998pt,64.169999pt" stroked="true" strokeweight=".48pt" strokecolor="#000000">
          <w10:wrap type="none"/>
        </v:line>
      </w:pict>
    </w:r>
    <w:r>
      <w:rPr/>
      <w:pict>
        <v:shape style="position:absolute;margin-left:127.300003pt;margin-top:48.196404pt;width:347.8pt;height:13.05pt;mso-position-horizontal-relative:page;mso-position-vertical-relative:page;z-index:-148480" type="#_x0000_t202" filled="false" stroked="false">
          <v:textbox inset="0,0,0,0">
            <w:txbxContent>
              <w:p>
                <w:pPr>
                  <w:spacing w:line="245" w:lineRule="exact" w:before="0"/>
                  <w:ind w:left="20" w:right="0" w:firstLine="0"/>
                  <w:jc w:val="left"/>
                  <w:rPr>
                    <w:sz w:val="22"/>
                  </w:rPr>
                </w:pPr>
                <w:r>
                  <w:rPr>
                    <w:sz w:val="22"/>
                  </w:rPr>
                  <w:t>Evaluación del efecto de la aplicación de subsidios a la porcicultura mexicana.</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7.300003pt;margin-top:48.196404pt;width:347.8pt;height:13.05pt;mso-position-horizontal-relative:page;mso-position-vertical-relative:page;z-index:-147880" type="#_x0000_t202" filled="false" stroked="false">
          <v:textbox inset="0,0,0,0">
            <w:txbxContent>
              <w:p>
                <w:pPr>
                  <w:spacing w:line="245" w:lineRule="exact" w:before="0"/>
                  <w:ind w:left="20" w:right="0" w:firstLine="0"/>
                  <w:jc w:val="left"/>
                  <w:rPr>
                    <w:sz w:val="22"/>
                  </w:rPr>
                </w:pPr>
                <w:r>
                  <w:rPr>
                    <w:sz w:val="22"/>
                  </w:rPr>
                  <w:t>Evaluación del efecto de la aplicación de subsidios a la porcicultura mexicana.</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7856" from="72.599998pt,63.119999pt" to="514.449998pt,64.169999pt" stroked="true" strokeweight=".48pt" strokecolor="#000000">
          <w10:wrap type="none"/>
        </v:line>
      </w:pict>
    </w:r>
    <w:r>
      <w:rPr/>
      <w:pict>
        <v:shape style="position:absolute;margin-left:127.300003pt;margin-top:48.196404pt;width:347.8pt;height:13.05pt;mso-position-horizontal-relative:page;mso-position-vertical-relative:page;z-index:-147832" type="#_x0000_t202" filled="false" stroked="false">
          <v:textbox inset="0,0,0,0">
            <w:txbxContent>
              <w:p>
                <w:pPr>
                  <w:spacing w:line="245" w:lineRule="exact" w:before="0"/>
                  <w:ind w:left="20" w:right="0" w:firstLine="0"/>
                  <w:jc w:val="left"/>
                  <w:rPr>
                    <w:sz w:val="22"/>
                  </w:rPr>
                </w:pPr>
                <w:r>
                  <w:rPr>
                    <w:sz w:val="22"/>
                  </w:rPr>
                  <w:t>Evaluación del efecto de la aplicación de subsidios a la porcicultura mexicana.</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7520" from="86.639999pt,63.119999pt" to="528.489999pt,64.169999pt" stroked="true" strokeweight=".48pt" strokecolor="#000000">
          <w10:wrap type="none"/>
        </v:line>
      </w:pict>
    </w:r>
    <w:r>
      <w:rPr/>
      <w:pict>
        <v:shape style="position:absolute;margin-left:132.100006pt;margin-top:48.076401pt;width:347.8pt;height:13.05pt;mso-position-horizontal-relative:page;mso-position-vertical-relative:page;z-index:-147496" type="#_x0000_t202" filled="false" stroked="false">
          <v:textbox inset="0,0,0,0">
            <w:txbxContent>
              <w:p>
                <w:pPr>
                  <w:spacing w:line="245" w:lineRule="exact" w:before="0"/>
                  <w:ind w:left="20" w:right="0" w:firstLine="0"/>
                  <w:jc w:val="left"/>
                  <w:rPr>
                    <w:sz w:val="22"/>
                  </w:rPr>
                </w:pPr>
                <w:r>
                  <w:rPr>
                    <w:sz w:val="22"/>
                  </w:rPr>
                  <w:t>Evaluación del efecto de la aplicación de subsidios a la porcicultura mexicana.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9">
    <w:multiLevelType w:val="hybridMultilevel"/>
    <w:lvl w:ilvl="0">
      <w:start w:val="1"/>
      <w:numFmt w:val="decimal"/>
      <w:lvlText w:val="%1"/>
      <w:lvlJc w:val="left"/>
      <w:pPr>
        <w:ind w:left="578" w:hanging="471"/>
        <w:jc w:val="left"/>
      </w:pPr>
      <w:rPr>
        <w:rFonts w:hint="default" w:ascii="Times New Roman" w:hAnsi="Times New Roman" w:eastAsia="Times New Roman" w:cs="Times New Roman"/>
        <w:w w:val="100"/>
        <w:sz w:val="22"/>
        <w:szCs w:val="22"/>
      </w:rPr>
    </w:lvl>
    <w:lvl w:ilvl="1">
      <w:start w:val="1"/>
      <w:numFmt w:val="bullet"/>
      <w:lvlText w:val="•"/>
      <w:lvlJc w:val="left"/>
      <w:pPr>
        <w:ind w:left="1892" w:hanging="471"/>
      </w:pPr>
      <w:rPr>
        <w:rFonts w:hint="default"/>
      </w:rPr>
    </w:lvl>
    <w:lvl w:ilvl="2">
      <w:start w:val="1"/>
      <w:numFmt w:val="bullet"/>
      <w:lvlText w:val="•"/>
      <w:lvlJc w:val="left"/>
      <w:pPr>
        <w:ind w:left="3204" w:hanging="471"/>
      </w:pPr>
      <w:rPr>
        <w:rFonts w:hint="default"/>
      </w:rPr>
    </w:lvl>
    <w:lvl w:ilvl="3">
      <w:start w:val="1"/>
      <w:numFmt w:val="bullet"/>
      <w:lvlText w:val="•"/>
      <w:lvlJc w:val="left"/>
      <w:pPr>
        <w:ind w:left="4516" w:hanging="471"/>
      </w:pPr>
      <w:rPr>
        <w:rFonts w:hint="default"/>
      </w:rPr>
    </w:lvl>
    <w:lvl w:ilvl="4">
      <w:start w:val="1"/>
      <w:numFmt w:val="bullet"/>
      <w:lvlText w:val="•"/>
      <w:lvlJc w:val="left"/>
      <w:pPr>
        <w:ind w:left="5828" w:hanging="471"/>
      </w:pPr>
      <w:rPr>
        <w:rFonts w:hint="default"/>
      </w:rPr>
    </w:lvl>
    <w:lvl w:ilvl="5">
      <w:start w:val="1"/>
      <w:numFmt w:val="bullet"/>
      <w:lvlText w:val="•"/>
      <w:lvlJc w:val="left"/>
      <w:pPr>
        <w:ind w:left="7140" w:hanging="471"/>
      </w:pPr>
      <w:rPr>
        <w:rFonts w:hint="default"/>
      </w:rPr>
    </w:lvl>
    <w:lvl w:ilvl="6">
      <w:start w:val="1"/>
      <w:numFmt w:val="bullet"/>
      <w:lvlText w:val="•"/>
      <w:lvlJc w:val="left"/>
      <w:pPr>
        <w:ind w:left="8452" w:hanging="471"/>
      </w:pPr>
      <w:rPr>
        <w:rFonts w:hint="default"/>
      </w:rPr>
    </w:lvl>
    <w:lvl w:ilvl="7">
      <w:start w:val="1"/>
      <w:numFmt w:val="bullet"/>
      <w:lvlText w:val="•"/>
      <w:lvlJc w:val="left"/>
      <w:pPr>
        <w:ind w:left="9764" w:hanging="471"/>
      </w:pPr>
      <w:rPr>
        <w:rFonts w:hint="default"/>
      </w:rPr>
    </w:lvl>
    <w:lvl w:ilvl="8">
      <w:start w:val="1"/>
      <w:numFmt w:val="bullet"/>
      <w:lvlText w:val="•"/>
      <w:lvlJc w:val="left"/>
      <w:pPr>
        <w:ind w:left="11076" w:hanging="471"/>
      </w:pPr>
      <w:rPr>
        <w:rFonts w:hint="default"/>
      </w:rPr>
    </w:lvl>
  </w:abstractNum>
  <w:abstractNum w:abstractNumId="18">
    <w:multiLevelType w:val="hybridMultilevel"/>
    <w:lvl w:ilvl="0">
      <w:start w:val="7"/>
      <w:numFmt w:val="decimal"/>
      <w:lvlText w:val="%1"/>
      <w:lvlJc w:val="left"/>
      <w:pPr>
        <w:ind w:left="469" w:hanging="351"/>
        <w:jc w:val="left"/>
      </w:pPr>
      <w:rPr>
        <w:rFonts w:hint="default"/>
      </w:rPr>
    </w:lvl>
    <w:lvl w:ilvl="1">
      <w:start w:val="4"/>
      <w:numFmt w:val="decimal"/>
      <w:lvlText w:val="%1.%2"/>
      <w:lvlJc w:val="left"/>
      <w:pPr>
        <w:ind w:left="469" w:hanging="351"/>
        <w:jc w:val="left"/>
      </w:pPr>
      <w:rPr>
        <w:rFonts w:hint="default"/>
        <w:spacing w:val="-2"/>
        <w:w w:val="100"/>
      </w:rPr>
    </w:lvl>
    <w:lvl w:ilvl="2">
      <w:start w:val="1"/>
      <w:numFmt w:val="decimal"/>
      <w:lvlText w:val="%3."/>
      <w:lvlJc w:val="left"/>
      <w:pPr>
        <w:ind w:left="838" w:hanging="360"/>
        <w:jc w:val="left"/>
      </w:pPr>
      <w:rPr>
        <w:rFonts w:hint="default" w:ascii="Times New Roman" w:hAnsi="Times New Roman" w:eastAsia="Times New Roman" w:cs="Times New Roman"/>
        <w:spacing w:val="-5"/>
        <w:w w:val="99"/>
        <w:sz w:val="24"/>
        <w:szCs w:val="24"/>
      </w:rPr>
    </w:lvl>
    <w:lvl w:ilvl="3">
      <w:start w:val="1"/>
      <w:numFmt w:val="bullet"/>
      <w:lvlText w:val="•"/>
      <w:lvlJc w:val="left"/>
      <w:pPr>
        <w:ind w:left="4227" w:hanging="360"/>
      </w:pPr>
      <w:rPr>
        <w:rFonts w:hint="default"/>
      </w:rPr>
    </w:lvl>
    <w:lvl w:ilvl="4">
      <w:start w:val="1"/>
      <w:numFmt w:val="bullet"/>
      <w:lvlText w:val="•"/>
      <w:lvlJc w:val="left"/>
      <w:pPr>
        <w:ind w:left="4995" w:hanging="360"/>
      </w:pPr>
      <w:rPr>
        <w:rFonts w:hint="default"/>
      </w:rPr>
    </w:lvl>
    <w:lvl w:ilvl="5">
      <w:start w:val="1"/>
      <w:numFmt w:val="bullet"/>
      <w:lvlText w:val="•"/>
      <w:lvlJc w:val="left"/>
      <w:pPr>
        <w:ind w:left="5762" w:hanging="360"/>
      </w:pPr>
      <w:rPr>
        <w:rFonts w:hint="default"/>
      </w:rPr>
    </w:lvl>
    <w:lvl w:ilvl="6">
      <w:start w:val="1"/>
      <w:numFmt w:val="bullet"/>
      <w:lvlText w:val="•"/>
      <w:lvlJc w:val="left"/>
      <w:pPr>
        <w:ind w:left="6530" w:hanging="360"/>
      </w:pPr>
      <w:rPr>
        <w:rFonts w:hint="default"/>
      </w:rPr>
    </w:lvl>
    <w:lvl w:ilvl="7">
      <w:start w:val="1"/>
      <w:numFmt w:val="bullet"/>
      <w:lvlText w:val="•"/>
      <w:lvlJc w:val="left"/>
      <w:pPr>
        <w:ind w:left="7297" w:hanging="360"/>
      </w:pPr>
      <w:rPr>
        <w:rFonts w:hint="default"/>
      </w:rPr>
    </w:lvl>
    <w:lvl w:ilvl="8">
      <w:start w:val="1"/>
      <w:numFmt w:val="bullet"/>
      <w:lvlText w:val="•"/>
      <w:lvlJc w:val="left"/>
      <w:pPr>
        <w:ind w:left="8065" w:hanging="360"/>
      </w:pPr>
      <w:rPr>
        <w:rFonts w:hint="default"/>
      </w:rPr>
    </w:lvl>
  </w:abstractNum>
  <w:abstractNum w:abstractNumId="17">
    <w:multiLevelType w:val="hybridMultilevel"/>
    <w:lvl w:ilvl="0">
      <w:start w:val="61"/>
      <w:numFmt w:val="decimal"/>
      <w:lvlText w:val="%1"/>
      <w:lvlJc w:val="left"/>
      <w:pPr>
        <w:ind w:left="118" w:hanging="519"/>
        <w:jc w:val="left"/>
      </w:pPr>
      <w:rPr>
        <w:rFonts w:hint="default"/>
      </w:rPr>
    </w:lvl>
    <w:lvl w:ilvl="1">
      <w:start w:val="2"/>
      <w:numFmt w:val="decimal"/>
      <w:lvlText w:val="%1.%2"/>
      <w:lvlJc w:val="left"/>
      <w:pPr>
        <w:ind w:left="118" w:hanging="519"/>
        <w:jc w:val="left"/>
      </w:pPr>
      <w:rPr>
        <w:rFonts w:hint="default" w:ascii="Times New Roman" w:hAnsi="Times New Roman" w:eastAsia="Times New Roman" w:cs="Times New Roman"/>
        <w:spacing w:val="-23"/>
        <w:w w:val="99"/>
        <w:sz w:val="24"/>
        <w:szCs w:val="24"/>
      </w:rPr>
    </w:lvl>
    <w:lvl w:ilvl="2">
      <w:start w:val="1"/>
      <w:numFmt w:val="bullet"/>
      <w:lvlText w:val=""/>
      <w:lvlJc w:val="left"/>
      <w:pPr>
        <w:ind w:left="838" w:hanging="360"/>
      </w:pPr>
      <w:rPr>
        <w:rFonts w:hint="default" w:ascii="Symbol" w:hAnsi="Symbol" w:eastAsia="Symbol" w:cs="Symbol"/>
        <w:w w:val="100"/>
        <w:sz w:val="24"/>
        <w:szCs w:val="24"/>
      </w:rPr>
    </w:lvl>
    <w:lvl w:ilvl="3">
      <w:start w:val="1"/>
      <w:numFmt w:val="bullet"/>
      <w:lvlText w:val="•"/>
      <w:lvlJc w:val="left"/>
      <w:pPr>
        <w:ind w:left="2786" w:hanging="360"/>
      </w:pPr>
      <w:rPr>
        <w:rFonts w:hint="default"/>
      </w:rPr>
    </w:lvl>
    <w:lvl w:ilvl="4">
      <w:start w:val="1"/>
      <w:numFmt w:val="bullet"/>
      <w:lvlText w:val="•"/>
      <w:lvlJc w:val="left"/>
      <w:pPr>
        <w:ind w:left="3760" w:hanging="360"/>
      </w:pPr>
      <w:rPr>
        <w:rFonts w:hint="default"/>
      </w:rPr>
    </w:lvl>
    <w:lvl w:ilvl="5">
      <w:start w:val="1"/>
      <w:numFmt w:val="bullet"/>
      <w:lvlText w:val="•"/>
      <w:lvlJc w:val="left"/>
      <w:pPr>
        <w:ind w:left="4733" w:hanging="360"/>
      </w:pPr>
      <w:rPr>
        <w:rFonts w:hint="default"/>
      </w:rPr>
    </w:lvl>
    <w:lvl w:ilvl="6">
      <w:start w:val="1"/>
      <w:numFmt w:val="bullet"/>
      <w:lvlText w:val="•"/>
      <w:lvlJc w:val="left"/>
      <w:pPr>
        <w:ind w:left="5706" w:hanging="360"/>
      </w:pPr>
      <w:rPr>
        <w:rFonts w:hint="default"/>
      </w:rPr>
    </w:lvl>
    <w:lvl w:ilvl="7">
      <w:start w:val="1"/>
      <w:numFmt w:val="bullet"/>
      <w:lvlText w:val="•"/>
      <w:lvlJc w:val="left"/>
      <w:pPr>
        <w:ind w:left="6680" w:hanging="360"/>
      </w:pPr>
      <w:rPr>
        <w:rFonts w:hint="default"/>
      </w:rPr>
    </w:lvl>
    <w:lvl w:ilvl="8">
      <w:start w:val="1"/>
      <w:numFmt w:val="bullet"/>
      <w:lvlText w:val="•"/>
      <w:lvlJc w:val="left"/>
      <w:pPr>
        <w:ind w:left="7653" w:hanging="360"/>
      </w:pPr>
      <w:rPr>
        <w:rFonts w:hint="default"/>
      </w:rPr>
    </w:lvl>
  </w:abstractNum>
  <w:abstractNum w:abstractNumId="16">
    <w:multiLevelType w:val="hybridMultilevel"/>
    <w:lvl w:ilvl="0">
      <w:start w:val="7"/>
      <w:numFmt w:val="decimal"/>
      <w:lvlText w:val="%1"/>
      <w:lvlJc w:val="left"/>
      <w:pPr>
        <w:ind w:left="478" w:hanging="360"/>
        <w:jc w:val="left"/>
      </w:pPr>
      <w:rPr>
        <w:rFonts w:hint="default"/>
      </w:rPr>
    </w:lvl>
    <w:lvl w:ilvl="1">
      <w:start w:val="1"/>
      <w:numFmt w:val="decimal"/>
      <w:lvlText w:val="%1.%2"/>
      <w:lvlJc w:val="left"/>
      <w:pPr>
        <w:ind w:left="478" w:hanging="360"/>
        <w:jc w:val="left"/>
      </w:pPr>
      <w:rPr>
        <w:rFonts w:hint="default"/>
        <w:spacing w:val="-1"/>
        <w:w w:val="100"/>
      </w:rPr>
    </w:lvl>
    <w:lvl w:ilvl="2">
      <w:start w:val="1"/>
      <w:numFmt w:val="bullet"/>
      <w:lvlText w:val="•"/>
      <w:lvlJc w:val="left"/>
      <w:pPr>
        <w:ind w:left="2304" w:hanging="360"/>
      </w:pPr>
      <w:rPr>
        <w:rFonts w:hint="default"/>
      </w:rPr>
    </w:lvl>
    <w:lvl w:ilvl="3">
      <w:start w:val="1"/>
      <w:numFmt w:val="bullet"/>
      <w:lvlText w:val="•"/>
      <w:lvlJc w:val="left"/>
      <w:pPr>
        <w:ind w:left="3216" w:hanging="360"/>
      </w:pPr>
      <w:rPr>
        <w:rFonts w:hint="default"/>
      </w:rPr>
    </w:lvl>
    <w:lvl w:ilvl="4">
      <w:start w:val="1"/>
      <w:numFmt w:val="bullet"/>
      <w:lvlText w:val="•"/>
      <w:lvlJc w:val="left"/>
      <w:pPr>
        <w:ind w:left="4128" w:hanging="360"/>
      </w:pPr>
      <w:rPr>
        <w:rFonts w:hint="default"/>
      </w:rPr>
    </w:lvl>
    <w:lvl w:ilvl="5">
      <w:start w:val="1"/>
      <w:numFmt w:val="bullet"/>
      <w:lvlText w:val="•"/>
      <w:lvlJc w:val="left"/>
      <w:pPr>
        <w:ind w:left="5040" w:hanging="360"/>
      </w:pPr>
      <w:rPr>
        <w:rFonts w:hint="default"/>
      </w:rPr>
    </w:lvl>
    <w:lvl w:ilvl="6">
      <w:start w:val="1"/>
      <w:numFmt w:val="bullet"/>
      <w:lvlText w:val="•"/>
      <w:lvlJc w:val="left"/>
      <w:pPr>
        <w:ind w:left="5952" w:hanging="360"/>
      </w:pPr>
      <w:rPr>
        <w:rFonts w:hint="default"/>
      </w:rPr>
    </w:lvl>
    <w:lvl w:ilvl="7">
      <w:start w:val="1"/>
      <w:numFmt w:val="bullet"/>
      <w:lvlText w:val="•"/>
      <w:lvlJc w:val="left"/>
      <w:pPr>
        <w:ind w:left="6864" w:hanging="360"/>
      </w:pPr>
      <w:rPr>
        <w:rFonts w:hint="default"/>
      </w:rPr>
    </w:lvl>
    <w:lvl w:ilvl="8">
      <w:start w:val="1"/>
      <w:numFmt w:val="bullet"/>
      <w:lvlText w:val="•"/>
      <w:lvlJc w:val="left"/>
      <w:pPr>
        <w:ind w:left="7776" w:hanging="360"/>
      </w:pPr>
      <w:rPr>
        <w:rFonts w:hint="default"/>
      </w:rPr>
    </w:lvl>
  </w:abstractNum>
  <w:abstractNum w:abstractNumId="15">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716" w:hanging="360"/>
      </w:pPr>
      <w:rPr>
        <w:rFonts w:hint="default"/>
      </w:rPr>
    </w:lvl>
    <w:lvl w:ilvl="2">
      <w:start w:val="1"/>
      <w:numFmt w:val="bullet"/>
      <w:lvlText w:val="•"/>
      <w:lvlJc w:val="left"/>
      <w:pPr>
        <w:ind w:left="2592" w:hanging="360"/>
      </w:pPr>
      <w:rPr>
        <w:rFonts w:hint="default"/>
      </w:rPr>
    </w:lvl>
    <w:lvl w:ilvl="3">
      <w:start w:val="1"/>
      <w:numFmt w:val="bullet"/>
      <w:lvlText w:val="•"/>
      <w:lvlJc w:val="left"/>
      <w:pPr>
        <w:ind w:left="3468" w:hanging="360"/>
      </w:pPr>
      <w:rPr>
        <w:rFonts w:hint="default"/>
      </w:rPr>
    </w:lvl>
    <w:lvl w:ilvl="4">
      <w:start w:val="1"/>
      <w:numFmt w:val="bullet"/>
      <w:lvlText w:val="•"/>
      <w:lvlJc w:val="left"/>
      <w:pPr>
        <w:ind w:left="4344" w:hanging="360"/>
      </w:pPr>
      <w:rPr>
        <w:rFonts w:hint="default"/>
      </w:rPr>
    </w:lvl>
    <w:lvl w:ilvl="5">
      <w:start w:val="1"/>
      <w:numFmt w:val="bullet"/>
      <w:lvlText w:val="•"/>
      <w:lvlJc w:val="left"/>
      <w:pPr>
        <w:ind w:left="5220" w:hanging="360"/>
      </w:pPr>
      <w:rPr>
        <w:rFonts w:hint="default"/>
      </w:rPr>
    </w:lvl>
    <w:lvl w:ilvl="6">
      <w:start w:val="1"/>
      <w:numFmt w:val="bullet"/>
      <w:lvlText w:val="•"/>
      <w:lvlJc w:val="left"/>
      <w:pPr>
        <w:ind w:left="6096" w:hanging="360"/>
      </w:pPr>
      <w:rPr>
        <w:rFonts w:hint="default"/>
      </w:rPr>
    </w:lvl>
    <w:lvl w:ilvl="7">
      <w:start w:val="1"/>
      <w:numFmt w:val="bullet"/>
      <w:lvlText w:val="•"/>
      <w:lvlJc w:val="left"/>
      <w:pPr>
        <w:ind w:left="6972" w:hanging="360"/>
      </w:pPr>
      <w:rPr>
        <w:rFonts w:hint="default"/>
      </w:rPr>
    </w:lvl>
    <w:lvl w:ilvl="8">
      <w:start w:val="1"/>
      <w:numFmt w:val="bullet"/>
      <w:lvlText w:val="•"/>
      <w:lvlJc w:val="left"/>
      <w:pPr>
        <w:ind w:left="7848" w:hanging="360"/>
      </w:pPr>
      <w:rPr>
        <w:rFonts w:hint="default"/>
      </w:rPr>
    </w:lvl>
  </w:abstractNum>
  <w:abstractNum w:abstractNumId="14">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716" w:hanging="360"/>
      </w:pPr>
      <w:rPr>
        <w:rFonts w:hint="default"/>
      </w:rPr>
    </w:lvl>
    <w:lvl w:ilvl="2">
      <w:start w:val="1"/>
      <w:numFmt w:val="bullet"/>
      <w:lvlText w:val="•"/>
      <w:lvlJc w:val="left"/>
      <w:pPr>
        <w:ind w:left="2592" w:hanging="360"/>
      </w:pPr>
      <w:rPr>
        <w:rFonts w:hint="default"/>
      </w:rPr>
    </w:lvl>
    <w:lvl w:ilvl="3">
      <w:start w:val="1"/>
      <w:numFmt w:val="bullet"/>
      <w:lvlText w:val="•"/>
      <w:lvlJc w:val="left"/>
      <w:pPr>
        <w:ind w:left="3468" w:hanging="360"/>
      </w:pPr>
      <w:rPr>
        <w:rFonts w:hint="default"/>
      </w:rPr>
    </w:lvl>
    <w:lvl w:ilvl="4">
      <w:start w:val="1"/>
      <w:numFmt w:val="bullet"/>
      <w:lvlText w:val="•"/>
      <w:lvlJc w:val="left"/>
      <w:pPr>
        <w:ind w:left="4344" w:hanging="360"/>
      </w:pPr>
      <w:rPr>
        <w:rFonts w:hint="default"/>
      </w:rPr>
    </w:lvl>
    <w:lvl w:ilvl="5">
      <w:start w:val="1"/>
      <w:numFmt w:val="bullet"/>
      <w:lvlText w:val="•"/>
      <w:lvlJc w:val="left"/>
      <w:pPr>
        <w:ind w:left="5220" w:hanging="360"/>
      </w:pPr>
      <w:rPr>
        <w:rFonts w:hint="default"/>
      </w:rPr>
    </w:lvl>
    <w:lvl w:ilvl="6">
      <w:start w:val="1"/>
      <w:numFmt w:val="bullet"/>
      <w:lvlText w:val="•"/>
      <w:lvlJc w:val="left"/>
      <w:pPr>
        <w:ind w:left="6096" w:hanging="360"/>
      </w:pPr>
      <w:rPr>
        <w:rFonts w:hint="default"/>
      </w:rPr>
    </w:lvl>
    <w:lvl w:ilvl="7">
      <w:start w:val="1"/>
      <w:numFmt w:val="bullet"/>
      <w:lvlText w:val="•"/>
      <w:lvlJc w:val="left"/>
      <w:pPr>
        <w:ind w:left="6972" w:hanging="360"/>
      </w:pPr>
      <w:rPr>
        <w:rFonts w:hint="default"/>
      </w:rPr>
    </w:lvl>
    <w:lvl w:ilvl="8">
      <w:start w:val="1"/>
      <w:numFmt w:val="bullet"/>
      <w:lvlText w:val="•"/>
      <w:lvlJc w:val="left"/>
      <w:pPr>
        <w:ind w:left="7848" w:hanging="360"/>
      </w:pPr>
      <w:rPr>
        <w:rFonts w:hint="default"/>
      </w:rPr>
    </w:lvl>
  </w:abstractNum>
  <w:abstractNum w:abstractNumId="13">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716" w:hanging="360"/>
      </w:pPr>
      <w:rPr>
        <w:rFonts w:hint="default"/>
      </w:rPr>
    </w:lvl>
    <w:lvl w:ilvl="2">
      <w:start w:val="1"/>
      <w:numFmt w:val="bullet"/>
      <w:lvlText w:val="•"/>
      <w:lvlJc w:val="left"/>
      <w:pPr>
        <w:ind w:left="2592" w:hanging="360"/>
      </w:pPr>
      <w:rPr>
        <w:rFonts w:hint="default"/>
      </w:rPr>
    </w:lvl>
    <w:lvl w:ilvl="3">
      <w:start w:val="1"/>
      <w:numFmt w:val="bullet"/>
      <w:lvlText w:val="•"/>
      <w:lvlJc w:val="left"/>
      <w:pPr>
        <w:ind w:left="3468" w:hanging="360"/>
      </w:pPr>
      <w:rPr>
        <w:rFonts w:hint="default"/>
      </w:rPr>
    </w:lvl>
    <w:lvl w:ilvl="4">
      <w:start w:val="1"/>
      <w:numFmt w:val="bullet"/>
      <w:lvlText w:val="•"/>
      <w:lvlJc w:val="left"/>
      <w:pPr>
        <w:ind w:left="4344" w:hanging="360"/>
      </w:pPr>
      <w:rPr>
        <w:rFonts w:hint="default"/>
      </w:rPr>
    </w:lvl>
    <w:lvl w:ilvl="5">
      <w:start w:val="1"/>
      <w:numFmt w:val="bullet"/>
      <w:lvlText w:val="•"/>
      <w:lvlJc w:val="left"/>
      <w:pPr>
        <w:ind w:left="5220" w:hanging="360"/>
      </w:pPr>
      <w:rPr>
        <w:rFonts w:hint="default"/>
      </w:rPr>
    </w:lvl>
    <w:lvl w:ilvl="6">
      <w:start w:val="1"/>
      <w:numFmt w:val="bullet"/>
      <w:lvlText w:val="•"/>
      <w:lvlJc w:val="left"/>
      <w:pPr>
        <w:ind w:left="6096" w:hanging="360"/>
      </w:pPr>
      <w:rPr>
        <w:rFonts w:hint="default"/>
      </w:rPr>
    </w:lvl>
    <w:lvl w:ilvl="7">
      <w:start w:val="1"/>
      <w:numFmt w:val="bullet"/>
      <w:lvlText w:val="•"/>
      <w:lvlJc w:val="left"/>
      <w:pPr>
        <w:ind w:left="6972" w:hanging="360"/>
      </w:pPr>
      <w:rPr>
        <w:rFonts w:hint="default"/>
      </w:rPr>
    </w:lvl>
    <w:lvl w:ilvl="8">
      <w:start w:val="1"/>
      <w:numFmt w:val="bullet"/>
      <w:lvlText w:val="•"/>
      <w:lvlJc w:val="left"/>
      <w:pPr>
        <w:ind w:left="7848" w:hanging="360"/>
      </w:pPr>
      <w:rPr>
        <w:rFonts w:hint="default"/>
      </w:rPr>
    </w:lvl>
  </w:abstractNum>
  <w:abstractNum w:abstractNumId="12">
    <w:multiLevelType w:val="hybridMultilevel"/>
    <w:lvl w:ilvl="0">
      <w:start w:val="1"/>
      <w:numFmt w:val="lowerLetter"/>
      <w:lvlText w:val="%1)"/>
      <w:lvlJc w:val="left"/>
      <w:pPr>
        <w:ind w:left="838" w:hanging="360"/>
        <w:jc w:val="left"/>
      </w:pPr>
      <w:rPr>
        <w:rFonts w:hint="default" w:ascii="Times New Roman" w:hAnsi="Times New Roman" w:eastAsia="Times New Roman" w:cs="Times New Roman"/>
        <w:spacing w:val="-9"/>
        <w:w w:val="99"/>
        <w:sz w:val="24"/>
        <w:szCs w:val="24"/>
      </w:rPr>
    </w:lvl>
    <w:lvl w:ilvl="1">
      <w:start w:val="1"/>
      <w:numFmt w:val="bullet"/>
      <w:lvlText w:val="•"/>
      <w:lvlJc w:val="left"/>
      <w:pPr>
        <w:ind w:left="1716" w:hanging="360"/>
      </w:pPr>
      <w:rPr>
        <w:rFonts w:hint="default"/>
      </w:rPr>
    </w:lvl>
    <w:lvl w:ilvl="2">
      <w:start w:val="1"/>
      <w:numFmt w:val="bullet"/>
      <w:lvlText w:val="•"/>
      <w:lvlJc w:val="left"/>
      <w:pPr>
        <w:ind w:left="2592" w:hanging="360"/>
      </w:pPr>
      <w:rPr>
        <w:rFonts w:hint="default"/>
      </w:rPr>
    </w:lvl>
    <w:lvl w:ilvl="3">
      <w:start w:val="1"/>
      <w:numFmt w:val="bullet"/>
      <w:lvlText w:val="•"/>
      <w:lvlJc w:val="left"/>
      <w:pPr>
        <w:ind w:left="3468" w:hanging="360"/>
      </w:pPr>
      <w:rPr>
        <w:rFonts w:hint="default"/>
      </w:rPr>
    </w:lvl>
    <w:lvl w:ilvl="4">
      <w:start w:val="1"/>
      <w:numFmt w:val="bullet"/>
      <w:lvlText w:val="•"/>
      <w:lvlJc w:val="left"/>
      <w:pPr>
        <w:ind w:left="4344" w:hanging="360"/>
      </w:pPr>
      <w:rPr>
        <w:rFonts w:hint="default"/>
      </w:rPr>
    </w:lvl>
    <w:lvl w:ilvl="5">
      <w:start w:val="1"/>
      <w:numFmt w:val="bullet"/>
      <w:lvlText w:val="•"/>
      <w:lvlJc w:val="left"/>
      <w:pPr>
        <w:ind w:left="5220" w:hanging="360"/>
      </w:pPr>
      <w:rPr>
        <w:rFonts w:hint="default"/>
      </w:rPr>
    </w:lvl>
    <w:lvl w:ilvl="6">
      <w:start w:val="1"/>
      <w:numFmt w:val="bullet"/>
      <w:lvlText w:val="•"/>
      <w:lvlJc w:val="left"/>
      <w:pPr>
        <w:ind w:left="6096" w:hanging="360"/>
      </w:pPr>
      <w:rPr>
        <w:rFonts w:hint="default"/>
      </w:rPr>
    </w:lvl>
    <w:lvl w:ilvl="7">
      <w:start w:val="1"/>
      <w:numFmt w:val="bullet"/>
      <w:lvlText w:val="•"/>
      <w:lvlJc w:val="left"/>
      <w:pPr>
        <w:ind w:left="6972" w:hanging="360"/>
      </w:pPr>
      <w:rPr>
        <w:rFonts w:hint="default"/>
      </w:rPr>
    </w:lvl>
    <w:lvl w:ilvl="8">
      <w:start w:val="1"/>
      <w:numFmt w:val="bullet"/>
      <w:lvlText w:val="•"/>
      <w:lvlJc w:val="left"/>
      <w:pPr>
        <w:ind w:left="7848" w:hanging="360"/>
      </w:pPr>
      <w:rPr>
        <w:rFonts w:hint="default"/>
      </w:rPr>
    </w:lvl>
  </w:abstractNum>
  <w:abstractNum w:abstractNumId="11">
    <w:multiLevelType w:val="hybridMultilevel"/>
    <w:lvl w:ilvl="0">
      <w:start w:val="6"/>
      <w:numFmt w:val="decimal"/>
      <w:lvlText w:val="%1"/>
      <w:lvlJc w:val="left"/>
      <w:pPr>
        <w:ind w:left="498" w:hanging="360"/>
        <w:jc w:val="left"/>
      </w:pPr>
      <w:rPr>
        <w:rFonts w:hint="default"/>
      </w:rPr>
    </w:lvl>
    <w:lvl w:ilvl="1">
      <w:start w:val="2"/>
      <w:numFmt w:val="decimal"/>
      <w:lvlText w:val="%1.%2"/>
      <w:lvlJc w:val="left"/>
      <w:pPr>
        <w:ind w:left="498" w:hanging="360"/>
        <w:jc w:val="left"/>
      </w:pPr>
      <w:rPr>
        <w:rFonts w:hint="default"/>
        <w:b/>
        <w:bCs/>
        <w:spacing w:val="-4"/>
        <w:w w:val="99"/>
      </w:rPr>
    </w:lvl>
    <w:lvl w:ilvl="2">
      <w:start w:val="1"/>
      <w:numFmt w:val="upperRoman"/>
      <w:lvlText w:val="%3"/>
      <w:lvlJc w:val="left"/>
      <w:pPr>
        <w:ind w:left="2325" w:hanging="139"/>
        <w:jc w:val="left"/>
      </w:pPr>
      <w:rPr>
        <w:rFonts w:hint="default" w:ascii="Times New Roman" w:hAnsi="Times New Roman" w:eastAsia="Times New Roman" w:cs="Times New Roman"/>
        <w:w w:val="99"/>
        <w:sz w:val="24"/>
        <w:szCs w:val="24"/>
      </w:rPr>
    </w:lvl>
    <w:lvl w:ilvl="3">
      <w:start w:val="1"/>
      <w:numFmt w:val="bullet"/>
      <w:lvlText w:val="•"/>
      <w:lvlJc w:val="left"/>
      <w:pPr>
        <w:ind w:left="3942" w:hanging="139"/>
      </w:pPr>
      <w:rPr>
        <w:rFonts w:hint="default"/>
      </w:rPr>
    </w:lvl>
    <w:lvl w:ilvl="4">
      <w:start w:val="1"/>
      <w:numFmt w:val="bullet"/>
      <w:lvlText w:val="•"/>
      <w:lvlJc w:val="left"/>
      <w:pPr>
        <w:ind w:left="4753" w:hanging="139"/>
      </w:pPr>
      <w:rPr>
        <w:rFonts w:hint="default"/>
      </w:rPr>
    </w:lvl>
    <w:lvl w:ilvl="5">
      <w:start w:val="1"/>
      <w:numFmt w:val="bullet"/>
      <w:lvlText w:val="•"/>
      <w:lvlJc w:val="left"/>
      <w:pPr>
        <w:ind w:left="5564" w:hanging="139"/>
      </w:pPr>
      <w:rPr>
        <w:rFonts w:hint="default"/>
      </w:rPr>
    </w:lvl>
    <w:lvl w:ilvl="6">
      <w:start w:val="1"/>
      <w:numFmt w:val="bullet"/>
      <w:lvlText w:val="•"/>
      <w:lvlJc w:val="left"/>
      <w:pPr>
        <w:ind w:left="6375" w:hanging="139"/>
      </w:pPr>
      <w:rPr>
        <w:rFonts w:hint="default"/>
      </w:rPr>
    </w:lvl>
    <w:lvl w:ilvl="7">
      <w:start w:val="1"/>
      <w:numFmt w:val="bullet"/>
      <w:lvlText w:val="•"/>
      <w:lvlJc w:val="left"/>
      <w:pPr>
        <w:ind w:left="7186" w:hanging="139"/>
      </w:pPr>
      <w:rPr>
        <w:rFonts w:hint="default"/>
      </w:rPr>
    </w:lvl>
    <w:lvl w:ilvl="8">
      <w:start w:val="1"/>
      <w:numFmt w:val="bullet"/>
      <w:lvlText w:val="•"/>
      <w:lvlJc w:val="left"/>
      <w:pPr>
        <w:ind w:left="7997" w:hanging="139"/>
      </w:pPr>
      <w:rPr>
        <w:rFonts w:hint="default"/>
      </w:rPr>
    </w:lvl>
  </w:abstractNum>
  <w:abstractNum w:abstractNumId="10">
    <w:multiLevelType w:val="hybridMultilevel"/>
    <w:lvl w:ilvl="0">
      <w:start w:val="6"/>
      <w:numFmt w:val="decimal"/>
      <w:lvlText w:val="%1"/>
      <w:lvlJc w:val="left"/>
      <w:pPr>
        <w:ind w:left="478" w:hanging="360"/>
        <w:jc w:val="left"/>
      </w:pPr>
      <w:rPr>
        <w:rFonts w:hint="default"/>
      </w:rPr>
    </w:lvl>
    <w:lvl w:ilvl="1">
      <w:start w:val="1"/>
      <w:numFmt w:val="decimal"/>
      <w:lvlText w:val="%1.%2"/>
      <w:lvlJc w:val="left"/>
      <w:pPr>
        <w:ind w:left="478" w:hanging="360"/>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838" w:hanging="360"/>
      </w:pPr>
      <w:rPr>
        <w:rFonts w:hint="default" w:ascii="Symbol" w:hAnsi="Symbol" w:eastAsia="Symbol" w:cs="Symbol"/>
        <w:w w:val="100"/>
        <w:sz w:val="24"/>
        <w:szCs w:val="24"/>
      </w:rPr>
    </w:lvl>
    <w:lvl w:ilvl="3">
      <w:start w:val="1"/>
      <w:numFmt w:val="bullet"/>
      <w:lvlText w:val="•"/>
      <w:lvlJc w:val="left"/>
      <w:pPr>
        <w:ind w:left="2786" w:hanging="360"/>
      </w:pPr>
      <w:rPr>
        <w:rFonts w:hint="default"/>
      </w:rPr>
    </w:lvl>
    <w:lvl w:ilvl="4">
      <w:start w:val="1"/>
      <w:numFmt w:val="bullet"/>
      <w:lvlText w:val="•"/>
      <w:lvlJc w:val="left"/>
      <w:pPr>
        <w:ind w:left="3760" w:hanging="360"/>
      </w:pPr>
      <w:rPr>
        <w:rFonts w:hint="default"/>
      </w:rPr>
    </w:lvl>
    <w:lvl w:ilvl="5">
      <w:start w:val="1"/>
      <w:numFmt w:val="bullet"/>
      <w:lvlText w:val="•"/>
      <w:lvlJc w:val="left"/>
      <w:pPr>
        <w:ind w:left="4733" w:hanging="360"/>
      </w:pPr>
      <w:rPr>
        <w:rFonts w:hint="default"/>
      </w:rPr>
    </w:lvl>
    <w:lvl w:ilvl="6">
      <w:start w:val="1"/>
      <w:numFmt w:val="bullet"/>
      <w:lvlText w:val="•"/>
      <w:lvlJc w:val="left"/>
      <w:pPr>
        <w:ind w:left="5706" w:hanging="360"/>
      </w:pPr>
      <w:rPr>
        <w:rFonts w:hint="default"/>
      </w:rPr>
    </w:lvl>
    <w:lvl w:ilvl="7">
      <w:start w:val="1"/>
      <w:numFmt w:val="bullet"/>
      <w:lvlText w:val="•"/>
      <w:lvlJc w:val="left"/>
      <w:pPr>
        <w:ind w:left="6680" w:hanging="360"/>
      </w:pPr>
      <w:rPr>
        <w:rFonts w:hint="default"/>
      </w:rPr>
    </w:lvl>
    <w:lvl w:ilvl="8">
      <w:start w:val="1"/>
      <w:numFmt w:val="bullet"/>
      <w:lvlText w:val="•"/>
      <w:lvlJc w:val="left"/>
      <w:pPr>
        <w:ind w:left="7653" w:hanging="360"/>
      </w:pPr>
      <w:rPr>
        <w:rFonts w:hint="default"/>
      </w:rPr>
    </w:lvl>
  </w:abstractNum>
  <w:abstractNum w:abstractNumId="9">
    <w:multiLevelType w:val="hybridMultilevel"/>
    <w:lvl w:ilvl="0">
      <w:start w:val="1"/>
      <w:numFmt w:val="decimal"/>
      <w:lvlText w:val="%1)"/>
      <w:lvlJc w:val="left"/>
      <w:pPr>
        <w:ind w:left="838" w:hanging="360"/>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1716" w:hanging="360"/>
      </w:pPr>
      <w:rPr>
        <w:rFonts w:hint="default"/>
      </w:rPr>
    </w:lvl>
    <w:lvl w:ilvl="2">
      <w:start w:val="1"/>
      <w:numFmt w:val="bullet"/>
      <w:lvlText w:val="•"/>
      <w:lvlJc w:val="left"/>
      <w:pPr>
        <w:ind w:left="2592" w:hanging="360"/>
      </w:pPr>
      <w:rPr>
        <w:rFonts w:hint="default"/>
      </w:rPr>
    </w:lvl>
    <w:lvl w:ilvl="3">
      <w:start w:val="1"/>
      <w:numFmt w:val="bullet"/>
      <w:lvlText w:val="•"/>
      <w:lvlJc w:val="left"/>
      <w:pPr>
        <w:ind w:left="3468" w:hanging="360"/>
      </w:pPr>
      <w:rPr>
        <w:rFonts w:hint="default"/>
      </w:rPr>
    </w:lvl>
    <w:lvl w:ilvl="4">
      <w:start w:val="1"/>
      <w:numFmt w:val="bullet"/>
      <w:lvlText w:val="•"/>
      <w:lvlJc w:val="left"/>
      <w:pPr>
        <w:ind w:left="4344" w:hanging="360"/>
      </w:pPr>
      <w:rPr>
        <w:rFonts w:hint="default"/>
      </w:rPr>
    </w:lvl>
    <w:lvl w:ilvl="5">
      <w:start w:val="1"/>
      <w:numFmt w:val="bullet"/>
      <w:lvlText w:val="•"/>
      <w:lvlJc w:val="left"/>
      <w:pPr>
        <w:ind w:left="5220" w:hanging="360"/>
      </w:pPr>
      <w:rPr>
        <w:rFonts w:hint="default"/>
      </w:rPr>
    </w:lvl>
    <w:lvl w:ilvl="6">
      <w:start w:val="1"/>
      <w:numFmt w:val="bullet"/>
      <w:lvlText w:val="•"/>
      <w:lvlJc w:val="left"/>
      <w:pPr>
        <w:ind w:left="6096" w:hanging="360"/>
      </w:pPr>
      <w:rPr>
        <w:rFonts w:hint="default"/>
      </w:rPr>
    </w:lvl>
    <w:lvl w:ilvl="7">
      <w:start w:val="1"/>
      <w:numFmt w:val="bullet"/>
      <w:lvlText w:val="•"/>
      <w:lvlJc w:val="left"/>
      <w:pPr>
        <w:ind w:left="6972" w:hanging="360"/>
      </w:pPr>
      <w:rPr>
        <w:rFonts w:hint="default"/>
      </w:rPr>
    </w:lvl>
    <w:lvl w:ilvl="8">
      <w:start w:val="1"/>
      <w:numFmt w:val="bullet"/>
      <w:lvlText w:val="•"/>
      <w:lvlJc w:val="left"/>
      <w:pPr>
        <w:ind w:left="7848" w:hanging="360"/>
      </w:pPr>
      <w:rPr>
        <w:rFonts w:hint="default"/>
      </w:rPr>
    </w:lvl>
  </w:abstractNum>
  <w:abstractNum w:abstractNumId="8">
    <w:multiLevelType w:val="hybridMultilevel"/>
    <w:lvl w:ilvl="0">
      <w:start w:val="1"/>
      <w:numFmt w:val="decimal"/>
      <w:lvlText w:val="%1)"/>
      <w:lvlJc w:val="left"/>
      <w:pPr>
        <w:ind w:left="838" w:hanging="360"/>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1716" w:hanging="360"/>
      </w:pPr>
      <w:rPr>
        <w:rFonts w:hint="default"/>
      </w:rPr>
    </w:lvl>
    <w:lvl w:ilvl="2">
      <w:start w:val="1"/>
      <w:numFmt w:val="bullet"/>
      <w:lvlText w:val="•"/>
      <w:lvlJc w:val="left"/>
      <w:pPr>
        <w:ind w:left="2592" w:hanging="360"/>
      </w:pPr>
      <w:rPr>
        <w:rFonts w:hint="default"/>
      </w:rPr>
    </w:lvl>
    <w:lvl w:ilvl="3">
      <w:start w:val="1"/>
      <w:numFmt w:val="bullet"/>
      <w:lvlText w:val="•"/>
      <w:lvlJc w:val="left"/>
      <w:pPr>
        <w:ind w:left="3468" w:hanging="360"/>
      </w:pPr>
      <w:rPr>
        <w:rFonts w:hint="default"/>
      </w:rPr>
    </w:lvl>
    <w:lvl w:ilvl="4">
      <w:start w:val="1"/>
      <w:numFmt w:val="bullet"/>
      <w:lvlText w:val="•"/>
      <w:lvlJc w:val="left"/>
      <w:pPr>
        <w:ind w:left="4344" w:hanging="360"/>
      </w:pPr>
      <w:rPr>
        <w:rFonts w:hint="default"/>
      </w:rPr>
    </w:lvl>
    <w:lvl w:ilvl="5">
      <w:start w:val="1"/>
      <w:numFmt w:val="bullet"/>
      <w:lvlText w:val="•"/>
      <w:lvlJc w:val="left"/>
      <w:pPr>
        <w:ind w:left="5220" w:hanging="360"/>
      </w:pPr>
      <w:rPr>
        <w:rFonts w:hint="default"/>
      </w:rPr>
    </w:lvl>
    <w:lvl w:ilvl="6">
      <w:start w:val="1"/>
      <w:numFmt w:val="bullet"/>
      <w:lvlText w:val="•"/>
      <w:lvlJc w:val="left"/>
      <w:pPr>
        <w:ind w:left="6096" w:hanging="360"/>
      </w:pPr>
      <w:rPr>
        <w:rFonts w:hint="default"/>
      </w:rPr>
    </w:lvl>
    <w:lvl w:ilvl="7">
      <w:start w:val="1"/>
      <w:numFmt w:val="bullet"/>
      <w:lvlText w:val="•"/>
      <w:lvlJc w:val="left"/>
      <w:pPr>
        <w:ind w:left="6972" w:hanging="360"/>
      </w:pPr>
      <w:rPr>
        <w:rFonts w:hint="default"/>
      </w:rPr>
    </w:lvl>
    <w:lvl w:ilvl="8">
      <w:start w:val="1"/>
      <w:numFmt w:val="bullet"/>
      <w:lvlText w:val="•"/>
      <w:lvlJc w:val="left"/>
      <w:pPr>
        <w:ind w:left="7848" w:hanging="360"/>
      </w:pPr>
      <w:rPr>
        <w:rFonts w:hint="default"/>
      </w:rPr>
    </w:lvl>
  </w:abstractNum>
  <w:abstractNum w:abstractNumId="7">
    <w:multiLevelType w:val="hybridMultilevel"/>
    <w:lvl w:ilvl="0">
      <w:start w:val="1"/>
      <w:numFmt w:val="lowerLetter"/>
      <w:lvlText w:val="%1)"/>
      <w:lvlJc w:val="left"/>
      <w:pPr>
        <w:ind w:left="838" w:hanging="360"/>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716" w:hanging="360"/>
      </w:pPr>
      <w:rPr>
        <w:rFonts w:hint="default"/>
      </w:rPr>
    </w:lvl>
    <w:lvl w:ilvl="2">
      <w:start w:val="1"/>
      <w:numFmt w:val="bullet"/>
      <w:lvlText w:val="•"/>
      <w:lvlJc w:val="left"/>
      <w:pPr>
        <w:ind w:left="2592" w:hanging="360"/>
      </w:pPr>
      <w:rPr>
        <w:rFonts w:hint="default"/>
      </w:rPr>
    </w:lvl>
    <w:lvl w:ilvl="3">
      <w:start w:val="1"/>
      <w:numFmt w:val="bullet"/>
      <w:lvlText w:val="•"/>
      <w:lvlJc w:val="left"/>
      <w:pPr>
        <w:ind w:left="3468" w:hanging="360"/>
      </w:pPr>
      <w:rPr>
        <w:rFonts w:hint="default"/>
      </w:rPr>
    </w:lvl>
    <w:lvl w:ilvl="4">
      <w:start w:val="1"/>
      <w:numFmt w:val="bullet"/>
      <w:lvlText w:val="•"/>
      <w:lvlJc w:val="left"/>
      <w:pPr>
        <w:ind w:left="4344" w:hanging="360"/>
      </w:pPr>
      <w:rPr>
        <w:rFonts w:hint="default"/>
      </w:rPr>
    </w:lvl>
    <w:lvl w:ilvl="5">
      <w:start w:val="1"/>
      <w:numFmt w:val="bullet"/>
      <w:lvlText w:val="•"/>
      <w:lvlJc w:val="left"/>
      <w:pPr>
        <w:ind w:left="5220" w:hanging="360"/>
      </w:pPr>
      <w:rPr>
        <w:rFonts w:hint="default"/>
      </w:rPr>
    </w:lvl>
    <w:lvl w:ilvl="6">
      <w:start w:val="1"/>
      <w:numFmt w:val="bullet"/>
      <w:lvlText w:val="•"/>
      <w:lvlJc w:val="left"/>
      <w:pPr>
        <w:ind w:left="6096" w:hanging="360"/>
      </w:pPr>
      <w:rPr>
        <w:rFonts w:hint="default"/>
      </w:rPr>
    </w:lvl>
    <w:lvl w:ilvl="7">
      <w:start w:val="1"/>
      <w:numFmt w:val="bullet"/>
      <w:lvlText w:val="•"/>
      <w:lvlJc w:val="left"/>
      <w:pPr>
        <w:ind w:left="6972" w:hanging="360"/>
      </w:pPr>
      <w:rPr>
        <w:rFonts w:hint="default"/>
      </w:rPr>
    </w:lvl>
    <w:lvl w:ilvl="8">
      <w:start w:val="1"/>
      <w:numFmt w:val="bullet"/>
      <w:lvlText w:val="•"/>
      <w:lvlJc w:val="left"/>
      <w:pPr>
        <w:ind w:left="7848" w:hanging="360"/>
      </w:pPr>
      <w:rPr>
        <w:rFonts w:hint="default"/>
      </w:rPr>
    </w:lvl>
  </w:abstractNum>
  <w:abstractNum w:abstractNumId="6">
    <w:multiLevelType w:val="hybridMultilevel"/>
    <w:lvl w:ilvl="0">
      <w:start w:val="2"/>
      <w:numFmt w:val="decimal"/>
      <w:lvlText w:val="%1"/>
      <w:lvlJc w:val="left"/>
      <w:pPr>
        <w:ind w:left="478" w:hanging="360"/>
        <w:jc w:val="left"/>
      </w:pPr>
      <w:rPr>
        <w:rFonts w:hint="default"/>
      </w:rPr>
    </w:lvl>
    <w:lvl w:ilvl="1">
      <w:start w:val="4"/>
      <w:numFmt w:val="decimal"/>
      <w:lvlText w:val="%1.%2"/>
      <w:lvlJc w:val="left"/>
      <w:pPr>
        <w:ind w:left="478" w:hanging="360"/>
        <w:jc w:val="left"/>
      </w:pPr>
      <w:rPr>
        <w:rFonts w:hint="default" w:ascii="Times New Roman" w:hAnsi="Times New Roman" w:eastAsia="Times New Roman" w:cs="Times New Roman"/>
        <w:spacing w:val="-2"/>
        <w:w w:val="100"/>
        <w:sz w:val="24"/>
        <w:szCs w:val="24"/>
      </w:rPr>
    </w:lvl>
    <w:lvl w:ilvl="2">
      <w:start w:val="1"/>
      <w:numFmt w:val="decimal"/>
      <w:lvlText w:val="%3."/>
      <w:lvlJc w:val="left"/>
      <w:pPr>
        <w:ind w:left="838" w:hanging="36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3084" w:hanging="360"/>
      </w:pPr>
      <w:rPr>
        <w:rFonts w:hint="default"/>
      </w:rPr>
    </w:lvl>
    <w:lvl w:ilvl="4">
      <w:start w:val="1"/>
      <w:numFmt w:val="bullet"/>
      <w:lvlText w:val="•"/>
      <w:lvlJc w:val="left"/>
      <w:pPr>
        <w:ind w:left="4206" w:hanging="360"/>
      </w:pPr>
      <w:rPr>
        <w:rFonts w:hint="default"/>
      </w:rPr>
    </w:lvl>
    <w:lvl w:ilvl="5">
      <w:start w:val="1"/>
      <w:numFmt w:val="bullet"/>
      <w:lvlText w:val="•"/>
      <w:lvlJc w:val="left"/>
      <w:pPr>
        <w:ind w:left="5328" w:hanging="360"/>
      </w:pPr>
      <w:rPr>
        <w:rFonts w:hint="default"/>
      </w:rPr>
    </w:lvl>
    <w:lvl w:ilvl="6">
      <w:start w:val="1"/>
      <w:numFmt w:val="bullet"/>
      <w:lvlText w:val="•"/>
      <w:lvlJc w:val="left"/>
      <w:pPr>
        <w:ind w:left="6451" w:hanging="360"/>
      </w:pPr>
      <w:rPr>
        <w:rFonts w:hint="default"/>
      </w:rPr>
    </w:lvl>
    <w:lvl w:ilvl="7">
      <w:start w:val="1"/>
      <w:numFmt w:val="bullet"/>
      <w:lvlText w:val="•"/>
      <w:lvlJc w:val="left"/>
      <w:pPr>
        <w:ind w:left="7573" w:hanging="360"/>
      </w:pPr>
      <w:rPr>
        <w:rFonts w:hint="default"/>
      </w:rPr>
    </w:lvl>
    <w:lvl w:ilvl="8">
      <w:start w:val="1"/>
      <w:numFmt w:val="bullet"/>
      <w:lvlText w:val="•"/>
      <w:lvlJc w:val="left"/>
      <w:pPr>
        <w:ind w:left="8695" w:hanging="360"/>
      </w:pPr>
      <w:rPr>
        <w:rFonts w:hint="default"/>
      </w:rPr>
    </w:lvl>
  </w:abstractNum>
  <w:abstractNum w:abstractNumId="5">
    <w:multiLevelType w:val="hybridMultilevel"/>
    <w:lvl w:ilvl="0">
      <w:start w:val="7"/>
      <w:numFmt w:val="decimal"/>
      <w:lvlText w:val="%1"/>
      <w:lvlJc w:val="left"/>
      <w:pPr>
        <w:ind w:left="666" w:hanging="327"/>
        <w:jc w:val="left"/>
      </w:pPr>
      <w:rPr>
        <w:rFonts w:hint="default"/>
      </w:rPr>
    </w:lvl>
    <w:lvl w:ilvl="1">
      <w:start w:val="1"/>
      <w:numFmt w:val="decimal"/>
      <w:lvlText w:val="%1.%2"/>
      <w:lvlJc w:val="left"/>
      <w:pPr>
        <w:ind w:left="666" w:hanging="327"/>
        <w:jc w:val="left"/>
      </w:pPr>
      <w:rPr>
        <w:rFonts w:hint="default" w:ascii="Times New Roman" w:hAnsi="Times New Roman" w:eastAsia="Times New Roman" w:cs="Times New Roman"/>
        <w:w w:val="100"/>
        <w:sz w:val="22"/>
        <w:szCs w:val="22"/>
      </w:rPr>
    </w:lvl>
    <w:lvl w:ilvl="2">
      <w:start w:val="1"/>
      <w:numFmt w:val="bullet"/>
      <w:lvlText w:val="•"/>
      <w:lvlJc w:val="left"/>
      <w:pPr>
        <w:ind w:left="2448" w:hanging="327"/>
      </w:pPr>
      <w:rPr>
        <w:rFonts w:hint="default"/>
      </w:rPr>
    </w:lvl>
    <w:lvl w:ilvl="3">
      <w:start w:val="1"/>
      <w:numFmt w:val="bullet"/>
      <w:lvlText w:val="•"/>
      <w:lvlJc w:val="left"/>
      <w:pPr>
        <w:ind w:left="3342" w:hanging="327"/>
      </w:pPr>
      <w:rPr>
        <w:rFonts w:hint="default"/>
      </w:rPr>
    </w:lvl>
    <w:lvl w:ilvl="4">
      <w:start w:val="1"/>
      <w:numFmt w:val="bullet"/>
      <w:lvlText w:val="•"/>
      <w:lvlJc w:val="left"/>
      <w:pPr>
        <w:ind w:left="4236" w:hanging="327"/>
      </w:pPr>
      <w:rPr>
        <w:rFonts w:hint="default"/>
      </w:rPr>
    </w:lvl>
    <w:lvl w:ilvl="5">
      <w:start w:val="1"/>
      <w:numFmt w:val="bullet"/>
      <w:lvlText w:val="•"/>
      <w:lvlJc w:val="left"/>
      <w:pPr>
        <w:ind w:left="5130" w:hanging="327"/>
      </w:pPr>
      <w:rPr>
        <w:rFonts w:hint="default"/>
      </w:rPr>
    </w:lvl>
    <w:lvl w:ilvl="6">
      <w:start w:val="1"/>
      <w:numFmt w:val="bullet"/>
      <w:lvlText w:val="•"/>
      <w:lvlJc w:val="left"/>
      <w:pPr>
        <w:ind w:left="6024" w:hanging="327"/>
      </w:pPr>
      <w:rPr>
        <w:rFonts w:hint="default"/>
      </w:rPr>
    </w:lvl>
    <w:lvl w:ilvl="7">
      <w:start w:val="1"/>
      <w:numFmt w:val="bullet"/>
      <w:lvlText w:val="•"/>
      <w:lvlJc w:val="left"/>
      <w:pPr>
        <w:ind w:left="6918" w:hanging="327"/>
      </w:pPr>
      <w:rPr>
        <w:rFonts w:hint="default"/>
      </w:rPr>
    </w:lvl>
    <w:lvl w:ilvl="8">
      <w:start w:val="1"/>
      <w:numFmt w:val="bullet"/>
      <w:lvlText w:val="•"/>
      <w:lvlJc w:val="left"/>
      <w:pPr>
        <w:ind w:left="7812" w:hanging="327"/>
      </w:pPr>
      <w:rPr>
        <w:rFonts w:hint="default"/>
      </w:rPr>
    </w:lvl>
  </w:abstractNum>
  <w:abstractNum w:abstractNumId="4">
    <w:multiLevelType w:val="hybridMultilevel"/>
    <w:lvl w:ilvl="0">
      <w:start w:val="6"/>
      <w:numFmt w:val="decimal"/>
      <w:lvlText w:val="%1"/>
      <w:lvlJc w:val="left"/>
      <w:pPr>
        <w:ind w:left="339" w:hanging="660"/>
        <w:jc w:val="left"/>
      </w:pPr>
      <w:rPr>
        <w:rFonts w:hint="default"/>
      </w:rPr>
    </w:lvl>
    <w:lvl w:ilvl="1">
      <w:start w:val="1"/>
      <w:numFmt w:val="decimal"/>
      <w:lvlText w:val="%1.%2"/>
      <w:lvlJc w:val="left"/>
      <w:pPr>
        <w:ind w:left="339" w:hanging="660"/>
        <w:jc w:val="left"/>
      </w:pPr>
      <w:rPr>
        <w:rFonts w:hint="default" w:ascii="Times New Roman" w:hAnsi="Times New Roman" w:eastAsia="Times New Roman" w:cs="Times New Roman"/>
        <w:b/>
        <w:bCs/>
        <w:w w:val="100"/>
        <w:sz w:val="22"/>
        <w:szCs w:val="22"/>
      </w:rPr>
    </w:lvl>
    <w:lvl w:ilvl="2">
      <w:start w:val="1"/>
      <w:numFmt w:val="bullet"/>
      <w:lvlText w:val="•"/>
      <w:lvlJc w:val="left"/>
      <w:pPr>
        <w:ind w:left="2192" w:hanging="660"/>
      </w:pPr>
      <w:rPr>
        <w:rFonts w:hint="default"/>
      </w:rPr>
    </w:lvl>
    <w:lvl w:ilvl="3">
      <w:start w:val="1"/>
      <w:numFmt w:val="bullet"/>
      <w:lvlText w:val="•"/>
      <w:lvlJc w:val="left"/>
      <w:pPr>
        <w:ind w:left="3118" w:hanging="660"/>
      </w:pPr>
      <w:rPr>
        <w:rFonts w:hint="default"/>
      </w:rPr>
    </w:lvl>
    <w:lvl w:ilvl="4">
      <w:start w:val="1"/>
      <w:numFmt w:val="bullet"/>
      <w:lvlText w:val="•"/>
      <w:lvlJc w:val="left"/>
      <w:pPr>
        <w:ind w:left="4044" w:hanging="660"/>
      </w:pPr>
      <w:rPr>
        <w:rFonts w:hint="default"/>
      </w:rPr>
    </w:lvl>
    <w:lvl w:ilvl="5">
      <w:start w:val="1"/>
      <w:numFmt w:val="bullet"/>
      <w:lvlText w:val="•"/>
      <w:lvlJc w:val="left"/>
      <w:pPr>
        <w:ind w:left="4970" w:hanging="660"/>
      </w:pPr>
      <w:rPr>
        <w:rFonts w:hint="default"/>
      </w:rPr>
    </w:lvl>
    <w:lvl w:ilvl="6">
      <w:start w:val="1"/>
      <w:numFmt w:val="bullet"/>
      <w:lvlText w:val="•"/>
      <w:lvlJc w:val="left"/>
      <w:pPr>
        <w:ind w:left="5896" w:hanging="660"/>
      </w:pPr>
      <w:rPr>
        <w:rFonts w:hint="default"/>
      </w:rPr>
    </w:lvl>
    <w:lvl w:ilvl="7">
      <w:start w:val="1"/>
      <w:numFmt w:val="bullet"/>
      <w:lvlText w:val="•"/>
      <w:lvlJc w:val="left"/>
      <w:pPr>
        <w:ind w:left="6822" w:hanging="660"/>
      </w:pPr>
      <w:rPr>
        <w:rFonts w:hint="default"/>
      </w:rPr>
    </w:lvl>
    <w:lvl w:ilvl="8">
      <w:start w:val="1"/>
      <w:numFmt w:val="bullet"/>
      <w:lvlText w:val="•"/>
      <w:lvlJc w:val="left"/>
      <w:pPr>
        <w:ind w:left="7748" w:hanging="660"/>
      </w:pPr>
      <w:rPr>
        <w:rFonts w:hint="default"/>
      </w:rPr>
    </w:lvl>
  </w:abstractNum>
  <w:abstractNum w:abstractNumId="3">
    <w:multiLevelType w:val="hybridMultilevel"/>
    <w:lvl w:ilvl="0">
      <w:start w:val="2"/>
      <w:numFmt w:val="decimal"/>
      <w:lvlText w:val="%1"/>
      <w:lvlJc w:val="left"/>
      <w:pPr>
        <w:ind w:left="836" w:hanging="497"/>
        <w:jc w:val="left"/>
      </w:pPr>
      <w:rPr>
        <w:rFonts w:hint="default"/>
      </w:rPr>
    </w:lvl>
    <w:lvl w:ilvl="1">
      <w:start w:val="2"/>
      <w:numFmt w:val="decimal"/>
      <w:lvlText w:val="%1.%2"/>
      <w:lvlJc w:val="left"/>
      <w:pPr>
        <w:ind w:left="836" w:hanging="497"/>
        <w:jc w:val="left"/>
      </w:pPr>
      <w:rPr>
        <w:rFonts w:hint="default"/>
      </w:rPr>
    </w:lvl>
    <w:lvl w:ilvl="2">
      <w:start w:val="1"/>
      <w:numFmt w:val="decimal"/>
      <w:lvlText w:val="%1.%2.%3"/>
      <w:lvlJc w:val="left"/>
      <w:pPr>
        <w:ind w:left="836" w:hanging="497"/>
        <w:jc w:val="left"/>
      </w:pPr>
      <w:rPr>
        <w:rFonts w:hint="default" w:ascii="Times New Roman" w:hAnsi="Times New Roman" w:eastAsia="Times New Roman" w:cs="Times New Roman"/>
        <w:w w:val="100"/>
        <w:sz w:val="22"/>
        <w:szCs w:val="22"/>
      </w:rPr>
    </w:lvl>
    <w:lvl w:ilvl="3">
      <w:start w:val="1"/>
      <w:numFmt w:val="bullet"/>
      <w:lvlText w:val="•"/>
      <w:lvlJc w:val="left"/>
      <w:pPr>
        <w:ind w:left="3468" w:hanging="497"/>
      </w:pPr>
      <w:rPr>
        <w:rFonts w:hint="default"/>
      </w:rPr>
    </w:lvl>
    <w:lvl w:ilvl="4">
      <w:start w:val="1"/>
      <w:numFmt w:val="bullet"/>
      <w:lvlText w:val="•"/>
      <w:lvlJc w:val="left"/>
      <w:pPr>
        <w:ind w:left="4344" w:hanging="497"/>
      </w:pPr>
      <w:rPr>
        <w:rFonts w:hint="default"/>
      </w:rPr>
    </w:lvl>
    <w:lvl w:ilvl="5">
      <w:start w:val="1"/>
      <w:numFmt w:val="bullet"/>
      <w:lvlText w:val="•"/>
      <w:lvlJc w:val="left"/>
      <w:pPr>
        <w:ind w:left="5220" w:hanging="497"/>
      </w:pPr>
      <w:rPr>
        <w:rFonts w:hint="default"/>
      </w:rPr>
    </w:lvl>
    <w:lvl w:ilvl="6">
      <w:start w:val="1"/>
      <w:numFmt w:val="bullet"/>
      <w:lvlText w:val="•"/>
      <w:lvlJc w:val="left"/>
      <w:pPr>
        <w:ind w:left="6096" w:hanging="497"/>
      </w:pPr>
      <w:rPr>
        <w:rFonts w:hint="default"/>
      </w:rPr>
    </w:lvl>
    <w:lvl w:ilvl="7">
      <w:start w:val="1"/>
      <w:numFmt w:val="bullet"/>
      <w:lvlText w:val="•"/>
      <w:lvlJc w:val="left"/>
      <w:pPr>
        <w:ind w:left="6972" w:hanging="497"/>
      </w:pPr>
      <w:rPr>
        <w:rFonts w:hint="default"/>
      </w:rPr>
    </w:lvl>
    <w:lvl w:ilvl="8">
      <w:start w:val="1"/>
      <w:numFmt w:val="bullet"/>
      <w:lvlText w:val="•"/>
      <w:lvlJc w:val="left"/>
      <w:pPr>
        <w:ind w:left="7848" w:hanging="497"/>
      </w:pPr>
      <w:rPr>
        <w:rFonts w:hint="default"/>
      </w:rPr>
    </w:lvl>
  </w:abstractNum>
  <w:abstractNum w:abstractNumId="2">
    <w:multiLevelType w:val="hybridMultilevel"/>
    <w:lvl w:ilvl="0">
      <w:start w:val="2"/>
      <w:numFmt w:val="decimal"/>
      <w:lvlText w:val="%1"/>
      <w:lvlJc w:val="left"/>
      <w:pPr>
        <w:ind w:left="670" w:hanging="332"/>
        <w:jc w:val="left"/>
      </w:pPr>
      <w:rPr>
        <w:rFonts w:hint="default"/>
      </w:rPr>
    </w:lvl>
    <w:lvl w:ilvl="1">
      <w:start w:val="1"/>
      <w:numFmt w:val="decimal"/>
      <w:lvlText w:val="%1.%2"/>
      <w:lvlJc w:val="left"/>
      <w:pPr>
        <w:ind w:left="670" w:hanging="332"/>
        <w:jc w:val="left"/>
      </w:pPr>
      <w:rPr>
        <w:rFonts w:hint="default" w:ascii="Times New Roman" w:hAnsi="Times New Roman" w:eastAsia="Times New Roman" w:cs="Times New Roman"/>
        <w:w w:val="100"/>
        <w:sz w:val="22"/>
        <w:szCs w:val="22"/>
      </w:rPr>
    </w:lvl>
    <w:lvl w:ilvl="2">
      <w:start w:val="1"/>
      <w:numFmt w:val="decimal"/>
      <w:lvlText w:val="%1.%2.%3"/>
      <w:lvlJc w:val="left"/>
      <w:pPr>
        <w:ind w:left="836" w:hanging="497"/>
        <w:jc w:val="left"/>
      </w:pPr>
      <w:rPr>
        <w:rFonts w:hint="default" w:ascii="Times New Roman" w:hAnsi="Times New Roman" w:eastAsia="Times New Roman" w:cs="Times New Roman"/>
        <w:w w:val="100"/>
        <w:sz w:val="22"/>
        <w:szCs w:val="22"/>
      </w:rPr>
    </w:lvl>
    <w:lvl w:ilvl="3">
      <w:start w:val="1"/>
      <w:numFmt w:val="bullet"/>
      <w:lvlText w:val="•"/>
      <w:lvlJc w:val="left"/>
      <w:pPr>
        <w:ind w:left="2786" w:hanging="497"/>
      </w:pPr>
      <w:rPr>
        <w:rFonts w:hint="default"/>
      </w:rPr>
    </w:lvl>
    <w:lvl w:ilvl="4">
      <w:start w:val="1"/>
      <w:numFmt w:val="bullet"/>
      <w:lvlText w:val="•"/>
      <w:lvlJc w:val="left"/>
      <w:pPr>
        <w:ind w:left="3760" w:hanging="497"/>
      </w:pPr>
      <w:rPr>
        <w:rFonts w:hint="default"/>
      </w:rPr>
    </w:lvl>
    <w:lvl w:ilvl="5">
      <w:start w:val="1"/>
      <w:numFmt w:val="bullet"/>
      <w:lvlText w:val="•"/>
      <w:lvlJc w:val="left"/>
      <w:pPr>
        <w:ind w:left="4733" w:hanging="497"/>
      </w:pPr>
      <w:rPr>
        <w:rFonts w:hint="default"/>
      </w:rPr>
    </w:lvl>
    <w:lvl w:ilvl="6">
      <w:start w:val="1"/>
      <w:numFmt w:val="bullet"/>
      <w:lvlText w:val="•"/>
      <w:lvlJc w:val="left"/>
      <w:pPr>
        <w:ind w:left="5706" w:hanging="497"/>
      </w:pPr>
      <w:rPr>
        <w:rFonts w:hint="default"/>
      </w:rPr>
    </w:lvl>
    <w:lvl w:ilvl="7">
      <w:start w:val="1"/>
      <w:numFmt w:val="bullet"/>
      <w:lvlText w:val="•"/>
      <w:lvlJc w:val="left"/>
      <w:pPr>
        <w:ind w:left="6680" w:hanging="497"/>
      </w:pPr>
      <w:rPr>
        <w:rFonts w:hint="default"/>
      </w:rPr>
    </w:lvl>
    <w:lvl w:ilvl="8">
      <w:start w:val="1"/>
      <w:numFmt w:val="bullet"/>
      <w:lvlText w:val="•"/>
      <w:lvlJc w:val="left"/>
      <w:pPr>
        <w:ind w:left="7653" w:hanging="497"/>
      </w:pPr>
      <w:rPr>
        <w:rFonts w:hint="default"/>
      </w:rPr>
    </w:lvl>
  </w:abstractNum>
  <w:abstractNum w:abstractNumId="1">
    <w:multiLevelType w:val="hybridMultilevel"/>
    <w:lvl w:ilvl="0">
      <w:start w:val="1"/>
      <w:numFmt w:val="upperRoman"/>
      <w:lvlText w:val="%1."/>
      <w:lvlJc w:val="left"/>
      <w:pPr>
        <w:ind w:left="301" w:hanging="183"/>
        <w:jc w:val="left"/>
      </w:pPr>
      <w:rPr>
        <w:rFonts w:hint="default" w:ascii="Times New Roman" w:hAnsi="Times New Roman" w:eastAsia="Times New Roman" w:cs="Times New Roman"/>
        <w:spacing w:val="-4"/>
        <w:w w:val="100"/>
        <w:sz w:val="22"/>
        <w:szCs w:val="22"/>
      </w:rPr>
    </w:lvl>
    <w:lvl w:ilvl="1">
      <w:start w:val="1"/>
      <w:numFmt w:val="upperRoman"/>
      <w:lvlText w:val="%2."/>
      <w:lvlJc w:val="left"/>
      <w:pPr>
        <w:ind w:left="3069" w:hanging="1080"/>
        <w:jc w:val="right"/>
      </w:pPr>
      <w:rPr>
        <w:rFonts w:hint="default"/>
        <w:b/>
        <w:bCs/>
        <w:w w:val="99"/>
      </w:rPr>
    </w:lvl>
    <w:lvl w:ilvl="2">
      <w:start w:val="1"/>
      <w:numFmt w:val="bullet"/>
      <w:lvlText w:val="•"/>
      <w:lvlJc w:val="left"/>
      <w:pPr>
        <w:ind w:left="3786" w:hanging="1080"/>
      </w:pPr>
      <w:rPr>
        <w:rFonts w:hint="default"/>
      </w:rPr>
    </w:lvl>
    <w:lvl w:ilvl="3">
      <w:start w:val="1"/>
      <w:numFmt w:val="bullet"/>
      <w:lvlText w:val="•"/>
      <w:lvlJc w:val="left"/>
      <w:pPr>
        <w:ind w:left="4513" w:hanging="1080"/>
      </w:pPr>
      <w:rPr>
        <w:rFonts w:hint="default"/>
      </w:rPr>
    </w:lvl>
    <w:lvl w:ilvl="4">
      <w:start w:val="1"/>
      <w:numFmt w:val="bullet"/>
      <w:lvlText w:val="•"/>
      <w:lvlJc w:val="left"/>
      <w:pPr>
        <w:ind w:left="5240" w:hanging="1080"/>
      </w:pPr>
      <w:rPr>
        <w:rFonts w:hint="default"/>
      </w:rPr>
    </w:lvl>
    <w:lvl w:ilvl="5">
      <w:start w:val="1"/>
      <w:numFmt w:val="bullet"/>
      <w:lvlText w:val="•"/>
      <w:lvlJc w:val="left"/>
      <w:pPr>
        <w:ind w:left="5966" w:hanging="1080"/>
      </w:pPr>
      <w:rPr>
        <w:rFonts w:hint="default"/>
      </w:rPr>
    </w:lvl>
    <w:lvl w:ilvl="6">
      <w:start w:val="1"/>
      <w:numFmt w:val="bullet"/>
      <w:lvlText w:val="•"/>
      <w:lvlJc w:val="left"/>
      <w:pPr>
        <w:ind w:left="6693" w:hanging="1080"/>
      </w:pPr>
      <w:rPr>
        <w:rFonts w:hint="default"/>
      </w:rPr>
    </w:lvl>
    <w:lvl w:ilvl="7">
      <w:start w:val="1"/>
      <w:numFmt w:val="bullet"/>
      <w:lvlText w:val="•"/>
      <w:lvlJc w:val="left"/>
      <w:pPr>
        <w:ind w:left="7420" w:hanging="1080"/>
      </w:pPr>
      <w:rPr>
        <w:rFonts w:hint="default"/>
      </w:rPr>
    </w:lvl>
    <w:lvl w:ilvl="8">
      <w:start w:val="1"/>
      <w:numFmt w:val="bullet"/>
      <w:lvlText w:val="•"/>
      <w:lvlJc w:val="left"/>
      <w:pPr>
        <w:ind w:left="8146" w:hanging="1080"/>
      </w:pPr>
      <w:rPr>
        <w:rFonts w:hint="default"/>
      </w:rPr>
    </w:lvl>
  </w:abstractNum>
  <w:abstractNum w:abstractNumId="0">
    <w:multiLevelType w:val="hybridMultilevel"/>
    <w:lvl w:ilvl="0">
      <w:start w:val="1"/>
      <w:numFmt w:val="decimal"/>
      <w:lvlText w:val="%1."/>
      <w:lvlJc w:val="left"/>
      <w:pPr>
        <w:ind w:left="838" w:hanging="360"/>
        <w:jc w:val="left"/>
      </w:pPr>
      <w:rPr>
        <w:rFonts w:hint="default" w:ascii="Times New Roman" w:hAnsi="Times New Roman" w:eastAsia="Times New Roman" w:cs="Times New Roman"/>
        <w:spacing w:val="-25"/>
        <w:w w:val="99"/>
        <w:sz w:val="24"/>
        <w:szCs w:val="24"/>
      </w:rPr>
    </w:lvl>
    <w:lvl w:ilvl="1">
      <w:start w:val="1"/>
      <w:numFmt w:val="bullet"/>
      <w:lvlText w:val="•"/>
      <w:lvlJc w:val="left"/>
      <w:pPr>
        <w:ind w:left="1716" w:hanging="360"/>
      </w:pPr>
      <w:rPr>
        <w:rFonts w:hint="default"/>
      </w:rPr>
    </w:lvl>
    <w:lvl w:ilvl="2">
      <w:start w:val="1"/>
      <w:numFmt w:val="bullet"/>
      <w:lvlText w:val="•"/>
      <w:lvlJc w:val="left"/>
      <w:pPr>
        <w:ind w:left="2592" w:hanging="360"/>
      </w:pPr>
      <w:rPr>
        <w:rFonts w:hint="default"/>
      </w:rPr>
    </w:lvl>
    <w:lvl w:ilvl="3">
      <w:start w:val="1"/>
      <w:numFmt w:val="bullet"/>
      <w:lvlText w:val="•"/>
      <w:lvlJc w:val="left"/>
      <w:pPr>
        <w:ind w:left="3468" w:hanging="360"/>
      </w:pPr>
      <w:rPr>
        <w:rFonts w:hint="default"/>
      </w:rPr>
    </w:lvl>
    <w:lvl w:ilvl="4">
      <w:start w:val="1"/>
      <w:numFmt w:val="bullet"/>
      <w:lvlText w:val="•"/>
      <w:lvlJc w:val="left"/>
      <w:pPr>
        <w:ind w:left="4344" w:hanging="360"/>
      </w:pPr>
      <w:rPr>
        <w:rFonts w:hint="default"/>
      </w:rPr>
    </w:lvl>
    <w:lvl w:ilvl="5">
      <w:start w:val="1"/>
      <w:numFmt w:val="bullet"/>
      <w:lvlText w:val="•"/>
      <w:lvlJc w:val="left"/>
      <w:pPr>
        <w:ind w:left="5220" w:hanging="360"/>
      </w:pPr>
      <w:rPr>
        <w:rFonts w:hint="default"/>
      </w:rPr>
    </w:lvl>
    <w:lvl w:ilvl="6">
      <w:start w:val="1"/>
      <w:numFmt w:val="bullet"/>
      <w:lvlText w:val="•"/>
      <w:lvlJc w:val="left"/>
      <w:pPr>
        <w:ind w:left="6096" w:hanging="360"/>
      </w:pPr>
      <w:rPr>
        <w:rFonts w:hint="default"/>
      </w:rPr>
    </w:lvl>
    <w:lvl w:ilvl="7">
      <w:start w:val="1"/>
      <w:numFmt w:val="bullet"/>
      <w:lvlText w:val="•"/>
      <w:lvlJc w:val="left"/>
      <w:pPr>
        <w:ind w:left="6972" w:hanging="360"/>
      </w:pPr>
      <w:rPr>
        <w:rFonts w:hint="default"/>
      </w:rPr>
    </w:lvl>
    <w:lvl w:ilvl="8">
      <w:start w:val="1"/>
      <w:numFmt w:val="bullet"/>
      <w:lvlText w:val="•"/>
      <w:lvlJc w:val="left"/>
      <w:pPr>
        <w:ind w:left="7848" w:hanging="360"/>
      </w:pPr>
      <w:rPr>
        <w:rFonts w:hint="default"/>
      </w:rPr>
    </w:lvl>
  </w:abstract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27"/>
      <w:ind w:left="118"/>
    </w:pPr>
    <w:rPr>
      <w:rFonts w:ascii="Times New Roman" w:hAnsi="Times New Roman" w:eastAsia="Times New Roman" w:cs="Times New Roman"/>
      <w:sz w:val="22"/>
      <w:szCs w:val="22"/>
    </w:rPr>
  </w:style>
  <w:style w:styleId="TOC2" w:type="paragraph">
    <w:name w:val="TOC 2"/>
    <w:basedOn w:val="Normal"/>
    <w:uiPriority w:val="1"/>
    <w:qFormat/>
    <w:pPr>
      <w:spacing w:before="112"/>
      <w:ind w:left="339"/>
    </w:pPr>
    <w:rPr>
      <w:rFonts w:ascii="Times New Roman" w:hAnsi="Times New Roman" w:eastAsia="Times New Roman" w:cs="Times New Roman"/>
      <w:b/>
      <w:bCs/>
      <w:sz w:val="22"/>
      <w:szCs w:val="22"/>
    </w:rPr>
  </w:style>
  <w:style w:styleId="TOC3" w:type="paragraph">
    <w:name w:val="TOC 3"/>
    <w:basedOn w:val="Normal"/>
    <w:uiPriority w:val="1"/>
    <w:qFormat/>
    <w:pPr>
      <w:spacing w:before="227"/>
      <w:ind w:left="670" w:hanging="331"/>
    </w:pPr>
    <w:rPr>
      <w:rFonts w:ascii="Times New Roman" w:hAnsi="Times New Roman" w:eastAsia="Times New Roman" w:cs="Times New Roman"/>
      <w:sz w:val="22"/>
      <w:szCs w:val="22"/>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748"/>
      <w:outlineLvl w:val="1"/>
    </w:pPr>
    <w:rPr>
      <w:rFonts w:ascii="Times New Roman" w:hAnsi="Times New Roman" w:eastAsia="Times New Roman" w:cs="Times New Roman"/>
      <w:b/>
      <w:bCs/>
      <w:sz w:val="96"/>
      <w:szCs w:val="96"/>
    </w:rPr>
  </w:style>
  <w:style w:styleId="Heading2" w:type="paragraph">
    <w:name w:val="Heading 2"/>
    <w:basedOn w:val="Normal"/>
    <w:uiPriority w:val="1"/>
    <w:qFormat/>
    <w:pPr>
      <w:ind w:left="2301" w:right="410"/>
      <w:outlineLvl w:val="2"/>
    </w:pPr>
    <w:rPr>
      <w:rFonts w:ascii="Times New Roman" w:hAnsi="Times New Roman" w:eastAsia="Times New Roman" w:cs="Times New Roman"/>
      <w:sz w:val="96"/>
      <w:szCs w:val="96"/>
    </w:rPr>
  </w:style>
  <w:style w:styleId="Heading3" w:type="paragraph">
    <w:name w:val="Heading 3"/>
    <w:basedOn w:val="Normal"/>
    <w:uiPriority w:val="1"/>
    <w:qFormat/>
    <w:pPr>
      <w:ind w:left="118" w:right="264"/>
      <w:jc w:val="both"/>
      <w:outlineLvl w:val="3"/>
    </w:pPr>
    <w:rPr>
      <w:rFonts w:ascii="Times New Roman" w:hAnsi="Times New Roman" w:eastAsia="Times New Roman" w:cs="Times New Roman"/>
      <w:sz w:val="44"/>
      <w:szCs w:val="44"/>
    </w:rPr>
  </w:style>
  <w:style w:styleId="Heading4" w:type="paragraph">
    <w:name w:val="Heading 4"/>
    <w:basedOn w:val="Normal"/>
    <w:uiPriority w:val="1"/>
    <w:qFormat/>
    <w:pPr>
      <w:spacing w:before="129"/>
      <w:ind w:left="118"/>
      <w:jc w:val="center"/>
      <w:outlineLvl w:val="4"/>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838" w:hanging="360"/>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image" Target="media/image2.png"/><Relationship Id="rId13" Type="http://schemas.openxmlformats.org/officeDocument/2006/relationships/image" Target="media/image3.png"/><Relationship Id="rId14" Type="http://schemas.openxmlformats.org/officeDocument/2006/relationships/image" Target="media/image4.png"/><Relationship Id="rId15" Type="http://schemas.openxmlformats.org/officeDocument/2006/relationships/image" Target="media/image5.png"/><Relationship Id="rId16" Type="http://schemas.openxmlformats.org/officeDocument/2006/relationships/image" Target="media/image6.png"/><Relationship Id="rId17" Type="http://schemas.openxmlformats.org/officeDocument/2006/relationships/image" Target="media/image7.png"/><Relationship Id="rId18" Type="http://schemas.openxmlformats.org/officeDocument/2006/relationships/image" Target="media/image8.png"/><Relationship Id="rId19" Type="http://schemas.openxmlformats.org/officeDocument/2006/relationships/image" Target="media/image9.png"/><Relationship Id="rId20" Type="http://schemas.openxmlformats.org/officeDocument/2006/relationships/image" Target="media/image10.png"/><Relationship Id="rId21" Type="http://schemas.openxmlformats.org/officeDocument/2006/relationships/image" Target="media/image11.png"/><Relationship Id="rId22" Type="http://schemas.openxmlformats.org/officeDocument/2006/relationships/image" Target="media/image12.png"/><Relationship Id="rId23" Type="http://schemas.openxmlformats.org/officeDocument/2006/relationships/image" Target="media/image13.png"/><Relationship Id="rId24" Type="http://schemas.openxmlformats.org/officeDocument/2006/relationships/image" Target="media/image14.png"/><Relationship Id="rId25" Type="http://schemas.openxmlformats.org/officeDocument/2006/relationships/image" Target="media/image15.png"/><Relationship Id="rId26" Type="http://schemas.openxmlformats.org/officeDocument/2006/relationships/image" Target="media/image16.png"/><Relationship Id="rId27" Type="http://schemas.openxmlformats.org/officeDocument/2006/relationships/image" Target="media/image17.png"/><Relationship Id="rId28" Type="http://schemas.openxmlformats.org/officeDocument/2006/relationships/image" Target="media/image18.png"/><Relationship Id="rId29" Type="http://schemas.openxmlformats.org/officeDocument/2006/relationships/image" Target="media/image19.png"/><Relationship Id="rId30" Type="http://schemas.openxmlformats.org/officeDocument/2006/relationships/image" Target="media/image20.png"/><Relationship Id="rId31" Type="http://schemas.openxmlformats.org/officeDocument/2006/relationships/image" Target="media/image21.png"/><Relationship Id="rId32" Type="http://schemas.openxmlformats.org/officeDocument/2006/relationships/image" Target="media/image22.png"/><Relationship Id="rId33" Type="http://schemas.openxmlformats.org/officeDocument/2006/relationships/image" Target="media/image23.png"/><Relationship Id="rId34" Type="http://schemas.openxmlformats.org/officeDocument/2006/relationships/image" Target="media/image24.png"/><Relationship Id="rId35" Type="http://schemas.openxmlformats.org/officeDocument/2006/relationships/image" Target="media/image25.png"/><Relationship Id="rId36" Type="http://schemas.openxmlformats.org/officeDocument/2006/relationships/image" Target="media/image26.png"/><Relationship Id="rId37" Type="http://schemas.openxmlformats.org/officeDocument/2006/relationships/image" Target="media/image27.png"/><Relationship Id="rId38" Type="http://schemas.openxmlformats.org/officeDocument/2006/relationships/image" Target="media/image28.png"/><Relationship Id="rId39" Type="http://schemas.openxmlformats.org/officeDocument/2006/relationships/footer" Target="footer6.xml"/><Relationship Id="rId40" Type="http://schemas.openxmlformats.org/officeDocument/2006/relationships/image" Target="media/image29.png"/><Relationship Id="rId41" Type="http://schemas.openxmlformats.org/officeDocument/2006/relationships/image" Target="media/image30.png"/><Relationship Id="rId42" Type="http://schemas.openxmlformats.org/officeDocument/2006/relationships/image" Target="media/image31.png"/><Relationship Id="rId43" Type="http://schemas.openxmlformats.org/officeDocument/2006/relationships/image" Target="media/image32.png"/><Relationship Id="rId44" Type="http://schemas.openxmlformats.org/officeDocument/2006/relationships/image" Target="media/image33.png"/><Relationship Id="rId45" Type="http://schemas.openxmlformats.org/officeDocument/2006/relationships/image" Target="media/image34.png"/><Relationship Id="rId46" Type="http://schemas.openxmlformats.org/officeDocument/2006/relationships/image" Target="media/image35.png"/><Relationship Id="rId47" Type="http://schemas.openxmlformats.org/officeDocument/2006/relationships/header" Target="header3.xml"/><Relationship Id="rId48" Type="http://schemas.openxmlformats.org/officeDocument/2006/relationships/header" Target="header4.xml"/><Relationship Id="rId49" Type="http://schemas.openxmlformats.org/officeDocument/2006/relationships/image" Target="media/image36.jpeg"/><Relationship Id="rId50" Type="http://schemas.openxmlformats.org/officeDocument/2006/relationships/image" Target="media/image37.jpeg"/><Relationship Id="rId51" Type="http://schemas.openxmlformats.org/officeDocument/2006/relationships/image" Target="media/image38.jpeg"/><Relationship Id="rId52" Type="http://schemas.openxmlformats.org/officeDocument/2006/relationships/image" Target="media/image39.jpeg"/><Relationship Id="rId53" Type="http://schemas.openxmlformats.org/officeDocument/2006/relationships/image" Target="media/image40.jpeg"/><Relationship Id="rId54" Type="http://schemas.openxmlformats.org/officeDocument/2006/relationships/image" Target="media/image41.jpeg"/><Relationship Id="rId55" Type="http://schemas.openxmlformats.org/officeDocument/2006/relationships/image" Target="media/image42.jpeg"/><Relationship Id="rId56" Type="http://schemas.openxmlformats.org/officeDocument/2006/relationships/image" Target="media/image43.jpeg"/><Relationship Id="rId57" Type="http://schemas.openxmlformats.org/officeDocument/2006/relationships/image" Target="media/image44.jpeg"/><Relationship Id="rId58" Type="http://schemas.openxmlformats.org/officeDocument/2006/relationships/image" Target="media/image45.jpeg"/><Relationship Id="rId59" Type="http://schemas.openxmlformats.org/officeDocument/2006/relationships/image" Target="media/image46.jpeg"/><Relationship Id="rId60" Type="http://schemas.openxmlformats.org/officeDocument/2006/relationships/image" Target="media/image47.jpeg"/><Relationship Id="rId61" Type="http://schemas.openxmlformats.org/officeDocument/2006/relationships/image" Target="media/image48.jpeg"/><Relationship Id="rId62" Type="http://schemas.openxmlformats.org/officeDocument/2006/relationships/image" Target="media/image49.jpeg"/><Relationship Id="rId63" Type="http://schemas.openxmlformats.org/officeDocument/2006/relationships/image" Target="media/image50.jpeg"/><Relationship Id="rId64" Type="http://schemas.openxmlformats.org/officeDocument/2006/relationships/image" Target="media/image51.jpeg"/><Relationship Id="rId65" Type="http://schemas.openxmlformats.org/officeDocument/2006/relationships/image" Target="media/image52.jpeg"/><Relationship Id="rId66" Type="http://schemas.openxmlformats.org/officeDocument/2006/relationships/image" Target="media/image53.jpeg"/><Relationship Id="rId67" Type="http://schemas.openxmlformats.org/officeDocument/2006/relationships/image" Target="media/image54.jpeg"/><Relationship Id="rId68" Type="http://schemas.openxmlformats.org/officeDocument/2006/relationships/image" Target="media/image55.jpeg"/><Relationship Id="rId69" Type="http://schemas.openxmlformats.org/officeDocument/2006/relationships/image" Target="media/image56.jpeg"/><Relationship Id="rId70" Type="http://schemas.openxmlformats.org/officeDocument/2006/relationships/image" Target="media/image57.jpeg"/><Relationship Id="rId71" Type="http://schemas.openxmlformats.org/officeDocument/2006/relationships/image" Target="media/image58.jpeg"/><Relationship Id="rId72" Type="http://schemas.openxmlformats.org/officeDocument/2006/relationships/image" Target="media/image59.jpeg"/><Relationship Id="rId73" Type="http://schemas.openxmlformats.org/officeDocument/2006/relationships/image" Target="media/image60.jpeg"/><Relationship Id="rId74" Type="http://schemas.openxmlformats.org/officeDocument/2006/relationships/image" Target="media/image61.jpeg"/><Relationship Id="rId75" Type="http://schemas.openxmlformats.org/officeDocument/2006/relationships/image" Target="media/image62.jpeg"/><Relationship Id="rId76" Type="http://schemas.openxmlformats.org/officeDocument/2006/relationships/image" Target="media/image63.jpeg"/><Relationship Id="rId77" Type="http://schemas.openxmlformats.org/officeDocument/2006/relationships/image" Target="media/image64.jpeg"/><Relationship Id="rId78" Type="http://schemas.openxmlformats.org/officeDocument/2006/relationships/image" Target="media/image65.jpeg"/><Relationship Id="rId79" Type="http://schemas.openxmlformats.org/officeDocument/2006/relationships/image" Target="media/image66.jpeg"/><Relationship Id="rId80" Type="http://schemas.openxmlformats.org/officeDocument/2006/relationships/image" Target="media/image67.jpeg"/><Relationship Id="rId81" Type="http://schemas.openxmlformats.org/officeDocument/2006/relationships/image" Target="media/image68.jpeg"/><Relationship Id="rId82" Type="http://schemas.openxmlformats.org/officeDocument/2006/relationships/image" Target="media/image69.jpeg"/><Relationship Id="rId83" Type="http://schemas.openxmlformats.org/officeDocument/2006/relationships/image" Target="media/image70.jpeg"/><Relationship Id="rId84" Type="http://schemas.openxmlformats.org/officeDocument/2006/relationships/image" Target="media/image71.jpeg"/><Relationship Id="rId85" Type="http://schemas.openxmlformats.org/officeDocument/2006/relationships/image" Target="media/image72.jpeg"/><Relationship Id="rId86" Type="http://schemas.openxmlformats.org/officeDocument/2006/relationships/image" Target="media/image73.jpeg"/><Relationship Id="rId87" Type="http://schemas.openxmlformats.org/officeDocument/2006/relationships/image" Target="media/image74.jpeg"/><Relationship Id="rId88" Type="http://schemas.openxmlformats.org/officeDocument/2006/relationships/image" Target="media/image75.jpeg"/><Relationship Id="rId89" Type="http://schemas.openxmlformats.org/officeDocument/2006/relationships/image" Target="media/image76.jpeg"/><Relationship Id="rId90" Type="http://schemas.openxmlformats.org/officeDocument/2006/relationships/image" Target="media/image77.jpeg"/><Relationship Id="rId91" Type="http://schemas.openxmlformats.org/officeDocument/2006/relationships/image" Target="media/image78.jpeg"/><Relationship Id="rId92" Type="http://schemas.openxmlformats.org/officeDocument/2006/relationships/image" Target="media/image79.jpeg"/><Relationship Id="rId93" Type="http://schemas.openxmlformats.org/officeDocument/2006/relationships/image" Target="media/image80.jpeg"/><Relationship Id="rId94" Type="http://schemas.openxmlformats.org/officeDocument/2006/relationships/image" Target="media/image81.jpeg"/><Relationship Id="rId95" Type="http://schemas.openxmlformats.org/officeDocument/2006/relationships/image" Target="media/image82.jpeg"/><Relationship Id="rId96" Type="http://schemas.openxmlformats.org/officeDocument/2006/relationships/image" Target="media/image83.jpeg"/><Relationship Id="rId97" Type="http://schemas.openxmlformats.org/officeDocument/2006/relationships/image" Target="media/image84.jpeg"/><Relationship Id="rId98" Type="http://schemas.openxmlformats.org/officeDocument/2006/relationships/image" Target="media/image85.jpeg"/><Relationship Id="rId99" Type="http://schemas.openxmlformats.org/officeDocument/2006/relationships/image" Target="media/image86.jpeg"/><Relationship Id="rId100" Type="http://schemas.openxmlformats.org/officeDocument/2006/relationships/footer" Target="footer7.xml"/><Relationship Id="rId101" Type="http://schemas.openxmlformats.org/officeDocument/2006/relationships/image" Target="media/image87.jpeg"/><Relationship Id="rId102" Type="http://schemas.openxmlformats.org/officeDocument/2006/relationships/footer" Target="footer8.xml"/><Relationship Id="rId103" Type="http://schemas.openxmlformats.org/officeDocument/2006/relationships/image" Target="media/image88.jpeg"/><Relationship Id="rId104" Type="http://schemas.openxmlformats.org/officeDocument/2006/relationships/image" Target="media/image89.jpeg"/><Relationship Id="rId105" Type="http://schemas.openxmlformats.org/officeDocument/2006/relationships/image" Target="media/image90.jpeg"/><Relationship Id="rId106" Type="http://schemas.openxmlformats.org/officeDocument/2006/relationships/image" Target="media/image91.jpeg"/><Relationship Id="rId107" Type="http://schemas.openxmlformats.org/officeDocument/2006/relationships/image" Target="media/image92.jpeg"/><Relationship Id="rId108" Type="http://schemas.openxmlformats.org/officeDocument/2006/relationships/image" Target="media/image93.jpeg"/><Relationship Id="rId109" Type="http://schemas.openxmlformats.org/officeDocument/2006/relationships/image" Target="media/image94.jpeg"/><Relationship Id="rId110" Type="http://schemas.openxmlformats.org/officeDocument/2006/relationships/image" Target="media/image95.png"/><Relationship Id="rId111" Type="http://schemas.openxmlformats.org/officeDocument/2006/relationships/hyperlink" Target="http://www.conapo.gob.mx/" TargetMode="External"/><Relationship Id="rId112" Type="http://schemas.openxmlformats.org/officeDocument/2006/relationships/hyperlink" Target="https://www.fira.gob.mx/Nd/index.jsp" TargetMode="External"/><Relationship Id="rId113" Type="http://schemas.openxmlformats.org/officeDocument/2006/relationships/hyperlink" Target="http://www.sct.gob.mx/rutas" TargetMode="External"/><Relationship Id="rId114" Type="http://schemas.openxmlformats.org/officeDocument/2006/relationships/hyperlink" Target="http://www.siap.gob.mx/ganaderia-resumen-municipal-pecuario" TargetMode="External"/><Relationship Id="rId115" Type="http://schemas.openxmlformats.org/officeDocument/2006/relationships/hyperlink" Target="http://www.economia-sniim.gob.mx/nurvo/mapa.asp" TargetMode="External"/><Relationship Id="rId116" Type="http://schemas.openxmlformats.org/officeDocument/2006/relationships/hyperlink" Target="http://www.usda.gov/wps/portal/usda/usdahome" TargetMode="External"/><Relationship Id="rId117" Type="http://schemas.openxmlformats.org/officeDocument/2006/relationships/image" Target="media/image96.jpeg"/><Relationship Id="rId118" Type="http://schemas.openxmlformats.org/officeDocument/2006/relationships/image" Target="media/image97.jpeg"/><Relationship Id="rId119" Type="http://schemas.openxmlformats.org/officeDocument/2006/relationships/image" Target="media/image98.jpeg"/><Relationship Id="rId120" Type="http://schemas.openxmlformats.org/officeDocument/2006/relationships/image" Target="media/image99.jpeg"/><Relationship Id="rId121" Type="http://schemas.openxmlformats.org/officeDocument/2006/relationships/image" Target="media/image100.jpeg"/><Relationship Id="rId122" Type="http://schemas.openxmlformats.org/officeDocument/2006/relationships/image" Target="media/image101.jpeg"/><Relationship Id="rId123" Type="http://schemas.openxmlformats.org/officeDocument/2006/relationships/image" Target="media/image102.jpeg"/><Relationship Id="rId124" Type="http://schemas.openxmlformats.org/officeDocument/2006/relationships/image" Target="media/image103.jpeg"/><Relationship Id="rId125" Type="http://schemas.openxmlformats.org/officeDocument/2006/relationships/image" Target="media/image104.jpeg"/><Relationship Id="rId126" Type="http://schemas.openxmlformats.org/officeDocument/2006/relationships/image" Target="media/image105.jpeg"/><Relationship Id="rId127" Type="http://schemas.openxmlformats.org/officeDocument/2006/relationships/image" Target="media/image106.jpeg"/><Relationship Id="rId128" Type="http://schemas.openxmlformats.org/officeDocument/2006/relationships/image" Target="media/image107.jpeg"/><Relationship Id="rId129" Type="http://schemas.openxmlformats.org/officeDocument/2006/relationships/image" Target="media/image108.jpeg"/><Relationship Id="rId130" Type="http://schemas.openxmlformats.org/officeDocument/2006/relationships/image" Target="media/image109.jpeg"/><Relationship Id="rId131" Type="http://schemas.openxmlformats.org/officeDocument/2006/relationships/image" Target="media/image110.jpeg"/><Relationship Id="rId132" Type="http://schemas.openxmlformats.org/officeDocument/2006/relationships/image" Target="media/image111.jpeg"/><Relationship Id="rId133" Type="http://schemas.openxmlformats.org/officeDocument/2006/relationships/image" Target="media/image112.jpeg"/><Relationship Id="rId134" Type="http://schemas.openxmlformats.org/officeDocument/2006/relationships/image" Target="media/image113.jpeg"/><Relationship Id="rId135" Type="http://schemas.openxmlformats.org/officeDocument/2006/relationships/image" Target="media/image114.jpeg"/><Relationship Id="rId136" Type="http://schemas.openxmlformats.org/officeDocument/2006/relationships/image" Target="media/image115.jpeg"/><Relationship Id="rId137" Type="http://schemas.openxmlformats.org/officeDocument/2006/relationships/image" Target="media/image116.jpeg"/><Relationship Id="rId138" Type="http://schemas.openxmlformats.org/officeDocument/2006/relationships/image" Target="media/image117.jpeg"/><Relationship Id="rId139" Type="http://schemas.openxmlformats.org/officeDocument/2006/relationships/image" Target="media/image118.jpeg"/><Relationship Id="rId140" Type="http://schemas.openxmlformats.org/officeDocument/2006/relationships/image" Target="media/image119.jpeg"/><Relationship Id="rId141" Type="http://schemas.openxmlformats.org/officeDocument/2006/relationships/hyperlink" Target="http://www.siap.gob.mx/optestadisticasiacon2016parcialsiacon-zip/" TargetMode="External"/><Relationship Id="rId142" Type="http://schemas.openxmlformats.org/officeDocument/2006/relationships/hyperlink" Target="http://www.fira.gob.mx/Nd/index.jsp" TargetMode="External"/><Relationship Id="rId143" Type="http://schemas.openxmlformats.org/officeDocument/2006/relationships/hyperlink" Target="http://www.cmp.org/" TargetMode="External"/><Relationship Id="rId144" Type="http://schemas.openxmlformats.org/officeDocument/2006/relationships/image" Target="media/image120.png"/><Relationship Id="rId145" Type="http://schemas.openxmlformats.org/officeDocument/2006/relationships/header" Target="header5.xml"/><Relationship Id="rId146" Type="http://schemas.openxmlformats.org/officeDocument/2006/relationships/footer" Target="footer9.xml"/><Relationship Id="rId147" Type="http://schemas.openxmlformats.org/officeDocument/2006/relationships/header" Target="header6.xml"/><Relationship Id="rId148" Type="http://schemas.openxmlformats.org/officeDocument/2006/relationships/footer" Target="footer10.xml"/><Relationship Id="rId149" Type="http://schemas.openxmlformats.org/officeDocument/2006/relationships/hyperlink" Target="NULL" TargetMode="External"/><Relationship Id="rId150" Type="http://schemas.openxmlformats.org/officeDocument/2006/relationships/hyperlink" Target="http://www.fao.org/home/en/" TargetMode="External"/><Relationship Id="rId151" Type="http://schemas.openxmlformats.org/officeDocument/2006/relationships/hyperlink" Target="http://senasica.gob.mx/?id=743" TargetMode="External"/><Relationship Id="rId152" Type="http://schemas.openxmlformats.org/officeDocument/2006/relationships/hyperlink" Target="http://www.economia-sniim.gob.mx/nuevo/mapa.asp" TargetMode="External"/><Relationship Id="rId153" Type="http://schemas.openxmlformats.org/officeDocument/2006/relationships/hyperlink" Target="http://www.usda.gov/wps/portal/usda/usdahome%20Consultado%2013%20Noviembre%202016" TargetMode="External"/><Relationship Id="rId154"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2017-05-23T22:05:16Z</dcterms:created>
  <dcterms:modified xsi:type="dcterms:W3CDTF">2017-05-23T22:05:16Z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2017-05-23T00:00:00Z</vt:filetime>
  </property>
</Properties>
</file>