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shapetype id="_x0000_t202" o:spt="202" coordsize="21600,21600" path="m,l,21600r21600,l21600,xe">
            <v:stroke joinstyle="miter"/>
            <v:path gradientshapeok="t" o:connecttype="rect"/>
          </v:shapetype>
          <v:shape style="position:absolute;margin-left:544.788818pt;margin-top:42.686642pt;width:8.25pt;height:10.35pt;mso-position-horizontal-relative:page;mso-position-vertical-relative:page;z-index:1192" type="#_x0000_t202" filled="false" stroked="false">
            <v:textbox inset="0,0,0,0">
              <w:txbxContent>
                <w:p>
                  <w:pPr>
                    <w:spacing w:before="3"/>
                    <w:ind w:left="20" w:right="0" w:firstLine="0"/>
                    <w:jc w:val="left"/>
                    <w:rPr>
                      <w:b/>
                      <w:sz w:val="16"/>
                    </w:rPr>
                  </w:pPr>
                  <w:r>
                    <w:rPr>
                      <w:b/>
                      <w:color w:val="23201D"/>
                      <w:w w:val="105"/>
                      <w:sz w:val="16"/>
                    </w:rPr>
                    <w:t>R</w:t>
                  </w:r>
                </w:p>
              </w:txbxContent>
            </v:textbox>
            <w10:wrap type="none"/>
          </v:shape>
        </w:pict>
      </w:r>
      <w:r>
        <w:rPr/>
        <w:pict>
          <v:shape style="position:absolute;margin-left:552.47583pt;margin-top:44.518391pt;width:5.8pt;height:8.3pt;mso-position-horizontal-relative:page;mso-position-vertical-relative:page;z-index:1216;rotation:12" type="#_x0000_t136" fillcolor="#23201d" stroked="f">
            <o:extrusion v:ext="view" autorotationcenter="t"/>
            <v:textpath style="font-family:&amp;quot;Arial&amp;quot;;font-size:8pt;v-text-kern:t;mso-text-shadow:auto;font-weight:bold" string="S"/>
            <w10:wrap type="none"/>
          </v:shape>
        </w:pict>
      </w:r>
      <w:r>
        <w:rPr/>
        <w:pict>
          <v:shape style="position:absolute;margin-left:558.004883pt;margin-top:45.533237pt;width:2.550pt;height:8.3pt;mso-position-horizontal-relative:page;mso-position-vertical-relative:page;z-index:1240;rotation:17" type="#_x0000_t136" fillcolor="#23201d" stroked="f">
            <o:extrusion v:ext="view" autorotationcenter="t"/>
            <v:textpath style="font-family:&amp;quot;Arial&amp;quot;;font-size:8pt;v-text-kern:t;mso-text-shadow:auto;font-weight:bold" string="I"/>
            <w10:wrap type="none"/>
          </v:shape>
        </w:pict>
      </w:r>
      <w:r>
        <w:rPr/>
        <w:pict>
          <v:shape style="position:absolute;margin-left:560.279602pt;margin-top:46.900818pt;width:5.35pt;height:8.3pt;mso-position-horizontal-relative:page;mso-position-vertical-relative:page;z-index:1264;rotation:23" type="#_x0000_t136" fillcolor="#23201d" stroked="f">
            <o:extrusion v:ext="view" autorotationcenter="t"/>
            <v:textpath style="font-family:&amp;quot;Arial&amp;quot;;font-size:8pt;v-text-kern:t;mso-text-shadow:auto;font-weight:bold" string="T"/>
            <w10:wrap type="none"/>
          </v:shape>
        </w:pict>
      </w:r>
      <w:r>
        <w:rPr/>
        <w:pict>
          <v:shape style="position:absolute;margin-left:564.568787pt;margin-top:49.448681pt;width:6.3pt;height:8.3pt;mso-position-horizontal-relative:page;mso-position-vertical-relative:page;z-index:1288;rotation:31" type="#_x0000_t136" fillcolor="#23201d" stroked="f">
            <o:extrusion v:ext="view" autorotationcenter="t"/>
            <v:textpath style="font-family:&amp;quot;Arial&amp;quot;;font-size:8pt;v-text-kern:t;mso-text-shadow:auto;font-weight:bold" string="A"/>
            <w10:wrap type="none"/>
          </v:shape>
        </w:pict>
      </w:r>
      <w:r>
        <w:rPr/>
        <w:pict>
          <v:shape style="position:absolute;margin-left:569.763794pt;margin-top:53.394821pt;width:6.25pt;height:8.35pt;mso-position-horizontal-relative:page;mso-position-vertical-relative:page;z-index:1312;rotation:42" type="#_x0000_t136" fillcolor="#23201d" stroked="f">
            <o:extrusion v:ext="view" autorotationcenter="t"/>
            <v:textpath style="font-family:&amp;quot;Arial&amp;quot;;font-size:8pt;v-text-kern:t;mso-text-shadow:auto;font-weight:bold" string="R"/>
            <w10:wrap type="none"/>
          </v:shape>
        </w:pict>
      </w:r>
      <w:r>
        <w:rPr/>
        <w:pict>
          <v:shape style="position:absolute;margin-left:574.703467pt;margin-top:56.554605pt;width:2.550pt;height:8.35pt;mso-position-horizontal-relative:page;mso-position-vertical-relative:page;z-index:1336;rotation:48" type="#_x0000_t136" fillcolor="#23201d" stroked="f">
            <o:extrusion v:ext="view" autorotationcenter="t"/>
            <v:textpath style="font-family:&amp;quot;Arial&amp;quot;;font-size:8pt;v-text-kern:t;mso-text-shadow:auto;font-weight:bold" string="I"/>
            <w10:wrap type="none"/>
          </v:shape>
        </w:pict>
      </w:r>
      <w:r>
        <w:rPr/>
        <w:pict>
          <v:shape style="position:absolute;margin-left:520.446228pt;margin-top:52.132336pt;width:6.25pt;height:8.35pt;mso-position-horizontal-relative:page;mso-position-vertical-relative:page;z-index:1624;rotation:321" type="#_x0000_t136" fillcolor="#23201d" stroked="f">
            <o:extrusion v:ext="view" autorotationcenter="t"/>
            <v:textpath style="font-family:&amp;quot;Arial&amp;quot;;font-size:8pt;v-text-kern:t;mso-text-shadow:auto;font-weight:bold" string="U"/>
            <w10:wrap type="none"/>
          </v:shape>
        </w:pict>
      </w:r>
      <w:r>
        <w:rPr/>
        <w:pict>
          <v:shape style="position:absolute;margin-left:525.855469pt;margin-top:48.51545pt;width:6.3pt;height:8.3pt;mso-position-horizontal-relative:page;mso-position-vertical-relative:page;z-index:1648;rotation:332" type="#_x0000_t136" fillcolor="#23201d" stroked="f">
            <o:extrusion v:ext="view" autorotationcenter="t"/>
            <v:textpath style="font-family:&amp;quot;Arial&amp;quot;;font-size:8pt;v-text-kern:t;mso-text-shadow:auto;font-weight:bold" string="N"/>
            <w10:wrap type="none"/>
          </v:shape>
        </w:pict>
      </w:r>
      <w:r>
        <w:rPr/>
        <w:pict>
          <v:shape style="position:absolute;margin-left:531.630249pt;margin-top:46.48616pt;width:2.550pt;height:8.3pt;mso-position-horizontal-relative:page;mso-position-vertical-relative:page;z-index:1672;rotation:337" type="#_x0000_t136" fillcolor="#23201d" stroked="f">
            <o:extrusion v:ext="view" autorotationcenter="t"/>
            <v:textpath style="font-family:&amp;quot;Arial&amp;quot;;font-size:8pt;v-text-kern:t;mso-text-shadow:auto;font-weight:bold" string="I"/>
            <w10:wrap type="none"/>
          </v:shape>
        </w:pict>
      </w:r>
      <w:r>
        <w:rPr/>
        <w:pict>
          <v:shape style="position:absolute;margin-left:534.061035pt;margin-top:45.201118pt;width:5.8pt;height:8.3pt;mso-position-horizontal-relative:page;mso-position-vertical-relative:page;z-index:1696;rotation:346" type="#_x0000_t136" fillcolor="#23201d" stroked="f">
            <o:extrusion v:ext="view" autorotationcenter="t"/>
            <v:textpath style="font-family:&amp;quot;Arial&amp;quot;;font-size:8pt;v-text-kern:t;mso-text-shadow:auto;font-weight:bold" string="V"/>
            <w10:wrap type="none"/>
          </v:shape>
        </w:pict>
      </w:r>
      <w:r>
        <w:rPr/>
        <w:pict>
          <v:shape style="position:absolute;margin-left:539.94165pt;margin-top:43.979794pt;width:5.8pt;height:8.25pt;mso-position-horizontal-relative:page;mso-position-vertical-relative:page;z-index:1720;rotation:354" type="#_x0000_t136" fillcolor="#23201d" stroked="f">
            <o:extrusion v:ext="view" autorotationcenter="t"/>
            <v:textpath style="font-family:&amp;quot;Arial&amp;quot;;font-size:8pt;v-text-kern:t;mso-text-shadow:auto;font-weight:bold" string="E"/>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6"/>
        </w:rPr>
      </w:pPr>
    </w:p>
    <w:p>
      <w:pPr>
        <w:pStyle w:val="Heading3"/>
        <w:spacing w:before="70"/>
        <w:ind w:left="644"/>
        <w:jc w:val="center"/>
      </w:pPr>
      <w:r>
        <w:rPr/>
        <w:pict>
          <v:line style="position:absolute;mso-position-horizontal-relative:page;mso-position-vertical-relative:paragraph;z-index:0" from="76.691002pt,-29.814116pt" to="77.160002pt,356.005884pt" stroked="true" strokeweight="1pt" strokecolor="#00703c">
            <w10:wrap type="none"/>
          </v:line>
        </w:pict>
      </w:r>
      <w:r>
        <w:rPr/>
        <w:pict>
          <v:line style="position:absolute;mso-position-horizontal-relative:page;mso-position-vertical-relative:paragraph;z-index:1048" from="70.787997pt,-29.794117pt" to="70.519997pt,494.215883pt" stroked="true" strokeweight="1pt" strokecolor="#00703c">
            <w10:wrap type="none"/>
          </v:line>
        </w:pict>
      </w:r>
      <w:r>
        <w:rPr/>
        <w:pict>
          <v:line style="position:absolute;mso-position-horizontal-relative:page;mso-position-vertical-relative:paragraph;z-index:1072" from="64.837997pt,-28.964117pt" to="65.038997pt,575.999883pt" stroked="true" strokeweight="1pt" strokecolor="#00703c">
            <w10:wrap type="none"/>
          </v:line>
        </w:pict>
      </w:r>
      <w:r>
        <w:rPr/>
        <w:drawing>
          <wp:anchor distT="0" distB="0" distL="0" distR="0" allowOverlap="1" layoutInCell="1" locked="0" behindDoc="1" simplePos="0" relativeHeight="268078247">
            <wp:simplePos x="0" y="0"/>
            <wp:positionH relativeFrom="page">
              <wp:posOffset>1094739</wp:posOffset>
            </wp:positionH>
            <wp:positionV relativeFrom="paragraph">
              <wp:posOffset>-341555</wp:posOffset>
            </wp:positionV>
            <wp:extent cx="5989320" cy="78232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5989320" cy="7823200"/>
                    </a:xfrm>
                    <a:prstGeom prst="rect">
                      <a:avLst/>
                    </a:prstGeom>
                  </pic:spPr>
                </pic:pic>
              </a:graphicData>
            </a:graphic>
          </wp:anchor>
        </w:drawing>
      </w:r>
      <w:r>
        <w:rPr/>
        <w:pict>
          <v:group style="position:absolute;margin-left:25.15pt;margin-top:-114.589119pt;width:471.05pt;height:80.150pt;mso-position-horizontal-relative:page;mso-position-vertical-relative:paragraph;z-index:1120" coordorigin="503,-2292" coordsize="9421,1603">
            <v:shape style="position:absolute;left:2413;top:-1426;width:7429;height:196" coordorigin="2413,-1426" coordsize="7429,196" path="m2413,-1426l7971,-1426m2413,-1328l8906,-1328m2413,-1231l9841,-1231e" filled="false" stroked="true" strokeweight="1pt" strokecolor="#007339">
              <v:path arrowok="t"/>
            </v:shape>
            <v:shape style="position:absolute;left:2388;top:-2006;width:7536;height:348" type="#_x0000_t75" stroked="false">
              <v:imagedata r:id="rId6" o:title=""/>
            </v:shape>
            <v:shape style="position:absolute;left:2787;top:-2002;width:6748;height:220" type="#_x0000_t75" stroked="false">
              <v:imagedata r:id="rId7" o:title=""/>
            </v:shape>
            <v:shape style="position:absolute;left:503;top:-2292;width:1838;height:1603" type="#_x0000_t75" stroked="false">
              <v:imagedata r:id="rId8" o:title=""/>
            </v:shape>
            <w10:wrap type="none"/>
          </v:group>
        </w:pict>
      </w:r>
      <w:r>
        <w:rPr/>
        <w:pict>
          <v:group style="position:absolute;margin-left:519.169128pt;margin-top:-100.15593pt;width:56.6pt;height:65.7pt;mso-position-horizontal-relative:page;mso-position-vertical-relative:paragraph;z-index:1144" coordorigin="10383,-2003" coordsize="1132,1314">
            <v:shape style="position:absolute;left:10383;top:-2003;width:1131;height:1019" type="#_x0000_t75" stroked="false">
              <v:imagedata r:id="rId9" o:title=""/>
            </v:shape>
            <v:shape style="position:absolute;left:10402;top:-1008;width:1097;height:319" coordorigin="10402,-1008" coordsize="1097,319" path="m10577,-913l10521,-809,10602,-767,10611,-785,10552,-816,10567,-843,10612,-843,10577,-861,10589,-883,10636,-883,10577,-913xm10612,-843l10567,-843,10620,-816,10630,-834,10612,-843xm10636,-883l10589,-883,10645,-855,10655,-874,10636,-883xm10458,-1008l10443,-993,10471,-972,10402,-898,10421,-883,10489,-953,10520,-953,10458,-1008xm10520,-953l10489,-953,10514,-932,10527,-947,10520,-953xm10769,-760l10745,-760,10760,-715,10789,-705,10769,-760xm10717,-849l10736,-785,10679,-736,10708,-730,10745,-760,10769,-760,10764,-776,10788,-797,10757,-797,10745,-840,10717,-849xm10792,-828l10757,-797,10788,-797,10817,-822,10792,-828xm10929,-813l10918,-812,10907,-809,10898,-805,10888,-797,10882,-789,10877,-779,10874,-766,10873,-751,10872,-739,10874,-728,10879,-718,10885,-708,10893,-701,10902,-696,10913,-693,10926,-690,10938,-690,10947,-693,10966,-705,10970,-711,10916,-711,10910,-715,10904,-721,10898,-727,10898,-767,10901,-779,10907,-785,10913,-791,10919,-794,10969,-794,10966,-797,10959,-803,10950,-808,10940,-811,10929,-813xm10951,-736l10951,-727,10947,-721,10941,-718,10938,-715,10932,-711,10970,-711,10972,-715,10976,-727,10951,-736xm10969,-794l10919,-794,10929,-791,10941,-791,10944,-788,10947,-782,10951,-779,10954,-773,10976,-776,10976,-785,10969,-794xm11104,-826l11091,-825,11072,-819,11066,-816,11063,-809,11060,-806,11053,-800,11050,-794,11050,-788,11047,-782,11047,-764,11050,-751,11054,-739,11059,-728,11067,-719,11075,-711,11085,-708,11096,-705,11109,-705,11122,-708,11133,-712,11143,-717,11151,-724,11106,-724,11097,-727,11091,-730,11082,-736,11078,-745,11075,-757,11072,-773,11072,-782,11075,-791,11078,-797,11088,-803,11097,-806,11151,-806,11146,-812,11138,-819,11126,-824,11115,-826,11104,-826xm11151,-806l11116,-806,11122,-800,11128,-797,11135,-788,11138,-776,11141,-760,11141,-751,11138,-742,11131,-736,11125,-730,11106,-724,11151,-724,11152,-724,11159,-733,11163,-743,11166,-754,11166,-766,11163,-779,11159,-792,11154,-803,11151,-806xm11284,-889l11272,-889,11256,-880,11247,-874,11238,-867,11232,-858,11228,-849,11227,-838,11228,-826,11231,-814,11237,-800,11243,-789,11251,-780,11259,-774,11268,-770,11280,-767,11290,-767,11301,-769,11312,-773,11325,-779,11331,-785,11287,-785,11278,-788,11272,-791,11265,-800,11256,-813,11250,-828,11250,-843,11253,-852,11256,-858,11265,-861,11278,-868,11311,-868,11315,-871,11309,-880,11303,-883,11284,-889xm11340,-828l11315,-825,11318,-816,11318,-809,11312,-797,11309,-794,11303,-791,11293,-785,11331,-785,11337,-794,11340,-803,11340,-828xm11311,-868l11278,-868,11284,-865,11287,-865,11293,-861,11296,-855,11311,-868xm11428,-985l11417,-982,11406,-978,11396,-972,11390,-963,11384,-956,11381,-950,11378,-944,11378,-938,11374,-932,11374,-926,11378,-920,11378,-913,11381,-904,11393,-886,11403,-877,11414,-871,11425,-866,11437,-865,11447,-864,11457,-866,11467,-872,11477,-880,11485,-886,11440,-886,11421,-892,11412,-904,11402,-913,11399,-923,11399,-941,11402,-947,11418,-963,11427,-966,11477,-966,11471,-971,11461,-978,11451,-982,11440,-984,11428,-985xm11477,-966l11427,-966,11437,-963,11443,-963,11452,-956,11462,-947,11471,-935,11477,-926,11477,-907,11471,-901,11459,-889,11449,-886,11485,-886,11487,-888,11494,-897,11498,-907,11499,-917,11498,-928,11494,-940,11489,-951,11480,-963,11477,-966xe" filled="true" fillcolor="#23201d" stroked="false">
              <v:path arrowok="t"/>
              <v:fill type="solid"/>
            </v:shape>
            <w10:wrap type="none"/>
          </v:group>
        </w:pict>
      </w:r>
      <w:r>
        <w:rPr/>
        <w:pict>
          <v:group style="position:absolute;margin-left:127.199997pt;margin-top:-55.694115pt;width:354.6pt;height:11.4pt;mso-position-horizontal-relative:page;mso-position-vertical-relative:paragraph;z-index:1168" coordorigin="2544,-1114" coordsize="7092,228">
            <v:shape style="position:absolute;left:2544;top:-1114;width:7092;height:228" type="#_x0000_t75" stroked="false">
              <v:imagedata r:id="rId10" o:title=""/>
            </v:shape>
            <v:shape style="position:absolute;left:3357;top:-1069;width:5462;height:178" type="#_x0000_t75" stroked="false">
              <v:imagedata r:id="rId11" o:title=""/>
            </v:shape>
            <w10:wrap type="none"/>
          </v:group>
        </w:pict>
      </w:r>
      <w:r>
        <w:rPr/>
        <w:pict>
          <v:shape style="position:absolute;margin-left:575.442041pt;margin-top:-98.765863pt;width:6.7pt;height:8.4pt;mso-position-horizontal-relative:page;mso-position-vertical-relative:paragraph;z-index:1360;rotation:56" type="#_x0000_t136" fillcolor="#23201d" stroked="f">
            <o:extrusion v:ext="view" autorotationcenter="t"/>
            <v:textpath style="font-family:&amp;quot;Arial&amp;quot;;font-size:8pt;v-text-kern:t;mso-text-shadow:auto;font-weight:bold" string="O"/>
            <w10:wrap type="none"/>
          </v:shape>
        </w:pict>
      </w:r>
      <w:r>
        <w:rPr/>
        <w:pict>
          <v:shape style="position:absolute;margin-left:579.67782pt;margin-top:-90.724893pt;width:6.2pt;height:8.4pt;mso-position-horizontal-relative:page;mso-position-vertical-relative:paragraph;z-index:1384;rotation:70" type="#_x0000_t136" fillcolor="#23201d" stroked="f">
            <o:extrusion v:ext="view" autorotationcenter="t"/>
            <v:textpath style="font-family:&amp;quot;Arial&amp;quot;;font-size:8pt;v-text-kern:t;mso-text-shadow:auto;font-weight:bold" string="U"/>
            <w10:wrap type="none"/>
          </v:shape>
        </w:pict>
      </w:r>
      <w:r>
        <w:rPr/>
        <w:pict>
          <v:shape style="position:absolute;margin-left:581.274329pt;margin-top:-84.644476pt;width:6.15pt;height:8.450pt;mso-position-horizontal-relative:page;mso-position-vertical-relative:paragraph;z-index:1408;rotation:78" type="#_x0000_t136" fillcolor="#23201d" stroked="f">
            <o:extrusion v:ext="view" autorotationcenter="t"/>
            <v:textpath style="font-family:&amp;quot;Arial&amp;quot;;font-size:8pt;v-text-kern:t;mso-text-shadow:auto;font-weight:bold" string="A"/>
            <w10:wrap type="none"/>
          </v:shape>
        </w:pict>
      </w:r>
      <w:r>
        <w:rPr/>
        <w:pict>
          <v:shape style="position:absolute;margin-left:579.584351pt;margin-top:-78.077187pt;width:10.55pt;height:7.65pt;mso-position-horizontal-relative:page;mso-position-vertical-relative:paragraph;z-index:1432" type="#_x0000_t202" filled="false" stroked="false">
            <v:textbox inset="0,0,0,0" style="layout-flow:vertical">
              <w:txbxContent>
                <w:p>
                  <w:pPr>
                    <w:spacing w:line="192" w:lineRule="exact" w:before="0"/>
                    <w:ind w:left="20" w:right="0" w:firstLine="0"/>
                    <w:jc w:val="left"/>
                    <w:rPr>
                      <w:b/>
                      <w:sz w:val="17"/>
                    </w:rPr>
                  </w:pPr>
                  <w:r>
                    <w:rPr>
                      <w:b/>
                      <w:color w:val="23201D"/>
                      <w:w w:val="97"/>
                      <w:sz w:val="17"/>
                    </w:rPr>
                    <w:t>E</w:t>
                  </w:r>
                </w:p>
              </w:txbxContent>
            </v:textbox>
            <w10:wrap type="none"/>
          </v:shape>
        </w:pict>
      </w:r>
      <w:r>
        <w:rPr/>
        <w:pict>
          <v:shape style="position:absolute;margin-left:580.626343pt;margin-top:-71.913185pt;width:6.95pt;height:8.450pt;mso-position-horizontal-relative:page;mso-position-vertical-relative:paragraph;z-index:1456;rotation:100" type="#_x0000_t136" fillcolor="#23201d" stroked="f">
            <o:extrusion v:ext="view" autorotationcenter="t"/>
            <v:textpath style="font-family:&amp;quot;Arial&amp;quot;;font-size:8pt;v-text-kern:t;mso-text-shadow:auto;font-weight:bold" string="M"/>
            <w10:wrap type="none"/>
          </v:shape>
        </w:pict>
      </w:r>
      <w:r>
        <w:rPr/>
        <w:pict>
          <v:shape style="position:absolute;margin-left:507.977045pt;margin-top:-71.35444pt;width:6pt;height:8.450pt;mso-position-horizontal-relative:page;mso-position-vertical-relative:paragraph;z-index:1480;rotation:257" type="#_x0000_t136" fillcolor="#23201d" stroked="f">
            <o:extrusion v:ext="view" autorotationcenter="t"/>
            <v:textpath style="font-family:&amp;quot;Arial&amp;quot;;font-size:8pt;v-text-kern:t;mso-text-shadow:auto;font-weight:bold" string="C"/>
            <w10:wrap type="none"/>
          </v:shape>
        </w:pict>
      </w:r>
      <w:r>
        <w:rPr/>
        <w:pict>
          <v:shape style="position:absolute;margin-left:504.862854pt;margin-top:-77.149414pt;width:10.55pt;height:7.65pt;mso-position-horizontal-relative:page;mso-position-vertical-relative:paragraph;z-index:1504" type="#_x0000_t202" filled="false" stroked="false">
            <v:textbox inset="0,0,0,0" style="layout-flow:vertical;mso-layout-flow-alt:bottom-to-top">
              <w:txbxContent>
                <w:p>
                  <w:pPr>
                    <w:spacing w:line="194" w:lineRule="exact" w:before="0"/>
                    <w:ind w:left="20" w:right="0" w:firstLine="0"/>
                    <w:jc w:val="left"/>
                    <w:rPr>
                      <w:b/>
                      <w:sz w:val="17"/>
                    </w:rPr>
                  </w:pPr>
                  <w:r>
                    <w:rPr>
                      <w:b/>
                      <w:color w:val="23201D"/>
                      <w:w w:val="97"/>
                      <w:sz w:val="17"/>
                    </w:rPr>
                    <w:t>E</w:t>
                  </w:r>
                </w:p>
              </w:txbxContent>
            </v:textbox>
            <w10:wrap type="none"/>
          </v:shape>
        </w:pict>
      </w:r>
      <w:r>
        <w:rPr/>
        <w:pict>
          <v:shape style="position:absolute;margin-left:507.248785pt;margin-top:-83.493124pt;width:6.15pt;height:8.450pt;mso-position-horizontal-relative:page;mso-position-vertical-relative:paragraph;z-index:1528;rotation:279" type="#_x0000_t136" fillcolor="#23201d" stroked="f">
            <o:extrusion v:ext="view" autorotationcenter="t"/>
            <v:textpath style="font-family:&amp;quot;Arial&amp;quot;;font-size:8pt;v-text-kern:t;mso-text-shadow:auto;font-weight:bold" string="N"/>
            <w10:wrap type="none"/>
          </v:shape>
        </w:pict>
      </w:r>
      <w:r>
        <w:rPr/>
        <w:pict>
          <v:shape style="position:absolute;margin-left:509.004358pt;margin-top:-89.28663pt;width:5.25pt;height:8.450pt;mso-position-horizontal-relative:page;mso-position-vertical-relative:paragraph;z-index:1552;rotation:287" type="#_x0000_t136" fillcolor="#23201d" stroked="f">
            <o:extrusion v:ext="view" autorotationcenter="t"/>
            <v:textpath style="font-family:&amp;quot;Arial&amp;quot;;font-size:8pt;v-text-kern:t;mso-text-shadow:auto;font-weight:bold" string="T"/>
            <w10:wrap type="none"/>
          </v:shape>
        </w:pict>
      </w:r>
      <w:r>
        <w:rPr/>
        <w:pict>
          <v:shape style="position:absolute;margin-left:510.638177pt;margin-top:-94.65619pt;width:6.2pt;height:8.4pt;mso-position-horizontal-relative:page;mso-position-vertical-relative:paragraph;z-index:1576;rotation:296" type="#_x0000_t136" fillcolor="#23201d" stroked="f">
            <o:extrusion v:ext="view" autorotationcenter="t"/>
            <v:textpath style="font-family:&amp;quot;Arial&amp;quot;;font-size:8pt;v-text-kern:t;mso-text-shadow:auto;font-weight:bold" string="R"/>
            <w10:wrap type="none"/>
          </v:shape>
        </w:pict>
      </w:r>
      <w:r>
        <w:rPr/>
        <w:pict>
          <v:shape style="position:absolute;margin-left:513.947107pt;margin-top:-100.332048pt;width:6.7pt;height:8.4pt;mso-position-horizontal-relative:page;mso-position-vertical-relative:paragraph;z-index:1600;rotation:307" type="#_x0000_t136" fillcolor="#23201d" stroked="f">
            <o:extrusion v:ext="view" autorotationcenter="t"/>
            <v:textpath style="font-family:&amp;quot;Arial&amp;quot;;font-size:8pt;v-text-kern:t;mso-text-shadow:auto;font-weight:bold" string="O"/>
            <w10:wrap type="none"/>
          </v:shape>
        </w:pict>
      </w:r>
      <w:r>
        <w:rPr/>
        <w:t>“LA GOBERNANZA Y LA RENDICIÓN DE CUENTAS EN MÉXICO”</w:t>
      </w:r>
    </w:p>
    <w:p>
      <w:pPr>
        <w:pStyle w:val="BodyText"/>
        <w:rPr>
          <w:b/>
        </w:rPr>
      </w:pPr>
    </w:p>
    <w:p>
      <w:pPr>
        <w:pStyle w:val="BodyText"/>
        <w:rPr>
          <w:b/>
        </w:rPr>
      </w:pPr>
    </w:p>
    <w:p>
      <w:pPr>
        <w:pStyle w:val="BodyText"/>
        <w:spacing w:before="11"/>
        <w:rPr>
          <w:b/>
          <w:sz w:val="34"/>
        </w:rPr>
      </w:pPr>
    </w:p>
    <w:p>
      <w:pPr>
        <w:tabs>
          <w:tab w:pos="1330" w:val="left" w:leader="none"/>
          <w:tab w:pos="2041" w:val="left" w:leader="none"/>
          <w:tab w:pos="2753" w:val="left" w:leader="none"/>
          <w:tab w:pos="3304" w:val="left" w:leader="none"/>
        </w:tabs>
        <w:spacing w:before="0"/>
        <w:ind w:left="639" w:right="0" w:firstLine="0"/>
        <w:jc w:val="center"/>
        <w:rPr>
          <w:b/>
          <w:sz w:val="40"/>
        </w:rPr>
      </w:pPr>
      <w:r>
        <w:rPr>
          <w:b/>
          <w:sz w:val="40"/>
        </w:rPr>
        <w:t>T</w:t>
        <w:tab/>
        <w:t>E</w:t>
        <w:tab/>
        <w:t>S</w:t>
        <w:tab/>
        <w:t>I</w:t>
        <w:tab/>
        <w:t>S</w:t>
      </w:r>
    </w:p>
    <w:p>
      <w:pPr>
        <w:pStyle w:val="BodyText"/>
        <w:rPr>
          <w:b/>
          <w:sz w:val="40"/>
        </w:rPr>
      </w:pPr>
    </w:p>
    <w:p>
      <w:pPr>
        <w:pStyle w:val="BodyText"/>
        <w:spacing w:before="7"/>
        <w:rPr>
          <w:b/>
          <w:sz w:val="50"/>
        </w:rPr>
      </w:pPr>
    </w:p>
    <w:p>
      <w:pPr>
        <w:pStyle w:val="Heading3"/>
        <w:spacing w:line="362" w:lineRule="auto" w:before="1"/>
        <w:ind w:left="3573" w:right="2516" w:firstLine="744"/>
        <w:jc w:val="left"/>
      </w:pPr>
      <w:r>
        <w:rPr/>
        <w:t>QUE PARA OBTENER EL GRADO DE MAESTRA EN GOBIERNO Y ASUNTOS PUBLICOS</w:t>
      </w:r>
    </w:p>
    <w:p>
      <w:pPr>
        <w:pStyle w:val="BodyText"/>
        <w:rPr>
          <w:b/>
        </w:rPr>
      </w:pPr>
    </w:p>
    <w:p>
      <w:pPr>
        <w:pStyle w:val="BodyText"/>
        <w:rPr>
          <w:b/>
        </w:rPr>
      </w:pPr>
    </w:p>
    <w:p>
      <w:pPr>
        <w:pStyle w:val="BodyText"/>
        <w:rPr>
          <w:b/>
        </w:rPr>
      </w:pPr>
    </w:p>
    <w:p>
      <w:pPr>
        <w:pStyle w:val="BodyText"/>
        <w:spacing w:before="8"/>
        <w:rPr>
          <w:b/>
          <w:sz w:val="34"/>
        </w:rPr>
      </w:pPr>
    </w:p>
    <w:p>
      <w:pPr>
        <w:spacing w:line="362" w:lineRule="auto" w:before="0"/>
        <w:ind w:left="4545" w:right="3888" w:firstLine="1240"/>
        <w:jc w:val="left"/>
        <w:rPr>
          <w:b/>
          <w:sz w:val="24"/>
        </w:rPr>
      </w:pPr>
      <w:r>
        <w:rPr>
          <w:b/>
          <w:sz w:val="24"/>
        </w:rPr>
        <w:t>PRESENTA FRANCISCO ZAVALA CARMONA</w:t>
      </w:r>
    </w:p>
    <w:p>
      <w:pPr>
        <w:pStyle w:val="BodyText"/>
        <w:rPr>
          <w:b/>
        </w:rPr>
      </w:pPr>
    </w:p>
    <w:p>
      <w:pPr>
        <w:pStyle w:val="BodyText"/>
        <w:rPr>
          <w:b/>
        </w:rPr>
      </w:pPr>
    </w:p>
    <w:p>
      <w:pPr>
        <w:pStyle w:val="BodyText"/>
        <w:rPr>
          <w:b/>
        </w:rPr>
      </w:pPr>
    </w:p>
    <w:p>
      <w:pPr>
        <w:pStyle w:val="BodyText"/>
        <w:spacing w:before="8"/>
        <w:rPr>
          <w:b/>
          <w:sz w:val="34"/>
        </w:rPr>
      </w:pPr>
    </w:p>
    <w:p>
      <w:pPr>
        <w:spacing w:line="362" w:lineRule="auto" w:before="0"/>
        <w:ind w:left="4873" w:right="4213" w:firstLine="379"/>
        <w:jc w:val="left"/>
        <w:rPr>
          <w:b/>
          <w:sz w:val="24"/>
        </w:rPr>
      </w:pPr>
      <w:r>
        <w:rPr>
          <w:b/>
          <w:sz w:val="24"/>
        </w:rPr>
        <w:t>TUTOR ACADÉMICO DR. JAIME ESPEJEL MENA</w:t>
      </w:r>
    </w:p>
    <w:p>
      <w:pPr>
        <w:pStyle w:val="BodyText"/>
        <w:rPr>
          <w:b/>
        </w:rPr>
      </w:pPr>
    </w:p>
    <w:p>
      <w:pPr>
        <w:pStyle w:val="BodyText"/>
        <w:spacing w:before="6"/>
        <w:rPr>
          <w:b/>
          <w:sz w:val="29"/>
        </w:rPr>
      </w:pPr>
    </w:p>
    <w:p>
      <w:pPr>
        <w:spacing w:before="0"/>
        <w:ind w:left="637" w:right="0" w:firstLine="0"/>
        <w:jc w:val="center"/>
        <w:rPr>
          <w:b/>
          <w:sz w:val="24"/>
        </w:rPr>
      </w:pPr>
      <w:r>
        <w:rPr>
          <w:b/>
          <w:sz w:val="24"/>
        </w:rPr>
        <w:t>TUTORES ADJUNTOS</w:t>
      </w:r>
    </w:p>
    <w:p>
      <w:pPr>
        <w:spacing w:line="362" w:lineRule="auto" w:before="136"/>
        <w:ind w:left="4213" w:right="3572" w:firstLine="0"/>
        <w:jc w:val="center"/>
        <w:rPr>
          <w:b/>
          <w:sz w:val="24"/>
        </w:rPr>
      </w:pPr>
      <w:r>
        <w:rPr>
          <w:b/>
          <w:sz w:val="24"/>
        </w:rPr>
        <w:t>DR. JOSÉ JUAN SÁNCHEZ GONZÁLEZ DR. ENRIQUE MORENO SÁNCHEZ</w:t>
      </w:r>
    </w:p>
    <w:p>
      <w:pPr>
        <w:pStyle w:val="BodyText"/>
        <w:rPr>
          <w:b/>
        </w:rPr>
      </w:pPr>
    </w:p>
    <w:p>
      <w:pPr>
        <w:pStyle w:val="BodyText"/>
        <w:rPr>
          <w:b/>
        </w:rPr>
      </w:pPr>
    </w:p>
    <w:p>
      <w:pPr>
        <w:pStyle w:val="BodyText"/>
        <w:rPr>
          <w:b/>
        </w:rPr>
      </w:pPr>
    </w:p>
    <w:p>
      <w:pPr>
        <w:pStyle w:val="BodyText"/>
        <w:rPr>
          <w:b/>
        </w:rPr>
      </w:pPr>
    </w:p>
    <w:p>
      <w:pPr>
        <w:spacing w:before="152"/>
        <w:ind w:left="5309" w:right="0" w:firstLine="0"/>
        <w:jc w:val="left"/>
        <w:rPr>
          <w:sz w:val="24"/>
        </w:rPr>
      </w:pPr>
      <w:r>
        <w:rPr>
          <w:b/>
          <w:sz w:val="24"/>
        </w:rPr>
        <w:t>TEXCOCO, ESTADO DE MÉXICO,  MAYO DE 2016</w:t>
      </w:r>
      <w:r>
        <w:rPr>
          <w:sz w:val="24"/>
        </w:rPr>
        <w:t>.</w:t>
      </w:r>
    </w:p>
    <w:p>
      <w:pPr>
        <w:spacing w:after="0"/>
        <w:jc w:val="left"/>
        <w:rPr>
          <w:sz w:val="24"/>
        </w:rPr>
        <w:sectPr>
          <w:type w:val="continuous"/>
          <w:pgSz w:w="12240" w:h="15840"/>
          <w:pgMar w:top="0" w:bottom="280" w:left="0" w:right="0"/>
        </w:sectPr>
      </w:pPr>
    </w:p>
    <w:p>
      <w:pPr>
        <w:pStyle w:val="BodyText"/>
        <w:ind w:left="115"/>
        <w:rPr>
          <w:sz w:val="20"/>
        </w:rPr>
      </w:pPr>
      <w:r>
        <w:rPr>
          <w:sz w:val="20"/>
        </w:rPr>
        <w:drawing>
          <wp:inline distT="0" distB="0" distL="0" distR="0">
            <wp:extent cx="6487424" cy="8539734"/>
            <wp:effectExtent l="0" t="0" r="0" b="0"/>
            <wp:docPr id="3" name="image8.jpeg" descr=""/>
            <wp:cNvGraphicFramePr>
              <a:graphicFrameLocks noChangeAspect="1"/>
            </wp:cNvGraphicFramePr>
            <a:graphic>
              <a:graphicData uri="http://schemas.openxmlformats.org/drawingml/2006/picture">
                <pic:pic>
                  <pic:nvPicPr>
                    <pic:cNvPr id="4" name="image8.jpeg"/>
                    <pic:cNvPicPr/>
                  </pic:nvPicPr>
                  <pic:blipFill>
                    <a:blip r:embed="rId13" cstate="print"/>
                    <a:stretch>
                      <a:fillRect/>
                    </a:stretch>
                  </pic:blipFill>
                  <pic:spPr>
                    <a:xfrm>
                      <a:off x="0" y="0"/>
                      <a:ext cx="6487424" cy="8539734"/>
                    </a:xfrm>
                    <a:prstGeom prst="rect">
                      <a:avLst/>
                    </a:prstGeom>
                  </pic:spPr>
                </pic:pic>
              </a:graphicData>
            </a:graphic>
          </wp:inline>
        </w:drawing>
      </w:r>
      <w:r>
        <w:rPr>
          <w:sz w:val="20"/>
        </w:rPr>
      </w:r>
    </w:p>
    <w:p>
      <w:pPr>
        <w:spacing w:after="0"/>
        <w:rPr>
          <w:sz w:val="20"/>
        </w:rPr>
        <w:sectPr>
          <w:footerReference w:type="default" r:id="rId12"/>
          <w:pgSz w:w="12240" w:h="15840"/>
          <w:pgMar w:footer="938" w:header="0" w:top="860" w:bottom="1120" w:left="900" w:right="820"/>
          <w:pgNumType w:start="1"/>
        </w:sectPr>
      </w:pPr>
    </w:p>
    <w:p>
      <w:pPr>
        <w:pStyle w:val="BodyText"/>
        <w:spacing w:before="4"/>
        <w:rPr>
          <w:rFonts w:ascii="Times New Roman"/>
          <w:sz w:val="17"/>
        </w:rPr>
      </w:pPr>
    </w:p>
    <w:p>
      <w:pPr>
        <w:spacing w:after="0"/>
        <w:rPr>
          <w:rFonts w:ascii="Times New Roman"/>
          <w:sz w:val="17"/>
        </w:rPr>
        <w:sectPr>
          <w:pgSz w:w="12240" w:h="15840"/>
          <w:pgMar w:header="0" w:footer="938" w:top="1500" w:bottom="1120" w:left="1720" w:right="1600"/>
        </w:sectPr>
      </w:pPr>
    </w:p>
    <w:p>
      <w:pPr>
        <w:pStyle w:val="Heading1"/>
        <w:ind w:right="3408"/>
      </w:pPr>
      <w:r>
        <w:rPr/>
        <w:t>ÍNDICE</w:t>
      </w:r>
    </w:p>
    <w:sdt>
      <w:sdtPr>
        <w:docPartObj>
          <w:docPartGallery w:val="Table of Contents"/>
          <w:docPartUnique/>
        </w:docPartObj>
      </w:sdtPr>
      <w:sdtEndPr/>
      <w:sdtContent>
        <w:p>
          <w:pPr>
            <w:pStyle w:val="TOC1"/>
            <w:tabs>
              <w:tab w:pos="8932" w:val="right" w:leader="dot"/>
            </w:tabs>
            <w:spacing w:before="407"/>
            <w:ind w:left="100" w:firstLine="0"/>
          </w:pPr>
          <w:hyperlink w:history="true" w:anchor="_bookmark0">
            <w:r>
              <w:rPr/>
              <w:t>INTRODUCCIÓN</w:t>
              <w:tab/>
              <w:t>1</w:t>
            </w:r>
          </w:hyperlink>
        </w:p>
        <w:p>
          <w:pPr>
            <w:pStyle w:val="TOC1"/>
            <w:tabs>
              <w:tab w:pos="8932" w:val="right" w:leader="dot"/>
            </w:tabs>
            <w:ind w:left="100" w:firstLine="0"/>
          </w:pPr>
          <w:hyperlink w:history="true" w:anchor="_bookmark1">
            <w:r>
              <w:rPr/>
              <w:t>CAPÍTULO PRIMERO.</w:t>
            </w:r>
            <w:r>
              <w:rPr>
                <w:spacing w:val="1"/>
              </w:rPr>
              <w:t> </w:t>
            </w:r>
            <w:r>
              <w:rPr/>
              <w:t>LA GOBERNANZA</w:t>
              <w:tab/>
              <w:t>7</w:t>
            </w:r>
          </w:hyperlink>
        </w:p>
        <w:p>
          <w:pPr>
            <w:pStyle w:val="TOC1"/>
            <w:numPr>
              <w:ilvl w:val="1"/>
              <w:numId w:val="1"/>
            </w:numPr>
            <w:tabs>
              <w:tab w:pos="500" w:val="left" w:leader="none"/>
              <w:tab w:pos="8932" w:val="right" w:leader="dot"/>
            </w:tabs>
            <w:spacing w:line="240" w:lineRule="auto" w:before="380" w:after="0"/>
            <w:ind w:left="499" w:right="0" w:hanging="399"/>
            <w:jc w:val="left"/>
          </w:pPr>
          <w:hyperlink w:history="true" w:anchor="_bookmark2">
            <w:r>
              <w:rPr/>
              <w:t>Sistema político, gobernabilidad</w:t>
            </w:r>
            <w:r>
              <w:rPr>
                <w:spacing w:val="-3"/>
              </w:rPr>
              <w:t> </w:t>
            </w:r>
            <w:r>
              <w:rPr/>
              <w:t>y gobernanza</w:t>
              <w:tab/>
              <w:t>7</w:t>
            </w:r>
          </w:hyperlink>
        </w:p>
        <w:p>
          <w:pPr>
            <w:pStyle w:val="TOC1"/>
            <w:numPr>
              <w:ilvl w:val="1"/>
              <w:numId w:val="1"/>
            </w:numPr>
            <w:tabs>
              <w:tab w:pos="500" w:val="left" w:leader="none"/>
              <w:tab w:pos="8926" w:val="right" w:leader="dot"/>
            </w:tabs>
            <w:spacing w:line="240" w:lineRule="auto" w:before="376" w:after="0"/>
            <w:ind w:left="499" w:right="0" w:hanging="399"/>
            <w:jc w:val="left"/>
          </w:pPr>
          <w:hyperlink w:history="true" w:anchor="_bookmark6">
            <w:r>
              <w:rPr/>
              <w:t>La gobernanza en países avanzados</w:t>
            </w:r>
            <w:r>
              <w:rPr>
                <w:spacing w:val="-3"/>
              </w:rPr>
              <w:t> </w:t>
            </w:r>
            <w:r>
              <w:rPr/>
              <w:t>y</w:t>
            </w:r>
            <w:r>
              <w:rPr>
                <w:spacing w:val="-5"/>
              </w:rPr>
              <w:t> </w:t>
            </w:r>
            <w:r>
              <w:rPr/>
              <w:t>emergentes</w:t>
              <w:tab/>
              <w:t>14</w:t>
            </w:r>
          </w:hyperlink>
        </w:p>
        <w:p>
          <w:pPr>
            <w:pStyle w:val="TOC1"/>
            <w:numPr>
              <w:ilvl w:val="2"/>
              <w:numId w:val="1"/>
            </w:numPr>
            <w:tabs>
              <w:tab w:pos="700" w:val="left" w:leader="none"/>
              <w:tab w:pos="8926" w:val="right" w:leader="dot"/>
            </w:tabs>
            <w:spacing w:line="240" w:lineRule="auto" w:before="380" w:after="0"/>
            <w:ind w:left="699" w:right="0" w:hanging="599"/>
            <w:jc w:val="left"/>
          </w:pPr>
          <w:hyperlink w:history="true" w:anchor="_bookmark8">
            <w:r>
              <w:rPr/>
              <w:t>La despolitización de la política en</w:t>
            </w:r>
            <w:r>
              <w:rPr>
                <w:spacing w:val="-10"/>
              </w:rPr>
              <w:t> </w:t>
            </w:r>
            <w:r>
              <w:rPr/>
              <w:t>la</w:t>
            </w:r>
            <w:r>
              <w:rPr>
                <w:spacing w:val="-2"/>
              </w:rPr>
              <w:t> </w:t>
            </w:r>
            <w:r>
              <w:rPr/>
              <w:t>democracia</w:t>
              <w:tab/>
              <w:t>15</w:t>
            </w:r>
          </w:hyperlink>
        </w:p>
        <w:p>
          <w:pPr>
            <w:pStyle w:val="TOC1"/>
            <w:numPr>
              <w:ilvl w:val="2"/>
              <w:numId w:val="1"/>
            </w:numPr>
            <w:tabs>
              <w:tab w:pos="700" w:val="left" w:leader="none"/>
              <w:tab w:pos="8926" w:val="right" w:leader="dot"/>
            </w:tabs>
            <w:spacing w:line="240" w:lineRule="auto" w:before="376" w:after="0"/>
            <w:ind w:left="699" w:right="0" w:hanging="599"/>
            <w:jc w:val="left"/>
          </w:pPr>
          <w:hyperlink w:history="true" w:anchor="_bookmark10">
            <w:r>
              <w:rPr/>
              <w:t>Estado: Democracia y legitimidad en</w:t>
            </w:r>
            <w:r>
              <w:rPr>
                <w:spacing w:val="-6"/>
              </w:rPr>
              <w:t> </w:t>
            </w:r>
            <w:r>
              <w:rPr/>
              <w:t>la</w:t>
            </w:r>
            <w:r>
              <w:rPr>
                <w:spacing w:val="-2"/>
              </w:rPr>
              <w:t> </w:t>
            </w:r>
            <w:r>
              <w:rPr/>
              <w:t>gobernanza</w:t>
              <w:tab/>
              <w:t>20</w:t>
            </w:r>
          </w:hyperlink>
        </w:p>
        <w:p>
          <w:pPr>
            <w:pStyle w:val="TOC1"/>
            <w:numPr>
              <w:ilvl w:val="2"/>
              <w:numId w:val="1"/>
            </w:numPr>
            <w:tabs>
              <w:tab w:pos="700" w:val="left" w:leader="none"/>
              <w:tab w:pos="8926" w:val="right" w:leader="dot"/>
            </w:tabs>
            <w:spacing w:line="240" w:lineRule="auto" w:before="380" w:after="0"/>
            <w:ind w:left="699" w:right="0" w:hanging="599"/>
            <w:jc w:val="left"/>
          </w:pPr>
          <w:hyperlink w:history="true" w:anchor="_bookmark11">
            <w:r>
              <w:rPr/>
              <w:t>Las instituciones de rendición</w:t>
            </w:r>
            <w:r>
              <w:rPr>
                <w:spacing w:val="-3"/>
              </w:rPr>
              <w:t> </w:t>
            </w:r>
            <w:r>
              <w:rPr/>
              <w:t>de</w:t>
            </w:r>
            <w:r>
              <w:rPr>
                <w:spacing w:val="2"/>
              </w:rPr>
              <w:t> </w:t>
            </w:r>
            <w:r>
              <w:rPr/>
              <w:t>cuentas</w:t>
              <w:tab/>
              <w:t>23</w:t>
            </w:r>
          </w:hyperlink>
        </w:p>
        <w:p>
          <w:pPr>
            <w:pStyle w:val="TOC1"/>
            <w:numPr>
              <w:ilvl w:val="1"/>
              <w:numId w:val="2"/>
            </w:numPr>
            <w:tabs>
              <w:tab w:pos="500" w:val="left" w:leader="none"/>
              <w:tab w:pos="8926" w:val="right" w:leader="dot"/>
            </w:tabs>
            <w:spacing w:line="240" w:lineRule="auto" w:before="376" w:after="0"/>
            <w:ind w:left="499" w:right="0" w:hanging="399"/>
            <w:jc w:val="left"/>
          </w:pPr>
          <w:hyperlink w:history="true" w:anchor="_bookmark12">
            <w:r>
              <w:rPr/>
              <w:t>La gobernanza y las</w:t>
            </w:r>
            <w:r>
              <w:rPr>
                <w:spacing w:val="-4"/>
              </w:rPr>
              <w:t> </w:t>
            </w:r>
            <w:r>
              <w:rPr/>
              <w:t>instituciones</w:t>
            </w:r>
            <w:r>
              <w:rPr>
                <w:spacing w:val="5"/>
              </w:rPr>
              <w:t> </w:t>
            </w:r>
            <w:r>
              <w:rPr/>
              <w:t>internacionales</w:t>
              <w:tab/>
              <w:t>25</w:t>
            </w:r>
          </w:hyperlink>
        </w:p>
        <w:p>
          <w:pPr>
            <w:pStyle w:val="TOC1"/>
            <w:numPr>
              <w:ilvl w:val="2"/>
              <w:numId w:val="2"/>
            </w:numPr>
            <w:tabs>
              <w:tab w:pos="700" w:val="left" w:leader="none"/>
              <w:tab w:pos="8926" w:val="right" w:leader="dot"/>
            </w:tabs>
            <w:spacing w:line="240" w:lineRule="auto" w:before="380" w:after="0"/>
            <w:ind w:left="953" w:right="0" w:hanging="853"/>
            <w:jc w:val="left"/>
          </w:pPr>
          <w:hyperlink w:history="true" w:anchor="_bookmark13">
            <w:r>
              <w:rPr/>
              <w:t>Propuestas del Foro por una Nueva</w:t>
            </w:r>
            <w:r>
              <w:rPr>
                <w:spacing w:val="-7"/>
              </w:rPr>
              <w:t> </w:t>
            </w:r>
            <w:r>
              <w:rPr/>
              <w:t>Gobernanza</w:t>
            </w:r>
            <w:r>
              <w:rPr>
                <w:spacing w:val="-2"/>
              </w:rPr>
              <w:t> </w:t>
            </w:r>
            <w:r>
              <w:rPr/>
              <w:t>Mundial</w:t>
              <w:tab/>
              <w:t>25</w:t>
            </w:r>
          </w:hyperlink>
        </w:p>
        <w:p>
          <w:pPr>
            <w:pStyle w:val="TOC1"/>
            <w:numPr>
              <w:ilvl w:val="2"/>
              <w:numId w:val="2"/>
            </w:numPr>
            <w:tabs>
              <w:tab w:pos="700" w:val="left" w:leader="none"/>
              <w:tab w:pos="8926" w:val="right" w:leader="dot"/>
            </w:tabs>
            <w:spacing w:line="240" w:lineRule="auto" w:before="376" w:after="0"/>
            <w:ind w:left="699" w:right="0" w:hanging="599"/>
            <w:jc w:val="left"/>
          </w:pPr>
          <w:hyperlink w:history="true" w:anchor="_bookmark14">
            <w:r>
              <w:rPr/>
              <w:t>La Organización de las Naciones Unidas y la</w:t>
            </w:r>
            <w:r>
              <w:rPr>
                <w:spacing w:val="-12"/>
              </w:rPr>
              <w:t> </w:t>
            </w:r>
            <w:r>
              <w:rPr/>
              <w:t>gobernanza</w:t>
            </w:r>
            <w:r>
              <w:rPr>
                <w:spacing w:val="1"/>
              </w:rPr>
              <w:t> </w:t>
            </w:r>
            <w:r>
              <w:rPr/>
              <w:t>mundial</w:t>
              <w:tab/>
              <w:t>28</w:t>
            </w:r>
          </w:hyperlink>
        </w:p>
        <w:p>
          <w:pPr>
            <w:pStyle w:val="TOC1"/>
            <w:numPr>
              <w:ilvl w:val="2"/>
              <w:numId w:val="2"/>
            </w:numPr>
            <w:tabs>
              <w:tab w:pos="700" w:val="left" w:leader="none"/>
              <w:tab w:pos="8926" w:val="right" w:leader="dot"/>
            </w:tabs>
            <w:spacing w:line="240" w:lineRule="auto" w:before="380" w:after="0"/>
            <w:ind w:left="699" w:right="0" w:hanging="599"/>
            <w:jc w:val="left"/>
          </w:pPr>
          <w:hyperlink w:history="true" w:anchor="_bookmark15">
            <w:r>
              <w:rPr/>
              <w:t>La promoción del ‘buen gobierno’ por el</w:t>
            </w:r>
            <w:r>
              <w:rPr>
                <w:spacing w:val="-11"/>
              </w:rPr>
              <w:t> </w:t>
            </w:r>
            <w:r>
              <w:rPr/>
              <w:t>Banco</w:t>
            </w:r>
            <w:r>
              <w:rPr>
                <w:spacing w:val="2"/>
              </w:rPr>
              <w:t> </w:t>
            </w:r>
            <w:r>
              <w:rPr/>
              <w:t>Mundial</w:t>
              <w:tab/>
              <w:t>30</w:t>
            </w:r>
          </w:hyperlink>
        </w:p>
        <w:p>
          <w:pPr>
            <w:pStyle w:val="TOC1"/>
            <w:numPr>
              <w:ilvl w:val="2"/>
              <w:numId w:val="2"/>
            </w:numPr>
            <w:tabs>
              <w:tab w:pos="700" w:val="left" w:leader="none"/>
            </w:tabs>
            <w:spacing w:line="240" w:lineRule="auto" w:before="376" w:after="0"/>
            <w:ind w:left="699" w:right="0" w:hanging="599"/>
            <w:jc w:val="left"/>
          </w:pPr>
          <w:hyperlink w:history="true" w:anchor="_bookmark16">
            <w:r>
              <w:rPr/>
              <w:t>La implementación de la gobernanza en el Fondo Monetario Internacional</w:t>
            </w:r>
            <w:r>
              <w:rPr>
                <w:spacing w:val="16"/>
              </w:rPr>
              <w:t> </w:t>
            </w:r>
            <w:r>
              <w:rPr/>
              <w:t>33</w:t>
            </w:r>
          </w:hyperlink>
        </w:p>
        <w:p>
          <w:pPr>
            <w:pStyle w:val="TOC1"/>
            <w:numPr>
              <w:ilvl w:val="2"/>
              <w:numId w:val="2"/>
            </w:numPr>
            <w:tabs>
              <w:tab w:pos="700" w:val="left" w:leader="none"/>
              <w:tab w:pos="8926" w:val="right" w:leader="dot"/>
            </w:tabs>
            <w:spacing w:line="357" w:lineRule="auto" w:before="380" w:after="0"/>
            <w:ind w:left="953" w:right="112" w:hanging="853"/>
            <w:jc w:val="left"/>
          </w:pPr>
          <w:hyperlink w:history="true" w:anchor="_bookmark17">
            <w:r>
              <w:rPr/>
              <w:t>Los principios de la gobernanza de la Organización para la Cooperación y</w:t>
            </w:r>
          </w:hyperlink>
          <w:r>
            <w:rPr/>
            <w:t> </w:t>
          </w:r>
          <w:hyperlink w:history="true" w:anchor="_bookmark17">
            <w:r>
              <w:rPr/>
              <w:t>Desarrollo</w:t>
            </w:r>
            <w:r>
              <w:rPr>
                <w:spacing w:val="-2"/>
              </w:rPr>
              <w:t> </w:t>
            </w:r>
            <w:r>
              <w:rPr/>
              <w:t>Económicos</w:t>
              <w:tab/>
              <w:t>34</w:t>
            </w:r>
          </w:hyperlink>
        </w:p>
        <w:p>
          <w:pPr>
            <w:pStyle w:val="TOC1"/>
            <w:tabs>
              <w:tab w:pos="8926" w:val="right" w:leader="dot"/>
            </w:tabs>
            <w:spacing w:before="248"/>
            <w:ind w:left="100" w:firstLine="0"/>
          </w:pPr>
          <w:hyperlink w:history="true" w:anchor="_bookmark19">
            <w:r>
              <w:rPr/>
              <w:t>1.4 Indicadores de desempeño internacionales para</w:t>
            </w:r>
            <w:r>
              <w:rPr>
                <w:spacing w:val="-5"/>
              </w:rPr>
              <w:t> </w:t>
            </w:r>
            <w:r>
              <w:rPr/>
              <w:t>la</w:t>
            </w:r>
            <w:r>
              <w:rPr>
                <w:spacing w:val="-3"/>
              </w:rPr>
              <w:t> </w:t>
            </w:r>
            <w:r>
              <w:rPr/>
              <w:t>gobernanza</w:t>
              <w:tab/>
              <w:t>38</w:t>
            </w:r>
          </w:hyperlink>
        </w:p>
        <w:p>
          <w:pPr>
            <w:pStyle w:val="TOC1"/>
            <w:tabs>
              <w:tab w:pos="8926" w:val="right" w:leader="dot"/>
            </w:tabs>
            <w:ind w:left="100" w:firstLine="0"/>
          </w:pPr>
          <w:hyperlink w:history="true" w:anchor="_bookmark20">
            <w:r>
              <w:rPr/>
              <w:t>1.4.1 Análisis de</w:t>
            </w:r>
            <w:r>
              <w:rPr>
                <w:spacing w:val="-3"/>
              </w:rPr>
              <w:t> </w:t>
            </w:r>
            <w:r>
              <w:rPr/>
              <w:t>indicadores internacionales</w:t>
              <w:tab/>
              <w:t>40</w:t>
            </w:r>
          </w:hyperlink>
        </w:p>
        <w:p>
          <w:pPr>
            <w:pStyle w:val="TOC1"/>
            <w:tabs>
              <w:tab w:pos="8926" w:val="right" w:leader="dot"/>
            </w:tabs>
            <w:spacing w:line="357" w:lineRule="auto" w:before="380"/>
            <w:ind w:left="953" w:right="112" w:hanging="853"/>
          </w:pPr>
          <w:hyperlink w:history="true" w:anchor="_bookmark41">
            <w:r>
              <w:rPr/>
              <w:t>CAPÍTULO SEGUNDO. LA EVOLUCIÓN DEL ESTADO Y LA RENDICIÓN DE</w:t>
            </w:r>
          </w:hyperlink>
          <w:r>
            <w:rPr/>
            <w:t> </w:t>
          </w:r>
          <w:hyperlink w:history="true" w:anchor="_bookmark41">
            <w:r>
              <w:rPr/>
              <w:t>CUENTAS EN MÉXICO: UNA</w:t>
            </w:r>
            <w:r>
              <w:rPr>
                <w:spacing w:val="-2"/>
              </w:rPr>
              <w:t> </w:t>
            </w:r>
            <w:r>
              <w:rPr/>
              <w:t>PERSPECTIVA POLÍTICA</w:t>
              <w:tab/>
              <w:t>66</w:t>
            </w:r>
          </w:hyperlink>
        </w:p>
        <w:p>
          <w:pPr>
            <w:pStyle w:val="TOC1"/>
            <w:tabs>
              <w:tab w:pos="8926" w:val="right" w:leader="dot"/>
            </w:tabs>
            <w:spacing w:before="249"/>
            <w:ind w:left="100" w:firstLine="0"/>
          </w:pPr>
          <w:hyperlink w:history="true" w:anchor="_bookmark43">
            <w:r>
              <w:rPr/>
              <w:t>2.1 La Nueva</w:t>
            </w:r>
            <w:r>
              <w:rPr>
                <w:spacing w:val="-4"/>
              </w:rPr>
              <w:t> </w:t>
            </w:r>
            <w:r>
              <w:rPr/>
              <w:t>España</w:t>
            </w:r>
            <w:r>
              <w:rPr>
                <w:spacing w:val="-2"/>
              </w:rPr>
              <w:t> </w:t>
            </w:r>
            <w:r>
              <w:rPr/>
              <w:t>(1521-1821)</w:t>
              <w:tab/>
              <w:t>69</w:t>
            </w:r>
          </w:hyperlink>
        </w:p>
      </w:sdtContent>
    </w:sdt>
    <w:p>
      <w:pPr>
        <w:spacing w:after="0"/>
        <w:sectPr>
          <w:footerReference w:type="default" r:id="rId14"/>
          <w:pgSz w:w="12240" w:h="15840"/>
          <w:pgMar w:footer="938" w:header="0" w:top="1360" w:bottom="1120" w:left="1600" w:right="1600"/>
          <w:pgNumType w:start="3"/>
        </w:sectPr>
      </w:pPr>
    </w:p>
    <w:p>
      <w:pPr>
        <w:pStyle w:val="ListParagraph"/>
        <w:numPr>
          <w:ilvl w:val="2"/>
          <w:numId w:val="3"/>
        </w:numPr>
        <w:tabs>
          <w:tab w:pos="700" w:val="left" w:leader="none"/>
          <w:tab w:pos="8926" w:val="right" w:leader="dot"/>
        </w:tabs>
        <w:spacing w:line="362" w:lineRule="auto" w:before="55" w:after="0"/>
        <w:ind w:left="953" w:right="132" w:hanging="853"/>
        <w:jc w:val="left"/>
        <w:rPr>
          <w:sz w:val="24"/>
        </w:rPr>
      </w:pPr>
      <w:hyperlink w:history="true" w:anchor="_bookmark44">
        <w:r>
          <w:rPr>
            <w:sz w:val="24"/>
          </w:rPr>
          <w:t>La institución de rendición de cuentas en la Nueva España: La herencia</w:t>
        </w:r>
      </w:hyperlink>
      <w:r>
        <w:rPr>
          <w:sz w:val="24"/>
        </w:rPr>
        <w:t> </w:t>
      </w:r>
      <w:hyperlink w:history="true" w:anchor="_bookmark44">
        <w:r>
          <w:rPr>
            <w:sz w:val="24"/>
          </w:rPr>
          <w:t>extranjera</w:t>
          <w:tab/>
          <w:t>69</w:t>
        </w:r>
      </w:hyperlink>
    </w:p>
    <w:p>
      <w:pPr>
        <w:pStyle w:val="ListParagraph"/>
        <w:numPr>
          <w:ilvl w:val="2"/>
          <w:numId w:val="3"/>
        </w:numPr>
        <w:tabs>
          <w:tab w:pos="700" w:val="left" w:leader="none"/>
          <w:tab w:pos="8926" w:val="right" w:leader="dot"/>
        </w:tabs>
        <w:spacing w:line="240" w:lineRule="auto" w:before="239" w:after="0"/>
        <w:ind w:left="699" w:right="0" w:hanging="599"/>
        <w:jc w:val="left"/>
        <w:rPr>
          <w:sz w:val="24"/>
        </w:rPr>
      </w:pPr>
      <w:hyperlink w:history="true" w:anchor="_bookmark45">
        <w:r>
          <w:rPr>
            <w:sz w:val="24"/>
          </w:rPr>
          <w:t>Las instituciones europeas en la</w:t>
        </w:r>
        <w:r>
          <w:rPr>
            <w:spacing w:val="1"/>
            <w:sz w:val="24"/>
          </w:rPr>
          <w:t> </w:t>
        </w:r>
        <w:r>
          <w:rPr>
            <w:sz w:val="24"/>
          </w:rPr>
          <w:t>Nueva</w:t>
        </w:r>
        <w:r>
          <w:rPr>
            <w:spacing w:val="-2"/>
            <w:sz w:val="24"/>
          </w:rPr>
          <w:t> </w:t>
        </w:r>
        <w:r>
          <w:rPr>
            <w:sz w:val="24"/>
          </w:rPr>
          <w:t>España</w:t>
          <w:tab/>
          <w:t>73</w:t>
        </w:r>
      </w:hyperlink>
    </w:p>
    <w:p>
      <w:pPr>
        <w:pStyle w:val="ListParagraph"/>
        <w:numPr>
          <w:ilvl w:val="1"/>
          <w:numId w:val="3"/>
        </w:numPr>
        <w:tabs>
          <w:tab w:pos="500" w:val="left" w:leader="none"/>
          <w:tab w:pos="8926" w:val="right" w:leader="dot"/>
        </w:tabs>
        <w:spacing w:line="240" w:lineRule="auto" w:before="380" w:after="0"/>
        <w:ind w:left="499" w:right="0" w:hanging="399"/>
        <w:jc w:val="left"/>
        <w:rPr>
          <w:sz w:val="24"/>
        </w:rPr>
      </w:pPr>
      <w:hyperlink w:history="true" w:anchor="_bookmark46">
        <w:r>
          <w:rPr>
            <w:sz w:val="24"/>
          </w:rPr>
          <w:t>Siglos XIX</w:t>
        </w:r>
        <w:r>
          <w:rPr>
            <w:spacing w:val="5"/>
            <w:sz w:val="24"/>
          </w:rPr>
          <w:t> </w:t>
        </w:r>
        <w:r>
          <w:rPr>
            <w:sz w:val="24"/>
          </w:rPr>
          <w:t>y</w:t>
        </w:r>
        <w:r>
          <w:rPr>
            <w:spacing w:val="-5"/>
            <w:sz w:val="24"/>
          </w:rPr>
          <w:t> </w:t>
        </w:r>
        <w:r>
          <w:rPr>
            <w:sz w:val="24"/>
          </w:rPr>
          <w:t>XX</w:t>
          <w:tab/>
          <w:t>76</w:t>
        </w:r>
      </w:hyperlink>
    </w:p>
    <w:p>
      <w:pPr>
        <w:pStyle w:val="ListParagraph"/>
        <w:numPr>
          <w:ilvl w:val="2"/>
          <w:numId w:val="3"/>
        </w:numPr>
        <w:tabs>
          <w:tab w:pos="700" w:val="left" w:leader="none"/>
          <w:tab w:pos="8926" w:val="right" w:leader="dot"/>
        </w:tabs>
        <w:spacing w:line="240" w:lineRule="auto" w:before="376" w:after="0"/>
        <w:ind w:left="699" w:right="0" w:hanging="599"/>
        <w:jc w:val="left"/>
        <w:rPr>
          <w:sz w:val="24"/>
        </w:rPr>
      </w:pPr>
      <w:hyperlink w:history="true" w:anchor="_bookmark47">
        <w:r>
          <w:rPr>
            <w:sz w:val="24"/>
          </w:rPr>
          <w:t>Estado</w:t>
        </w:r>
        <w:r>
          <w:rPr>
            <w:spacing w:val="2"/>
            <w:sz w:val="24"/>
          </w:rPr>
          <w:t> </w:t>
        </w:r>
        <w:r>
          <w:rPr>
            <w:sz w:val="24"/>
          </w:rPr>
          <w:t>y</w:t>
        </w:r>
        <w:r>
          <w:rPr>
            <w:spacing w:val="-5"/>
            <w:sz w:val="24"/>
          </w:rPr>
          <w:t> </w:t>
        </w:r>
        <w:r>
          <w:rPr>
            <w:sz w:val="24"/>
          </w:rPr>
          <w:t>política</w:t>
          <w:tab/>
          <w:t>76</w:t>
        </w:r>
      </w:hyperlink>
    </w:p>
    <w:p>
      <w:pPr>
        <w:pStyle w:val="ListParagraph"/>
        <w:numPr>
          <w:ilvl w:val="2"/>
          <w:numId w:val="3"/>
        </w:numPr>
        <w:tabs>
          <w:tab w:pos="701" w:val="left" w:leader="none"/>
          <w:tab w:pos="8926" w:val="right" w:leader="dot"/>
        </w:tabs>
        <w:spacing w:line="240" w:lineRule="auto" w:before="380" w:after="0"/>
        <w:ind w:left="700" w:right="0" w:hanging="600"/>
        <w:jc w:val="left"/>
        <w:rPr>
          <w:sz w:val="24"/>
        </w:rPr>
      </w:pPr>
      <w:hyperlink w:history="true" w:anchor="_bookmark49">
        <w:r>
          <w:rPr>
            <w:sz w:val="24"/>
          </w:rPr>
          <w:t>Principales características de la intervención del Estado en</w:t>
        </w:r>
        <w:r>
          <w:rPr>
            <w:spacing w:val="-21"/>
            <w:sz w:val="24"/>
          </w:rPr>
          <w:t> </w:t>
        </w:r>
        <w:r>
          <w:rPr>
            <w:sz w:val="24"/>
          </w:rPr>
          <w:t>la</w:t>
        </w:r>
        <w:r>
          <w:rPr>
            <w:spacing w:val="-4"/>
            <w:sz w:val="24"/>
          </w:rPr>
          <w:t> </w:t>
        </w:r>
        <w:r>
          <w:rPr>
            <w:sz w:val="24"/>
          </w:rPr>
          <w:t>política</w:t>
          <w:tab/>
          <w:t>83</w:t>
        </w:r>
      </w:hyperlink>
    </w:p>
    <w:p>
      <w:pPr>
        <w:pStyle w:val="BodyText"/>
        <w:tabs>
          <w:tab w:pos="8926" w:val="right" w:leader="dot"/>
        </w:tabs>
        <w:spacing w:line="362" w:lineRule="auto" w:before="376"/>
        <w:ind w:left="953" w:right="132" w:hanging="853"/>
      </w:pPr>
      <w:hyperlink w:history="true" w:anchor="_bookmark55">
        <w:r>
          <w:rPr/>
          <w:t>CAPÍTULO TERCERO. SISTEMAS POLÍTICOS Y DE RENDICIÓN DE CUENTAS</w:t>
        </w:r>
      </w:hyperlink>
      <w:r>
        <w:rPr/>
        <w:t> </w:t>
      </w:r>
      <w:hyperlink w:history="true" w:anchor="_bookmark55">
        <w:r>
          <w:rPr/>
          <w:t>EN AMÉRICA</w:t>
        </w:r>
        <w:r>
          <w:rPr>
            <w:spacing w:val="-1"/>
          </w:rPr>
          <w:t> </w:t>
        </w:r>
        <w:r>
          <w:rPr/>
          <w:t>Y EUROPA</w:t>
          <w:tab/>
          <w:t>94</w:t>
        </w:r>
      </w:hyperlink>
    </w:p>
    <w:p>
      <w:pPr>
        <w:pStyle w:val="ListParagraph"/>
        <w:numPr>
          <w:ilvl w:val="1"/>
          <w:numId w:val="4"/>
        </w:numPr>
        <w:tabs>
          <w:tab w:pos="500" w:val="left" w:leader="none"/>
          <w:tab w:pos="8926" w:val="right" w:leader="dot"/>
        </w:tabs>
        <w:spacing w:line="240" w:lineRule="auto" w:before="239" w:after="0"/>
        <w:ind w:left="499" w:right="0" w:hanging="399"/>
        <w:jc w:val="left"/>
        <w:rPr>
          <w:sz w:val="24"/>
        </w:rPr>
      </w:pPr>
      <w:hyperlink w:history="true" w:anchor="_bookmark56">
        <w:r>
          <w:rPr>
            <w:sz w:val="24"/>
          </w:rPr>
          <w:t>El régimen</w:t>
        </w:r>
        <w:r>
          <w:rPr>
            <w:spacing w:val="-3"/>
            <w:sz w:val="24"/>
          </w:rPr>
          <w:t> </w:t>
        </w:r>
        <w:r>
          <w:rPr>
            <w:sz w:val="24"/>
          </w:rPr>
          <w:t>político</w:t>
        </w:r>
        <w:r>
          <w:rPr>
            <w:spacing w:val="-2"/>
            <w:sz w:val="24"/>
          </w:rPr>
          <w:t> </w:t>
        </w:r>
        <w:r>
          <w:rPr>
            <w:sz w:val="24"/>
          </w:rPr>
          <w:t>democrático</w:t>
          <w:tab/>
          <w:t>94</w:t>
        </w:r>
      </w:hyperlink>
    </w:p>
    <w:p>
      <w:pPr>
        <w:pStyle w:val="ListParagraph"/>
        <w:numPr>
          <w:ilvl w:val="1"/>
          <w:numId w:val="4"/>
        </w:numPr>
        <w:tabs>
          <w:tab w:pos="500" w:val="left" w:leader="none"/>
          <w:tab w:pos="8926" w:val="right" w:leader="dot"/>
        </w:tabs>
        <w:spacing w:line="240" w:lineRule="auto" w:before="380" w:after="0"/>
        <w:ind w:left="499" w:right="0" w:hanging="399"/>
        <w:jc w:val="left"/>
        <w:rPr>
          <w:sz w:val="24"/>
        </w:rPr>
      </w:pPr>
      <w:hyperlink w:history="true" w:anchor="_bookmark58">
        <w:r>
          <w:rPr>
            <w:sz w:val="24"/>
          </w:rPr>
          <w:t>El control político mediante la división</w:t>
        </w:r>
        <w:r>
          <w:rPr>
            <w:spacing w:val="-7"/>
            <w:sz w:val="24"/>
          </w:rPr>
          <w:t> </w:t>
        </w:r>
        <w:r>
          <w:rPr>
            <w:sz w:val="24"/>
          </w:rPr>
          <w:t>de</w:t>
        </w:r>
        <w:r>
          <w:rPr>
            <w:spacing w:val="2"/>
            <w:sz w:val="24"/>
          </w:rPr>
          <w:t> </w:t>
        </w:r>
        <w:r>
          <w:rPr>
            <w:sz w:val="24"/>
          </w:rPr>
          <w:t>poderes</w:t>
          <w:tab/>
          <w:t>97</w:t>
        </w:r>
      </w:hyperlink>
    </w:p>
    <w:p>
      <w:pPr>
        <w:pStyle w:val="ListParagraph"/>
        <w:numPr>
          <w:ilvl w:val="1"/>
          <w:numId w:val="4"/>
        </w:numPr>
        <w:tabs>
          <w:tab w:pos="500" w:val="left" w:leader="none"/>
          <w:tab w:pos="8926" w:val="right" w:leader="dot"/>
        </w:tabs>
        <w:spacing w:line="240" w:lineRule="auto" w:before="376" w:after="0"/>
        <w:ind w:left="499" w:right="0" w:hanging="399"/>
        <w:jc w:val="left"/>
        <w:rPr>
          <w:sz w:val="24"/>
        </w:rPr>
      </w:pPr>
      <w:hyperlink w:history="true" w:anchor="_bookmark61">
        <w:r>
          <w:rPr>
            <w:sz w:val="24"/>
          </w:rPr>
          <w:t>El control político mediante la rendición</w:t>
        </w:r>
        <w:r>
          <w:rPr>
            <w:spacing w:val="-6"/>
            <w:sz w:val="24"/>
          </w:rPr>
          <w:t> </w:t>
        </w:r>
        <w:r>
          <w:rPr>
            <w:sz w:val="24"/>
          </w:rPr>
          <w:t>de</w:t>
        </w:r>
        <w:r>
          <w:rPr>
            <w:spacing w:val="-2"/>
            <w:sz w:val="24"/>
          </w:rPr>
          <w:t> </w:t>
        </w:r>
        <w:r>
          <w:rPr>
            <w:sz w:val="24"/>
          </w:rPr>
          <w:t>cuentas</w:t>
          <w:tab/>
        </w:r>
        <w:r>
          <w:rPr>
            <w:spacing w:val="-2"/>
            <w:sz w:val="24"/>
          </w:rPr>
          <w:t>101</w:t>
        </w:r>
      </w:hyperlink>
    </w:p>
    <w:p>
      <w:pPr>
        <w:pStyle w:val="ListParagraph"/>
        <w:numPr>
          <w:ilvl w:val="2"/>
          <w:numId w:val="4"/>
        </w:numPr>
        <w:tabs>
          <w:tab w:pos="700" w:val="left" w:leader="none"/>
          <w:tab w:pos="8926" w:val="right" w:leader="dot"/>
        </w:tabs>
        <w:spacing w:line="240" w:lineRule="auto" w:before="380" w:after="0"/>
        <w:ind w:left="953" w:right="0" w:hanging="853"/>
        <w:jc w:val="left"/>
        <w:rPr>
          <w:sz w:val="24"/>
        </w:rPr>
      </w:pPr>
      <w:hyperlink w:history="true" w:anchor="_bookmark63">
        <w:r>
          <w:rPr>
            <w:sz w:val="24"/>
          </w:rPr>
          <w:t>Modelos institucionales de rendición de cuentas en</w:t>
        </w:r>
        <w:r>
          <w:rPr>
            <w:spacing w:val="-10"/>
            <w:sz w:val="24"/>
          </w:rPr>
          <w:t> </w:t>
        </w:r>
        <w:r>
          <w:rPr>
            <w:sz w:val="24"/>
          </w:rPr>
          <w:t>el</w:t>
        </w:r>
        <w:r>
          <w:rPr>
            <w:spacing w:val="1"/>
            <w:sz w:val="24"/>
          </w:rPr>
          <w:t> </w:t>
        </w:r>
        <w:r>
          <w:rPr>
            <w:sz w:val="24"/>
          </w:rPr>
          <w:t>mundo</w:t>
          <w:tab/>
        </w:r>
        <w:r>
          <w:rPr>
            <w:spacing w:val="-2"/>
            <w:sz w:val="24"/>
          </w:rPr>
          <w:t>107</w:t>
        </w:r>
      </w:hyperlink>
    </w:p>
    <w:p>
      <w:pPr>
        <w:pStyle w:val="ListParagraph"/>
        <w:numPr>
          <w:ilvl w:val="2"/>
          <w:numId w:val="4"/>
        </w:numPr>
        <w:tabs>
          <w:tab w:pos="700" w:val="left" w:leader="none"/>
          <w:tab w:pos="8926" w:val="right" w:leader="dot"/>
        </w:tabs>
        <w:spacing w:line="240" w:lineRule="auto" w:before="376" w:after="0"/>
        <w:ind w:left="699" w:right="0" w:hanging="599"/>
        <w:jc w:val="left"/>
        <w:rPr>
          <w:sz w:val="24"/>
        </w:rPr>
      </w:pPr>
      <w:hyperlink w:history="true" w:anchor="_bookmark67">
        <w:r>
          <w:rPr>
            <w:sz w:val="24"/>
          </w:rPr>
          <w:t>La Organización Internacional de Entidades de</w:t>
        </w:r>
        <w:r>
          <w:rPr>
            <w:spacing w:val="-20"/>
            <w:sz w:val="24"/>
          </w:rPr>
          <w:t> </w:t>
        </w:r>
        <w:r>
          <w:rPr>
            <w:sz w:val="24"/>
          </w:rPr>
          <w:t>Fiscalización</w:t>
        </w:r>
        <w:r>
          <w:rPr>
            <w:spacing w:val="-4"/>
            <w:sz w:val="24"/>
          </w:rPr>
          <w:t> </w:t>
        </w:r>
        <w:r>
          <w:rPr>
            <w:sz w:val="24"/>
          </w:rPr>
          <w:t>Superior</w:t>
          <w:tab/>
        </w:r>
        <w:r>
          <w:rPr>
            <w:spacing w:val="-2"/>
            <w:sz w:val="24"/>
          </w:rPr>
          <w:t>110</w:t>
        </w:r>
      </w:hyperlink>
    </w:p>
    <w:p>
      <w:pPr>
        <w:pStyle w:val="ListParagraph"/>
        <w:numPr>
          <w:ilvl w:val="2"/>
          <w:numId w:val="4"/>
        </w:numPr>
        <w:tabs>
          <w:tab w:pos="700" w:val="left" w:leader="none"/>
          <w:tab w:pos="8926" w:val="right" w:leader="dot"/>
        </w:tabs>
        <w:spacing w:line="357" w:lineRule="auto" w:before="380" w:after="0"/>
        <w:ind w:left="953" w:right="132" w:hanging="853"/>
        <w:jc w:val="left"/>
        <w:rPr>
          <w:sz w:val="24"/>
        </w:rPr>
      </w:pPr>
      <w:hyperlink w:history="true" w:anchor="_bookmark70">
        <w:r>
          <w:rPr>
            <w:sz w:val="24"/>
          </w:rPr>
          <w:t>Declaración de México sobre la Independencia de las Entidades</w:t>
        </w:r>
      </w:hyperlink>
      <w:r>
        <w:rPr>
          <w:sz w:val="24"/>
        </w:rPr>
        <w:t> </w:t>
      </w:r>
      <w:hyperlink w:history="true" w:anchor="_bookmark70">
        <w:r>
          <w:rPr>
            <w:sz w:val="24"/>
          </w:rPr>
          <w:t>Fiscalizadoras Superiores</w:t>
          <w:tab/>
        </w:r>
        <w:r>
          <w:rPr>
            <w:spacing w:val="-2"/>
            <w:sz w:val="24"/>
          </w:rPr>
          <w:t>113</w:t>
        </w:r>
      </w:hyperlink>
    </w:p>
    <w:p>
      <w:pPr>
        <w:pStyle w:val="ListParagraph"/>
        <w:numPr>
          <w:ilvl w:val="1"/>
          <w:numId w:val="4"/>
        </w:numPr>
        <w:tabs>
          <w:tab w:pos="500" w:val="left" w:leader="none"/>
          <w:tab w:pos="8926" w:val="right" w:leader="dot"/>
        </w:tabs>
        <w:spacing w:line="240" w:lineRule="auto" w:before="249" w:after="0"/>
        <w:ind w:left="499" w:right="0" w:hanging="399"/>
        <w:jc w:val="left"/>
        <w:rPr>
          <w:sz w:val="24"/>
        </w:rPr>
      </w:pPr>
      <w:hyperlink w:history="true" w:anchor="_bookmark72">
        <w:r>
          <w:rPr>
            <w:sz w:val="24"/>
          </w:rPr>
          <w:t>Gobernanza, rendición de cuentas y</w:t>
        </w:r>
        <w:r>
          <w:rPr>
            <w:spacing w:val="-5"/>
            <w:sz w:val="24"/>
          </w:rPr>
          <w:t> </w:t>
        </w:r>
        <w:r>
          <w:rPr>
            <w:sz w:val="24"/>
          </w:rPr>
          <w:t>corrupción</w:t>
          <w:tab/>
        </w:r>
        <w:r>
          <w:rPr>
            <w:spacing w:val="-2"/>
            <w:sz w:val="24"/>
          </w:rPr>
          <w:t>115</w:t>
        </w:r>
      </w:hyperlink>
    </w:p>
    <w:p>
      <w:pPr>
        <w:pStyle w:val="BodyText"/>
        <w:tabs>
          <w:tab w:pos="8926" w:val="right" w:leader="dot"/>
        </w:tabs>
        <w:spacing w:line="362" w:lineRule="auto" w:before="376"/>
        <w:ind w:left="953" w:right="132" w:hanging="853"/>
      </w:pPr>
      <w:hyperlink w:history="true" w:anchor="_bookmark73">
        <w:r>
          <w:rPr/>
          <w:t>CAPÍTULO CUARTO. SIGLO XXI: POLÍTICAS PÚBLICAS Y EVALUACIÓN DEL</w:t>
        </w:r>
      </w:hyperlink>
      <w:r>
        <w:rPr/>
        <w:t> </w:t>
      </w:r>
      <w:hyperlink w:history="true" w:anchor="_bookmark73">
        <w:r>
          <w:rPr/>
          <w:t>ESTADO</w:t>
        </w:r>
        <w:r>
          <w:rPr>
            <w:spacing w:val="-3"/>
          </w:rPr>
          <w:t> </w:t>
        </w:r>
        <w:r>
          <w:rPr/>
          <w:t>MEXICANO</w:t>
          <w:tab/>
        </w:r>
        <w:r>
          <w:rPr>
            <w:spacing w:val="-2"/>
          </w:rPr>
          <w:t>119</w:t>
        </w:r>
      </w:hyperlink>
    </w:p>
    <w:p>
      <w:pPr>
        <w:pStyle w:val="ListParagraph"/>
        <w:numPr>
          <w:ilvl w:val="1"/>
          <w:numId w:val="5"/>
        </w:numPr>
        <w:tabs>
          <w:tab w:pos="500" w:val="left" w:leader="none"/>
          <w:tab w:pos="8926" w:val="right" w:leader="dot"/>
        </w:tabs>
        <w:spacing w:line="240" w:lineRule="auto" w:before="239" w:after="0"/>
        <w:ind w:left="499" w:right="0" w:hanging="399"/>
        <w:jc w:val="left"/>
        <w:rPr>
          <w:sz w:val="24"/>
        </w:rPr>
      </w:pPr>
      <w:hyperlink w:history="true" w:anchor="_bookmark75">
        <w:r>
          <w:rPr>
            <w:sz w:val="24"/>
          </w:rPr>
          <w:t>Evaluación de las</w:t>
        </w:r>
        <w:r>
          <w:rPr>
            <w:spacing w:val="-2"/>
            <w:sz w:val="24"/>
          </w:rPr>
          <w:t> </w:t>
        </w:r>
        <w:r>
          <w:rPr>
            <w:sz w:val="24"/>
          </w:rPr>
          <w:t>políticas públicas</w:t>
          <w:tab/>
        </w:r>
        <w:r>
          <w:rPr>
            <w:spacing w:val="-2"/>
            <w:sz w:val="24"/>
          </w:rPr>
          <w:t>124</w:t>
        </w:r>
      </w:hyperlink>
    </w:p>
    <w:p>
      <w:pPr>
        <w:pStyle w:val="ListParagraph"/>
        <w:numPr>
          <w:ilvl w:val="1"/>
          <w:numId w:val="5"/>
        </w:numPr>
        <w:tabs>
          <w:tab w:pos="500" w:val="left" w:leader="none"/>
          <w:tab w:pos="8926" w:val="right" w:leader="dot"/>
        </w:tabs>
        <w:spacing w:line="240" w:lineRule="auto" w:before="380" w:after="0"/>
        <w:ind w:left="499" w:right="0" w:hanging="399"/>
        <w:jc w:val="left"/>
        <w:rPr>
          <w:sz w:val="24"/>
        </w:rPr>
      </w:pPr>
      <w:hyperlink w:history="true" w:anchor="_bookmark79">
        <w:r>
          <w:rPr>
            <w:sz w:val="24"/>
          </w:rPr>
          <w:t>Fragmentación de la Política de Combate a</w:t>
        </w:r>
        <w:r>
          <w:rPr>
            <w:spacing w:val="-4"/>
            <w:sz w:val="24"/>
          </w:rPr>
          <w:t> </w:t>
        </w:r>
        <w:r>
          <w:rPr>
            <w:sz w:val="24"/>
          </w:rPr>
          <w:t>la</w:t>
        </w:r>
        <w:r>
          <w:rPr>
            <w:spacing w:val="-2"/>
            <w:sz w:val="24"/>
          </w:rPr>
          <w:t> </w:t>
        </w:r>
        <w:r>
          <w:rPr>
            <w:sz w:val="24"/>
          </w:rPr>
          <w:t>Corrupción</w:t>
          <w:tab/>
        </w:r>
        <w:r>
          <w:rPr>
            <w:spacing w:val="-2"/>
            <w:sz w:val="24"/>
          </w:rPr>
          <w:t>131</w:t>
        </w:r>
      </w:hyperlink>
    </w:p>
    <w:p>
      <w:pPr>
        <w:pStyle w:val="BodyText"/>
        <w:tabs>
          <w:tab w:pos="8926" w:val="right" w:leader="dot"/>
        </w:tabs>
        <w:spacing w:before="376"/>
        <w:ind w:left="100"/>
      </w:pPr>
      <w:hyperlink w:history="true" w:anchor="_bookmark80">
        <w:r>
          <w:rPr/>
          <w:t>4.2.1 Mecanismos de control interno</w:t>
        </w:r>
        <w:r>
          <w:rPr>
            <w:spacing w:val="-2"/>
          </w:rPr>
          <w:t> </w:t>
        </w:r>
        <w:r>
          <w:rPr/>
          <w:t>y externo</w:t>
          <w:tab/>
        </w:r>
        <w:r>
          <w:rPr>
            <w:spacing w:val="-2"/>
          </w:rPr>
          <w:t>131</w:t>
        </w:r>
      </w:hyperlink>
    </w:p>
    <w:p>
      <w:pPr>
        <w:spacing w:after="0"/>
        <w:sectPr>
          <w:pgSz w:w="12240" w:h="15840"/>
          <w:pgMar w:header="0" w:footer="938" w:top="1360" w:bottom="1180" w:left="1600" w:right="1580"/>
        </w:sectPr>
      </w:pPr>
    </w:p>
    <w:p>
      <w:pPr>
        <w:pStyle w:val="ListParagraph"/>
        <w:numPr>
          <w:ilvl w:val="1"/>
          <w:numId w:val="6"/>
        </w:numPr>
        <w:tabs>
          <w:tab w:pos="500" w:val="left" w:leader="none"/>
          <w:tab w:pos="8926" w:val="right" w:leader="dot"/>
        </w:tabs>
        <w:spacing w:line="240" w:lineRule="auto" w:before="55" w:after="0"/>
        <w:ind w:left="499" w:right="0" w:hanging="399"/>
        <w:jc w:val="left"/>
        <w:rPr>
          <w:sz w:val="24"/>
        </w:rPr>
      </w:pPr>
      <w:hyperlink w:history="true" w:anchor="_bookmark87">
        <w:r>
          <w:rPr>
            <w:sz w:val="24"/>
          </w:rPr>
          <w:t>Fortalecimiento de la</w:t>
        </w:r>
        <w:r>
          <w:rPr>
            <w:spacing w:val="-5"/>
            <w:sz w:val="24"/>
          </w:rPr>
          <w:t> </w:t>
        </w:r>
        <w:r>
          <w:rPr>
            <w:sz w:val="24"/>
          </w:rPr>
          <w:t>Administración</w:t>
        </w:r>
        <w:r>
          <w:rPr>
            <w:spacing w:val="-2"/>
            <w:sz w:val="24"/>
          </w:rPr>
          <w:t> </w:t>
        </w:r>
        <w:r>
          <w:rPr>
            <w:sz w:val="24"/>
          </w:rPr>
          <w:t>Pública</w:t>
          <w:tab/>
        </w:r>
        <w:r>
          <w:rPr>
            <w:spacing w:val="-2"/>
            <w:sz w:val="24"/>
          </w:rPr>
          <w:t>147</w:t>
        </w:r>
      </w:hyperlink>
    </w:p>
    <w:p>
      <w:pPr>
        <w:pStyle w:val="ListParagraph"/>
        <w:numPr>
          <w:ilvl w:val="1"/>
          <w:numId w:val="6"/>
        </w:numPr>
        <w:tabs>
          <w:tab w:pos="500" w:val="left" w:leader="none"/>
          <w:tab w:pos="8926" w:val="right" w:leader="dot"/>
        </w:tabs>
        <w:spacing w:line="240" w:lineRule="auto" w:before="380" w:after="0"/>
        <w:ind w:left="499" w:right="0" w:hanging="399"/>
        <w:jc w:val="left"/>
        <w:rPr>
          <w:sz w:val="24"/>
        </w:rPr>
      </w:pPr>
      <w:hyperlink w:history="true" w:anchor="_bookmark88">
        <w:r>
          <w:rPr>
            <w:sz w:val="24"/>
          </w:rPr>
          <w:t>Hacia la gobernanza y el</w:t>
        </w:r>
        <w:r>
          <w:rPr>
            <w:spacing w:val="-2"/>
            <w:sz w:val="24"/>
          </w:rPr>
          <w:t> </w:t>
        </w:r>
        <w:r>
          <w:rPr>
            <w:sz w:val="24"/>
          </w:rPr>
          <w:t>buen</w:t>
        </w:r>
        <w:r>
          <w:rPr>
            <w:spacing w:val="-2"/>
            <w:sz w:val="24"/>
          </w:rPr>
          <w:t> </w:t>
        </w:r>
        <w:r>
          <w:rPr>
            <w:sz w:val="24"/>
          </w:rPr>
          <w:t>gobierno</w:t>
          <w:tab/>
        </w:r>
        <w:r>
          <w:rPr>
            <w:spacing w:val="-2"/>
            <w:sz w:val="24"/>
          </w:rPr>
          <w:t>150</w:t>
        </w:r>
      </w:hyperlink>
    </w:p>
    <w:p>
      <w:pPr>
        <w:pStyle w:val="ListParagraph"/>
        <w:numPr>
          <w:ilvl w:val="1"/>
          <w:numId w:val="6"/>
        </w:numPr>
        <w:tabs>
          <w:tab w:pos="500" w:val="left" w:leader="none"/>
          <w:tab w:pos="8926" w:val="right" w:leader="dot"/>
        </w:tabs>
        <w:spacing w:line="240" w:lineRule="auto" w:before="376" w:after="0"/>
        <w:ind w:left="499" w:right="0" w:hanging="399"/>
        <w:jc w:val="left"/>
        <w:rPr>
          <w:sz w:val="24"/>
        </w:rPr>
      </w:pPr>
      <w:hyperlink w:history="true" w:anchor="_bookmark89">
        <w:r>
          <w:rPr>
            <w:sz w:val="24"/>
          </w:rPr>
          <w:t>Indicadores de</w:t>
        </w:r>
        <w:r>
          <w:rPr>
            <w:spacing w:val="-2"/>
            <w:sz w:val="24"/>
          </w:rPr>
          <w:t> </w:t>
        </w:r>
        <w:r>
          <w:rPr>
            <w:sz w:val="24"/>
          </w:rPr>
          <w:t>desempeño</w:t>
          <w:tab/>
        </w:r>
        <w:r>
          <w:rPr>
            <w:spacing w:val="-2"/>
            <w:sz w:val="24"/>
          </w:rPr>
          <w:t>155</w:t>
        </w:r>
      </w:hyperlink>
    </w:p>
    <w:p>
      <w:pPr>
        <w:pStyle w:val="BodyText"/>
        <w:tabs>
          <w:tab w:pos="8926" w:val="right" w:leader="dot"/>
        </w:tabs>
        <w:spacing w:before="380"/>
        <w:ind w:left="100"/>
      </w:pPr>
      <w:hyperlink w:history="true" w:anchor="_bookmark98">
        <w:r>
          <w:rPr/>
          <w:t>CONCLUSIONES</w:t>
          <w:tab/>
        </w:r>
        <w:r>
          <w:rPr>
            <w:spacing w:val="-2"/>
          </w:rPr>
          <w:t>168</w:t>
        </w:r>
      </w:hyperlink>
    </w:p>
    <w:p>
      <w:pPr>
        <w:pStyle w:val="BodyText"/>
        <w:tabs>
          <w:tab w:pos="8926" w:val="right" w:leader="dot"/>
        </w:tabs>
        <w:spacing w:before="376"/>
        <w:ind w:left="100"/>
      </w:pPr>
      <w:hyperlink w:history="true" w:anchor="_bookmark99">
        <w:r>
          <w:rPr/>
          <w:t>PROPUESTA</w:t>
          <w:tab/>
        </w:r>
        <w:r>
          <w:rPr>
            <w:spacing w:val="-2"/>
          </w:rPr>
          <w:t>170</w:t>
        </w:r>
      </w:hyperlink>
    </w:p>
    <w:p>
      <w:pPr>
        <w:pStyle w:val="BodyText"/>
        <w:tabs>
          <w:tab w:pos="8926" w:val="right" w:leader="dot"/>
        </w:tabs>
        <w:spacing w:before="380"/>
        <w:ind w:left="100"/>
      </w:pPr>
      <w:hyperlink w:history="true" w:anchor="_bookmark100">
        <w:r>
          <w:rPr/>
          <w:t>Referencias</w:t>
          <w:tab/>
        </w:r>
        <w:r>
          <w:rPr>
            <w:spacing w:val="-2"/>
          </w:rPr>
          <w:t>173</w:t>
        </w:r>
      </w:hyperlink>
    </w:p>
    <w:p>
      <w:pPr>
        <w:pStyle w:val="BodyText"/>
        <w:tabs>
          <w:tab w:pos="8926" w:val="right" w:leader="dot"/>
        </w:tabs>
        <w:spacing w:before="376"/>
        <w:ind w:left="100"/>
      </w:pPr>
      <w:hyperlink w:history="true" w:anchor="_bookmark101">
        <w:r>
          <w:rPr/>
          <w:t>Consultas en</w:t>
        </w:r>
        <w:r>
          <w:rPr>
            <w:spacing w:val="-2"/>
          </w:rPr>
          <w:t> </w:t>
        </w:r>
        <w:r>
          <w:rPr/>
          <w:t>línea</w:t>
          <w:tab/>
        </w:r>
        <w:r>
          <w:rPr>
            <w:spacing w:val="-2"/>
          </w:rPr>
          <w:t>179</w:t>
        </w:r>
      </w:hyperlink>
    </w:p>
    <w:p>
      <w:pPr>
        <w:pStyle w:val="BodyText"/>
        <w:tabs>
          <w:tab w:pos="8926" w:val="right" w:leader="dot"/>
        </w:tabs>
        <w:spacing w:before="380"/>
        <w:ind w:left="100"/>
      </w:pPr>
      <w:hyperlink w:history="true" w:anchor="_bookmark102">
        <w:r>
          <w:rPr/>
          <w:t>Marco jurídico</w:t>
        </w:r>
        <w:r>
          <w:rPr>
            <w:spacing w:val="-3"/>
          </w:rPr>
          <w:t> </w:t>
        </w:r>
        <w:r>
          <w:rPr/>
          <w:t>y</w:t>
        </w:r>
        <w:r>
          <w:rPr>
            <w:spacing w:val="-5"/>
          </w:rPr>
          <w:t> </w:t>
        </w:r>
        <w:r>
          <w:rPr/>
          <w:t>normativo</w:t>
          <w:tab/>
        </w:r>
        <w:r>
          <w:rPr>
            <w:spacing w:val="-2"/>
          </w:rPr>
          <w:t>189</w:t>
        </w:r>
      </w:hyperlink>
    </w:p>
    <w:p>
      <w:pPr>
        <w:pStyle w:val="BodyText"/>
        <w:tabs>
          <w:tab w:pos="8926" w:val="right" w:leader="dot"/>
        </w:tabs>
        <w:spacing w:before="376"/>
        <w:ind w:left="100"/>
      </w:pPr>
      <w:hyperlink w:history="true" w:anchor="_bookmark103">
        <w:r>
          <w:rPr/>
          <w:t>Índices e</w:t>
        </w:r>
        <w:r>
          <w:rPr>
            <w:spacing w:val="-2"/>
          </w:rPr>
          <w:t> </w:t>
        </w:r>
        <w:r>
          <w:rPr/>
          <w:t>indicadores</w:t>
          <w:tab/>
        </w:r>
        <w:r>
          <w:rPr>
            <w:spacing w:val="-2"/>
          </w:rPr>
          <w:t>191</w:t>
        </w:r>
      </w:hyperlink>
    </w:p>
    <w:p>
      <w:pPr>
        <w:spacing w:after="0"/>
        <w:sectPr>
          <w:pgSz w:w="12240" w:h="15840"/>
          <w:pgMar w:header="0" w:footer="938" w:top="1360" w:bottom="1180" w:left="1600" w:right="1580"/>
        </w:sectPr>
      </w:pPr>
    </w:p>
    <w:p>
      <w:pPr>
        <w:spacing w:before="48"/>
        <w:ind w:left="100" w:right="0" w:firstLine="0"/>
        <w:jc w:val="left"/>
        <w:rPr>
          <w:b/>
          <w:sz w:val="32"/>
        </w:rPr>
      </w:pPr>
      <w:r>
        <w:rPr>
          <w:b/>
          <w:sz w:val="32"/>
        </w:rPr>
        <w:t>ÍNDICE DE CUADROS</w:t>
      </w:r>
    </w:p>
    <w:p>
      <w:pPr>
        <w:pStyle w:val="BodyText"/>
        <w:tabs>
          <w:tab w:pos="8798" w:val="left" w:leader="dot"/>
        </w:tabs>
        <w:spacing w:before="263"/>
        <w:ind w:left="100"/>
      </w:pPr>
      <w:hyperlink w:history="true" w:anchor="_bookmark3">
        <w:r>
          <w:rPr/>
          <w:t>Cuadro 1.1. Algunas definiciones</w:t>
        </w:r>
        <w:r>
          <w:rPr>
            <w:spacing w:val="-13"/>
          </w:rPr>
          <w:t> </w:t>
        </w:r>
        <w:r>
          <w:rPr/>
          <w:t>de</w:t>
        </w:r>
        <w:r>
          <w:rPr>
            <w:spacing w:val="-5"/>
          </w:rPr>
          <w:t> </w:t>
        </w:r>
        <w:r>
          <w:rPr/>
          <w:t>gobernanza</w:t>
          <w:tab/>
          <w:t>9</w:t>
        </w:r>
      </w:hyperlink>
    </w:p>
    <w:p>
      <w:pPr>
        <w:pStyle w:val="BodyText"/>
        <w:tabs>
          <w:tab w:pos="8662" w:val="left" w:leader="dot"/>
        </w:tabs>
        <w:spacing w:before="140"/>
        <w:ind w:left="100"/>
      </w:pPr>
      <w:hyperlink w:history="true" w:anchor="_bookmark5">
        <w:r>
          <w:rPr/>
          <w:t>Cuadro 1.2. Características de la</w:t>
        </w:r>
        <w:r>
          <w:rPr>
            <w:spacing w:val="-15"/>
          </w:rPr>
          <w:t> </w:t>
        </w:r>
        <w:r>
          <w:rPr/>
          <w:t>acción</w:t>
        </w:r>
        <w:r>
          <w:rPr>
            <w:spacing w:val="-5"/>
          </w:rPr>
          <w:t> </w:t>
        </w:r>
        <w:r>
          <w:rPr/>
          <w:t>pública</w:t>
          <w:tab/>
          <w:t>13</w:t>
        </w:r>
      </w:hyperlink>
    </w:p>
    <w:p>
      <w:pPr>
        <w:pStyle w:val="BodyText"/>
        <w:tabs>
          <w:tab w:pos="8662" w:val="left" w:leader="dot"/>
        </w:tabs>
        <w:spacing w:before="136"/>
        <w:ind w:left="100"/>
      </w:pPr>
      <w:hyperlink w:history="true" w:anchor="_bookmark7">
        <w:r>
          <w:rPr/>
          <w:t>Cuadro 1.3. Algunos problemas y soluciones de</w:t>
        </w:r>
        <w:r>
          <w:rPr>
            <w:spacing w:val="-22"/>
          </w:rPr>
          <w:t> </w:t>
        </w:r>
        <w:r>
          <w:rPr/>
          <w:t>los</w:t>
        </w:r>
        <w:r>
          <w:rPr>
            <w:spacing w:val="-3"/>
          </w:rPr>
          <w:t> </w:t>
        </w:r>
        <w:r>
          <w:rPr/>
          <w:t>Estados</w:t>
          <w:tab/>
          <w:t>14</w:t>
        </w:r>
      </w:hyperlink>
    </w:p>
    <w:p>
      <w:pPr>
        <w:pStyle w:val="BodyText"/>
        <w:tabs>
          <w:tab w:pos="8662" w:val="left" w:leader="dot"/>
        </w:tabs>
        <w:spacing w:before="140"/>
        <w:ind w:left="100"/>
      </w:pPr>
      <w:hyperlink w:history="true" w:anchor="_bookmark9">
        <w:r>
          <w:rPr/>
          <w:t>Cuadro 1.4. Formas</w:t>
        </w:r>
        <w:r>
          <w:rPr>
            <w:spacing w:val="-9"/>
          </w:rPr>
          <w:t> </w:t>
        </w:r>
        <w:r>
          <w:rPr/>
          <w:t>de</w:t>
        </w:r>
        <w:r>
          <w:rPr>
            <w:spacing w:val="-5"/>
          </w:rPr>
          <w:t> </w:t>
        </w:r>
        <w:r>
          <w:rPr/>
          <w:t>gobierno</w:t>
          <w:tab/>
          <w:t>16</w:t>
        </w:r>
      </w:hyperlink>
    </w:p>
    <w:p>
      <w:pPr>
        <w:pStyle w:val="BodyText"/>
        <w:tabs>
          <w:tab w:pos="8662" w:val="left" w:leader="dot"/>
        </w:tabs>
        <w:spacing w:before="136"/>
        <w:ind w:left="100"/>
      </w:pPr>
      <w:hyperlink w:history="true" w:anchor="_bookmark18">
        <w:r>
          <w:rPr/>
          <w:t>Cuadro 1.5. Principios de la gobernanza corporativa de</w:t>
        </w:r>
        <w:r>
          <w:rPr>
            <w:spacing w:val="-29"/>
          </w:rPr>
          <w:t> </w:t>
        </w:r>
        <w:r>
          <w:rPr/>
          <w:t>la</w:t>
        </w:r>
        <w:r>
          <w:rPr>
            <w:spacing w:val="-5"/>
          </w:rPr>
          <w:t> </w:t>
        </w:r>
        <w:r>
          <w:rPr/>
          <w:t>OCDE</w:t>
          <w:tab/>
          <w:t>35</w:t>
        </w:r>
      </w:hyperlink>
    </w:p>
    <w:p>
      <w:pPr>
        <w:pStyle w:val="BodyText"/>
        <w:tabs>
          <w:tab w:pos="8662" w:val="left" w:leader="dot"/>
        </w:tabs>
        <w:spacing w:before="136"/>
        <w:ind w:left="100"/>
      </w:pPr>
      <w:hyperlink w:history="true" w:anchor="_bookmark22">
        <w:r>
          <w:rPr/>
          <w:t>Cuadro 1.6. Clasificación de indicadores internacionales</w:t>
        </w:r>
        <w:r>
          <w:rPr>
            <w:spacing w:val="-25"/>
          </w:rPr>
          <w:t> </w:t>
        </w:r>
        <w:r>
          <w:rPr/>
          <w:t>por</w:t>
        </w:r>
        <w:r>
          <w:rPr>
            <w:spacing w:val="-4"/>
          </w:rPr>
          <w:t> </w:t>
        </w:r>
        <w:r>
          <w:rPr/>
          <w:t>sub-indicadores</w:t>
          <w:tab/>
          <w:t>41</w:t>
        </w:r>
      </w:hyperlink>
    </w:p>
    <w:p>
      <w:pPr>
        <w:pStyle w:val="BodyText"/>
        <w:tabs>
          <w:tab w:pos="8662" w:val="left" w:leader="dot"/>
        </w:tabs>
        <w:spacing w:before="140"/>
        <w:ind w:left="100"/>
      </w:pPr>
      <w:hyperlink w:history="true" w:anchor="_bookmark23">
        <w:r>
          <w:rPr/>
          <w:t>Cuadro 1.7. Detalle de indicadores líderes, indicadores</w:t>
        </w:r>
        <w:r>
          <w:rPr>
            <w:spacing w:val="-22"/>
          </w:rPr>
          <w:t> </w:t>
        </w:r>
        <w:r>
          <w:rPr/>
          <w:t>y</w:t>
        </w:r>
        <w:r>
          <w:rPr>
            <w:spacing w:val="-8"/>
          </w:rPr>
          <w:t> </w:t>
        </w:r>
        <w:r>
          <w:rPr/>
          <w:t>sub-indicadores</w:t>
          <w:tab/>
          <w:t>42</w:t>
        </w:r>
      </w:hyperlink>
    </w:p>
    <w:p>
      <w:pPr>
        <w:pStyle w:val="BodyText"/>
        <w:tabs>
          <w:tab w:pos="8662" w:val="left" w:leader="dot"/>
        </w:tabs>
        <w:spacing w:before="136"/>
        <w:ind w:left="100"/>
      </w:pPr>
      <w:hyperlink w:history="true" w:anchor="_bookmark27">
        <w:r>
          <w:rPr/>
          <w:t>Cuadro 1.8. Índice de percepción de la</w:t>
        </w:r>
        <w:r>
          <w:rPr>
            <w:spacing w:val="-25"/>
          </w:rPr>
          <w:t> </w:t>
        </w:r>
        <w:r>
          <w:rPr/>
          <w:t>corrupción,</w:t>
        </w:r>
        <w:r>
          <w:rPr>
            <w:spacing w:val="-2"/>
          </w:rPr>
          <w:t> </w:t>
        </w:r>
        <w:r>
          <w:rPr/>
          <w:t>2012</w:t>
          <w:tab/>
          <w:t>48</w:t>
        </w:r>
      </w:hyperlink>
    </w:p>
    <w:p>
      <w:pPr>
        <w:pStyle w:val="BodyText"/>
        <w:spacing w:before="140"/>
        <w:ind w:left="100"/>
      </w:pPr>
      <w:hyperlink w:history="true" w:anchor="_bookmark32">
        <w:r>
          <w:rPr/>
          <w:t>Cuadro 1.9. Oficinas legislativas de análisis del presupuesto, 2000, 2003 y 2007 53</w:t>
        </w:r>
      </w:hyperlink>
    </w:p>
    <w:p>
      <w:pPr>
        <w:pStyle w:val="BodyText"/>
        <w:tabs>
          <w:tab w:pos="8662" w:val="left" w:leader="dot"/>
        </w:tabs>
        <w:spacing w:before="136"/>
        <w:ind w:left="100"/>
      </w:pPr>
      <w:hyperlink w:history="true" w:anchor="_bookmark35">
        <w:r>
          <w:rPr/>
          <w:t>Cuadro 1.10. Índice de calidad</w:t>
        </w:r>
        <w:r>
          <w:rPr>
            <w:spacing w:val="-23"/>
          </w:rPr>
          <w:t> </w:t>
        </w:r>
        <w:r>
          <w:rPr/>
          <w:t>institucional,</w:t>
        </w:r>
        <w:r>
          <w:rPr>
            <w:spacing w:val="-4"/>
          </w:rPr>
          <w:t> </w:t>
        </w:r>
        <w:r>
          <w:rPr/>
          <w:t>2012</w:t>
          <w:tab/>
          <w:t>57</w:t>
        </w:r>
      </w:hyperlink>
    </w:p>
    <w:p>
      <w:pPr>
        <w:pStyle w:val="BodyText"/>
        <w:tabs>
          <w:tab w:pos="8662" w:val="left" w:leader="dot"/>
        </w:tabs>
        <w:spacing w:before="140"/>
        <w:ind w:left="100"/>
      </w:pPr>
      <w:hyperlink w:history="true" w:anchor="_bookmark36">
        <w:r>
          <w:rPr/>
          <w:t>Cuadro 1.11. Índice de competitividad</w:t>
        </w:r>
        <w:r>
          <w:rPr>
            <w:spacing w:val="-24"/>
          </w:rPr>
          <w:t> </w:t>
        </w:r>
        <w:r>
          <w:rPr/>
          <w:t>internacional,</w:t>
        </w:r>
        <w:r>
          <w:rPr>
            <w:spacing w:val="-4"/>
          </w:rPr>
          <w:t> </w:t>
        </w:r>
        <w:r>
          <w:rPr/>
          <w:t>2011</w:t>
          <w:tab/>
          <w:t>58</w:t>
        </w:r>
      </w:hyperlink>
    </w:p>
    <w:p>
      <w:pPr>
        <w:pStyle w:val="BodyText"/>
        <w:tabs>
          <w:tab w:pos="8662" w:val="left" w:leader="dot"/>
        </w:tabs>
        <w:spacing w:before="136"/>
        <w:ind w:left="100"/>
      </w:pPr>
      <w:hyperlink w:history="true" w:anchor="_bookmark37">
        <w:r>
          <w:rPr/>
          <w:t>Cuadro 1.12. Participación en</w:t>
        </w:r>
        <w:r>
          <w:rPr>
            <w:spacing w:val="-14"/>
          </w:rPr>
          <w:t> </w:t>
        </w:r>
        <w:r>
          <w:rPr/>
          <w:t>elecciones,</w:t>
        </w:r>
        <w:r>
          <w:rPr>
            <w:spacing w:val="-3"/>
          </w:rPr>
          <w:t> </w:t>
        </w:r>
        <w:r>
          <w:rPr/>
          <w:t>2011</w:t>
          <w:tab/>
          <w:t>59</w:t>
        </w:r>
      </w:hyperlink>
    </w:p>
    <w:p>
      <w:pPr>
        <w:pStyle w:val="BodyText"/>
        <w:tabs>
          <w:tab w:pos="8662" w:val="left" w:leader="dot"/>
        </w:tabs>
        <w:spacing w:before="140"/>
        <w:ind w:left="100"/>
      </w:pPr>
      <w:hyperlink w:history="true" w:anchor="_bookmark38">
        <w:r>
          <w:rPr/>
          <w:t>Cuadro 1.13. Índice de mejor</w:t>
        </w:r>
        <w:r>
          <w:rPr>
            <w:spacing w:val="-15"/>
          </w:rPr>
          <w:t> </w:t>
        </w:r>
        <w:r>
          <w:rPr/>
          <w:t>vida,</w:t>
        </w:r>
        <w:r>
          <w:rPr>
            <w:spacing w:val="-3"/>
          </w:rPr>
          <w:t> </w:t>
        </w:r>
        <w:r>
          <w:rPr/>
          <w:t>2013</w:t>
          <w:tab/>
          <w:t>61</w:t>
        </w:r>
      </w:hyperlink>
    </w:p>
    <w:p>
      <w:pPr>
        <w:pStyle w:val="BodyText"/>
        <w:tabs>
          <w:tab w:pos="8662" w:val="left" w:leader="dot"/>
        </w:tabs>
        <w:spacing w:before="136"/>
        <w:ind w:left="100"/>
      </w:pPr>
      <w:hyperlink w:history="true" w:anchor="_bookmark39">
        <w:r>
          <w:rPr/>
          <w:t>Cuadro 1.14. Índice de planeta</w:t>
        </w:r>
        <w:r>
          <w:rPr>
            <w:spacing w:val="-21"/>
          </w:rPr>
          <w:t> </w:t>
        </w:r>
        <w:r>
          <w:rPr/>
          <w:t>feliz,</w:t>
        </w:r>
        <w:r>
          <w:rPr>
            <w:spacing w:val="-3"/>
          </w:rPr>
          <w:t> </w:t>
        </w:r>
        <w:r>
          <w:rPr/>
          <w:t>2012</w:t>
          <w:tab/>
          <w:t>63</w:t>
        </w:r>
      </w:hyperlink>
    </w:p>
    <w:p>
      <w:pPr>
        <w:pStyle w:val="BodyText"/>
        <w:tabs>
          <w:tab w:pos="8662" w:val="left" w:leader="dot"/>
        </w:tabs>
        <w:spacing w:before="140"/>
        <w:ind w:left="100"/>
      </w:pPr>
      <w:hyperlink w:history="true" w:anchor="_bookmark40">
        <w:r>
          <w:rPr/>
          <w:t>Cuadro 1.15. Índice de integridad</w:t>
        </w:r>
        <w:r>
          <w:rPr>
            <w:spacing w:val="-21"/>
          </w:rPr>
          <w:t> </w:t>
        </w:r>
        <w:r>
          <w:rPr/>
          <w:t>pública,</w:t>
        </w:r>
        <w:r>
          <w:rPr>
            <w:spacing w:val="-3"/>
          </w:rPr>
          <w:t> </w:t>
        </w:r>
        <w:r>
          <w:rPr/>
          <w:t>2011</w:t>
          <w:tab/>
          <w:t>64</w:t>
        </w:r>
      </w:hyperlink>
    </w:p>
    <w:p>
      <w:pPr>
        <w:pStyle w:val="BodyText"/>
        <w:tabs>
          <w:tab w:pos="8662" w:val="left" w:leader="dot"/>
        </w:tabs>
        <w:spacing w:line="362" w:lineRule="auto" w:before="136"/>
        <w:ind w:left="100" w:right="112"/>
      </w:pPr>
      <w:hyperlink w:history="true" w:anchor="_bookmark53">
        <w:r>
          <w:rPr/>
          <w:t>Cuadro 2. 1.Reformas constitucionales y legislativas de la institución de control</w:t>
        </w:r>
      </w:hyperlink>
      <w:r>
        <w:rPr/>
        <w:t> </w:t>
      </w:r>
      <w:hyperlink w:history="true" w:anchor="_bookmark53">
        <w:r>
          <w:rPr/>
          <w:t>externo</w:t>
          <w:tab/>
        </w:r>
        <w:r>
          <w:rPr>
            <w:spacing w:val="-1"/>
          </w:rPr>
          <w:t>89</w:t>
        </w:r>
      </w:hyperlink>
    </w:p>
    <w:p>
      <w:pPr>
        <w:pStyle w:val="BodyText"/>
        <w:tabs>
          <w:tab w:pos="8662" w:val="left" w:leader="dot"/>
        </w:tabs>
        <w:spacing w:line="362" w:lineRule="auto"/>
        <w:ind w:left="100" w:right="112"/>
      </w:pPr>
      <w:hyperlink w:history="true" w:anchor="_bookmark54">
        <w:r>
          <w:rPr/>
          <w:t>Cuadro 2. 2. Reformas constitucionales y legislativas de la Institución de control</w:t>
        </w:r>
      </w:hyperlink>
      <w:r>
        <w:rPr/>
        <w:t> </w:t>
      </w:r>
      <w:hyperlink w:history="true" w:anchor="_bookmark54">
        <w:r>
          <w:rPr/>
          <w:t>interno</w:t>
          <w:tab/>
        </w:r>
        <w:r>
          <w:rPr>
            <w:spacing w:val="-1"/>
          </w:rPr>
          <w:t>92</w:t>
        </w:r>
      </w:hyperlink>
    </w:p>
    <w:p>
      <w:pPr>
        <w:pStyle w:val="BodyText"/>
        <w:tabs>
          <w:tab w:pos="8662" w:val="left" w:leader="dot"/>
        </w:tabs>
        <w:spacing w:line="275" w:lineRule="exact"/>
        <w:ind w:left="100"/>
      </w:pPr>
      <w:hyperlink w:history="true" w:anchor="_bookmark57">
        <w:r>
          <w:rPr/>
          <w:t>Cuadro 3. 1. Características principales de los</w:t>
        </w:r>
        <w:r>
          <w:rPr>
            <w:spacing w:val="-27"/>
          </w:rPr>
          <w:t> </w:t>
        </w:r>
        <w:r>
          <w:rPr/>
          <w:t>regímenes</w:t>
        </w:r>
        <w:r>
          <w:rPr>
            <w:spacing w:val="-4"/>
          </w:rPr>
          <w:t> </w:t>
        </w:r>
        <w:r>
          <w:rPr/>
          <w:t>políticos</w:t>
          <w:tab/>
          <w:t>96</w:t>
        </w:r>
      </w:hyperlink>
    </w:p>
    <w:p>
      <w:pPr>
        <w:pStyle w:val="BodyText"/>
        <w:tabs>
          <w:tab w:pos="8530" w:val="left" w:leader="dot"/>
        </w:tabs>
        <w:spacing w:before="140"/>
        <w:ind w:left="100"/>
      </w:pPr>
      <w:hyperlink w:history="true" w:anchor="_bookmark60">
        <w:r>
          <w:rPr/>
          <w:t>Cuadro 3. 2. Marco político de los Estados americanos</w:t>
        </w:r>
        <w:r>
          <w:rPr>
            <w:spacing w:val="-27"/>
          </w:rPr>
          <w:t> </w:t>
        </w:r>
        <w:r>
          <w:rPr/>
          <w:t>y</w:t>
        </w:r>
        <w:r>
          <w:rPr>
            <w:spacing w:val="-8"/>
          </w:rPr>
          <w:t> </w:t>
        </w:r>
        <w:r>
          <w:rPr/>
          <w:t>europeos</w:t>
          <w:tab/>
        </w:r>
        <w:r>
          <w:rPr>
            <w:spacing w:val="-2"/>
          </w:rPr>
          <w:t>100</w:t>
        </w:r>
      </w:hyperlink>
    </w:p>
    <w:p>
      <w:pPr>
        <w:pStyle w:val="BodyText"/>
        <w:tabs>
          <w:tab w:pos="8530" w:val="left" w:leader="dot"/>
        </w:tabs>
        <w:spacing w:before="136"/>
        <w:ind w:left="100"/>
      </w:pPr>
      <w:hyperlink w:history="true" w:anchor="_bookmark62">
        <w:r>
          <w:rPr/>
          <w:t>Cuadro 3. 3. Criterios normativos de la rendición</w:t>
        </w:r>
        <w:r>
          <w:rPr>
            <w:spacing w:val="-26"/>
          </w:rPr>
          <w:t> </w:t>
        </w:r>
        <w:r>
          <w:rPr/>
          <w:t>de</w:t>
        </w:r>
        <w:r>
          <w:rPr>
            <w:spacing w:val="-5"/>
          </w:rPr>
          <w:t> </w:t>
        </w:r>
        <w:r>
          <w:rPr/>
          <w:t>cuentas</w:t>
          <w:tab/>
        </w:r>
        <w:r>
          <w:rPr>
            <w:spacing w:val="-2"/>
          </w:rPr>
          <w:t>105</w:t>
        </w:r>
      </w:hyperlink>
    </w:p>
    <w:p>
      <w:pPr>
        <w:pStyle w:val="BodyText"/>
        <w:tabs>
          <w:tab w:pos="8530" w:val="left" w:leader="dot"/>
        </w:tabs>
        <w:spacing w:before="140"/>
        <w:ind w:left="100"/>
      </w:pPr>
      <w:hyperlink w:history="true" w:anchor="_bookmark64">
        <w:r>
          <w:rPr/>
          <w:t>Cuadro 3. 4. Modelos institucionales de rendición de cuentas en</w:t>
        </w:r>
        <w:r>
          <w:rPr>
            <w:spacing w:val="-28"/>
          </w:rPr>
          <w:t> </w:t>
        </w:r>
        <w:r>
          <w:rPr/>
          <w:t>el</w:t>
        </w:r>
        <w:r>
          <w:rPr>
            <w:spacing w:val="-4"/>
          </w:rPr>
          <w:t> </w:t>
        </w:r>
        <w:r>
          <w:rPr/>
          <w:t>mundo</w:t>
          <w:tab/>
        </w:r>
        <w:r>
          <w:rPr>
            <w:spacing w:val="-2"/>
          </w:rPr>
          <w:t>108</w:t>
        </w:r>
      </w:hyperlink>
    </w:p>
    <w:p>
      <w:pPr>
        <w:pStyle w:val="BodyText"/>
        <w:tabs>
          <w:tab w:pos="8530" w:val="left" w:leader="dot"/>
        </w:tabs>
        <w:spacing w:before="136"/>
        <w:ind w:left="100"/>
      </w:pPr>
      <w:hyperlink w:history="true" w:anchor="_bookmark65">
        <w:r>
          <w:rPr/>
          <w:t>Cuadro 3. 5. Modelos de rendición de cuentas en América</w:t>
        </w:r>
        <w:r>
          <w:rPr>
            <w:spacing w:val="-23"/>
          </w:rPr>
          <w:t> </w:t>
        </w:r>
        <w:r>
          <w:rPr/>
          <w:t>y</w:t>
        </w:r>
        <w:r>
          <w:rPr>
            <w:spacing w:val="-7"/>
          </w:rPr>
          <w:t> </w:t>
        </w:r>
        <w:r>
          <w:rPr/>
          <w:t>Europa</w:t>
          <w:tab/>
        </w:r>
        <w:r>
          <w:rPr>
            <w:spacing w:val="-2"/>
          </w:rPr>
          <w:t>108</w:t>
        </w:r>
      </w:hyperlink>
    </w:p>
    <w:p>
      <w:pPr>
        <w:pStyle w:val="BodyText"/>
        <w:tabs>
          <w:tab w:pos="8530" w:val="left" w:leader="dot"/>
        </w:tabs>
        <w:spacing w:before="140"/>
        <w:ind w:left="100"/>
      </w:pPr>
      <w:hyperlink w:history="true" w:anchor="_bookmark66">
        <w:r>
          <w:rPr/>
          <w:t>Cuadro 3. 6. Tipos de instituciones de rendición de cuentas</w:t>
        </w:r>
        <w:r>
          <w:rPr>
            <w:spacing w:val="-34"/>
          </w:rPr>
          <w:t> </w:t>
        </w:r>
        <w:r>
          <w:rPr/>
          <w:t>por</w:t>
        </w:r>
        <w:r>
          <w:rPr>
            <w:spacing w:val="-3"/>
          </w:rPr>
          <w:t> </w:t>
        </w:r>
        <w:r>
          <w:rPr/>
          <w:t>continente</w:t>
          <w:tab/>
        </w:r>
        <w:r>
          <w:rPr>
            <w:spacing w:val="-2"/>
          </w:rPr>
          <w:t>110</w:t>
        </w:r>
      </w:hyperlink>
    </w:p>
    <w:p>
      <w:pPr>
        <w:pStyle w:val="BodyText"/>
        <w:spacing w:before="136"/>
        <w:ind w:left="100"/>
      </w:pPr>
      <w:hyperlink w:history="true" w:anchor="_bookmark68">
        <w:r>
          <w:rPr/>
          <w:t>Cuadro 3. 7. Organizaciones de rendición de cuentas integrantes de la INTOSAI</w:t>
        </w:r>
      </w:hyperlink>
    </w:p>
    <w:p>
      <w:pPr>
        <w:pStyle w:val="BodyText"/>
        <w:spacing w:before="140"/>
        <w:ind w:left="100"/>
      </w:pPr>
      <w:hyperlink w:history="true" w:anchor="_bookmark68">
        <w:r>
          <w:rPr/>
          <w:t>........................................................................................................................... </w:t>
        </w:r>
        <w:r>
          <w:rPr>
            <w:spacing w:val="59"/>
          </w:rPr>
          <w:t> </w:t>
        </w:r>
        <w:r>
          <w:rPr>
            <w:spacing w:val="-2"/>
          </w:rPr>
          <w:t>112</w:t>
        </w:r>
      </w:hyperlink>
    </w:p>
    <w:p>
      <w:pPr>
        <w:pStyle w:val="BodyText"/>
        <w:tabs>
          <w:tab w:pos="8530" w:val="left" w:leader="dot"/>
        </w:tabs>
        <w:spacing w:before="136"/>
        <w:ind w:left="100"/>
      </w:pPr>
      <w:hyperlink w:history="true" w:anchor="_bookmark71">
        <w:r>
          <w:rPr/>
          <w:t>Cuadro 3. 8. Principios básicos de la INTOSAI para</w:t>
        </w:r>
        <w:r>
          <w:rPr>
            <w:spacing w:val="-26"/>
          </w:rPr>
          <w:t> </w:t>
        </w:r>
        <w:r>
          <w:rPr/>
          <w:t>la</w:t>
        </w:r>
        <w:r>
          <w:rPr>
            <w:spacing w:val="-4"/>
          </w:rPr>
          <w:t> </w:t>
        </w:r>
        <w:r>
          <w:rPr/>
          <w:t>fiscalización</w:t>
          <w:tab/>
        </w:r>
        <w:r>
          <w:rPr>
            <w:spacing w:val="-2"/>
          </w:rPr>
          <w:t>114</w:t>
        </w:r>
      </w:hyperlink>
    </w:p>
    <w:p>
      <w:pPr>
        <w:pStyle w:val="BodyText"/>
        <w:tabs>
          <w:tab w:pos="8530" w:val="left" w:leader="dot"/>
        </w:tabs>
        <w:spacing w:before="140"/>
        <w:ind w:left="100"/>
      </w:pPr>
      <w:hyperlink w:history="true" w:anchor="_bookmark77">
        <w:r>
          <w:rPr/>
          <w:t>Cuadro 4. 1. Cambios y adiciones a la legislación de rendición</w:t>
        </w:r>
        <w:r>
          <w:rPr>
            <w:spacing w:val="-31"/>
          </w:rPr>
          <w:t> </w:t>
        </w:r>
        <w:r>
          <w:rPr/>
          <w:t>de</w:t>
        </w:r>
        <w:r>
          <w:rPr>
            <w:spacing w:val="-4"/>
          </w:rPr>
          <w:t> </w:t>
        </w:r>
        <w:r>
          <w:rPr/>
          <w:t>cuentas</w:t>
          <w:tab/>
        </w:r>
        <w:r>
          <w:rPr>
            <w:spacing w:val="-2"/>
          </w:rPr>
          <w:t>128</w:t>
        </w:r>
      </w:hyperlink>
    </w:p>
    <w:p>
      <w:pPr>
        <w:spacing w:after="0"/>
        <w:sectPr>
          <w:pgSz w:w="12240" w:h="15840"/>
          <w:pgMar w:header="0" w:footer="938" w:top="1360" w:bottom="1180" w:left="1600" w:right="1600"/>
        </w:sectPr>
      </w:pPr>
    </w:p>
    <w:p>
      <w:pPr>
        <w:pStyle w:val="BodyText"/>
        <w:tabs>
          <w:tab w:pos="8926" w:val="right" w:leader="dot"/>
        </w:tabs>
        <w:spacing w:line="362" w:lineRule="auto" w:before="55"/>
        <w:ind w:left="100" w:right="112"/>
      </w:pPr>
      <w:hyperlink w:history="true" w:anchor="_bookmark78">
        <w:r>
          <w:rPr/>
          <w:t>Cuadro 4. 2. Reformas aprobadas por la Cámara de Diputados para fortalecer la</w:t>
        </w:r>
      </w:hyperlink>
      <w:r>
        <w:rPr/>
        <w:t> </w:t>
      </w:r>
      <w:hyperlink w:history="true" w:anchor="_bookmark78">
        <w:r>
          <w:rPr/>
          <w:t>rendición de</w:t>
        </w:r>
        <w:r>
          <w:rPr>
            <w:spacing w:val="1"/>
          </w:rPr>
          <w:t> </w:t>
        </w:r>
        <w:r>
          <w:rPr/>
          <w:t>cuentas, 2012</w:t>
          <w:tab/>
        </w:r>
        <w:r>
          <w:rPr>
            <w:spacing w:val="-2"/>
          </w:rPr>
          <w:t>130</w:t>
        </w:r>
      </w:hyperlink>
    </w:p>
    <w:p>
      <w:pPr>
        <w:pStyle w:val="BodyText"/>
        <w:tabs>
          <w:tab w:pos="8926" w:val="right" w:leader="dot"/>
        </w:tabs>
        <w:spacing w:line="362" w:lineRule="auto"/>
        <w:ind w:left="100" w:right="112"/>
      </w:pPr>
      <w:hyperlink w:history="true" w:anchor="_bookmark81">
        <w:r>
          <w:rPr/>
          <w:t>Cuadro 4. 3. Comparativo de la orientación de las instituciones de rendición de</w:t>
        </w:r>
      </w:hyperlink>
      <w:r>
        <w:rPr/>
        <w:t> </w:t>
      </w:r>
      <w:hyperlink w:history="true" w:anchor="_bookmark81">
        <w:r>
          <w:rPr/>
          <w:t>cuentas</w:t>
          <w:tab/>
        </w:r>
        <w:r>
          <w:rPr>
            <w:spacing w:val="-2"/>
          </w:rPr>
          <w:t>133</w:t>
        </w:r>
      </w:hyperlink>
    </w:p>
    <w:p>
      <w:pPr>
        <w:pStyle w:val="BodyText"/>
        <w:ind w:left="100"/>
      </w:pPr>
      <w:hyperlink w:history="true" w:anchor="_bookmark82">
        <w:r>
          <w:rPr/>
          <w:t>Cuadro 4. 4. Medios de impugnación a la rendición de cuentas, 2007 y 2008 ... 137</w:t>
        </w:r>
      </w:hyperlink>
    </w:p>
    <w:p>
      <w:pPr>
        <w:pStyle w:val="BodyText"/>
        <w:tabs>
          <w:tab w:pos="8926" w:val="right" w:leader="dot"/>
        </w:tabs>
        <w:spacing w:before="140"/>
        <w:ind w:left="100"/>
      </w:pPr>
      <w:hyperlink w:history="true" w:anchor="_bookmark84">
        <w:r>
          <w:rPr/>
          <w:t>Cuadro 4. 5. Proceso</w:t>
        </w:r>
        <w:r>
          <w:rPr>
            <w:spacing w:val="-1"/>
          </w:rPr>
          <w:t> </w:t>
        </w:r>
        <w:r>
          <w:rPr/>
          <w:t>de</w:t>
        </w:r>
        <w:r>
          <w:rPr>
            <w:spacing w:val="-2"/>
          </w:rPr>
          <w:t> </w:t>
        </w:r>
        <w:r>
          <w:rPr/>
          <w:t>prevención</w:t>
          <w:tab/>
        </w:r>
        <w:r>
          <w:rPr>
            <w:spacing w:val="-2"/>
          </w:rPr>
          <w:t>139</w:t>
        </w:r>
      </w:hyperlink>
    </w:p>
    <w:p>
      <w:pPr>
        <w:pStyle w:val="BodyText"/>
        <w:tabs>
          <w:tab w:pos="8926" w:val="right" w:leader="dot"/>
        </w:tabs>
        <w:spacing w:before="136"/>
        <w:ind w:left="100"/>
      </w:pPr>
      <w:hyperlink w:history="true" w:anchor="_bookmark85">
        <w:r>
          <w:rPr/>
          <w:t>Cuadro 4. 6. Proceso</w:t>
        </w:r>
        <w:r>
          <w:rPr>
            <w:spacing w:val="-1"/>
          </w:rPr>
          <w:t> </w:t>
        </w:r>
        <w:r>
          <w:rPr/>
          <w:t>de</w:t>
        </w:r>
        <w:r>
          <w:rPr>
            <w:spacing w:val="-2"/>
          </w:rPr>
          <w:t> </w:t>
        </w:r>
        <w:r>
          <w:rPr/>
          <w:t>detección</w:t>
          <w:tab/>
        </w:r>
        <w:r>
          <w:rPr>
            <w:spacing w:val="-2"/>
          </w:rPr>
          <w:t>141</w:t>
        </w:r>
      </w:hyperlink>
    </w:p>
    <w:p>
      <w:pPr>
        <w:pStyle w:val="BodyText"/>
        <w:tabs>
          <w:tab w:pos="8926" w:val="right" w:leader="dot"/>
        </w:tabs>
        <w:spacing w:before="140"/>
        <w:ind w:left="100"/>
      </w:pPr>
      <w:hyperlink w:history="true" w:anchor="_bookmark86">
        <w:r>
          <w:rPr/>
          <w:t>Cuadro 4. 7. Procesos de procuración e impartición</w:t>
        </w:r>
        <w:r>
          <w:rPr>
            <w:spacing w:val="-5"/>
          </w:rPr>
          <w:t> </w:t>
        </w:r>
        <w:r>
          <w:rPr/>
          <w:t>de</w:t>
        </w:r>
        <w:r>
          <w:rPr>
            <w:spacing w:val="-2"/>
          </w:rPr>
          <w:t> </w:t>
        </w:r>
        <w:r>
          <w:rPr/>
          <w:t>justicia</w:t>
          <w:tab/>
        </w:r>
        <w:r>
          <w:rPr>
            <w:spacing w:val="-2"/>
          </w:rPr>
          <w:t>143</w:t>
        </w:r>
      </w:hyperlink>
    </w:p>
    <w:p>
      <w:pPr>
        <w:pStyle w:val="BodyText"/>
        <w:tabs>
          <w:tab w:pos="8926" w:val="right" w:leader="dot"/>
        </w:tabs>
        <w:spacing w:before="136"/>
        <w:ind w:left="100"/>
      </w:pPr>
      <w:hyperlink w:history="true" w:anchor="_bookmark91">
        <w:r>
          <w:rPr/>
          <w:t>Cuadro 4. 8. Índice de corrupción por Entidad</w:t>
        </w:r>
        <w:r>
          <w:rPr>
            <w:spacing w:val="-12"/>
          </w:rPr>
          <w:t> </w:t>
        </w:r>
        <w:r>
          <w:rPr/>
          <w:t>Federativa,</w:t>
        </w:r>
        <w:r>
          <w:rPr>
            <w:spacing w:val="-1"/>
          </w:rPr>
          <w:t> </w:t>
        </w:r>
        <w:r>
          <w:rPr/>
          <w:t>2005-2010</w:t>
          <w:tab/>
        </w:r>
        <w:r>
          <w:rPr>
            <w:spacing w:val="-2"/>
          </w:rPr>
          <w:t>156</w:t>
        </w:r>
      </w:hyperlink>
    </w:p>
    <w:p>
      <w:pPr>
        <w:pStyle w:val="BodyText"/>
        <w:spacing w:before="140"/>
        <w:ind w:left="100"/>
      </w:pPr>
      <w:hyperlink w:history="true" w:anchor="_bookmark92">
        <w:r>
          <w:rPr/>
          <w:t>Cuadro 4. 9. Índice Latinoamericano de Transparencia Presupuestaria, 2001-2011</w:t>
        </w:r>
      </w:hyperlink>
    </w:p>
    <w:p>
      <w:pPr>
        <w:pStyle w:val="BodyText"/>
        <w:spacing w:before="136"/>
        <w:ind w:left="100"/>
      </w:pPr>
      <w:hyperlink w:history="true" w:anchor="_bookmark92">
        <w:r>
          <w:rPr/>
          <w:t>........................................................................................................................... </w:t>
        </w:r>
        <w:r>
          <w:rPr>
            <w:spacing w:val="59"/>
          </w:rPr>
          <w:t> </w:t>
        </w:r>
        <w:r>
          <w:rPr>
            <w:spacing w:val="-2"/>
          </w:rPr>
          <w:t>158</w:t>
        </w:r>
      </w:hyperlink>
    </w:p>
    <w:p>
      <w:pPr>
        <w:pStyle w:val="BodyText"/>
        <w:spacing w:before="140"/>
        <w:ind w:left="100"/>
      </w:pPr>
      <w:hyperlink w:history="true" w:anchor="_bookmark93">
        <w:r>
          <w:rPr/>
          <w:t>Cuadro 4. 10. Transparencia Presupuestaria en México, percepciones por variable</w:t>
        </w:r>
      </w:hyperlink>
    </w:p>
    <w:p>
      <w:pPr>
        <w:pStyle w:val="BodyText"/>
        <w:spacing w:before="136"/>
        <w:ind w:left="100"/>
      </w:pPr>
      <w:hyperlink w:history="true" w:anchor="_bookmark93">
        <w:r>
          <w:rPr/>
          <w:t>........................................................................................................................... </w:t>
        </w:r>
        <w:r>
          <w:rPr>
            <w:spacing w:val="59"/>
          </w:rPr>
          <w:t> </w:t>
        </w:r>
        <w:r>
          <w:rPr>
            <w:spacing w:val="-2"/>
          </w:rPr>
          <w:t>158</w:t>
        </w:r>
      </w:hyperlink>
    </w:p>
    <w:p>
      <w:pPr>
        <w:pStyle w:val="BodyText"/>
        <w:tabs>
          <w:tab w:pos="8926" w:val="right" w:leader="dot"/>
        </w:tabs>
        <w:spacing w:line="360" w:lineRule="auto" w:before="140"/>
        <w:ind w:left="100" w:right="112"/>
      </w:pPr>
      <w:hyperlink w:history="true" w:anchor="_bookmark94">
        <w:r>
          <w:rPr/>
          <w:t>Cuadro 4. 11. Índice de transparencia de la disponibilidad de la información fiscal,</w:t>
        </w:r>
      </w:hyperlink>
      <w:r>
        <w:rPr/>
        <w:t> </w:t>
      </w:r>
      <w:hyperlink w:history="true" w:anchor="_bookmark94">
        <w:r>
          <w:rPr/>
          <w:t>2011-2012</w:t>
          <w:tab/>
        </w:r>
        <w:r>
          <w:rPr>
            <w:spacing w:val="-2"/>
          </w:rPr>
          <w:t>162</w:t>
        </w:r>
      </w:hyperlink>
    </w:p>
    <w:p>
      <w:pPr>
        <w:pStyle w:val="BodyText"/>
        <w:tabs>
          <w:tab w:pos="8926" w:val="right" w:leader="dot"/>
        </w:tabs>
        <w:spacing w:before="6"/>
        <w:ind w:left="100"/>
      </w:pPr>
      <w:hyperlink w:history="true" w:anchor="_bookmark95">
        <w:r>
          <w:rPr/>
          <w:t>Cuadro 4. 12. Evaluación general de la fiscalización</w:t>
        </w:r>
        <w:r>
          <w:rPr>
            <w:spacing w:val="-14"/>
          </w:rPr>
          <w:t> </w:t>
        </w:r>
        <w:r>
          <w:rPr/>
          <w:t>superior, 2009</w:t>
          <w:tab/>
        </w:r>
        <w:r>
          <w:rPr>
            <w:spacing w:val="-2"/>
          </w:rPr>
          <w:t>164</w:t>
        </w:r>
      </w:hyperlink>
    </w:p>
    <w:p>
      <w:pPr>
        <w:pStyle w:val="BodyText"/>
        <w:tabs>
          <w:tab w:pos="8926" w:val="right" w:leader="dot"/>
        </w:tabs>
        <w:spacing w:line="362" w:lineRule="auto" w:before="136"/>
        <w:ind w:left="100" w:right="112"/>
      </w:pPr>
      <w:hyperlink w:history="true" w:anchor="_bookmark96">
        <w:r>
          <w:rPr/>
          <w:t>Cuadro 4. 13. Confianza en las instituciones de países de América Latina, 1996-</w:t>
        </w:r>
      </w:hyperlink>
      <w:r>
        <w:rPr/>
        <w:t> </w:t>
      </w:r>
      <w:hyperlink w:history="true" w:anchor="_bookmark96">
        <w:r>
          <w:rPr/>
          <w:t>2010</w:t>
        </w:r>
        <w:r>
          <w:rPr>
            <w:spacing w:val="2"/>
          </w:rPr>
          <w:t> </w:t>
        </w:r>
        <w:r>
          <w:rPr/>
          <w:t>y</w:t>
        </w:r>
        <w:r>
          <w:rPr>
            <w:spacing w:val="-5"/>
          </w:rPr>
          <w:t> </w:t>
        </w:r>
        <w:r>
          <w:rPr/>
          <w:t>2011</w:t>
          <w:tab/>
        </w:r>
        <w:r>
          <w:rPr>
            <w:spacing w:val="-2"/>
          </w:rPr>
          <w:t>165</w:t>
        </w:r>
      </w:hyperlink>
    </w:p>
    <w:p>
      <w:pPr>
        <w:pStyle w:val="BodyText"/>
        <w:spacing w:line="275" w:lineRule="exact"/>
        <w:ind w:left="100"/>
      </w:pPr>
      <w:hyperlink w:history="true" w:anchor="_bookmark97">
        <w:r>
          <w:rPr/>
          <w:t>Cuadro 4. 14. Índice de confianza en las instituciones de México, 2008-2012 ... 166</w:t>
        </w:r>
      </w:hyperlink>
    </w:p>
    <w:p>
      <w:pPr>
        <w:spacing w:after="0" w:line="275" w:lineRule="exact"/>
        <w:sectPr>
          <w:pgSz w:w="12240" w:h="15840"/>
          <w:pgMar w:header="0" w:footer="938" w:top="1360" w:bottom="1180" w:left="1600" w:right="1600"/>
        </w:sectPr>
      </w:pPr>
    </w:p>
    <w:p>
      <w:pPr>
        <w:spacing w:before="48"/>
        <w:ind w:left="100" w:right="0" w:firstLine="0"/>
        <w:jc w:val="left"/>
        <w:rPr>
          <w:b/>
          <w:sz w:val="32"/>
        </w:rPr>
      </w:pPr>
      <w:r>
        <w:rPr>
          <w:b/>
          <w:sz w:val="32"/>
        </w:rPr>
        <w:t>ÍNDICE DE ESQUEMAS</w:t>
      </w:r>
    </w:p>
    <w:p>
      <w:pPr>
        <w:pStyle w:val="BodyText"/>
        <w:spacing w:before="1"/>
        <w:rPr>
          <w:b/>
          <w:sz w:val="44"/>
        </w:rPr>
      </w:pPr>
    </w:p>
    <w:p>
      <w:pPr>
        <w:pStyle w:val="BodyText"/>
        <w:tabs>
          <w:tab w:pos="8686" w:val="left" w:leader="dot"/>
        </w:tabs>
        <w:ind w:left="100"/>
        <w:rPr>
          <w:rFonts w:ascii="Calibri" w:hAnsi="Calibri"/>
        </w:rPr>
      </w:pPr>
      <w:hyperlink w:history="true" w:anchor="_bookmark4">
        <w:r>
          <w:rPr/>
          <w:t>Esquema 1.1. Relación entre sistema político, gobernabilidad</w:t>
        </w:r>
        <w:r>
          <w:rPr>
            <w:spacing w:val="-26"/>
          </w:rPr>
          <w:t> </w:t>
        </w:r>
        <w:r>
          <w:rPr/>
          <w:t>y</w:t>
        </w:r>
        <w:r>
          <w:rPr>
            <w:spacing w:val="-9"/>
          </w:rPr>
          <w:t> </w:t>
        </w:r>
        <w:r>
          <w:rPr/>
          <w:t>gobernanza</w:t>
        </w:r>
        <w:r>
          <w:rPr>
            <w:rFonts w:ascii="Calibri" w:hAnsi="Calibri"/>
          </w:rPr>
          <w:tab/>
          <w:t>11</w:t>
        </w:r>
      </w:hyperlink>
    </w:p>
    <w:p>
      <w:pPr>
        <w:pStyle w:val="BodyText"/>
        <w:tabs>
          <w:tab w:pos="8686" w:val="left" w:leader="dot"/>
        </w:tabs>
        <w:spacing w:line="360" w:lineRule="auto" w:before="146"/>
        <w:ind w:left="100" w:right="112"/>
        <w:rPr>
          <w:rFonts w:ascii="Calibri" w:hAnsi="Calibri"/>
        </w:rPr>
      </w:pPr>
      <w:hyperlink w:history="true" w:anchor="_bookmark21">
        <w:r>
          <w:rPr/>
          <w:t>Esquema 1.2. Relación de índices e indicadores internacionales del desempeño</w:t>
        </w:r>
      </w:hyperlink>
      <w:r>
        <w:rPr/>
        <w:t> </w:t>
      </w:r>
      <w:hyperlink w:history="true" w:anchor="_bookmark21">
        <w:r>
          <w:rPr/>
          <w:t>del</w:t>
        </w:r>
        <w:r>
          <w:rPr>
            <w:spacing w:val="-3"/>
          </w:rPr>
          <w:t> </w:t>
        </w:r>
        <w:r>
          <w:rPr/>
          <w:t>Estado</w:t>
        </w:r>
        <w:r>
          <w:rPr>
            <w:rFonts w:ascii="Calibri" w:hAnsi="Calibri"/>
          </w:rPr>
          <w:tab/>
        </w:r>
        <w:r>
          <w:rPr>
            <w:rFonts w:ascii="Calibri" w:hAnsi="Calibri"/>
            <w:spacing w:val="-2"/>
          </w:rPr>
          <w:t>41</w:t>
        </w:r>
      </w:hyperlink>
    </w:p>
    <w:p>
      <w:pPr>
        <w:pStyle w:val="BodyText"/>
        <w:tabs>
          <w:tab w:pos="8686" w:val="left" w:leader="dot"/>
        </w:tabs>
        <w:ind w:left="100"/>
        <w:rPr>
          <w:rFonts w:ascii="Calibri" w:hAnsi="Calibri"/>
        </w:rPr>
      </w:pPr>
      <w:hyperlink w:history="true" w:anchor="_bookmark29">
        <w:r>
          <w:rPr/>
          <w:t>Esquema 1.3. Barómetro global de la</w:t>
        </w:r>
        <w:r>
          <w:rPr>
            <w:spacing w:val="-19"/>
          </w:rPr>
          <w:t> </w:t>
        </w:r>
        <w:r>
          <w:rPr/>
          <w:t>corrupción,</w:t>
        </w:r>
        <w:r>
          <w:rPr>
            <w:spacing w:val="-3"/>
          </w:rPr>
          <w:t> </w:t>
        </w:r>
        <w:r>
          <w:rPr/>
          <w:t>2010</w:t>
        </w:r>
        <w:r>
          <w:rPr>
            <w:rFonts w:ascii="Calibri" w:hAnsi="Calibri"/>
          </w:rPr>
          <w:tab/>
          <w:t>50</w:t>
        </w:r>
      </w:hyperlink>
    </w:p>
    <w:p>
      <w:pPr>
        <w:pStyle w:val="BodyText"/>
        <w:tabs>
          <w:tab w:pos="8686" w:val="left" w:leader="dot"/>
        </w:tabs>
        <w:spacing w:before="147"/>
        <w:ind w:left="100"/>
        <w:rPr>
          <w:rFonts w:ascii="Calibri" w:hAnsi="Calibri"/>
        </w:rPr>
      </w:pPr>
      <w:hyperlink w:history="true" w:anchor="_bookmark30">
        <w:r>
          <w:rPr/>
          <w:t>Esquema 1.4. Barómetro global de la</w:t>
        </w:r>
        <w:r>
          <w:rPr>
            <w:spacing w:val="-19"/>
          </w:rPr>
          <w:t> </w:t>
        </w:r>
        <w:r>
          <w:rPr/>
          <w:t>corrupción,</w:t>
        </w:r>
        <w:r>
          <w:rPr>
            <w:spacing w:val="-3"/>
          </w:rPr>
          <w:t> </w:t>
        </w:r>
        <w:r>
          <w:rPr/>
          <w:t>2010</w:t>
        </w:r>
        <w:r>
          <w:rPr>
            <w:rFonts w:ascii="Calibri" w:hAnsi="Calibri"/>
          </w:rPr>
          <w:tab/>
          <w:t>51</w:t>
        </w:r>
      </w:hyperlink>
    </w:p>
    <w:p>
      <w:pPr>
        <w:pStyle w:val="BodyText"/>
        <w:tabs>
          <w:tab w:pos="8686" w:val="left" w:leader="dot"/>
        </w:tabs>
        <w:spacing w:before="147"/>
        <w:ind w:left="100"/>
        <w:rPr>
          <w:rFonts w:ascii="Calibri" w:hAnsi="Calibri"/>
        </w:rPr>
      </w:pPr>
      <w:hyperlink w:history="true" w:anchor="_bookmark31">
        <w:r>
          <w:rPr/>
          <w:t>Esquema 1.5. Barómetro global de la</w:t>
        </w:r>
        <w:r>
          <w:rPr>
            <w:spacing w:val="-19"/>
          </w:rPr>
          <w:t> </w:t>
        </w:r>
        <w:r>
          <w:rPr/>
          <w:t>corrupción,</w:t>
        </w:r>
        <w:r>
          <w:rPr>
            <w:spacing w:val="-3"/>
          </w:rPr>
          <w:t> </w:t>
        </w:r>
        <w:r>
          <w:rPr/>
          <w:t>2010</w:t>
        </w:r>
        <w:r>
          <w:rPr>
            <w:rFonts w:ascii="Calibri" w:hAnsi="Calibri"/>
          </w:rPr>
          <w:tab/>
          <w:t>52</w:t>
        </w:r>
      </w:hyperlink>
    </w:p>
    <w:p>
      <w:pPr>
        <w:pStyle w:val="BodyText"/>
        <w:tabs>
          <w:tab w:pos="8686" w:val="left" w:leader="dot"/>
        </w:tabs>
        <w:spacing w:before="143"/>
        <w:ind w:left="100"/>
        <w:rPr>
          <w:rFonts w:ascii="Calibri" w:hAnsi="Calibri"/>
        </w:rPr>
      </w:pPr>
      <w:hyperlink w:history="true" w:anchor="_bookmark34">
        <w:r>
          <w:rPr/>
          <w:t>Esquema 1.6. Índice de Presupuesto</w:t>
        </w:r>
        <w:r>
          <w:rPr>
            <w:spacing w:val="-15"/>
          </w:rPr>
          <w:t> </w:t>
        </w:r>
        <w:r>
          <w:rPr/>
          <w:t>Abierto,</w:t>
        </w:r>
        <w:r>
          <w:rPr>
            <w:spacing w:val="-3"/>
          </w:rPr>
          <w:t> </w:t>
        </w:r>
        <w:r>
          <w:rPr/>
          <w:t>2006-2012</w:t>
        </w:r>
        <w:r>
          <w:rPr>
            <w:rFonts w:ascii="Calibri" w:hAnsi="Calibri"/>
          </w:rPr>
          <w:tab/>
          <w:t>56</w:t>
        </w:r>
      </w:hyperlink>
    </w:p>
    <w:p>
      <w:pPr>
        <w:pStyle w:val="BodyText"/>
        <w:tabs>
          <w:tab w:pos="8686" w:val="left" w:leader="dot"/>
        </w:tabs>
        <w:spacing w:before="147"/>
        <w:ind w:left="100"/>
        <w:rPr>
          <w:rFonts w:ascii="Calibri" w:hAnsi="Calibri"/>
        </w:rPr>
      </w:pPr>
      <w:hyperlink w:history="true" w:anchor="_bookmark42">
        <w:r>
          <w:rPr/>
          <w:t>Esquema 2. 1. Evolución del Estado mexicano y del</w:t>
        </w:r>
        <w:r>
          <w:rPr>
            <w:spacing w:val="-26"/>
          </w:rPr>
          <w:t> </w:t>
        </w:r>
        <w:r>
          <w:rPr/>
          <w:t>control</w:t>
        </w:r>
        <w:r>
          <w:rPr>
            <w:spacing w:val="-4"/>
          </w:rPr>
          <w:t> </w:t>
        </w:r>
        <w:r>
          <w:rPr/>
          <w:t>estatal</w:t>
        </w:r>
        <w:r>
          <w:rPr>
            <w:rFonts w:ascii="Calibri" w:hAnsi="Calibri"/>
          </w:rPr>
          <w:tab/>
          <w:t>68</w:t>
        </w:r>
      </w:hyperlink>
    </w:p>
    <w:p>
      <w:pPr>
        <w:pStyle w:val="BodyText"/>
        <w:tabs>
          <w:tab w:pos="8686" w:val="left" w:leader="dot"/>
        </w:tabs>
        <w:spacing w:before="147"/>
        <w:ind w:left="100"/>
        <w:rPr>
          <w:rFonts w:ascii="Calibri" w:hAnsi="Calibri"/>
        </w:rPr>
      </w:pPr>
      <w:hyperlink w:history="true" w:anchor="_bookmark48">
        <w:r>
          <w:rPr/>
          <w:t>Esquema 2. 2. Poder político y ciclos de poder</w:t>
        </w:r>
        <w:r>
          <w:rPr>
            <w:spacing w:val="-24"/>
          </w:rPr>
          <w:t> </w:t>
        </w:r>
        <w:r>
          <w:rPr/>
          <w:t>en</w:t>
        </w:r>
        <w:r>
          <w:rPr>
            <w:spacing w:val="-1"/>
          </w:rPr>
          <w:t> </w:t>
        </w:r>
        <w:r>
          <w:rPr/>
          <w:t>México</w:t>
        </w:r>
        <w:r>
          <w:rPr>
            <w:rFonts w:ascii="Calibri" w:hAnsi="Calibri"/>
          </w:rPr>
          <w:tab/>
          <w:t>77</w:t>
        </w:r>
      </w:hyperlink>
    </w:p>
    <w:p>
      <w:pPr>
        <w:pStyle w:val="BodyText"/>
        <w:tabs>
          <w:tab w:pos="8686" w:val="left" w:leader="dot"/>
        </w:tabs>
        <w:spacing w:before="147"/>
        <w:ind w:left="100"/>
        <w:rPr>
          <w:rFonts w:ascii="Calibri"/>
        </w:rPr>
      </w:pPr>
      <w:hyperlink w:history="true" w:anchor="_bookmark50">
        <w:r>
          <w:rPr/>
          <w:t>Esquema 2. 3. Control y vigilancia del patrimonio del</w:t>
        </w:r>
        <w:r>
          <w:rPr>
            <w:spacing w:val="-29"/>
          </w:rPr>
          <w:t> </w:t>
        </w:r>
        <w:r>
          <w:rPr/>
          <w:t>Estado</w:t>
        </w:r>
        <w:r>
          <w:rPr>
            <w:spacing w:val="-1"/>
          </w:rPr>
          <w:t> </w:t>
        </w:r>
        <w:r>
          <w:rPr/>
          <w:t>mexicano</w:t>
        </w:r>
        <w:r>
          <w:rPr>
            <w:rFonts w:ascii="Calibri"/>
          </w:rPr>
          <w:tab/>
          <w:t>86</w:t>
        </w:r>
      </w:hyperlink>
    </w:p>
    <w:p>
      <w:pPr>
        <w:pStyle w:val="BodyText"/>
        <w:tabs>
          <w:tab w:pos="8686" w:val="left" w:leader="dot"/>
        </w:tabs>
        <w:spacing w:before="147"/>
        <w:ind w:left="100"/>
        <w:rPr>
          <w:rFonts w:ascii="Calibri" w:hAnsi="Calibri"/>
        </w:rPr>
      </w:pPr>
      <w:hyperlink w:history="true" w:anchor="_bookmark51">
        <w:r>
          <w:rPr/>
          <w:t>Esquema 2. 4. Origen de la rendición de cuentas</w:t>
        </w:r>
        <w:r>
          <w:rPr>
            <w:spacing w:val="-19"/>
          </w:rPr>
          <w:t> </w:t>
        </w:r>
        <w:r>
          <w:rPr/>
          <w:t>en México</w:t>
        </w:r>
        <w:r>
          <w:rPr>
            <w:rFonts w:ascii="Calibri" w:hAnsi="Calibri"/>
          </w:rPr>
          <w:tab/>
          <w:t>87</w:t>
        </w:r>
      </w:hyperlink>
    </w:p>
    <w:p>
      <w:pPr>
        <w:pStyle w:val="BodyText"/>
        <w:tabs>
          <w:tab w:pos="8686" w:val="left" w:leader="dot"/>
        </w:tabs>
        <w:spacing w:before="147"/>
        <w:ind w:left="100"/>
        <w:rPr>
          <w:rFonts w:ascii="Calibri" w:hAnsi="Calibri"/>
        </w:rPr>
      </w:pPr>
      <w:hyperlink w:history="true" w:anchor="_bookmark52">
        <w:r>
          <w:rPr/>
          <w:t>Esquema 2. 5. Origen y evolución del control externo del</w:t>
        </w:r>
        <w:r>
          <w:rPr>
            <w:spacing w:val="-32"/>
          </w:rPr>
          <w:t> </w:t>
        </w:r>
        <w:r>
          <w:rPr/>
          <w:t>Estado</w:t>
        </w:r>
        <w:r>
          <w:rPr>
            <w:spacing w:val="-1"/>
          </w:rPr>
          <w:t> </w:t>
        </w:r>
        <w:r>
          <w:rPr/>
          <w:t>mexicano</w:t>
        </w:r>
        <w:r>
          <w:rPr>
            <w:rFonts w:ascii="Calibri" w:hAnsi="Calibri"/>
          </w:rPr>
          <w:tab/>
          <w:t>89</w:t>
        </w:r>
      </w:hyperlink>
    </w:p>
    <w:p>
      <w:pPr>
        <w:pStyle w:val="BodyText"/>
        <w:tabs>
          <w:tab w:pos="8686" w:val="left" w:leader="dot"/>
        </w:tabs>
        <w:spacing w:before="147"/>
        <w:ind w:left="100"/>
        <w:rPr>
          <w:rFonts w:ascii="Calibri" w:hAnsi="Calibri"/>
        </w:rPr>
      </w:pPr>
      <w:hyperlink w:history="true" w:anchor="_bookmark59">
        <w:r>
          <w:rPr/>
          <w:t>Esquema 3. 1.</w:t>
        </w:r>
        <w:r>
          <w:rPr>
            <w:spacing w:val="-8"/>
          </w:rPr>
          <w:t> </w:t>
        </w:r>
        <w:r>
          <w:rPr/>
          <w:t>Equilibrio</w:t>
        </w:r>
        <w:r>
          <w:rPr>
            <w:spacing w:val="-5"/>
          </w:rPr>
          <w:t> </w:t>
        </w:r>
        <w:r>
          <w:rPr/>
          <w:t>político</w:t>
        </w:r>
        <w:r>
          <w:rPr>
            <w:rFonts w:ascii="Calibri" w:hAnsi="Calibri"/>
          </w:rPr>
          <w:tab/>
          <w:t>98</w:t>
        </w:r>
      </w:hyperlink>
    </w:p>
    <w:p>
      <w:pPr>
        <w:pStyle w:val="BodyText"/>
        <w:tabs>
          <w:tab w:pos="8566" w:val="left" w:leader="dot"/>
        </w:tabs>
        <w:spacing w:before="143"/>
        <w:ind w:left="100"/>
        <w:rPr>
          <w:rFonts w:ascii="Calibri" w:hAnsi="Calibri"/>
        </w:rPr>
      </w:pPr>
      <w:hyperlink w:history="true" w:anchor="_bookmark69">
        <w:r>
          <w:rPr/>
          <w:t>Esquema 3. 2. Características del</w:t>
        </w:r>
        <w:r>
          <w:rPr>
            <w:spacing w:val="-14"/>
          </w:rPr>
          <w:t> </w:t>
        </w:r>
        <w:r>
          <w:rPr/>
          <w:t>control</w:t>
        </w:r>
        <w:r>
          <w:rPr>
            <w:spacing w:val="-5"/>
          </w:rPr>
          <w:t> </w:t>
        </w:r>
        <w:r>
          <w:rPr/>
          <w:t>estatal</w:t>
        </w:r>
        <w:r>
          <w:rPr>
            <w:rFonts w:ascii="Calibri" w:hAnsi="Calibri"/>
          </w:rPr>
          <w:tab/>
        </w:r>
        <w:r>
          <w:rPr>
            <w:rFonts w:ascii="Calibri" w:hAnsi="Calibri"/>
            <w:spacing w:val="-2"/>
          </w:rPr>
          <w:t>113</w:t>
        </w:r>
      </w:hyperlink>
    </w:p>
    <w:p>
      <w:pPr>
        <w:pStyle w:val="BodyText"/>
        <w:tabs>
          <w:tab w:pos="8566" w:val="left" w:leader="dot"/>
        </w:tabs>
        <w:spacing w:before="147"/>
        <w:ind w:left="100"/>
        <w:rPr>
          <w:rFonts w:ascii="Calibri" w:hAnsi="Calibri"/>
        </w:rPr>
      </w:pPr>
      <w:hyperlink w:history="true" w:anchor="_bookmark74">
        <w:r>
          <w:rPr/>
          <w:t>Esquema 4. 1. Ciclo de las</w:t>
        </w:r>
        <w:r>
          <w:rPr>
            <w:spacing w:val="-18"/>
          </w:rPr>
          <w:t> </w:t>
        </w:r>
        <w:r>
          <w:rPr/>
          <w:t>políticas</w:t>
        </w:r>
        <w:r>
          <w:rPr>
            <w:spacing w:val="1"/>
          </w:rPr>
          <w:t> </w:t>
        </w:r>
        <w:r>
          <w:rPr/>
          <w:t>públicas</w:t>
        </w:r>
        <w:r>
          <w:rPr>
            <w:rFonts w:ascii="Calibri" w:hAnsi="Calibri"/>
          </w:rPr>
          <w:tab/>
        </w:r>
        <w:r>
          <w:rPr>
            <w:rFonts w:ascii="Calibri" w:hAnsi="Calibri"/>
            <w:spacing w:val="-2"/>
          </w:rPr>
          <w:t>121</w:t>
        </w:r>
      </w:hyperlink>
    </w:p>
    <w:p>
      <w:pPr>
        <w:pStyle w:val="BodyText"/>
        <w:tabs>
          <w:tab w:pos="8566" w:val="left" w:leader="dot"/>
        </w:tabs>
        <w:spacing w:before="147"/>
        <w:ind w:left="100"/>
        <w:rPr>
          <w:rFonts w:ascii="Calibri" w:hAnsi="Calibri"/>
        </w:rPr>
      </w:pPr>
      <w:hyperlink w:history="true" w:anchor="_bookmark76">
        <w:r>
          <w:rPr/>
          <w:t>Esquema 4. 2. Antecedentes del acceso a la información</w:t>
        </w:r>
        <w:r>
          <w:rPr>
            <w:spacing w:val="-22"/>
          </w:rPr>
          <w:t> </w:t>
        </w:r>
        <w:r>
          <w:rPr/>
          <w:t>en México</w:t>
        </w:r>
        <w:r>
          <w:rPr>
            <w:rFonts w:ascii="Calibri" w:hAnsi="Calibri"/>
          </w:rPr>
          <w:tab/>
        </w:r>
        <w:r>
          <w:rPr>
            <w:rFonts w:ascii="Calibri" w:hAnsi="Calibri"/>
            <w:spacing w:val="-2"/>
          </w:rPr>
          <w:t>126</w:t>
        </w:r>
      </w:hyperlink>
    </w:p>
    <w:p>
      <w:pPr>
        <w:pStyle w:val="BodyText"/>
        <w:spacing w:before="151"/>
        <w:ind w:left="100"/>
      </w:pPr>
      <w:hyperlink w:history="true" w:anchor="_bookmark83">
        <w:r>
          <w:rPr/>
          <w:t>Esquema 4. 3. Procesos evaluados de la política de combate a la corrupción,</w:t>
        </w:r>
      </w:hyperlink>
    </w:p>
    <w:p>
      <w:pPr>
        <w:pStyle w:val="BodyText"/>
        <w:spacing w:before="136"/>
        <w:ind w:left="100"/>
        <w:rPr>
          <w:rFonts w:ascii="Calibri"/>
        </w:rPr>
      </w:pPr>
      <w:hyperlink w:history="true" w:anchor="_bookmark83">
        <w:r>
          <w:rPr>
            <w:spacing w:val="-1"/>
          </w:rPr>
          <w:t>1983-2013 </w:t>
        </w:r>
        <w:r>
          <w:rPr>
            <w:rFonts w:ascii="Calibri"/>
            <w:spacing w:val="-1"/>
          </w:rPr>
          <w:t>......................................................................................................................... </w:t>
        </w:r>
        <w:r>
          <w:rPr>
            <w:rFonts w:ascii="Calibri"/>
            <w:spacing w:val="-2"/>
          </w:rPr>
          <w:t>139</w:t>
        </w:r>
      </w:hyperlink>
    </w:p>
    <w:p>
      <w:pPr>
        <w:pStyle w:val="BodyText"/>
        <w:tabs>
          <w:tab w:pos="8566" w:val="left" w:leader="dot"/>
        </w:tabs>
        <w:spacing w:line="360" w:lineRule="auto" w:before="146"/>
        <w:ind w:left="100" w:right="112"/>
        <w:rPr>
          <w:rFonts w:ascii="Calibri" w:hAnsi="Calibri"/>
        </w:rPr>
      </w:pPr>
      <w:hyperlink w:history="true" w:anchor="_bookmark90">
        <w:r>
          <w:rPr/>
          <w:t>Esquema 4. 4. Relación de índices e indicadores regionales y nacionales del</w:t>
        </w:r>
      </w:hyperlink>
      <w:r>
        <w:rPr/>
        <w:t> </w:t>
      </w:r>
      <w:hyperlink w:history="true" w:anchor="_bookmark90">
        <w:r>
          <w:rPr/>
          <w:t>desempeño</w:t>
        </w:r>
        <w:r>
          <w:rPr>
            <w:spacing w:val="-3"/>
          </w:rPr>
          <w:t> </w:t>
        </w:r>
        <w:r>
          <w:rPr/>
          <w:t>del</w:t>
        </w:r>
        <w:r>
          <w:rPr>
            <w:spacing w:val="-3"/>
          </w:rPr>
          <w:t> </w:t>
        </w:r>
        <w:r>
          <w:rPr/>
          <w:t>Estado</w:t>
        </w:r>
        <w:r>
          <w:rPr>
            <w:rFonts w:ascii="Calibri" w:hAnsi="Calibri"/>
          </w:rPr>
          <w:tab/>
        </w:r>
        <w:r>
          <w:rPr>
            <w:rFonts w:ascii="Calibri" w:hAnsi="Calibri"/>
            <w:spacing w:val="-2"/>
          </w:rPr>
          <w:t>155</w:t>
        </w:r>
      </w:hyperlink>
    </w:p>
    <w:p>
      <w:pPr>
        <w:pStyle w:val="BodyText"/>
        <w:tabs>
          <w:tab w:pos="8566" w:val="left" w:leader="dot"/>
        </w:tabs>
        <w:ind w:left="100"/>
        <w:rPr>
          <w:rFonts w:ascii="Calibri"/>
        </w:rPr>
      </w:pPr>
      <w:r>
        <w:rPr/>
        <w:t>Esquema 4. 5. Niveles de transparencia en las Entidades</w:t>
      </w:r>
      <w:r>
        <w:rPr>
          <w:spacing w:val="-34"/>
        </w:rPr>
        <w:t> </w:t>
      </w:r>
      <w:r>
        <w:rPr/>
        <w:t>Federativas,</w:t>
      </w:r>
      <w:r>
        <w:rPr>
          <w:spacing w:val="-4"/>
        </w:rPr>
        <w:t> </w:t>
      </w:r>
      <w:r>
        <w:rPr/>
        <w:t>2011</w:t>
      </w:r>
      <w:r>
        <w:rPr>
          <w:rFonts w:ascii="Calibri"/>
        </w:rPr>
        <w:tab/>
      </w:r>
      <w:r>
        <w:rPr>
          <w:rFonts w:ascii="Calibri"/>
          <w:spacing w:val="-2"/>
        </w:rPr>
        <w:t>163</w:t>
      </w:r>
    </w:p>
    <w:p>
      <w:pPr>
        <w:spacing w:after="0"/>
        <w:rPr>
          <w:rFonts w:ascii="Calibri"/>
        </w:rPr>
        <w:sectPr>
          <w:pgSz w:w="12240" w:h="15840"/>
          <w:pgMar w:header="0" w:footer="938" w:top="1360" w:bottom="1180" w:left="1600" w:right="1600"/>
        </w:sectPr>
      </w:pPr>
    </w:p>
    <w:p>
      <w:pPr>
        <w:spacing w:before="48"/>
        <w:ind w:left="2808" w:right="2834" w:firstLine="0"/>
        <w:jc w:val="center"/>
        <w:rPr>
          <w:b/>
          <w:sz w:val="32"/>
        </w:rPr>
      </w:pPr>
      <w:r>
        <w:rPr>
          <w:b/>
          <w:sz w:val="32"/>
        </w:rPr>
        <w:t>ÍNDICE DE GRAFICAS</w:t>
      </w:r>
    </w:p>
    <w:p>
      <w:pPr>
        <w:pStyle w:val="BodyText"/>
        <w:tabs>
          <w:tab w:pos="8926" w:val="right" w:leader="dot"/>
        </w:tabs>
        <w:spacing w:before="259"/>
        <w:ind w:left="100"/>
        <w:rPr>
          <w:rFonts w:ascii="Calibri" w:hAnsi="Calibri"/>
        </w:rPr>
      </w:pPr>
      <w:hyperlink w:history="true" w:anchor="_bookmark24">
        <w:r>
          <w:rPr/>
          <w:t>Grafica 1.1. Índice de gobernanza</w:t>
        </w:r>
        <w:r>
          <w:rPr>
            <w:spacing w:val="-3"/>
          </w:rPr>
          <w:t> </w:t>
        </w:r>
        <w:r>
          <w:rPr/>
          <w:t>mundial, 2011</w:t>
        </w:r>
        <w:r>
          <w:rPr>
            <w:rFonts w:ascii="Calibri" w:hAnsi="Calibri"/>
          </w:rPr>
          <w:tab/>
          <w:t>43</w:t>
        </w:r>
      </w:hyperlink>
    </w:p>
    <w:p>
      <w:pPr>
        <w:pStyle w:val="BodyText"/>
        <w:tabs>
          <w:tab w:pos="8926" w:val="right" w:leader="dot"/>
        </w:tabs>
        <w:spacing w:before="147"/>
        <w:ind w:left="100"/>
        <w:rPr>
          <w:rFonts w:ascii="Calibri" w:hAnsi="Calibri"/>
        </w:rPr>
      </w:pPr>
      <w:hyperlink w:history="true" w:anchor="_bookmark25">
        <w:r>
          <w:rPr/>
          <w:t>Grafica 1.2. Índice de Estados</w:t>
        </w:r>
        <w:r>
          <w:rPr>
            <w:spacing w:val="-4"/>
          </w:rPr>
          <w:t> </w:t>
        </w:r>
        <w:r>
          <w:rPr/>
          <w:t>fallidos, 2007-2011</w:t>
        </w:r>
        <w:r>
          <w:rPr>
            <w:rFonts w:ascii="Calibri" w:hAnsi="Calibri"/>
          </w:rPr>
          <w:tab/>
          <w:t>46</w:t>
        </w:r>
      </w:hyperlink>
    </w:p>
    <w:p>
      <w:pPr>
        <w:pStyle w:val="BodyText"/>
        <w:tabs>
          <w:tab w:pos="8926" w:val="right" w:leader="dot"/>
        </w:tabs>
        <w:spacing w:before="147"/>
        <w:ind w:left="100"/>
        <w:rPr>
          <w:rFonts w:ascii="Calibri" w:hAnsi="Calibri"/>
        </w:rPr>
      </w:pPr>
      <w:hyperlink w:history="true" w:anchor="_bookmark26">
        <w:r>
          <w:rPr/>
          <w:t>Grafica 1.3. Índice de</w:t>
        </w:r>
        <w:r>
          <w:rPr>
            <w:spacing w:val="-4"/>
          </w:rPr>
          <w:t> </w:t>
        </w:r>
        <w:r>
          <w:rPr/>
          <w:t>opacidad, 2009</w:t>
        </w:r>
        <w:r>
          <w:rPr>
            <w:rFonts w:ascii="Calibri" w:hAnsi="Calibri"/>
          </w:rPr>
          <w:tab/>
          <w:t>47</w:t>
        </w:r>
      </w:hyperlink>
    </w:p>
    <w:p>
      <w:pPr>
        <w:pStyle w:val="BodyText"/>
        <w:tabs>
          <w:tab w:pos="8926" w:val="right" w:leader="dot"/>
        </w:tabs>
        <w:spacing w:before="147"/>
        <w:ind w:left="100"/>
        <w:rPr>
          <w:rFonts w:ascii="Calibri" w:hAnsi="Calibri"/>
        </w:rPr>
      </w:pPr>
      <w:hyperlink w:history="true" w:anchor="_bookmark28">
        <w:r>
          <w:rPr/>
          <w:t>Grafica 1.4. Barómetro global de la</w:t>
        </w:r>
        <w:r>
          <w:rPr>
            <w:spacing w:val="-8"/>
          </w:rPr>
          <w:t> </w:t>
        </w:r>
        <w:r>
          <w:rPr/>
          <w:t>corrupción, 2010</w:t>
        </w:r>
        <w:r>
          <w:rPr>
            <w:rFonts w:ascii="Calibri" w:hAnsi="Calibri"/>
          </w:rPr>
          <w:tab/>
          <w:t>49</w:t>
        </w:r>
      </w:hyperlink>
    </w:p>
    <w:p>
      <w:pPr>
        <w:pStyle w:val="BodyText"/>
        <w:tabs>
          <w:tab w:pos="8926" w:val="right" w:leader="dot"/>
        </w:tabs>
        <w:spacing w:line="360" w:lineRule="auto" w:before="146"/>
        <w:ind w:left="100" w:right="132"/>
        <w:rPr>
          <w:rFonts w:ascii="Calibri" w:hAnsi="Calibri"/>
        </w:rPr>
      </w:pPr>
      <w:hyperlink w:history="true" w:anchor="_bookmark33">
        <w:r>
          <w:rPr/>
          <w:t>Grafica 1.5. Tiempo para la discusión legislativa del presupuesto en los países de</w:t>
        </w:r>
      </w:hyperlink>
      <w:r>
        <w:rPr/>
        <w:t> </w:t>
      </w:r>
      <w:hyperlink w:history="true" w:anchor="_bookmark33">
        <w:r>
          <w:rPr/>
          <w:t>la</w:t>
        </w:r>
        <w:r>
          <w:rPr>
            <w:spacing w:val="-2"/>
          </w:rPr>
          <w:t> </w:t>
        </w:r>
        <w:r>
          <w:rPr/>
          <w:t>OCDE, 2007</w:t>
        </w:r>
        <w:r>
          <w:rPr>
            <w:rFonts w:ascii="Calibri" w:hAnsi="Calibri"/>
          </w:rPr>
          <w:tab/>
          <w:t>54</w:t>
        </w:r>
      </w:hyperlink>
    </w:p>
    <w:p>
      <w:pPr>
        <w:spacing w:after="0" w:line="360" w:lineRule="auto"/>
        <w:rPr>
          <w:rFonts w:ascii="Calibri" w:hAnsi="Calibri"/>
        </w:rPr>
        <w:sectPr>
          <w:footerReference w:type="default" r:id="rId15"/>
          <w:pgSz w:w="12240" w:h="15840"/>
          <w:pgMar w:footer="938" w:header="0" w:top="1360" w:bottom="1120" w:left="1600" w:right="1580"/>
          <w:pgNumType w:start="9"/>
        </w:sectPr>
      </w:pPr>
    </w:p>
    <w:p>
      <w:pPr>
        <w:pStyle w:val="Heading3"/>
        <w:spacing w:before="51"/>
        <w:ind w:left="100" w:right="132"/>
        <w:jc w:val="left"/>
      </w:pPr>
      <w:r>
        <w:rPr/>
        <w:t>Siglas y acrónimos</w:t>
      </w:r>
    </w:p>
    <w:p>
      <w:pPr>
        <w:pStyle w:val="BodyText"/>
        <w:rPr>
          <w:b/>
          <w:sz w:val="20"/>
        </w:rPr>
      </w:pPr>
    </w:p>
    <w:p>
      <w:pPr>
        <w:pStyle w:val="BodyText"/>
        <w:spacing w:before="7"/>
        <w:rPr>
          <w:b/>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29"/>
        <w:gridCol w:w="7403"/>
      </w:tblGrid>
      <w:tr>
        <w:trPr>
          <w:trHeight w:val="468" w:hRule="exact"/>
        </w:trPr>
        <w:tc>
          <w:tcPr>
            <w:tcW w:w="1429" w:type="dxa"/>
          </w:tcPr>
          <w:p>
            <w:pPr>
              <w:pStyle w:val="TableParagraph"/>
              <w:spacing w:line="242" w:lineRule="auto"/>
              <w:ind w:left="203" w:right="186" w:firstLine="127"/>
              <w:rPr>
                <w:b/>
                <w:sz w:val="20"/>
              </w:rPr>
            </w:pPr>
            <w:r>
              <w:rPr>
                <w:b/>
                <w:sz w:val="20"/>
              </w:rPr>
              <w:t>Siglas y acrónimos</w:t>
            </w:r>
          </w:p>
        </w:tc>
        <w:tc>
          <w:tcPr>
            <w:tcW w:w="7403" w:type="dxa"/>
          </w:tcPr>
          <w:p>
            <w:pPr>
              <w:pStyle w:val="TableParagraph"/>
              <w:spacing w:before="108"/>
              <w:ind w:left="2877" w:right="2877"/>
              <w:jc w:val="center"/>
              <w:rPr>
                <w:b/>
                <w:sz w:val="20"/>
              </w:rPr>
            </w:pPr>
            <w:r>
              <w:rPr>
                <w:b/>
                <w:sz w:val="20"/>
              </w:rPr>
              <w:t>Denominaciones</w:t>
            </w:r>
          </w:p>
        </w:tc>
      </w:tr>
      <w:tr>
        <w:trPr>
          <w:trHeight w:val="472" w:hRule="exact"/>
        </w:trPr>
        <w:tc>
          <w:tcPr>
            <w:tcW w:w="1429" w:type="dxa"/>
          </w:tcPr>
          <w:p>
            <w:pPr>
              <w:pStyle w:val="TableParagraph"/>
              <w:ind w:left="103" w:right="186"/>
              <w:rPr>
                <w:sz w:val="20"/>
              </w:rPr>
            </w:pPr>
            <w:r>
              <w:rPr>
                <w:sz w:val="20"/>
              </w:rPr>
              <w:t>APSA</w:t>
            </w:r>
          </w:p>
        </w:tc>
        <w:tc>
          <w:tcPr>
            <w:tcW w:w="7403" w:type="dxa"/>
          </w:tcPr>
          <w:p>
            <w:pPr>
              <w:pStyle w:val="TableParagraph"/>
              <w:ind w:left="103" w:right="23"/>
              <w:rPr>
                <w:sz w:val="20"/>
              </w:rPr>
            </w:pPr>
            <w:r>
              <w:rPr>
                <w:sz w:val="20"/>
              </w:rPr>
              <w:t>Asociación</w:t>
            </w:r>
            <w:r>
              <w:rPr>
                <w:spacing w:val="-15"/>
                <w:sz w:val="20"/>
              </w:rPr>
              <w:t> </w:t>
            </w:r>
            <w:r>
              <w:rPr>
                <w:sz w:val="20"/>
              </w:rPr>
              <w:t>Americana</w:t>
            </w:r>
            <w:r>
              <w:rPr>
                <w:spacing w:val="-15"/>
                <w:sz w:val="20"/>
              </w:rPr>
              <w:t> </w:t>
            </w:r>
            <w:r>
              <w:rPr>
                <w:sz w:val="20"/>
              </w:rPr>
              <w:t>de</w:t>
            </w:r>
            <w:r>
              <w:rPr>
                <w:spacing w:val="-15"/>
                <w:sz w:val="20"/>
              </w:rPr>
              <w:t> </w:t>
            </w:r>
            <w:r>
              <w:rPr>
                <w:sz w:val="20"/>
              </w:rPr>
              <w:t>Ciencia</w:t>
            </w:r>
            <w:r>
              <w:rPr>
                <w:spacing w:val="-15"/>
                <w:sz w:val="20"/>
              </w:rPr>
              <w:t> </w:t>
            </w:r>
            <w:r>
              <w:rPr>
                <w:sz w:val="20"/>
              </w:rPr>
              <w:t>Política</w:t>
            </w:r>
            <w:r>
              <w:rPr>
                <w:spacing w:val="-15"/>
                <w:sz w:val="20"/>
              </w:rPr>
              <w:t> </w:t>
            </w:r>
            <w:r>
              <w:rPr>
                <w:sz w:val="20"/>
              </w:rPr>
              <w:t>(</w:t>
            </w:r>
            <w:r>
              <w:rPr>
                <w:i/>
                <w:sz w:val="20"/>
              </w:rPr>
              <w:t>American</w:t>
            </w:r>
            <w:r>
              <w:rPr>
                <w:i/>
                <w:spacing w:val="-14"/>
                <w:sz w:val="20"/>
              </w:rPr>
              <w:t> </w:t>
            </w:r>
            <w:r>
              <w:rPr>
                <w:i/>
                <w:color w:val="FF0000"/>
                <w:sz w:val="20"/>
              </w:rPr>
              <w:t>Política</w:t>
            </w:r>
            <w:r>
              <w:rPr>
                <w:i/>
                <w:color w:val="FF0000"/>
                <w:spacing w:val="-15"/>
                <w:sz w:val="20"/>
              </w:rPr>
              <w:t> </w:t>
            </w:r>
            <w:r>
              <w:rPr>
                <w:i/>
                <w:color w:val="FF0000"/>
                <w:sz w:val="20"/>
              </w:rPr>
              <w:t>Science</w:t>
            </w:r>
            <w:r>
              <w:rPr>
                <w:i/>
                <w:color w:val="FF0000"/>
                <w:spacing w:val="-14"/>
                <w:sz w:val="20"/>
              </w:rPr>
              <w:t> </w:t>
            </w:r>
            <w:r>
              <w:rPr>
                <w:i/>
                <w:color w:val="FF0000"/>
                <w:sz w:val="20"/>
              </w:rPr>
              <w:t>Association</w:t>
            </w:r>
            <w:r>
              <w:rPr>
                <w:color w:val="FF0000"/>
                <w:sz w:val="20"/>
              </w:rPr>
              <w:t>, </w:t>
            </w:r>
            <w:r>
              <w:rPr>
                <w:sz w:val="20"/>
              </w:rPr>
              <w:t>APSA, por sus siglas en</w:t>
            </w:r>
            <w:r>
              <w:rPr>
                <w:spacing w:val="-9"/>
                <w:sz w:val="20"/>
              </w:rPr>
              <w:t> </w:t>
            </w:r>
            <w:r>
              <w:rPr>
                <w:sz w:val="20"/>
              </w:rPr>
              <w:t>inglés)</w:t>
            </w:r>
          </w:p>
        </w:tc>
      </w:tr>
      <w:tr>
        <w:trPr>
          <w:trHeight w:val="240" w:hRule="exact"/>
        </w:trPr>
        <w:tc>
          <w:tcPr>
            <w:tcW w:w="1429" w:type="dxa"/>
          </w:tcPr>
          <w:p>
            <w:pPr>
              <w:pStyle w:val="TableParagraph"/>
              <w:spacing w:line="227" w:lineRule="exact"/>
              <w:ind w:left="103" w:right="186"/>
              <w:rPr>
                <w:sz w:val="20"/>
              </w:rPr>
            </w:pPr>
            <w:r>
              <w:rPr>
                <w:sz w:val="20"/>
              </w:rPr>
              <w:t>APF</w:t>
            </w:r>
          </w:p>
        </w:tc>
        <w:tc>
          <w:tcPr>
            <w:tcW w:w="7403" w:type="dxa"/>
          </w:tcPr>
          <w:p>
            <w:pPr>
              <w:pStyle w:val="TableParagraph"/>
              <w:spacing w:line="227" w:lineRule="exact"/>
              <w:ind w:left="103" w:right="23"/>
              <w:rPr>
                <w:sz w:val="20"/>
              </w:rPr>
            </w:pPr>
            <w:r>
              <w:rPr>
                <w:sz w:val="20"/>
              </w:rPr>
              <w:t>Administración Pública Federal</w:t>
            </w:r>
          </w:p>
        </w:tc>
      </w:tr>
      <w:tr>
        <w:trPr>
          <w:trHeight w:val="240" w:hRule="exact"/>
        </w:trPr>
        <w:tc>
          <w:tcPr>
            <w:tcW w:w="1429" w:type="dxa"/>
          </w:tcPr>
          <w:p>
            <w:pPr>
              <w:pStyle w:val="TableParagraph"/>
              <w:spacing w:line="226" w:lineRule="exact"/>
              <w:ind w:left="103" w:right="186"/>
              <w:rPr>
                <w:sz w:val="20"/>
              </w:rPr>
            </w:pPr>
            <w:r>
              <w:rPr>
                <w:sz w:val="20"/>
              </w:rPr>
              <w:t>ASF</w:t>
            </w:r>
          </w:p>
        </w:tc>
        <w:tc>
          <w:tcPr>
            <w:tcW w:w="7403" w:type="dxa"/>
          </w:tcPr>
          <w:p>
            <w:pPr>
              <w:pStyle w:val="TableParagraph"/>
              <w:spacing w:line="226" w:lineRule="exact"/>
              <w:ind w:left="103" w:right="23"/>
              <w:rPr>
                <w:sz w:val="20"/>
              </w:rPr>
            </w:pPr>
            <w:r>
              <w:rPr>
                <w:sz w:val="20"/>
              </w:rPr>
              <w:t>Auditoría Superior de la Federación</w:t>
            </w:r>
          </w:p>
        </w:tc>
      </w:tr>
      <w:tr>
        <w:trPr>
          <w:trHeight w:val="240" w:hRule="exact"/>
        </w:trPr>
        <w:tc>
          <w:tcPr>
            <w:tcW w:w="1429" w:type="dxa"/>
          </w:tcPr>
          <w:p>
            <w:pPr>
              <w:pStyle w:val="TableParagraph"/>
              <w:spacing w:line="226" w:lineRule="exact"/>
              <w:ind w:left="103" w:right="186"/>
              <w:rPr>
                <w:sz w:val="20"/>
              </w:rPr>
            </w:pPr>
            <w:r>
              <w:rPr>
                <w:sz w:val="20"/>
              </w:rPr>
              <w:t>CIDE</w:t>
            </w:r>
          </w:p>
        </w:tc>
        <w:tc>
          <w:tcPr>
            <w:tcW w:w="7403" w:type="dxa"/>
          </w:tcPr>
          <w:p>
            <w:pPr>
              <w:pStyle w:val="TableParagraph"/>
              <w:spacing w:line="226" w:lineRule="exact"/>
              <w:ind w:left="103" w:right="23"/>
              <w:rPr>
                <w:sz w:val="20"/>
              </w:rPr>
            </w:pPr>
            <w:r>
              <w:rPr>
                <w:sz w:val="20"/>
              </w:rPr>
              <w:t>Centro de Investigación y Docencia Económicas, A.C.</w:t>
            </w:r>
          </w:p>
        </w:tc>
      </w:tr>
      <w:tr>
        <w:trPr>
          <w:trHeight w:val="240" w:hRule="exact"/>
        </w:trPr>
        <w:tc>
          <w:tcPr>
            <w:tcW w:w="1429" w:type="dxa"/>
          </w:tcPr>
          <w:p>
            <w:pPr>
              <w:pStyle w:val="TableParagraph"/>
              <w:spacing w:line="226" w:lineRule="exact"/>
              <w:ind w:left="103" w:right="186"/>
              <w:rPr>
                <w:sz w:val="20"/>
              </w:rPr>
            </w:pPr>
            <w:r>
              <w:rPr>
                <w:sz w:val="20"/>
              </w:rPr>
              <w:t>CHPF</w:t>
            </w:r>
          </w:p>
        </w:tc>
        <w:tc>
          <w:tcPr>
            <w:tcW w:w="7403" w:type="dxa"/>
          </w:tcPr>
          <w:p>
            <w:pPr>
              <w:pStyle w:val="TableParagraph"/>
              <w:spacing w:line="226" w:lineRule="exact"/>
              <w:ind w:left="103" w:right="23"/>
              <w:rPr>
                <w:sz w:val="20"/>
              </w:rPr>
            </w:pPr>
            <w:r>
              <w:rPr>
                <w:sz w:val="20"/>
              </w:rPr>
              <w:t>Cuenta de la Hacienda Pública Federal, Cuenta Pública</w:t>
            </w:r>
          </w:p>
        </w:tc>
      </w:tr>
      <w:tr>
        <w:trPr>
          <w:trHeight w:val="240" w:hRule="exact"/>
        </w:trPr>
        <w:tc>
          <w:tcPr>
            <w:tcW w:w="1429" w:type="dxa"/>
          </w:tcPr>
          <w:p>
            <w:pPr>
              <w:pStyle w:val="TableParagraph"/>
              <w:spacing w:line="226" w:lineRule="exact"/>
              <w:ind w:left="103" w:right="186"/>
              <w:rPr>
                <w:sz w:val="20"/>
              </w:rPr>
            </w:pPr>
            <w:r>
              <w:rPr>
                <w:sz w:val="20"/>
              </w:rPr>
              <w:t>CMH</w:t>
            </w:r>
          </w:p>
        </w:tc>
        <w:tc>
          <w:tcPr>
            <w:tcW w:w="7403" w:type="dxa"/>
          </w:tcPr>
          <w:p>
            <w:pPr>
              <w:pStyle w:val="TableParagraph"/>
              <w:spacing w:line="226" w:lineRule="exact"/>
              <w:ind w:left="103" w:right="23"/>
              <w:rPr>
                <w:sz w:val="20"/>
              </w:rPr>
            </w:pPr>
            <w:r>
              <w:rPr>
                <w:sz w:val="20"/>
              </w:rPr>
              <w:t>Contaduría Mayor de Hacienda</w:t>
            </w:r>
          </w:p>
        </w:tc>
      </w:tr>
      <w:tr>
        <w:trPr>
          <w:trHeight w:val="240" w:hRule="exact"/>
        </w:trPr>
        <w:tc>
          <w:tcPr>
            <w:tcW w:w="1429" w:type="dxa"/>
          </w:tcPr>
          <w:p>
            <w:pPr>
              <w:pStyle w:val="TableParagraph"/>
              <w:spacing w:line="226" w:lineRule="exact"/>
              <w:ind w:left="103" w:right="186"/>
              <w:rPr>
                <w:sz w:val="20"/>
              </w:rPr>
            </w:pPr>
            <w:r>
              <w:rPr>
                <w:sz w:val="20"/>
              </w:rPr>
              <w:t>CVASF</w:t>
            </w:r>
          </w:p>
        </w:tc>
        <w:tc>
          <w:tcPr>
            <w:tcW w:w="7403" w:type="dxa"/>
          </w:tcPr>
          <w:p>
            <w:pPr>
              <w:pStyle w:val="TableParagraph"/>
              <w:spacing w:line="226" w:lineRule="exact"/>
              <w:ind w:left="103" w:right="23"/>
              <w:rPr>
                <w:sz w:val="20"/>
              </w:rPr>
            </w:pPr>
            <w:r>
              <w:rPr>
                <w:sz w:val="20"/>
              </w:rPr>
              <w:t>Comisión de Vigilancia de la Auditoría Superior de la Federación</w:t>
            </w:r>
          </w:p>
        </w:tc>
      </w:tr>
      <w:tr>
        <w:trPr>
          <w:trHeight w:val="240" w:hRule="exact"/>
        </w:trPr>
        <w:tc>
          <w:tcPr>
            <w:tcW w:w="1429" w:type="dxa"/>
          </w:tcPr>
          <w:p>
            <w:pPr>
              <w:pStyle w:val="TableParagraph"/>
              <w:spacing w:line="226" w:lineRule="exact"/>
              <w:ind w:left="103" w:right="186"/>
              <w:rPr>
                <w:sz w:val="20"/>
              </w:rPr>
            </w:pPr>
            <w:r>
              <w:rPr>
                <w:sz w:val="20"/>
              </w:rPr>
              <w:t>DOF</w:t>
            </w:r>
          </w:p>
        </w:tc>
        <w:tc>
          <w:tcPr>
            <w:tcW w:w="7403" w:type="dxa"/>
          </w:tcPr>
          <w:p>
            <w:pPr>
              <w:pStyle w:val="TableParagraph"/>
              <w:spacing w:line="226" w:lineRule="exact"/>
              <w:ind w:left="103" w:right="23"/>
              <w:rPr>
                <w:sz w:val="20"/>
              </w:rPr>
            </w:pPr>
            <w:r>
              <w:rPr>
                <w:sz w:val="20"/>
              </w:rPr>
              <w:t>Diario Oficial de la Federación</w:t>
            </w:r>
          </w:p>
        </w:tc>
      </w:tr>
      <w:tr>
        <w:trPr>
          <w:trHeight w:val="240" w:hRule="exact"/>
        </w:trPr>
        <w:tc>
          <w:tcPr>
            <w:tcW w:w="1429" w:type="dxa"/>
          </w:tcPr>
          <w:p>
            <w:pPr>
              <w:pStyle w:val="TableParagraph"/>
              <w:spacing w:line="226" w:lineRule="exact"/>
              <w:ind w:left="103" w:right="186"/>
              <w:rPr>
                <w:sz w:val="20"/>
              </w:rPr>
            </w:pPr>
            <w:r>
              <w:rPr>
                <w:sz w:val="20"/>
              </w:rPr>
              <w:t>EFS</w:t>
            </w:r>
          </w:p>
        </w:tc>
        <w:tc>
          <w:tcPr>
            <w:tcW w:w="7403" w:type="dxa"/>
          </w:tcPr>
          <w:p>
            <w:pPr>
              <w:pStyle w:val="TableParagraph"/>
              <w:spacing w:line="226" w:lineRule="exact"/>
              <w:ind w:left="103" w:right="23"/>
              <w:rPr>
                <w:sz w:val="20"/>
              </w:rPr>
            </w:pPr>
            <w:r>
              <w:rPr>
                <w:sz w:val="20"/>
              </w:rPr>
              <w:t>Entidad(es) de Fiscalización Superior</w:t>
            </w:r>
          </w:p>
        </w:tc>
      </w:tr>
      <w:tr>
        <w:trPr>
          <w:trHeight w:val="240" w:hRule="exact"/>
        </w:trPr>
        <w:tc>
          <w:tcPr>
            <w:tcW w:w="1429" w:type="dxa"/>
          </w:tcPr>
          <w:p>
            <w:pPr>
              <w:pStyle w:val="TableParagraph"/>
              <w:spacing w:line="227" w:lineRule="exact"/>
              <w:ind w:left="103" w:right="186"/>
              <w:rPr>
                <w:sz w:val="20"/>
              </w:rPr>
            </w:pPr>
            <w:r>
              <w:rPr>
                <w:sz w:val="20"/>
              </w:rPr>
              <w:t>FMI</w:t>
            </w:r>
          </w:p>
        </w:tc>
        <w:tc>
          <w:tcPr>
            <w:tcW w:w="7403" w:type="dxa"/>
          </w:tcPr>
          <w:p>
            <w:pPr>
              <w:pStyle w:val="TableParagraph"/>
              <w:spacing w:line="227" w:lineRule="exact"/>
              <w:ind w:left="103" w:right="23"/>
              <w:rPr>
                <w:sz w:val="20"/>
              </w:rPr>
            </w:pPr>
            <w:r>
              <w:rPr>
                <w:sz w:val="20"/>
              </w:rPr>
              <w:t>Fondo Monetario Internacional</w:t>
            </w:r>
          </w:p>
        </w:tc>
      </w:tr>
      <w:tr>
        <w:trPr>
          <w:trHeight w:val="240" w:hRule="exact"/>
        </w:trPr>
        <w:tc>
          <w:tcPr>
            <w:tcW w:w="1429" w:type="dxa"/>
          </w:tcPr>
          <w:p>
            <w:pPr>
              <w:pStyle w:val="TableParagraph"/>
              <w:spacing w:line="226" w:lineRule="exact"/>
              <w:ind w:left="103" w:right="186"/>
              <w:rPr>
                <w:sz w:val="20"/>
              </w:rPr>
            </w:pPr>
            <w:r>
              <w:rPr>
                <w:sz w:val="20"/>
              </w:rPr>
              <w:t>FnGM</w:t>
            </w:r>
          </w:p>
        </w:tc>
        <w:tc>
          <w:tcPr>
            <w:tcW w:w="7403" w:type="dxa"/>
          </w:tcPr>
          <w:p>
            <w:pPr>
              <w:pStyle w:val="TableParagraph"/>
              <w:spacing w:line="226" w:lineRule="exact"/>
              <w:ind w:left="103" w:right="23"/>
              <w:rPr>
                <w:sz w:val="20"/>
              </w:rPr>
            </w:pPr>
            <w:r>
              <w:rPr>
                <w:sz w:val="20"/>
              </w:rPr>
              <w:t>Foro por una Nueva Gobernanza Mundial</w:t>
            </w:r>
          </w:p>
        </w:tc>
      </w:tr>
      <w:tr>
        <w:trPr>
          <w:trHeight w:val="240" w:hRule="exact"/>
        </w:trPr>
        <w:tc>
          <w:tcPr>
            <w:tcW w:w="1429" w:type="dxa"/>
          </w:tcPr>
          <w:p>
            <w:pPr>
              <w:pStyle w:val="TableParagraph"/>
              <w:spacing w:line="226" w:lineRule="exact"/>
              <w:ind w:left="103"/>
              <w:rPr>
                <w:sz w:val="20"/>
              </w:rPr>
            </w:pPr>
            <w:r>
              <w:rPr>
                <w:sz w:val="20"/>
              </w:rPr>
              <w:t>FOBAPROA</w:t>
            </w:r>
          </w:p>
        </w:tc>
        <w:tc>
          <w:tcPr>
            <w:tcW w:w="7403" w:type="dxa"/>
          </w:tcPr>
          <w:p>
            <w:pPr>
              <w:pStyle w:val="TableParagraph"/>
              <w:spacing w:line="226" w:lineRule="exact"/>
              <w:ind w:left="103" w:right="23"/>
              <w:rPr>
                <w:sz w:val="20"/>
              </w:rPr>
            </w:pPr>
            <w:r>
              <w:rPr>
                <w:sz w:val="20"/>
              </w:rPr>
              <w:t>Fondo Bancario de Protección al Ahorro</w:t>
            </w:r>
          </w:p>
        </w:tc>
      </w:tr>
      <w:tr>
        <w:trPr>
          <w:trHeight w:val="240" w:hRule="exact"/>
        </w:trPr>
        <w:tc>
          <w:tcPr>
            <w:tcW w:w="1429" w:type="dxa"/>
          </w:tcPr>
          <w:p>
            <w:pPr>
              <w:pStyle w:val="TableParagraph"/>
              <w:spacing w:line="226" w:lineRule="exact"/>
              <w:ind w:left="103" w:right="186"/>
              <w:rPr>
                <w:sz w:val="20"/>
              </w:rPr>
            </w:pPr>
            <w:r>
              <w:rPr>
                <w:sz w:val="20"/>
              </w:rPr>
              <w:t>IFAI</w:t>
            </w:r>
          </w:p>
        </w:tc>
        <w:tc>
          <w:tcPr>
            <w:tcW w:w="7403" w:type="dxa"/>
          </w:tcPr>
          <w:p>
            <w:pPr>
              <w:pStyle w:val="TableParagraph"/>
              <w:spacing w:line="226" w:lineRule="exact"/>
              <w:ind w:left="103" w:right="23"/>
              <w:rPr>
                <w:sz w:val="20"/>
              </w:rPr>
            </w:pPr>
            <w:r>
              <w:rPr>
                <w:sz w:val="20"/>
              </w:rPr>
              <w:t>Instituto Federal de Acceso a la Información y Protección de Datos</w:t>
            </w:r>
          </w:p>
        </w:tc>
      </w:tr>
      <w:tr>
        <w:trPr>
          <w:trHeight w:val="240" w:hRule="exact"/>
        </w:trPr>
        <w:tc>
          <w:tcPr>
            <w:tcW w:w="1429" w:type="dxa"/>
          </w:tcPr>
          <w:p>
            <w:pPr>
              <w:pStyle w:val="TableParagraph"/>
              <w:spacing w:line="226" w:lineRule="exact"/>
              <w:ind w:left="103" w:right="186"/>
              <w:rPr>
                <w:sz w:val="20"/>
              </w:rPr>
            </w:pPr>
            <w:r>
              <w:rPr>
                <w:sz w:val="20"/>
              </w:rPr>
              <w:t>IMCO</w:t>
            </w:r>
          </w:p>
        </w:tc>
        <w:tc>
          <w:tcPr>
            <w:tcW w:w="7403" w:type="dxa"/>
          </w:tcPr>
          <w:p>
            <w:pPr>
              <w:pStyle w:val="TableParagraph"/>
              <w:spacing w:line="226" w:lineRule="exact"/>
              <w:ind w:left="103" w:right="23"/>
              <w:rPr>
                <w:sz w:val="20"/>
              </w:rPr>
            </w:pPr>
            <w:r>
              <w:rPr>
                <w:sz w:val="20"/>
              </w:rPr>
              <w:t>Instituto Mexicano para la Competitividad, A.C.</w:t>
            </w:r>
          </w:p>
        </w:tc>
      </w:tr>
      <w:tr>
        <w:trPr>
          <w:trHeight w:val="700" w:hRule="exact"/>
        </w:trPr>
        <w:tc>
          <w:tcPr>
            <w:tcW w:w="1429" w:type="dxa"/>
          </w:tcPr>
          <w:p>
            <w:pPr>
              <w:pStyle w:val="TableParagraph"/>
              <w:spacing w:line="226" w:lineRule="exact"/>
              <w:ind w:left="103" w:right="186"/>
              <w:rPr>
                <w:sz w:val="20"/>
              </w:rPr>
            </w:pPr>
            <w:r>
              <w:rPr>
                <w:sz w:val="20"/>
              </w:rPr>
              <w:t>INTOSAI</w:t>
            </w:r>
          </w:p>
        </w:tc>
        <w:tc>
          <w:tcPr>
            <w:tcW w:w="7403" w:type="dxa"/>
          </w:tcPr>
          <w:p>
            <w:pPr>
              <w:pStyle w:val="TableParagraph"/>
              <w:ind w:left="103" w:right="99"/>
              <w:jc w:val="both"/>
              <w:rPr>
                <w:sz w:val="20"/>
              </w:rPr>
            </w:pPr>
            <w:r>
              <w:rPr>
                <w:sz w:val="20"/>
              </w:rPr>
              <w:t>Organización Internacional de las Entidades Fiscalizadoras Superiores (</w:t>
            </w:r>
            <w:r>
              <w:rPr>
                <w:i/>
                <w:color w:val="212121"/>
                <w:sz w:val="20"/>
              </w:rPr>
              <w:t>International </w:t>
            </w:r>
            <w:r>
              <w:rPr>
                <w:i/>
                <w:color w:val="FF0000"/>
                <w:sz w:val="20"/>
              </w:rPr>
              <w:t>Organisation of SupremeAuditInstitutions</w:t>
            </w:r>
            <w:r>
              <w:rPr>
                <w:color w:val="212121"/>
                <w:sz w:val="20"/>
              </w:rPr>
              <w:t>, INTOSAI, </w:t>
            </w:r>
            <w:r>
              <w:rPr>
                <w:sz w:val="20"/>
              </w:rPr>
              <w:t>por sus siglas en inglés)</w:t>
            </w:r>
          </w:p>
        </w:tc>
      </w:tr>
      <w:tr>
        <w:trPr>
          <w:trHeight w:val="240" w:hRule="exact"/>
        </w:trPr>
        <w:tc>
          <w:tcPr>
            <w:tcW w:w="1429" w:type="dxa"/>
          </w:tcPr>
          <w:p>
            <w:pPr>
              <w:pStyle w:val="TableParagraph"/>
              <w:spacing w:line="226" w:lineRule="exact"/>
              <w:ind w:left="103" w:right="186"/>
              <w:rPr>
                <w:sz w:val="20"/>
              </w:rPr>
            </w:pPr>
            <w:r>
              <w:rPr>
                <w:sz w:val="20"/>
              </w:rPr>
              <w:t>LCF</w:t>
            </w:r>
          </w:p>
        </w:tc>
        <w:tc>
          <w:tcPr>
            <w:tcW w:w="7403" w:type="dxa"/>
          </w:tcPr>
          <w:p>
            <w:pPr>
              <w:pStyle w:val="TableParagraph"/>
              <w:spacing w:line="226" w:lineRule="exact"/>
              <w:ind w:left="103" w:right="23"/>
              <w:rPr>
                <w:sz w:val="20"/>
              </w:rPr>
            </w:pPr>
            <w:r>
              <w:rPr>
                <w:sz w:val="20"/>
              </w:rPr>
              <w:t>Ley de Coordinación Fiscal</w:t>
            </w:r>
          </w:p>
        </w:tc>
      </w:tr>
      <w:tr>
        <w:trPr>
          <w:trHeight w:val="240" w:hRule="exact"/>
        </w:trPr>
        <w:tc>
          <w:tcPr>
            <w:tcW w:w="1429" w:type="dxa"/>
          </w:tcPr>
          <w:p>
            <w:pPr>
              <w:pStyle w:val="TableParagraph"/>
              <w:spacing w:line="227" w:lineRule="exact"/>
              <w:ind w:left="103" w:right="186"/>
              <w:rPr>
                <w:sz w:val="20"/>
              </w:rPr>
            </w:pPr>
            <w:r>
              <w:rPr>
                <w:sz w:val="20"/>
              </w:rPr>
              <w:t>LFRCF</w:t>
            </w:r>
          </w:p>
        </w:tc>
        <w:tc>
          <w:tcPr>
            <w:tcW w:w="7403" w:type="dxa"/>
          </w:tcPr>
          <w:p>
            <w:pPr>
              <w:pStyle w:val="TableParagraph"/>
              <w:spacing w:line="227" w:lineRule="exact"/>
              <w:ind w:left="103" w:right="23"/>
              <w:rPr>
                <w:sz w:val="20"/>
              </w:rPr>
            </w:pPr>
            <w:r>
              <w:rPr>
                <w:sz w:val="20"/>
              </w:rPr>
              <w:t>Ley de Fiscalización y Rendición de Cuentas de la Federación</w:t>
            </w:r>
          </w:p>
        </w:tc>
      </w:tr>
      <w:tr>
        <w:trPr>
          <w:trHeight w:val="240" w:hRule="exact"/>
        </w:trPr>
        <w:tc>
          <w:tcPr>
            <w:tcW w:w="1429" w:type="dxa"/>
          </w:tcPr>
          <w:p>
            <w:pPr>
              <w:pStyle w:val="TableParagraph"/>
              <w:spacing w:line="226" w:lineRule="exact"/>
              <w:ind w:left="103" w:right="186"/>
              <w:rPr>
                <w:sz w:val="20"/>
              </w:rPr>
            </w:pPr>
            <w:r>
              <w:rPr>
                <w:sz w:val="20"/>
              </w:rPr>
              <w:t>LFSF</w:t>
            </w:r>
          </w:p>
        </w:tc>
        <w:tc>
          <w:tcPr>
            <w:tcW w:w="7403" w:type="dxa"/>
          </w:tcPr>
          <w:p>
            <w:pPr>
              <w:pStyle w:val="TableParagraph"/>
              <w:spacing w:line="226" w:lineRule="exact"/>
              <w:ind w:left="103" w:right="23"/>
              <w:rPr>
                <w:sz w:val="20"/>
              </w:rPr>
            </w:pPr>
            <w:r>
              <w:rPr>
                <w:sz w:val="20"/>
              </w:rPr>
              <w:t>Ley de Fiscalización Superior de la Federación (abrogada)</w:t>
            </w:r>
          </w:p>
        </w:tc>
      </w:tr>
      <w:tr>
        <w:trPr>
          <w:trHeight w:val="240" w:hRule="exact"/>
        </w:trPr>
        <w:tc>
          <w:tcPr>
            <w:tcW w:w="1429" w:type="dxa"/>
          </w:tcPr>
          <w:p>
            <w:pPr>
              <w:pStyle w:val="TableParagraph"/>
              <w:spacing w:line="226" w:lineRule="exact"/>
              <w:ind w:left="103" w:right="186"/>
              <w:rPr>
                <w:sz w:val="20"/>
              </w:rPr>
            </w:pPr>
            <w:r>
              <w:rPr>
                <w:sz w:val="20"/>
              </w:rPr>
              <w:t>LFTAI</w:t>
            </w:r>
          </w:p>
        </w:tc>
        <w:tc>
          <w:tcPr>
            <w:tcW w:w="7403" w:type="dxa"/>
          </w:tcPr>
          <w:p>
            <w:pPr>
              <w:pStyle w:val="TableParagraph"/>
              <w:spacing w:line="226" w:lineRule="exact"/>
              <w:ind w:left="103" w:right="23"/>
              <w:rPr>
                <w:sz w:val="20"/>
              </w:rPr>
            </w:pPr>
            <w:r>
              <w:rPr>
                <w:sz w:val="20"/>
              </w:rPr>
              <w:t>Ley Federal de Transparencia y Acceso a la Información Pública Gubernamental</w:t>
            </w:r>
          </w:p>
        </w:tc>
      </w:tr>
      <w:tr>
        <w:trPr>
          <w:trHeight w:val="240" w:hRule="exact"/>
        </w:trPr>
        <w:tc>
          <w:tcPr>
            <w:tcW w:w="1429" w:type="dxa"/>
          </w:tcPr>
          <w:p>
            <w:pPr>
              <w:pStyle w:val="TableParagraph"/>
              <w:spacing w:line="226" w:lineRule="exact"/>
              <w:ind w:left="103" w:right="186"/>
              <w:rPr>
                <w:sz w:val="20"/>
              </w:rPr>
            </w:pPr>
            <w:r>
              <w:rPr>
                <w:sz w:val="20"/>
              </w:rPr>
              <w:t>LSPCAPF</w:t>
            </w:r>
          </w:p>
        </w:tc>
        <w:tc>
          <w:tcPr>
            <w:tcW w:w="7403" w:type="dxa"/>
          </w:tcPr>
          <w:p>
            <w:pPr>
              <w:pStyle w:val="TableParagraph"/>
              <w:spacing w:line="226" w:lineRule="exact"/>
              <w:ind w:left="103" w:right="23"/>
              <w:rPr>
                <w:sz w:val="20"/>
              </w:rPr>
            </w:pPr>
            <w:r>
              <w:rPr>
                <w:sz w:val="20"/>
              </w:rPr>
              <w:t>Ley del Servicio Profesional de Carrera de la Administración Pública Federal</w:t>
            </w:r>
          </w:p>
        </w:tc>
      </w:tr>
      <w:tr>
        <w:trPr>
          <w:trHeight w:val="468" w:hRule="exact"/>
        </w:trPr>
        <w:tc>
          <w:tcPr>
            <w:tcW w:w="1429" w:type="dxa"/>
          </w:tcPr>
          <w:p>
            <w:pPr>
              <w:pStyle w:val="TableParagraph"/>
              <w:spacing w:line="226" w:lineRule="exact"/>
              <w:ind w:left="103" w:right="186"/>
              <w:rPr>
                <w:sz w:val="20"/>
              </w:rPr>
            </w:pPr>
            <w:r>
              <w:rPr>
                <w:sz w:val="20"/>
              </w:rPr>
              <w:t>NEF</w:t>
            </w:r>
          </w:p>
        </w:tc>
        <w:tc>
          <w:tcPr>
            <w:tcW w:w="7403" w:type="dxa"/>
          </w:tcPr>
          <w:p>
            <w:pPr>
              <w:pStyle w:val="TableParagraph"/>
              <w:spacing w:line="242" w:lineRule="auto"/>
              <w:ind w:left="103" w:right="23"/>
              <w:rPr>
                <w:sz w:val="20"/>
              </w:rPr>
            </w:pPr>
            <w:r>
              <w:rPr>
                <w:sz w:val="20"/>
              </w:rPr>
              <w:t>Nueva Fundación Económica (</w:t>
            </w:r>
            <w:r>
              <w:rPr>
                <w:i/>
                <w:sz w:val="20"/>
              </w:rPr>
              <w:t>New </w:t>
            </w:r>
            <w:r>
              <w:rPr>
                <w:i/>
                <w:color w:val="FF0000"/>
                <w:sz w:val="20"/>
              </w:rPr>
              <w:t>Economic Foundatio</w:t>
            </w:r>
            <w:r>
              <w:rPr>
                <w:i/>
                <w:sz w:val="20"/>
              </w:rPr>
              <w:t>n</w:t>
            </w:r>
            <w:r>
              <w:rPr>
                <w:sz w:val="20"/>
              </w:rPr>
              <w:t>, NEF, por sus siglas en inglés)</w:t>
            </w:r>
          </w:p>
        </w:tc>
      </w:tr>
      <w:tr>
        <w:trPr>
          <w:trHeight w:val="240" w:hRule="exact"/>
        </w:trPr>
        <w:tc>
          <w:tcPr>
            <w:tcW w:w="1429" w:type="dxa"/>
          </w:tcPr>
          <w:p>
            <w:pPr>
              <w:pStyle w:val="TableParagraph"/>
              <w:ind w:left="103" w:right="186"/>
              <w:rPr>
                <w:sz w:val="20"/>
              </w:rPr>
            </w:pPr>
            <w:r>
              <w:rPr>
                <w:sz w:val="20"/>
              </w:rPr>
              <w:t>LOAPF</w:t>
            </w:r>
          </w:p>
        </w:tc>
        <w:tc>
          <w:tcPr>
            <w:tcW w:w="7403" w:type="dxa"/>
          </w:tcPr>
          <w:p>
            <w:pPr>
              <w:pStyle w:val="TableParagraph"/>
              <w:ind w:left="103" w:right="23"/>
              <w:rPr>
                <w:sz w:val="20"/>
              </w:rPr>
            </w:pPr>
            <w:r>
              <w:rPr>
                <w:sz w:val="20"/>
              </w:rPr>
              <w:t>Ley Orgánica de la Administración Pública Federal</w:t>
            </w:r>
          </w:p>
        </w:tc>
      </w:tr>
      <w:tr>
        <w:trPr>
          <w:trHeight w:val="240" w:hRule="exact"/>
        </w:trPr>
        <w:tc>
          <w:tcPr>
            <w:tcW w:w="1429" w:type="dxa"/>
          </w:tcPr>
          <w:p>
            <w:pPr>
              <w:pStyle w:val="TableParagraph"/>
              <w:ind w:left="103" w:right="186"/>
              <w:rPr>
                <w:sz w:val="20"/>
              </w:rPr>
            </w:pPr>
            <w:r>
              <w:rPr>
                <w:sz w:val="20"/>
              </w:rPr>
              <w:t>LOCMH</w:t>
            </w:r>
          </w:p>
        </w:tc>
        <w:tc>
          <w:tcPr>
            <w:tcW w:w="7403" w:type="dxa"/>
          </w:tcPr>
          <w:p>
            <w:pPr>
              <w:pStyle w:val="TableParagraph"/>
              <w:ind w:left="103" w:right="23"/>
              <w:rPr>
                <w:sz w:val="20"/>
              </w:rPr>
            </w:pPr>
            <w:r>
              <w:rPr>
                <w:sz w:val="20"/>
              </w:rPr>
              <w:t>Ley Orgánica de la Contaduría Mayor de Hacienda (abrogada)</w:t>
            </w:r>
          </w:p>
        </w:tc>
      </w:tr>
      <w:tr>
        <w:trPr>
          <w:trHeight w:val="701" w:hRule="exact"/>
        </w:trPr>
        <w:tc>
          <w:tcPr>
            <w:tcW w:w="1429" w:type="dxa"/>
          </w:tcPr>
          <w:p>
            <w:pPr>
              <w:pStyle w:val="TableParagraph"/>
              <w:ind w:left="103"/>
              <w:rPr>
                <w:sz w:val="20"/>
              </w:rPr>
            </w:pPr>
            <w:r>
              <w:rPr>
                <w:sz w:val="20"/>
              </w:rPr>
              <w:t>OCDE/OECD</w:t>
            </w:r>
          </w:p>
        </w:tc>
        <w:tc>
          <w:tcPr>
            <w:tcW w:w="7403" w:type="dxa"/>
          </w:tcPr>
          <w:p>
            <w:pPr>
              <w:pStyle w:val="TableParagraph"/>
              <w:ind w:left="103" w:right="102"/>
              <w:jc w:val="both"/>
              <w:rPr>
                <w:sz w:val="20"/>
              </w:rPr>
            </w:pPr>
            <w:r>
              <w:rPr>
                <w:sz w:val="20"/>
              </w:rPr>
              <w:t>Organización para la Cooperación y Desarrollo Económicos (</w:t>
            </w:r>
            <w:hyperlink r:id="rId16">
              <w:r>
                <w:rPr>
                  <w:i/>
                  <w:color w:val="FF0000"/>
                  <w:sz w:val="20"/>
                </w:rPr>
                <w:t>OrganisationforEconomic Co-operation and Development</w:t>
              </w:r>
              <w:r>
                <w:rPr>
                  <w:color w:val="FF0000"/>
                  <w:sz w:val="20"/>
                </w:rPr>
                <w:t>,</w:t>
              </w:r>
            </w:hyperlink>
            <w:r>
              <w:rPr>
                <w:color w:val="FF0000"/>
                <w:sz w:val="20"/>
              </w:rPr>
              <w:t> </w:t>
            </w:r>
            <w:r>
              <w:rPr>
                <w:sz w:val="20"/>
              </w:rPr>
              <w:t>OECD, por sus siglas en inglés)</w:t>
            </w:r>
          </w:p>
        </w:tc>
      </w:tr>
      <w:tr>
        <w:trPr>
          <w:trHeight w:val="240" w:hRule="exact"/>
        </w:trPr>
        <w:tc>
          <w:tcPr>
            <w:tcW w:w="1429" w:type="dxa"/>
          </w:tcPr>
          <w:p>
            <w:pPr>
              <w:pStyle w:val="TableParagraph"/>
              <w:ind w:left="103" w:right="186"/>
              <w:rPr>
                <w:sz w:val="20"/>
              </w:rPr>
            </w:pPr>
            <w:r>
              <w:rPr>
                <w:sz w:val="20"/>
              </w:rPr>
              <w:t>ONG</w:t>
            </w:r>
          </w:p>
        </w:tc>
        <w:tc>
          <w:tcPr>
            <w:tcW w:w="7403" w:type="dxa"/>
          </w:tcPr>
          <w:p>
            <w:pPr>
              <w:pStyle w:val="TableParagraph"/>
              <w:ind w:left="103" w:right="23"/>
              <w:rPr>
                <w:sz w:val="20"/>
              </w:rPr>
            </w:pPr>
            <w:r>
              <w:rPr>
                <w:sz w:val="20"/>
              </w:rPr>
              <w:t>Organización(es) No Gubernamental(es)</w:t>
            </w:r>
          </w:p>
        </w:tc>
      </w:tr>
      <w:tr>
        <w:trPr>
          <w:trHeight w:val="240" w:hRule="exact"/>
        </w:trPr>
        <w:tc>
          <w:tcPr>
            <w:tcW w:w="1429" w:type="dxa"/>
          </w:tcPr>
          <w:p>
            <w:pPr>
              <w:pStyle w:val="TableParagraph"/>
              <w:ind w:left="103" w:right="186"/>
              <w:rPr>
                <w:sz w:val="20"/>
              </w:rPr>
            </w:pPr>
            <w:r>
              <w:rPr>
                <w:sz w:val="20"/>
              </w:rPr>
              <w:t>OEA</w:t>
            </w:r>
          </w:p>
        </w:tc>
        <w:tc>
          <w:tcPr>
            <w:tcW w:w="7403" w:type="dxa"/>
          </w:tcPr>
          <w:p>
            <w:pPr>
              <w:pStyle w:val="TableParagraph"/>
              <w:ind w:left="103" w:right="23"/>
              <w:rPr>
                <w:sz w:val="20"/>
              </w:rPr>
            </w:pPr>
            <w:r>
              <w:rPr>
                <w:sz w:val="20"/>
              </w:rPr>
              <w:t>Organización de Estados Americanos</w:t>
            </w:r>
          </w:p>
        </w:tc>
      </w:tr>
      <w:tr>
        <w:trPr>
          <w:trHeight w:val="240" w:hRule="exact"/>
        </w:trPr>
        <w:tc>
          <w:tcPr>
            <w:tcW w:w="1429" w:type="dxa"/>
          </w:tcPr>
          <w:p>
            <w:pPr>
              <w:pStyle w:val="TableParagraph"/>
              <w:ind w:left="103" w:right="186"/>
              <w:rPr>
                <w:sz w:val="20"/>
              </w:rPr>
            </w:pPr>
            <w:r>
              <w:rPr>
                <w:sz w:val="20"/>
              </w:rPr>
              <w:t>ONU</w:t>
            </w:r>
          </w:p>
        </w:tc>
        <w:tc>
          <w:tcPr>
            <w:tcW w:w="7403" w:type="dxa"/>
          </w:tcPr>
          <w:p>
            <w:pPr>
              <w:pStyle w:val="TableParagraph"/>
              <w:ind w:left="103" w:right="23"/>
              <w:rPr>
                <w:sz w:val="20"/>
              </w:rPr>
            </w:pPr>
            <w:r>
              <w:rPr>
                <w:sz w:val="20"/>
              </w:rPr>
              <w:t>Organización de las Naciones Unidas</w:t>
            </w:r>
          </w:p>
        </w:tc>
      </w:tr>
      <w:tr>
        <w:trPr>
          <w:trHeight w:val="240" w:hRule="exact"/>
        </w:trPr>
        <w:tc>
          <w:tcPr>
            <w:tcW w:w="1429" w:type="dxa"/>
          </w:tcPr>
          <w:p>
            <w:pPr>
              <w:pStyle w:val="TableParagraph"/>
              <w:ind w:left="103" w:right="186"/>
              <w:rPr>
                <w:sz w:val="20"/>
              </w:rPr>
            </w:pPr>
            <w:r>
              <w:rPr>
                <w:sz w:val="20"/>
              </w:rPr>
              <w:t>PIIC</w:t>
            </w:r>
          </w:p>
        </w:tc>
        <w:tc>
          <w:tcPr>
            <w:tcW w:w="7403" w:type="dxa"/>
          </w:tcPr>
          <w:p>
            <w:pPr>
              <w:pStyle w:val="TableParagraph"/>
              <w:ind w:left="103" w:right="23"/>
              <w:rPr>
                <w:sz w:val="20"/>
              </w:rPr>
            </w:pPr>
            <w:r>
              <w:rPr>
                <w:sz w:val="20"/>
              </w:rPr>
              <w:t>Promoción de Intervención de la Instancia de Control</w:t>
            </w:r>
          </w:p>
        </w:tc>
      </w:tr>
      <w:tr>
        <w:trPr>
          <w:trHeight w:val="240" w:hRule="exact"/>
        </w:trPr>
        <w:tc>
          <w:tcPr>
            <w:tcW w:w="1429" w:type="dxa"/>
          </w:tcPr>
          <w:p>
            <w:pPr>
              <w:pStyle w:val="TableParagraph"/>
              <w:ind w:left="103" w:right="186"/>
              <w:rPr>
                <w:sz w:val="20"/>
              </w:rPr>
            </w:pPr>
            <w:r>
              <w:rPr>
                <w:sz w:val="20"/>
              </w:rPr>
              <w:t>PGR</w:t>
            </w:r>
          </w:p>
        </w:tc>
        <w:tc>
          <w:tcPr>
            <w:tcW w:w="7403" w:type="dxa"/>
          </w:tcPr>
          <w:p>
            <w:pPr>
              <w:pStyle w:val="TableParagraph"/>
              <w:ind w:left="103" w:right="23"/>
              <w:rPr>
                <w:sz w:val="20"/>
              </w:rPr>
            </w:pPr>
            <w:r>
              <w:rPr>
                <w:sz w:val="20"/>
              </w:rPr>
              <w:t>Procuraduría General de la República</w:t>
            </w:r>
          </w:p>
        </w:tc>
      </w:tr>
      <w:tr>
        <w:trPr>
          <w:trHeight w:val="472" w:hRule="exact"/>
        </w:trPr>
        <w:tc>
          <w:tcPr>
            <w:tcW w:w="1429" w:type="dxa"/>
          </w:tcPr>
          <w:p>
            <w:pPr>
              <w:pStyle w:val="TableParagraph"/>
              <w:ind w:left="103" w:right="186"/>
              <w:rPr>
                <w:sz w:val="20"/>
              </w:rPr>
            </w:pPr>
            <w:r>
              <w:rPr>
                <w:sz w:val="20"/>
              </w:rPr>
              <w:t>PNRCTCC</w:t>
            </w:r>
          </w:p>
        </w:tc>
        <w:tc>
          <w:tcPr>
            <w:tcW w:w="7403" w:type="dxa"/>
          </w:tcPr>
          <w:p>
            <w:pPr>
              <w:pStyle w:val="TableParagraph"/>
              <w:ind w:left="103" w:right="23"/>
              <w:rPr>
                <w:sz w:val="20"/>
              </w:rPr>
            </w:pPr>
            <w:r>
              <w:rPr>
                <w:sz w:val="20"/>
              </w:rPr>
              <w:t>Programa Nacional de Rendición de Cuentas, Transparencia y Combate a la Corrupción</w:t>
            </w:r>
          </w:p>
        </w:tc>
      </w:tr>
      <w:tr>
        <w:trPr>
          <w:trHeight w:val="240" w:hRule="exact"/>
        </w:trPr>
        <w:tc>
          <w:tcPr>
            <w:tcW w:w="1429" w:type="dxa"/>
          </w:tcPr>
          <w:p>
            <w:pPr>
              <w:pStyle w:val="TableParagraph"/>
              <w:spacing w:line="227" w:lineRule="exact"/>
              <w:ind w:left="103" w:right="186"/>
              <w:rPr>
                <w:sz w:val="20"/>
              </w:rPr>
            </w:pPr>
            <w:r>
              <w:rPr>
                <w:sz w:val="20"/>
              </w:rPr>
              <w:t>PNUD</w:t>
            </w:r>
          </w:p>
        </w:tc>
        <w:tc>
          <w:tcPr>
            <w:tcW w:w="7403" w:type="dxa"/>
          </w:tcPr>
          <w:p>
            <w:pPr>
              <w:pStyle w:val="TableParagraph"/>
              <w:spacing w:line="227" w:lineRule="exact"/>
              <w:ind w:left="103" w:right="23"/>
              <w:rPr>
                <w:sz w:val="20"/>
              </w:rPr>
            </w:pPr>
            <w:r>
              <w:rPr>
                <w:sz w:val="20"/>
              </w:rPr>
              <w:t>Programa de las Naciones Unidas para el Desarrollo</w:t>
            </w:r>
          </w:p>
        </w:tc>
      </w:tr>
      <w:tr>
        <w:trPr>
          <w:trHeight w:val="240" w:hRule="exact"/>
        </w:trPr>
        <w:tc>
          <w:tcPr>
            <w:tcW w:w="1429" w:type="dxa"/>
          </w:tcPr>
          <w:p>
            <w:pPr>
              <w:pStyle w:val="TableParagraph"/>
              <w:spacing w:line="226" w:lineRule="exact"/>
              <w:ind w:left="103" w:right="186"/>
              <w:rPr>
                <w:sz w:val="20"/>
              </w:rPr>
            </w:pPr>
            <w:r>
              <w:rPr>
                <w:sz w:val="20"/>
              </w:rPr>
              <w:t>PRAS</w:t>
            </w:r>
          </w:p>
        </w:tc>
        <w:tc>
          <w:tcPr>
            <w:tcW w:w="7403" w:type="dxa"/>
          </w:tcPr>
          <w:p>
            <w:pPr>
              <w:pStyle w:val="TableParagraph"/>
              <w:spacing w:line="226" w:lineRule="exact"/>
              <w:ind w:left="103" w:right="23"/>
              <w:rPr>
                <w:sz w:val="20"/>
              </w:rPr>
            </w:pPr>
            <w:r>
              <w:rPr>
                <w:color w:val="FF0000"/>
                <w:sz w:val="20"/>
              </w:rPr>
              <w:t>Fincamient</w:t>
            </w:r>
            <w:r>
              <w:rPr>
                <w:sz w:val="20"/>
              </w:rPr>
              <w:t>o de las Responsabilidades Administrativas Sancionatorias</w:t>
            </w:r>
          </w:p>
        </w:tc>
      </w:tr>
      <w:tr>
        <w:trPr>
          <w:trHeight w:val="240" w:hRule="exact"/>
        </w:trPr>
        <w:tc>
          <w:tcPr>
            <w:tcW w:w="1429" w:type="dxa"/>
          </w:tcPr>
          <w:p>
            <w:pPr>
              <w:pStyle w:val="TableParagraph"/>
              <w:spacing w:line="226" w:lineRule="exact"/>
              <w:ind w:left="103" w:right="186"/>
              <w:rPr>
                <w:sz w:val="20"/>
              </w:rPr>
            </w:pPr>
            <w:r>
              <w:rPr>
                <w:sz w:val="20"/>
              </w:rPr>
              <w:t>PRI</w:t>
            </w:r>
          </w:p>
        </w:tc>
        <w:tc>
          <w:tcPr>
            <w:tcW w:w="7403" w:type="dxa"/>
          </w:tcPr>
          <w:p>
            <w:pPr>
              <w:pStyle w:val="TableParagraph"/>
              <w:spacing w:line="226" w:lineRule="exact"/>
              <w:ind w:left="103" w:right="23"/>
              <w:rPr>
                <w:sz w:val="20"/>
              </w:rPr>
            </w:pPr>
            <w:r>
              <w:rPr>
                <w:sz w:val="20"/>
              </w:rPr>
              <w:t>Partido Revolucionario Institucional</w:t>
            </w:r>
          </w:p>
        </w:tc>
      </w:tr>
      <w:tr>
        <w:trPr>
          <w:trHeight w:val="240" w:hRule="exact"/>
        </w:trPr>
        <w:tc>
          <w:tcPr>
            <w:tcW w:w="1429" w:type="dxa"/>
          </w:tcPr>
          <w:p>
            <w:pPr>
              <w:pStyle w:val="TableParagraph"/>
              <w:spacing w:line="226" w:lineRule="exact"/>
              <w:ind w:left="103" w:right="186"/>
              <w:rPr>
                <w:sz w:val="20"/>
              </w:rPr>
            </w:pPr>
            <w:r>
              <w:rPr>
                <w:sz w:val="20"/>
              </w:rPr>
              <w:t>RRC</w:t>
            </w:r>
          </w:p>
        </w:tc>
        <w:tc>
          <w:tcPr>
            <w:tcW w:w="7403" w:type="dxa"/>
          </w:tcPr>
          <w:p>
            <w:pPr>
              <w:pStyle w:val="TableParagraph"/>
              <w:spacing w:line="226" w:lineRule="exact"/>
              <w:ind w:left="103" w:right="23"/>
              <w:rPr>
                <w:sz w:val="20"/>
              </w:rPr>
            </w:pPr>
            <w:r>
              <w:rPr>
                <w:sz w:val="20"/>
              </w:rPr>
              <w:t>Red por la Rendición de Cuentas</w:t>
            </w:r>
          </w:p>
        </w:tc>
      </w:tr>
      <w:tr>
        <w:trPr>
          <w:trHeight w:val="696" w:hRule="exact"/>
        </w:trPr>
        <w:tc>
          <w:tcPr>
            <w:tcW w:w="1429" w:type="dxa"/>
          </w:tcPr>
          <w:p>
            <w:pPr>
              <w:pStyle w:val="TableParagraph"/>
              <w:spacing w:line="226" w:lineRule="exact"/>
              <w:ind w:left="103" w:right="186"/>
              <w:rPr>
                <w:sz w:val="20"/>
              </w:rPr>
            </w:pPr>
            <w:r>
              <w:rPr>
                <w:sz w:val="20"/>
              </w:rPr>
              <w:t>UNESCO</w:t>
            </w:r>
          </w:p>
        </w:tc>
        <w:tc>
          <w:tcPr>
            <w:tcW w:w="7403" w:type="dxa"/>
          </w:tcPr>
          <w:p>
            <w:pPr>
              <w:pStyle w:val="TableParagraph"/>
              <w:ind w:left="103" w:right="104"/>
              <w:jc w:val="both"/>
              <w:rPr>
                <w:sz w:val="20"/>
              </w:rPr>
            </w:pPr>
            <w:r>
              <w:rPr>
                <w:sz w:val="20"/>
              </w:rPr>
              <w:t>Organización de las Naciones Unidas para la Educación, la Ciencia y la Cultura (</w:t>
            </w:r>
            <w:hyperlink r:id="rId17">
              <w:r>
                <w:rPr>
                  <w:i/>
                  <w:color w:val="FF0000"/>
                  <w:sz w:val="20"/>
                </w:rPr>
                <w:t>UnitedNationsEducational</w:t>
              </w:r>
              <w:r>
                <w:rPr>
                  <w:i/>
                  <w:sz w:val="20"/>
                </w:rPr>
                <w:t>, Scientific and Cultural Organization</w:t>
              </w:r>
              <w:r>
                <w:rPr>
                  <w:sz w:val="20"/>
                </w:rPr>
                <w:t>,</w:t>
              </w:r>
            </w:hyperlink>
            <w:r>
              <w:rPr>
                <w:sz w:val="20"/>
              </w:rPr>
              <w:t> UNESCO, por sus siglas en inglés)</w:t>
            </w:r>
          </w:p>
        </w:tc>
      </w:tr>
      <w:tr>
        <w:trPr>
          <w:trHeight w:val="240" w:hRule="exact"/>
        </w:trPr>
        <w:tc>
          <w:tcPr>
            <w:tcW w:w="1429" w:type="dxa"/>
          </w:tcPr>
          <w:p>
            <w:pPr>
              <w:pStyle w:val="TableParagraph"/>
              <w:ind w:left="103" w:right="186"/>
              <w:rPr>
                <w:sz w:val="20"/>
              </w:rPr>
            </w:pPr>
            <w:r>
              <w:rPr>
                <w:sz w:val="20"/>
              </w:rPr>
              <w:t>SCJN</w:t>
            </w:r>
          </w:p>
        </w:tc>
        <w:tc>
          <w:tcPr>
            <w:tcW w:w="7403" w:type="dxa"/>
          </w:tcPr>
          <w:p>
            <w:pPr>
              <w:pStyle w:val="TableParagraph"/>
              <w:ind w:left="103" w:right="23"/>
              <w:rPr>
                <w:sz w:val="20"/>
              </w:rPr>
            </w:pPr>
            <w:r>
              <w:rPr>
                <w:sz w:val="20"/>
              </w:rPr>
              <w:t>Suprema Corte de Justicia de la Nación</w:t>
            </w:r>
          </w:p>
        </w:tc>
      </w:tr>
      <w:tr>
        <w:trPr>
          <w:trHeight w:val="240" w:hRule="exact"/>
        </w:trPr>
        <w:tc>
          <w:tcPr>
            <w:tcW w:w="1429" w:type="dxa"/>
          </w:tcPr>
          <w:p>
            <w:pPr>
              <w:pStyle w:val="TableParagraph"/>
              <w:ind w:left="103" w:right="186"/>
              <w:rPr>
                <w:sz w:val="20"/>
              </w:rPr>
            </w:pPr>
            <w:r>
              <w:rPr>
                <w:sz w:val="20"/>
              </w:rPr>
              <w:t>SECODAM</w:t>
            </w:r>
          </w:p>
        </w:tc>
        <w:tc>
          <w:tcPr>
            <w:tcW w:w="7403" w:type="dxa"/>
          </w:tcPr>
          <w:p>
            <w:pPr>
              <w:pStyle w:val="TableParagraph"/>
              <w:ind w:left="103" w:right="23"/>
              <w:rPr>
                <w:sz w:val="20"/>
              </w:rPr>
            </w:pPr>
            <w:r>
              <w:rPr>
                <w:sz w:val="20"/>
              </w:rPr>
              <w:t>Secretaría de Contraloría y Desarrollo Administrativo</w:t>
            </w:r>
          </w:p>
        </w:tc>
      </w:tr>
      <w:tr>
        <w:trPr>
          <w:trHeight w:val="241" w:hRule="exact"/>
        </w:trPr>
        <w:tc>
          <w:tcPr>
            <w:tcW w:w="1429" w:type="dxa"/>
          </w:tcPr>
          <w:p>
            <w:pPr>
              <w:pStyle w:val="TableParagraph"/>
              <w:spacing w:before="1"/>
              <w:ind w:left="103" w:right="186"/>
              <w:rPr>
                <w:sz w:val="20"/>
              </w:rPr>
            </w:pPr>
            <w:r>
              <w:rPr>
                <w:sz w:val="20"/>
              </w:rPr>
              <w:t>SFP</w:t>
            </w:r>
          </w:p>
        </w:tc>
        <w:tc>
          <w:tcPr>
            <w:tcW w:w="7403" w:type="dxa"/>
          </w:tcPr>
          <w:p>
            <w:pPr>
              <w:pStyle w:val="TableParagraph"/>
              <w:spacing w:before="1"/>
              <w:ind w:left="103" w:right="23"/>
              <w:rPr>
                <w:sz w:val="20"/>
              </w:rPr>
            </w:pPr>
            <w:r>
              <w:rPr>
                <w:sz w:val="20"/>
              </w:rPr>
              <w:t>Secretaría de la Función Pública</w:t>
            </w:r>
          </w:p>
        </w:tc>
      </w:tr>
    </w:tbl>
    <w:p>
      <w:pPr>
        <w:spacing w:after="0"/>
        <w:rPr>
          <w:sz w:val="20"/>
        </w:rPr>
        <w:sectPr>
          <w:pgSz w:w="12240" w:h="15840"/>
          <w:pgMar w:header="0" w:footer="938" w:top="1360" w:bottom="1180" w:left="1600" w:right="1580"/>
        </w:sectPr>
      </w:pPr>
    </w:p>
    <w:p>
      <w:pPr>
        <w:spacing w:before="51"/>
        <w:ind w:left="120" w:right="0" w:firstLine="0"/>
        <w:jc w:val="left"/>
        <w:rPr>
          <w:b/>
          <w:sz w:val="24"/>
        </w:rPr>
      </w:pPr>
      <w:r>
        <w:rPr>
          <w:b/>
          <w:sz w:val="24"/>
        </w:rPr>
        <w:t>Siglas y acrónimos</w:t>
      </w:r>
    </w:p>
    <w:p>
      <w:pPr>
        <w:pStyle w:val="BodyText"/>
        <w:rPr>
          <w:b/>
          <w:sz w:val="20"/>
        </w:rPr>
      </w:pPr>
    </w:p>
    <w:p>
      <w:pPr>
        <w:pStyle w:val="BodyText"/>
        <w:rPr>
          <w:b/>
          <w:sz w:val="20"/>
        </w:rPr>
      </w:pPr>
    </w:p>
    <w:p>
      <w:pPr>
        <w:pStyle w:val="BodyText"/>
        <w:rPr>
          <w:b/>
          <w:sz w:val="20"/>
        </w:rPr>
      </w:pPr>
    </w:p>
    <w:p>
      <w:pPr>
        <w:pStyle w:val="BodyText"/>
        <w:spacing w:before="6"/>
        <w:rPr>
          <w:b/>
          <w:sz w:val="15"/>
        </w:rPr>
      </w:pPr>
    </w:p>
    <w:tbl>
      <w:tblPr>
        <w:tblW w:w="0" w:type="auto"/>
        <w:jc w:val="left"/>
        <w:tblInd w:w="1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25"/>
        <w:gridCol w:w="7407"/>
      </w:tblGrid>
      <w:tr>
        <w:trPr>
          <w:trHeight w:val="472" w:hRule="exact"/>
        </w:trPr>
        <w:tc>
          <w:tcPr>
            <w:tcW w:w="1425" w:type="dxa"/>
          </w:tcPr>
          <w:p>
            <w:pPr>
              <w:pStyle w:val="TableParagraph"/>
              <w:spacing w:line="228" w:lineRule="exact" w:before="1"/>
              <w:ind w:left="199" w:right="186" w:firstLine="127"/>
              <w:rPr>
                <w:b/>
                <w:sz w:val="20"/>
              </w:rPr>
            </w:pPr>
            <w:r>
              <w:rPr>
                <w:b/>
                <w:sz w:val="20"/>
              </w:rPr>
              <w:t>Siglas y acrónimos</w:t>
            </w:r>
          </w:p>
        </w:tc>
        <w:tc>
          <w:tcPr>
            <w:tcW w:w="7407" w:type="dxa"/>
          </w:tcPr>
          <w:p>
            <w:pPr>
              <w:pStyle w:val="TableParagraph"/>
              <w:spacing w:before="112"/>
              <w:ind w:left="2879" w:right="2878"/>
              <w:jc w:val="center"/>
              <w:rPr>
                <w:b/>
                <w:sz w:val="20"/>
              </w:rPr>
            </w:pPr>
            <w:r>
              <w:rPr>
                <w:b/>
                <w:sz w:val="20"/>
              </w:rPr>
              <w:t>Denominaciones</w:t>
            </w:r>
          </w:p>
        </w:tc>
      </w:tr>
      <w:tr>
        <w:trPr>
          <w:trHeight w:val="241" w:hRule="exact"/>
        </w:trPr>
        <w:tc>
          <w:tcPr>
            <w:tcW w:w="1425" w:type="dxa"/>
          </w:tcPr>
          <w:p>
            <w:pPr>
              <w:pStyle w:val="TableParagraph"/>
              <w:spacing w:line="227" w:lineRule="exact"/>
              <w:ind w:left="103" w:right="186"/>
              <w:rPr>
                <w:sz w:val="20"/>
              </w:rPr>
            </w:pPr>
            <w:r>
              <w:rPr>
                <w:sz w:val="20"/>
              </w:rPr>
              <w:t>SPC</w:t>
            </w:r>
          </w:p>
        </w:tc>
        <w:tc>
          <w:tcPr>
            <w:tcW w:w="7407" w:type="dxa"/>
          </w:tcPr>
          <w:p>
            <w:pPr>
              <w:pStyle w:val="TableParagraph"/>
              <w:spacing w:line="227" w:lineRule="exact"/>
              <w:ind w:left="103"/>
              <w:rPr>
                <w:sz w:val="20"/>
              </w:rPr>
            </w:pPr>
            <w:r>
              <w:rPr>
                <w:sz w:val="20"/>
              </w:rPr>
              <w:t>Servicio Profesional de Carrera</w:t>
            </w:r>
          </w:p>
        </w:tc>
      </w:tr>
      <w:tr>
        <w:trPr>
          <w:trHeight w:val="240" w:hRule="exact"/>
        </w:trPr>
        <w:tc>
          <w:tcPr>
            <w:tcW w:w="1425" w:type="dxa"/>
          </w:tcPr>
          <w:p>
            <w:pPr>
              <w:pStyle w:val="TableParagraph"/>
              <w:spacing w:line="226" w:lineRule="exact"/>
              <w:ind w:left="103" w:right="186"/>
              <w:rPr>
                <w:sz w:val="20"/>
              </w:rPr>
            </w:pPr>
            <w:r>
              <w:rPr>
                <w:sz w:val="20"/>
              </w:rPr>
              <w:t>SED</w:t>
            </w:r>
          </w:p>
        </w:tc>
        <w:tc>
          <w:tcPr>
            <w:tcW w:w="7407" w:type="dxa"/>
          </w:tcPr>
          <w:p>
            <w:pPr>
              <w:pStyle w:val="TableParagraph"/>
              <w:spacing w:line="226" w:lineRule="exact"/>
              <w:ind w:left="103"/>
              <w:rPr>
                <w:sz w:val="20"/>
              </w:rPr>
            </w:pPr>
            <w:r>
              <w:rPr>
                <w:sz w:val="20"/>
              </w:rPr>
              <w:t>Sistema de Evaluación del Desempeño</w:t>
            </w:r>
          </w:p>
        </w:tc>
      </w:tr>
      <w:tr>
        <w:trPr>
          <w:trHeight w:val="240" w:hRule="exact"/>
        </w:trPr>
        <w:tc>
          <w:tcPr>
            <w:tcW w:w="1425" w:type="dxa"/>
          </w:tcPr>
          <w:p>
            <w:pPr>
              <w:pStyle w:val="TableParagraph"/>
              <w:spacing w:line="226" w:lineRule="exact"/>
              <w:ind w:left="103" w:right="186"/>
              <w:rPr>
                <w:sz w:val="20"/>
              </w:rPr>
            </w:pPr>
            <w:r>
              <w:rPr>
                <w:sz w:val="20"/>
              </w:rPr>
              <w:t>SHCP</w:t>
            </w:r>
          </w:p>
        </w:tc>
        <w:tc>
          <w:tcPr>
            <w:tcW w:w="7407" w:type="dxa"/>
          </w:tcPr>
          <w:p>
            <w:pPr>
              <w:pStyle w:val="TableParagraph"/>
              <w:spacing w:line="226" w:lineRule="exact"/>
              <w:ind w:left="103"/>
              <w:rPr>
                <w:sz w:val="20"/>
              </w:rPr>
            </w:pPr>
            <w:r>
              <w:rPr>
                <w:sz w:val="20"/>
              </w:rPr>
              <w:t>Secretaría de Hacienda y Crédito Público</w:t>
            </w:r>
          </w:p>
        </w:tc>
      </w:tr>
      <w:tr>
        <w:trPr>
          <w:trHeight w:val="240" w:hRule="exact"/>
        </w:trPr>
        <w:tc>
          <w:tcPr>
            <w:tcW w:w="1425" w:type="dxa"/>
          </w:tcPr>
          <w:p>
            <w:pPr>
              <w:pStyle w:val="TableParagraph"/>
              <w:spacing w:line="226" w:lineRule="exact"/>
              <w:ind w:left="103" w:right="186"/>
              <w:rPr>
                <w:sz w:val="20"/>
              </w:rPr>
            </w:pPr>
            <w:r>
              <w:rPr>
                <w:sz w:val="20"/>
              </w:rPr>
              <w:t>SNF</w:t>
            </w:r>
          </w:p>
        </w:tc>
        <w:tc>
          <w:tcPr>
            <w:tcW w:w="7407" w:type="dxa"/>
          </w:tcPr>
          <w:p>
            <w:pPr>
              <w:pStyle w:val="TableParagraph"/>
              <w:spacing w:line="226" w:lineRule="exact"/>
              <w:ind w:left="103"/>
              <w:rPr>
                <w:sz w:val="20"/>
              </w:rPr>
            </w:pPr>
            <w:r>
              <w:rPr>
                <w:sz w:val="20"/>
              </w:rPr>
              <w:t>Sistema Nacional de Fiscalización</w:t>
            </w:r>
          </w:p>
        </w:tc>
      </w:tr>
      <w:tr>
        <w:trPr>
          <w:trHeight w:val="240" w:hRule="exact"/>
        </w:trPr>
        <w:tc>
          <w:tcPr>
            <w:tcW w:w="1425" w:type="dxa"/>
          </w:tcPr>
          <w:p>
            <w:pPr>
              <w:pStyle w:val="TableParagraph"/>
              <w:spacing w:line="226" w:lineRule="exact"/>
              <w:ind w:left="103" w:right="186"/>
              <w:rPr>
                <w:sz w:val="20"/>
              </w:rPr>
            </w:pPr>
            <w:r>
              <w:rPr>
                <w:sz w:val="20"/>
              </w:rPr>
              <w:t>UE</w:t>
            </w:r>
          </w:p>
        </w:tc>
        <w:tc>
          <w:tcPr>
            <w:tcW w:w="7407" w:type="dxa"/>
          </w:tcPr>
          <w:p>
            <w:pPr>
              <w:pStyle w:val="TableParagraph"/>
              <w:spacing w:line="226" w:lineRule="exact"/>
              <w:ind w:left="103"/>
              <w:rPr>
                <w:sz w:val="20"/>
              </w:rPr>
            </w:pPr>
            <w:r>
              <w:rPr>
                <w:sz w:val="20"/>
              </w:rPr>
              <w:t>Unión Europea</w:t>
            </w:r>
          </w:p>
        </w:tc>
      </w:tr>
      <w:tr>
        <w:trPr>
          <w:trHeight w:val="236" w:hRule="exact"/>
        </w:trPr>
        <w:tc>
          <w:tcPr>
            <w:tcW w:w="1425" w:type="dxa"/>
          </w:tcPr>
          <w:p>
            <w:pPr>
              <w:pStyle w:val="TableParagraph"/>
              <w:spacing w:line="226" w:lineRule="exact"/>
              <w:ind w:left="103" w:right="186"/>
              <w:rPr>
                <w:sz w:val="20"/>
              </w:rPr>
            </w:pPr>
            <w:r>
              <w:rPr>
                <w:sz w:val="20"/>
              </w:rPr>
              <w:t>UEC</w:t>
            </w:r>
          </w:p>
        </w:tc>
        <w:tc>
          <w:tcPr>
            <w:tcW w:w="7407" w:type="dxa"/>
          </w:tcPr>
          <w:p>
            <w:pPr>
              <w:pStyle w:val="TableParagraph"/>
              <w:spacing w:line="226" w:lineRule="exact"/>
              <w:ind w:left="103"/>
              <w:rPr>
                <w:sz w:val="20"/>
              </w:rPr>
            </w:pPr>
            <w:r>
              <w:rPr>
                <w:sz w:val="20"/>
              </w:rPr>
              <w:t>Unidad de Evaluación y Control</w:t>
            </w:r>
          </w:p>
        </w:tc>
      </w:tr>
    </w:tbl>
    <w:p>
      <w:pPr>
        <w:pStyle w:val="BodyText"/>
        <w:rPr>
          <w:b/>
          <w:sz w:val="20"/>
        </w:rPr>
      </w:pPr>
    </w:p>
    <w:p>
      <w:pPr>
        <w:pStyle w:val="BodyText"/>
        <w:spacing w:before="1"/>
        <w:rPr>
          <w:b/>
          <w:sz w:val="23"/>
        </w:r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135"/>
      </w:tblGrid>
      <w:tr>
        <w:trPr>
          <w:trHeight w:val="565" w:hRule="exact"/>
        </w:trPr>
        <w:tc>
          <w:tcPr>
            <w:tcW w:w="8135" w:type="dxa"/>
          </w:tcPr>
          <w:p>
            <w:pPr>
              <w:pStyle w:val="TableParagraph"/>
              <w:spacing w:before="6"/>
              <w:rPr>
                <w:b/>
                <w:sz w:val="23"/>
              </w:rPr>
            </w:pPr>
          </w:p>
          <w:p>
            <w:pPr>
              <w:pStyle w:val="TableParagraph"/>
              <w:spacing w:before="1"/>
              <w:ind w:left="104"/>
              <w:rPr>
                <w:b/>
                <w:sz w:val="24"/>
              </w:rPr>
            </w:pPr>
            <w:r>
              <w:rPr>
                <w:b/>
                <w:sz w:val="24"/>
              </w:rPr>
              <w:t>Anexos</w:t>
            </w:r>
          </w:p>
        </w:tc>
      </w:tr>
      <w:tr>
        <w:trPr>
          <w:trHeight w:val="240" w:hRule="exact"/>
        </w:trPr>
        <w:tc>
          <w:tcPr>
            <w:tcW w:w="8135" w:type="dxa"/>
          </w:tcPr>
          <w:p>
            <w:pPr/>
          </w:p>
        </w:tc>
      </w:tr>
      <w:tr>
        <w:trPr>
          <w:trHeight w:val="240" w:hRule="exact"/>
        </w:trPr>
        <w:tc>
          <w:tcPr>
            <w:tcW w:w="8135" w:type="dxa"/>
          </w:tcPr>
          <w:p>
            <w:pPr>
              <w:pStyle w:val="TableParagraph"/>
              <w:spacing w:line="226" w:lineRule="exact"/>
              <w:ind w:left="104"/>
              <w:rPr>
                <w:sz w:val="20"/>
              </w:rPr>
            </w:pPr>
            <w:r>
              <w:rPr>
                <w:sz w:val="20"/>
              </w:rPr>
              <w:t>3.1 La implementación de indicadores del desempeño………………………………………</w:t>
            </w:r>
          </w:p>
        </w:tc>
      </w:tr>
      <w:tr>
        <w:trPr>
          <w:trHeight w:val="240" w:hRule="exact"/>
        </w:trPr>
        <w:tc>
          <w:tcPr>
            <w:tcW w:w="8135" w:type="dxa"/>
          </w:tcPr>
          <w:p>
            <w:pPr>
              <w:pStyle w:val="TableParagraph"/>
              <w:spacing w:line="226" w:lineRule="exact"/>
              <w:ind w:left="104"/>
              <w:rPr>
                <w:sz w:val="20"/>
              </w:rPr>
            </w:pPr>
            <w:r>
              <w:rPr>
                <w:sz w:val="20"/>
              </w:rPr>
              <w:t>3.2 Análisis de indicadores internacionales……………………………………………………</w:t>
            </w:r>
          </w:p>
        </w:tc>
      </w:tr>
      <w:tr>
        <w:trPr>
          <w:trHeight w:val="240" w:hRule="exact"/>
        </w:trPr>
        <w:tc>
          <w:tcPr>
            <w:tcW w:w="8135" w:type="dxa"/>
          </w:tcPr>
          <w:p>
            <w:pPr>
              <w:pStyle w:val="TableParagraph"/>
              <w:spacing w:line="226" w:lineRule="exact"/>
              <w:ind w:left="104"/>
              <w:rPr>
                <w:sz w:val="20"/>
              </w:rPr>
            </w:pPr>
            <w:r>
              <w:rPr>
                <w:sz w:val="20"/>
              </w:rPr>
              <w:t>3.3 Análisis de indicadores regionales y nacionales…………………………………...………</w:t>
            </w:r>
          </w:p>
        </w:tc>
      </w:tr>
      <w:tr>
        <w:trPr>
          <w:trHeight w:val="236" w:hRule="exact"/>
        </w:trPr>
        <w:tc>
          <w:tcPr>
            <w:tcW w:w="8135" w:type="dxa"/>
          </w:tcPr>
          <w:p>
            <w:pPr/>
          </w:p>
        </w:tc>
      </w:tr>
    </w:tbl>
    <w:p>
      <w:pPr>
        <w:spacing w:after="0"/>
        <w:sectPr>
          <w:pgSz w:w="12240" w:h="15840"/>
          <w:pgMar w:header="0" w:footer="938" w:top="1360" w:bottom="1180" w:left="1580" w:right="1580"/>
        </w:sectPr>
      </w:pPr>
    </w:p>
    <w:p>
      <w:pPr>
        <w:pStyle w:val="BodyText"/>
        <w:spacing w:before="4"/>
        <w:rPr>
          <w:rFonts w:ascii="Times New Roman"/>
          <w:sz w:val="17"/>
        </w:rPr>
      </w:pPr>
    </w:p>
    <w:p>
      <w:pPr>
        <w:spacing w:after="0"/>
        <w:rPr>
          <w:rFonts w:ascii="Times New Roman"/>
          <w:sz w:val="17"/>
        </w:rPr>
        <w:sectPr>
          <w:pgSz w:w="12240" w:h="15840"/>
          <w:pgMar w:header="0" w:footer="938" w:top="1500" w:bottom="1120" w:left="1720" w:right="1580"/>
        </w:sectPr>
      </w:pPr>
    </w:p>
    <w:p>
      <w:pPr>
        <w:pStyle w:val="Heading1"/>
        <w:ind w:right="3412"/>
      </w:pPr>
      <w:bookmarkStart w:name="_bookmark0" w:id="1"/>
      <w:bookmarkEnd w:id="1"/>
      <w:r>
        <w:rPr>
          <w:b w:val="0"/>
        </w:rPr>
      </w:r>
      <w:r>
        <w:rPr/>
        <w:t>INTRODUCCIÓN</w:t>
      </w:r>
    </w:p>
    <w:p>
      <w:pPr>
        <w:pStyle w:val="BodyText"/>
        <w:rPr>
          <w:b/>
          <w:sz w:val="28"/>
        </w:rPr>
      </w:pPr>
    </w:p>
    <w:p>
      <w:pPr>
        <w:pStyle w:val="BodyText"/>
        <w:rPr>
          <w:b/>
          <w:sz w:val="28"/>
        </w:rPr>
      </w:pPr>
    </w:p>
    <w:p>
      <w:pPr>
        <w:pStyle w:val="BodyText"/>
        <w:rPr>
          <w:b/>
          <w:sz w:val="25"/>
        </w:rPr>
      </w:pPr>
    </w:p>
    <w:p>
      <w:pPr>
        <w:pStyle w:val="BodyText"/>
        <w:spacing w:line="360" w:lineRule="auto"/>
        <w:ind w:left="100" w:right="98"/>
        <w:jc w:val="both"/>
      </w:pPr>
      <w:r>
        <w:rPr/>
        <w:t>Vía análisis académico de las instituciones responsables de las políticas públicas, se comprenden los procesos integrales de la interacción del Estado, la política y la rendición de cuentas. En ese sentido, la ciencia política considera que el máximo beneficio social sólo puede lograrse mediante la correcta interacción Estado- sociedad</w:t>
      </w:r>
      <w:r>
        <w:rPr>
          <w:spacing w:val="-9"/>
        </w:rPr>
        <w:t> </w:t>
      </w:r>
      <w:r>
        <w:rPr/>
        <w:t>y</w:t>
      </w:r>
      <w:r>
        <w:rPr>
          <w:spacing w:val="-15"/>
        </w:rPr>
        <w:t> </w:t>
      </w:r>
      <w:r>
        <w:rPr/>
        <w:t>la</w:t>
      </w:r>
      <w:r>
        <w:rPr>
          <w:spacing w:val="-13"/>
        </w:rPr>
        <w:t> </w:t>
      </w:r>
      <w:r>
        <w:rPr/>
        <w:t>ciencia</w:t>
      </w:r>
      <w:r>
        <w:rPr>
          <w:spacing w:val="-13"/>
        </w:rPr>
        <w:t> </w:t>
      </w:r>
      <w:r>
        <w:rPr/>
        <w:t>económica</w:t>
      </w:r>
      <w:r>
        <w:rPr>
          <w:spacing w:val="-9"/>
        </w:rPr>
        <w:t> </w:t>
      </w:r>
      <w:r>
        <w:rPr/>
        <w:t>menciona</w:t>
      </w:r>
      <w:r>
        <w:rPr>
          <w:spacing w:val="-9"/>
        </w:rPr>
        <w:t> </w:t>
      </w:r>
      <w:r>
        <w:rPr/>
        <w:t>que</w:t>
      </w:r>
      <w:r>
        <w:rPr>
          <w:spacing w:val="-13"/>
        </w:rPr>
        <w:t> </w:t>
      </w:r>
      <w:r>
        <w:rPr/>
        <w:t>el</w:t>
      </w:r>
      <w:r>
        <w:rPr>
          <w:spacing w:val="-8"/>
        </w:rPr>
        <w:t> </w:t>
      </w:r>
      <w:r>
        <w:rPr/>
        <w:t>máximo</w:t>
      </w:r>
      <w:r>
        <w:rPr>
          <w:spacing w:val="-9"/>
        </w:rPr>
        <w:t> </w:t>
      </w:r>
      <w:r>
        <w:rPr/>
        <w:t>beneficio</w:t>
      </w:r>
      <w:r>
        <w:rPr>
          <w:spacing w:val="-9"/>
        </w:rPr>
        <w:t> </w:t>
      </w:r>
      <w:r>
        <w:rPr/>
        <w:t>debe</w:t>
      </w:r>
      <w:r>
        <w:rPr>
          <w:spacing w:val="-13"/>
        </w:rPr>
        <w:t> </w:t>
      </w:r>
      <w:r>
        <w:rPr/>
        <w:t>realizarse al</w:t>
      </w:r>
      <w:r>
        <w:rPr>
          <w:spacing w:val="-12"/>
        </w:rPr>
        <w:t> </w:t>
      </w:r>
      <w:r>
        <w:rPr/>
        <w:t>menor</w:t>
      </w:r>
      <w:r>
        <w:rPr>
          <w:spacing w:val="-15"/>
        </w:rPr>
        <w:t> </w:t>
      </w:r>
      <w:r>
        <w:rPr/>
        <w:t>costo.</w:t>
      </w:r>
      <w:r>
        <w:rPr>
          <w:spacing w:val="-14"/>
        </w:rPr>
        <w:t> </w:t>
      </w:r>
      <w:r>
        <w:rPr/>
        <w:t>Tal</w:t>
      </w:r>
      <w:r>
        <w:rPr>
          <w:spacing w:val="-16"/>
        </w:rPr>
        <w:t> </w:t>
      </w:r>
      <w:r>
        <w:rPr/>
        <w:t>enlace</w:t>
      </w:r>
      <w:r>
        <w:rPr>
          <w:spacing w:val="-13"/>
        </w:rPr>
        <w:t> </w:t>
      </w:r>
      <w:r>
        <w:rPr/>
        <w:t>debe</w:t>
      </w:r>
      <w:r>
        <w:rPr>
          <w:spacing w:val="-17"/>
        </w:rPr>
        <w:t> </w:t>
      </w:r>
      <w:r>
        <w:rPr/>
        <w:t>garantizarse</w:t>
      </w:r>
      <w:r>
        <w:rPr>
          <w:spacing w:val="-9"/>
        </w:rPr>
        <w:t> </w:t>
      </w:r>
      <w:r>
        <w:rPr/>
        <w:t>mediante</w:t>
      </w:r>
      <w:r>
        <w:rPr>
          <w:spacing w:val="-17"/>
        </w:rPr>
        <w:t> </w:t>
      </w:r>
      <w:r>
        <w:rPr/>
        <w:t>las</w:t>
      </w:r>
      <w:r>
        <w:rPr>
          <w:spacing w:val="-11"/>
        </w:rPr>
        <w:t> </w:t>
      </w:r>
      <w:r>
        <w:rPr/>
        <w:t>instituciones</w:t>
      </w:r>
      <w:r>
        <w:rPr>
          <w:spacing w:val="-15"/>
        </w:rPr>
        <w:t> </w:t>
      </w:r>
      <w:r>
        <w:rPr/>
        <w:t>políticas</w:t>
      </w:r>
      <w:r>
        <w:rPr>
          <w:spacing w:val="-15"/>
        </w:rPr>
        <w:t> </w:t>
      </w:r>
      <w:r>
        <w:rPr/>
        <w:t>del Estado.</w:t>
      </w:r>
    </w:p>
    <w:p>
      <w:pPr>
        <w:pStyle w:val="BodyText"/>
        <w:spacing w:line="360" w:lineRule="auto" w:before="2"/>
        <w:ind w:left="100" w:right="100" w:firstLine="427"/>
        <w:jc w:val="both"/>
      </w:pPr>
      <w:r>
        <w:rPr/>
        <w:t>El</w:t>
      </w:r>
      <w:r>
        <w:rPr>
          <w:spacing w:val="-16"/>
        </w:rPr>
        <w:t> </w:t>
      </w:r>
      <w:r>
        <w:rPr/>
        <w:t>proceso</w:t>
      </w:r>
      <w:r>
        <w:rPr>
          <w:spacing w:val="-16"/>
        </w:rPr>
        <w:t> </w:t>
      </w:r>
      <w:r>
        <w:rPr/>
        <w:t>de</w:t>
      </w:r>
      <w:r>
        <w:rPr>
          <w:spacing w:val="-15"/>
        </w:rPr>
        <w:t> </w:t>
      </w:r>
      <w:r>
        <w:rPr/>
        <w:t>legitimación</w:t>
      </w:r>
      <w:r>
        <w:rPr>
          <w:spacing w:val="-16"/>
        </w:rPr>
        <w:t> </w:t>
      </w:r>
      <w:r>
        <w:rPr/>
        <w:t>del</w:t>
      </w:r>
      <w:r>
        <w:rPr>
          <w:spacing w:val="-15"/>
        </w:rPr>
        <w:t> </w:t>
      </w:r>
      <w:r>
        <w:rPr/>
        <w:t>Estado</w:t>
      </w:r>
      <w:r>
        <w:rPr>
          <w:spacing w:val="-12"/>
        </w:rPr>
        <w:t> </w:t>
      </w:r>
      <w:r>
        <w:rPr/>
        <w:t>mediante</w:t>
      </w:r>
      <w:r>
        <w:rPr>
          <w:spacing w:val="-16"/>
        </w:rPr>
        <w:t> </w:t>
      </w:r>
      <w:r>
        <w:rPr/>
        <w:t>la</w:t>
      </w:r>
      <w:r>
        <w:rPr>
          <w:spacing w:val="-16"/>
        </w:rPr>
        <w:t> </w:t>
      </w:r>
      <w:r>
        <w:rPr/>
        <w:t>rendición</w:t>
      </w:r>
      <w:r>
        <w:rPr>
          <w:spacing w:val="-16"/>
        </w:rPr>
        <w:t> </w:t>
      </w:r>
      <w:r>
        <w:rPr/>
        <w:t>de</w:t>
      </w:r>
      <w:r>
        <w:rPr>
          <w:spacing w:val="-16"/>
        </w:rPr>
        <w:t> </w:t>
      </w:r>
      <w:r>
        <w:rPr/>
        <w:t>cuentas</w:t>
      </w:r>
      <w:r>
        <w:rPr>
          <w:spacing w:val="-14"/>
        </w:rPr>
        <w:t> </w:t>
      </w:r>
      <w:r>
        <w:rPr/>
        <w:t>requiere que el ciudadano confíe en el gobierno. Para ello, es necesario que el Estado disminuya</w:t>
      </w:r>
      <w:r>
        <w:rPr>
          <w:spacing w:val="-20"/>
        </w:rPr>
        <w:t> </w:t>
      </w:r>
      <w:r>
        <w:rPr/>
        <w:t>los</w:t>
      </w:r>
      <w:r>
        <w:rPr>
          <w:spacing w:val="-18"/>
        </w:rPr>
        <w:t> </w:t>
      </w:r>
      <w:r>
        <w:rPr/>
        <w:t>niveles</w:t>
      </w:r>
      <w:r>
        <w:rPr>
          <w:spacing w:val="-17"/>
        </w:rPr>
        <w:t> </w:t>
      </w:r>
      <w:r>
        <w:rPr/>
        <w:t>de</w:t>
      </w:r>
      <w:r>
        <w:rPr>
          <w:spacing w:val="-20"/>
        </w:rPr>
        <w:t> </w:t>
      </w:r>
      <w:r>
        <w:rPr/>
        <w:t>corrupción</w:t>
      </w:r>
      <w:r>
        <w:rPr>
          <w:spacing w:val="-20"/>
        </w:rPr>
        <w:t> </w:t>
      </w:r>
      <w:r>
        <w:rPr/>
        <w:t>y</w:t>
      </w:r>
      <w:r>
        <w:rPr>
          <w:spacing w:val="-22"/>
        </w:rPr>
        <w:t> </w:t>
      </w:r>
      <w:r>
        <w:rPr/>
        <w:t>que</w:t>
      </w:r>
      <w:r>
        <w:rPr>
          <w:spacing w:val="-20"/>
        </w:rPr>
        <w:t> </w:t>
      </w:r>
      <w:r>
        <w:rPr/>
        <w:t>el</w:t>
      </w:r>
      <w:r>
        <w:rPr>
          <w:spacing w:val="-19"/>
        </w:rPr>
        <w:t> </w:t>
      </w:r>
      <w:r>
        <w:rPr/>
        <w:t>H.</w:t>
      </w:r>
      <w:r>
        <w:rPr>
          <w:spacing w:val="-17"/>
        </w:rPr>
        <w:t> </w:t>
      </w:r>
      <w:r>
        <w:rPr/>
        <w:t>Congreso</w:t>
      </w:r>
      <w:r>
        <w:rPr>
          <w:spacing w:val="-20"/>
        </w:rPr>
        <w:t> </w:t>
      </w:r>
      <w:r>
        <w:rPr/>
        <w:t>de</w:t>
      </w:r>
      <w:r>
        <w:rPr>
          <w:spacing w:val="-20"/>
        </w:rPr>
        <w:t> </w:t>
      </w:r>
      <w:r>
        <w:rPr/>
        <w:t>la</w:t>
      </w:r>
      <w:r>
        <w:rPr>
          <w:spacing w:val="-20"/>
        </w:rPr>
        <w:t> </w:t>
      </w:r>
      <w:r>
        <w:rPr/>
        <w:t>Unión</w:t>
      </w:r>
      <w:r>
        <w:rPr>
          <w:spacing w:val="-20"/>
        </w:rPr>
        <w:t> </w:t>
      </w:r>
      <w:r>
        <w:rPr/>
        <w:t>sea</w:t>
      </w:r>
      <w:r>
        <w:rPr>
          <w:spacing w:val="-20"/>
        </w:rPr>
        <w:t> </w:t>
      </w:r>
      <w:r>
        <w:rPr/>
        <w:t>un</w:t>
      </w:r>
      <w:r>
        <w:rPr>
          <w:spacing w:val="-20"/>
        </w:rPr>
        <w:t> </w:t>
      </w:r>
      <w:r>
        <w:rPr/>
        <w:t>ejemplo de transparencia. En la actualidad se sabe que el buen desempeño del Estado coadyuva a lograr su legitimación y al combate a la</w:t>
      </w:r>
      <w:r>
        <w:rPr>
          <w:spacing w:val="-39"/>
        </w:rPr>
        <w:t> </w:t>
      </w:r>
      <w:r>
        <w:rPr/>
        <w:t>corrupción.</w:t>
      </w:r>
    </w:p>
    <w:p>
      <w:pPr>
        <w:pStyle w:val="BodyText"/>
        <w:spacing w:line="360" w:lineRule="auto" w:before="6"/>
        <w:ind w:left="100" w:right="100" w:firstLine="427"/>
        <w:jc w:val="both"/>
      </w:pPr>
      <w:r>
        <w:rPr/>
        <w:t>En general, la rendición de cuentas es la revisión métrica del cumplimiento de los objetivos dela política pública por parte de la sociedad, es decir, el desempeño del Estado. Por ende, para legitimar al Estado mediante la rendición de cuentas, el desempeño de las instituciones públicas de la revisión de las políticas públicas mediante la rendición de cuentas, deben orientarse a revisar el correcto uso de los recursos públicos.</w:t>
      </w:r>
    </w:p>
    <w:p>
      <w:pPr>
        <w:pStyle w:val="BodyText"/>
        <w:spacing w:line="360" w:lineRule="auto" w:before="5"/>
        <w:ind w:left="100" w:right="99" w:firstLine="427"/>
        <w:jc w:val="both"/>
      </w:pPr>
      <w:r>
        <w:rPr/>
        <w:t>Desafortunadamente en México, la cultura política ha engendrado problemas que impiden una rendición de cuentas eficiente. Aunque se observan avances importantes en la materia, sobre todo a fines del Siglo XX y en este siglo, los resultados</w:t>
      </w:r>
      <w:r>
        <w:rPr>
          <w:spacing w:val="-8"/>
        </w:rPr>
        <w:t> </w:t>
      </w:r>
      <w:r>
        <w:rPr/>
        <w:t>indican</w:t>
      </w:r>
      <w:r>
        <w:rPr>
          <w:spacing w:val="-10"/>
        </w:rPr>
        <w:t> </w:t>
      </w:r>
      <w:r>
        <w:rPr/>
        <w:t>aún</w:t>
      </w:r>
      <w:r>
        <w:rPr>
          <w:spacing w:val="-10"/>
        </w:rPr>
        <w:t> </w:t>
      </w:r>
      <w:r>
        <w:rPr/>
        <w:t>una</w:t>
      </w:r>
      <w:r>
        <w:rPr>
          <w:spacing w:val="-10"/>
        </w:rPr>
        <w:t> </w:t>
      </w:r>
      <w:r>
        <w:rPr/>
        <w:t>rendición</w:t>
      </w:r>
      <w:r>
        <w:rPr>
          <w:spacing w:val="-10"/>
        </w:rPr>
        <w:t> </w:t>
      </w:r>
      <w:r>
        <w:rPr/>
        <w:t>de</w:t>
      </w:r>
      <w:r>
        <w:rPr>
          <w:spacing w:val="-10"/>
        </w:rPr>
        <w:t> </w:t>
      </w:r>
      <w:r>
        <w:rPr/>
        <w:t>cuentas</w:t>
      </w:r>
      <w:r>
        <w:rPr>
          <w:spacing w:val="-8"/>
        </w:rPr>
        <w:t> </w:t>
      </w:r>
      <w:r>
        <w:rPr/>
        <w:t>laxa,</w:t>
      </w:r>
      <w:r>
        <w:rPr>
          <w:spacing w:val="-7"/>
        </w:rPr>
        <w:t> </w:t>
      </w:r>
      <w:r>
        <w:rPr/>
        <w:t>una</w:t>
      </w:r>
      <w:r>
        <w:rPr>
          <w:spacing w:val="-10"/>
        </w:rPr>
        <w:t> </w:t>
      </w:r>
      <w:r>
        <w:rPr/>
        <w:t>débil</w:t>
      </w:r>
      <w:r>
        <w:rPr>
          <w:spacing w:val="-9"/>
        </w:rPr>
        <w:t> </w:t>
      </w:r>
      <w:r>
        <w:rPr/>
        <w:t>división</w:t>
      </w:r>
      <w:r>
        <w:rPr>
          <w:spacing w:val="-10"/>
        </w:rPr>
        <w:t> </w:t>
      </w:r>
      <w:r>
        <w:rPr/>
        <w:t>de</w:t>
      </w:r>
      <w:r>
        <w:rPr>
          <w:spacing w:val="-10"/>
        </w:rPr>
        <w:t> </w:t>
      </w:r>
      <w:r>
        <w:rPr/>
        <w:t>poderes y una elevada</w:t>
      </w:r>
      <w:r>
        <w:rPr>
          <w:spacing w:val="-19"/>
        </w:rPr>
        <w:t> </w:t>
      </w:r>
      <w:r>
        <w:rPr/>
        <w:t>corrupción.</w:t>
      </w:r>
    </w:p>
    <w:p>
      <w:pPr>
        <w:pStyle w:val="BodyText"/>
        <w:spacing w:line="360" w:lineRule="auto" w:before="2"/>
        <w:ind w:left="100" w:right="103" w:firstLine="427"/>
        <w:jc w:val="both"/>
      </w:pPr>
      <w:r>
        <w:rPr/>
        <w:t>Uno de los problemas centrales que le impide a México avanzar hacia una legitimación del Estado es la corrupción, la cual disminuye la confianza de los ciudadanos en las instituciones del Estado. El Centro de Investigación y Docencia Económicas,</w:t>
      </w:r>
      <w:r>
        <w:rPr>
          <w:spacing w:val="-5"/>
        </w:rPr>
        <w:t> </w:t>
      </w:r>
      <w:r>
        <w:rPr/>
        <w:t>A.C.,</w:t>
      </w:r>
      <w:r>
        <w:rPr>
          <w:spacing w:val="-5"/>
        </w:rPr>
        <w:t> </w:t>
      </w:r>
      <w:r>
        <w:rPr/>
        <w:t>(CIDE)</w:t>
      </w:r>
      <w:r>
        <w:rPr>
          <w:spacing w:val="-6"/>
        </w:rPr>
        <w:t> </w:t>
      </w:r>
      <w:r>
        <w:rPr/>
        <w:t>afirma</w:t>
      </w:r>
      <w:r>
        <w:rPr>
          <w:spacing w:val="-8"/>
        </w:rPr>
        <w:t> </w:t>
      </w:r>
      <w:r>
        <w:rPr/>
        <w:t>que</w:t>
      </w:r>
      <w:r>
        <w:rPr>
          <w:spacing w:val="-4"/>
        </w:rPr>
        <w:t> </w:t>
      </w:r>
      <w:r>
        <w:rPr/>
        <w:t>el</w:t>
      </w:r>
      <w:r>
        <w:rPr>
          <w:spacing w:val="-7"/>
        </w:rPr>
        <w:t> </w:t>
      </w:r>
      <w:r>
        <w:rPr/>
        <w:t>principal</w:t>
      </w:r>
      <w:r>
        <w:rPr>
          <w:spacing w:val="-7"/>
        </w:rPr>
        <w:t> </w:t>
      </w:r>
      <w:r>
        <w:rPr/>
        <w:t>antídoto</w:t>
      </w:r>
      <w:r>
        <w:rPr>
          <w:spacing w:val="-8"/>
        </w:rPr>
        <w:t> </w:t>
      </w:r>
      <w:r>
        <w:rPr/>
        <w:t>contra</w:t>
      </w:r>
      <w:r>
        <w:rPr>
          <w:spacing w:val="-8"/>
        </w:rPr>
        <w:t> </w:t>
      </w:r>
      <w:r>
        <w:rPr/>
        <w:t>la</w:t>
      </w:r>
      <w:r>
        <w:rPr>
          <w:spacing w:val="-8"/>
        </w:rPr>
        <w:t> </w:t>
      </w:r>
      <w:r>
        <w:rPr/>
        <w:t>corrupción</w:t>
      </w:r>
      <w:r>
        <w:rPr>
          <w:spacing w:val="-8"/>
        </w:rPr>
        <w:t> </w:t>
      </w:r>
      <w:r>
        <w:rPr/>
        <w:t>es</w:t>
      </w:r>
      <w:r>
        <w:rPr>
          <w:spacing w:val="-6"/>
        </w:rPr>
        <w:t> </w:t>
      </w:r>
      <w:r>
        <w:rPr/>
        <w:t>la rendición de cuentas, instrumento de política que busca que la población tenga </w:t>
      </w:r>
      <w:r>
        <w:rPr>
          <w:spacing w:val="56"/>
        </w:rPr>
        <w:t> </w:t>
      </w:r>
      <w:r>
        <w:rPr/>
        <w:t>la</w:t>
      </w:r>
    </w:p>
    <w:p>
      <w:pPr>
        <w:spacing w:after="0" w:line="360" w:lineRule="auto"/>
        <w:jc w:val="both"/>
        <w:sectPr>
          <w:footerReference w:type="default" r:id="rId18"/>
          <w:pgSz w:w="12240" w:h="15840"/>
          <w:pgMar w:footer="938" w:header="0" w:top="1440" w:bottom="1120" w:left="1600" w:right="1600"/>
          <w:pgNumType w:start="1"/>
        </w:sectPr>
      </w:pPr>
    </w:p>
    <w:p>
      <w:pPr>
        <w:pStyle w:val="BodyText"/>
        <w:spacing w:line="362" w:lineRule="auto" w:before="55"/>
        <w:ind w:left="100" w:right="132"/>
      </w:pPr>
      <w:r>
        <w:rPr/>
        <w:t>seguridad de que las instituciones del Estado realizan correctamente su administración pública.</w:t>
      </w:r>
    </w:p>
    <w:p>
      <w:pPr>
        <w:pStyle w:val="BodyText"/>
        <w:spacing w:line="360" w:lineRule="auto"/>
        <w:ind w:left="100" w:right="118" w:firstLine="427"/>
        <w:jc w:val="both"/>
      </w:pPr>
      <w:r>
        <w:rPr/>
        <w:t>Desde 1824, con la creación de la Contaduría Mayor de Hacienda (CMH), el país ha contado con una institución de control, que es denominada actualmente Auditoría</w:t>
      </w:r>
      <w:r>
        <w:rPr>
          <w:spacing w:val="-17"/>
        </w:rPr>
        <w:t> </w:t>
      </w:r>
      <w:r>
        <w:rPr/>
        <w:t>Superior</w:t>
      </w:r>
      <w:r>
        <w:rPr>
          <w:spacing w:val="-15"/>
        </w:rPr>
        <w:t> </w:t>
      </w:r>
      <w:r>
        <w:rPr/>
        <w:t>de</w:t>
      </w:r>
      <w:r>
        <w:rPr>
          <w:spacing w:val="-17"/>
        </w:rPr>
        <w:t> </w:t>
      </w:r>
      <w:r>
        <w:rPr/>
        <w:t>la</w:t>
      </w:r>
      <w:r>
        <w:rPr>
          <w:spacing w:val="-17"/>
        </w:rPr>
        <w:t> </w:t>
      </w:r>
      <w:r>
        <w:rPr/>
        <w:t>Federación</w:t>
      </w:r>
      <w:r>
        <w:rPr>
          <w:spacing w:val="-17"/>
        </w:rPr>
        <w:t> </w:t>
      </w:r>
      <w:r>
        <w:rPr/>
        <w:t>(ASF);</w:t>
      </w:r>
      <w:r>
        <w:rPr>
          <w:spacing w:val="-14"/>
        </w:rPr>
        <w:t> </w:t>
      </w:r>
      <w:r>
        <w:rPr/>
        <w:t>aún</w:t>
      </w:r>
      <w:r>
        <w:rPr>
          <w:spacing w:val="-17"/>
        </w:rPr>
        <w:t> </w:t>
      </w:r>
      <w:r>
        <w:rPr/>
        <w:t>con</w:t>
      </w:r>
      <w:r>
        <w:rPr>
          <w:spacing w:val="-17"/>
        </w:rPr>
        <w:t> </w:t>
      </w:r>
      <w:r>
        <w:rPr/>
        <w:t>ello,</w:t>
      </w:r>
      <w:r>
        <w:rPr>
          <w:spacing w:val="-14"/>
        </w:rPr>
        <w:t> </w:t>
      </w:r>
      <w:r>
        <w:rPr/>
        <w:t>las</w:t>
      </w:r>
      <w:r>
        <w:rPr>
          <w:spacing w:val="-15"/>
        </w:rPr>
        <w:t> </w:t>
      </w:r>
      <w:r>
        <w:rPr/>
        <w:t>estadísticas</w:t>
      </w:r>
      <w:r>
        <w:rPr>
          <w:spacing w:val="-11"/>
        </w:rPr>
        <w:t> </w:t>
      </w:r>
      <w:r>
        <w:rPr/>
        <w:t>indican</w:t>
      </w:r>
      <w:r>
        <w:rPr>
          <w:spacing w:val="-17"/>
        </w:rPr>
        <w:t> </w:t>
      </w:r>
      <w:r>
        <w:rPr/>
        <w:t>que en México existe un problema muy importante de la efectividad de la rendición de cuentas para combatir la corrupción y legitimar el Estado</w:t>
      </w:r>
      <w:r>
        <w:rPr>
          <w:spacing w:val="-29"/>
        </w:rPr>
        <w:t> </w:t>
      </w:r>
      <w:r>
        <w:rPr/>
        <w:t>mexicano.</w:t>
      </w:r>
    </w:p>
    <w:p>
      <w:pPr>
        <w:pStyle w:val="BodyText"/>
        <w:spacing w:line="360" w:lineRule="auto" w:before="6"/>
        <w:ind w:left="100" w:right="116" w:firstLine="427"/>
        <w:jc w:val="both"/>
      </w:pPr>
      <w:r>
        <w:rPr/>
        <w:t>La institución de fiscalización de la cuenta pública de nuestro país (perteneciente al Poder Legislativo) sólo está facultada para recomendar, y en algunos casos promover sanciones y resarcimientos, pero la rendición de cuentas implica mucho más que la actuación de una institución, implica la articulación de una red donde intervienen reglas, poderes, instituciones y la participación de la sociedad.</w:t>
      </w:r>
    </w:p>
    <w:p>
      <w:pPr>
        <w:pStyle w:val="BodyText"/>
        <w:spacing w:line="360" w:lineRule="auto" w:before="5"/>
        <w:ind w:left="100" w:right="118" w:firstLine="427"/>
        <w:jc w:val="both"/>
      </w:pPr>
      <w:r>
        <w:rPr/>
        <w:t>Ciertamente la corrupción es un problema cultural nacional e internacional; los países más avanzados (aquellos que cuentan con mayores índices de desarrollo humano) son los que presentan una corrupción </w:t>
      </w:r>
      <w:r>
        <w:rPr>
          <w:spacing w:val="-2"/>
        </w:rPr>
        <w:t>más </w:t>
      </w:r>
      <w:r>
        <w:rPr/>
        <w:t>sofisticada, pero al parecer también</w:t>
      </w:r>
      <w:r>
        <w:rPr>
          <w:spacing w:val="-13"/>
        </w:rPr>
        <w:t> </w:t>
      </w:r>
      <w:r>
        <w:rPr/>
        <w:t>presentan</w:t>
      </w:r>
      <w:r>
        <w:rPr>
          <w:spacing w:val="-13"/>
        </w:rPr>
        <w:t> </w:t>
      </w:r>
      <w:r>
        <w:rPr/>
        <w:t>los</w:t>
      </w:r>
      <w:r>
        <w:rPr>
          <w:spacing w:val="-12"/>
        </w:rPr>
        <w:t> </w:t>
      </w:r>
      <w:r>
        <w:rPr/>
        <w:t>menores</w:t>
      </w:r>
      <w:r>
        <w:rPr>
          <w:spacing w:val="-12"/>
        </w:rPr>
        <w:t> </w:t>
      </w:r>
      <w:r>
        <w:rPr/>
        <w:t>impactos</w:t>
      </w:r>
      <w:r>
        <w:rPr>
          <w:spacing w:val="-12"/>
        </w:rPr>
        <w:t> </w:t>
      </w:r>
      <w:r>
        <w:rPr/>
        <w:t>sociales</w:t>
      </w:r>
      <w:r>
        <w:rPr>
          <w:spacing w:val="-11"/>
        </w:rPr>
        <w:t> </w:t>
      </w:r>
      <w:r>
        <w:rPr/>
        <w:t>derivados</w:t>
      </w:r>
      <w:r>
        <w:rPr>
          <w:spacing w:val="-12"/>
        </w:rPr>
        <w:t> </w:t>
      </w:r>
      <w:r>
        <w:rPr/>
        <w:t>de</w:t>
      </w:r>
      <w:r>
        <w:rPr>
          <w:spacing w:val="-14"/>
        </w:rPr>
        <w:t> </w:t>
      </w:r>
      <w:r>
        <w:rPr/>
        <w:t>ella.</w:t>
      </w:r>
      <w:r>
        <w:rPr>
          <w:spacing w:val="-11"/>
        </w:rPr>
        <w:t> </w:t>
      </w:r>
      <w:r>
        <w:rPr/>
        <w:t>En</w:t>
      </w:r>
      <w:r>
        <w:rPr>
          <w:spacing w:val="-14"/>
        </w:rPr>
        <w:t> </w:t>
      </w:r>
      <w:r>
        <w:rPr/>
        <w:t>México,</w:t>
      </w:r>
      <w:r>
        <w:rPr>
          <w:spacing w:val="-11"/>
        </w:rPr>
        <w:t> </w:t>
      </w:r>
      <w:r>
        <w:rPr/>
        <w:t>por ser un país emergente y contar con una sofisticada y creciente corrupción, este problema</w:t>
      </w:r>
      <w:r>
        <w:rPr>
          <w:spacing w:val="-13"/>
        </w:rPr>
        <w:t> </w:t>
      </w:r>
      <w:r>
        <w:rPr/>
        <w:t>tiene</w:t>
      </w:r>
      <w:r>
        <w:rPr>
          <w:spacing w:val="-13"/>
        </w:rPr>
        <w:t> </w:t>
      </w:r>
      <w:r>
        <w:rPr/>
        <w:t>un</w:t>
      </w:r>
      <w:r>
        <w:rPr>
          <w:spacing w:val="-13"/>
        </w:rPr>
        <w:t> </w:t>
      </w:r>
      <w:r>
        <w:rPr/>
        <w:t>mayor</w:t>
      </w:r>
      <w:r>
        <w:rPr>
          <w:spacing w:val="-11"/>
        </w:rPr>
        <w:t> </w:t>
      </w:r>
      <w:r>
        <w:rPr/>
        <w:t>impacto</w:t>
      </w:r>
      <w:r>
        <w:rPr>
          <w:spacing w:val="-13"/>
        </w:rPr>
        <w:t> </w:t>
      </w:r>
      <w:r>
        <w:rPr/>
        <w:t>social,</w:t>
      </w:r>
      <w:r>
        <w:rPr>
          <w:spacing w:val="-6"/>
        </w:rPr>
        <w:t> </w:t>
      </w:r>
      <w:r>
        <w:rPr/>
        <w:t>ello</w:t>
      </w:r>
      <w:r>
        <w:rPr>
          <w:spacing w:val="-12"/>
        </w:rPr>
        <w:t> </w:t>
      </w:r>
      <w:r>
        <w:rPr/>
        <w:t>implica</w:t>
      </w:r>
      <w:r>
        <w:rPr>
          <w:spacing w:val="-13"/>
        </w:rPr>
        <w:t> </w:t>
      </w:r>
      <w:r>
        <w:rPr/>
        <w:t>que</w:t>
      </w:r>
      <w:r>
        <w:rPr>
          <w:spacing w:val="-13"/>
        </w:rPr>
        <w:t> </w:t>
      </w:r>
      <w:r>
        <w:rPr/>
        <w:t>la</w:t>
      </w:r>
      <w:r>
        <w:rPr>
          <w:spacing w:val="-13"/>
        </w:rPr>
        <w:t> </w:t>
      </w:r>
      <w:r>
        <w:rPr/>
        <w:t>población</w:t>
      </w:r>
      <w:r>
        <w:rPr>
          <w:spacing w:val="-13"/>
        </w:rPr>
        <w:t> </w:t>
      </w:r>
      <w:r>
        <w:rPr/>
        <w:t>deja</w:t>
      </w:r>
      <w:r>
        <w:rPr>
          <w:spacing w:val="-13"/>
        </w:rPr>
        <w:t> </w:t>
      </w:r>
      <w:r>
        <w:rPr/>
        <w:t>de</w:t>
      </w:r>
      <w:r>
        <w:rPr>
          <w:spacing w:val="-13"/>
        </w:rPr>
        <w:t> </w:t>
      </w:r>
      <w:r>
        <w:rPr/>
        <w:t>recibir bienes y servicios públicos, por lo que en primera instancia se atenta contra los derechos humanos, políticos y</w:t>
      </w:r>
      <w:r>
        <w:rPr>
          <w:spacing w:val="-19"/>
        </w:rPr>
        <w:t> </w:t>
      </w:r>
      <w:r>
        <w:rPr/>
        <w:t>sociales.</w:t>
      </w:r>
    </w:p>
    <w:p>
      <w:pPr>
        <w:pStyle w:val="BodyText"/>
        <w:spacing w:line="360" w:lineRule="auto" w:before="6"/>
        <w:ind w:left="100" w:right="122" w:firstLine="427"/>
        <w:jc w:val="both"/>
      </w:pPr>
      <w:r>
        <w:rPr/>
        <w:t>El país cuenta con todo un marco jurídico, instituciones, organizaciones civiles e investigadoras que han fomentado la rendición de cuentas ¿Por qué México no ha</w:t>
      </w:r>
      <w:r>
        <w:rPr>
          <w:spacing w:val="-9"/>
        </w:rPr>
        <w:t> </w:t>
      </w:r>
      <w:r>
        <w:rPr/>
        <w:t>logrado</w:t>
      </w:r>
      <w:r>
        <w:rPr>
          <w:spacing w:val="-9"/>
        </w:rPr>
        <w:t> </w:t>
      </w:r>
      <w:r>
        <w:rPr/>
        <w:t>una</w:t>
      </w:r>
      <w:r>
        <w:rPr>
          <w:spacing w:val="-9"/>
        </w:rPr>
        <w:t> </w:t>
      </w:r>
      <w:r>
        <w:rPr/>
        <w:t>eficiente</w:t>
      </w:r>
      <w:r>
        <w:rPr>
          <w:spacing w:val="-9"/>
        </w:rPr>
        <w:t> </w:t>
      </w:r>
      <w:r>
        <w:rPr/>
        <w:t>rendición</w:t>
      </w:r>
      <w:r>
        <w:rPr>
          <w:spacing w:val="-9"/>
        </w:rPr>
        <w:t> </w:t>
      </w:r>
      <w:r>
        <w:rPr/>
        <w:t>de</w:t>
      </w:r>
      <w:r>
        <w:rPr>
          <w:spacing w:val="-5"/>
        </w:rPr>
        <w:t> </w:t>
      </w:r>
      <w:r>
        <w:rPr/>
        <w:t>cuentas?</w:t>
      </w:r>
      <w:r>
        <w:rPr>
          <w:spacing w:val="-9"/>
        </w:rPr>
        <w:t> </w:t>
      </w:r>
      <w:r>
        <w:rPr/>
        <w:t>¿Es</w:t>
      </w:r>
      <w:r>
        <w:rPr>
          <w:spacing w:val="-7"/>
        </w:rPr>
        <w:t> </w:t>
      </w:r>
      <w:r>
        <w:rPr/>
        <w:t>la</w:t>
      </w:r>
      <w:r>
        <w:rPr>
          <w:spacing w:val="-9"/>
        </w:rPr>
        <w:t> </w:t>
      </w:r>
      <w:r>
        <w:rPr/>
        <w:t>institución</w:t>
      </w:r>
      <w:r>
        <w:rPr>
          <w:spacing w:val="-9"/>
        </w:rPr>
        <w:t> </w:t>
      </w:r>
      <w:r>
        <w:rPr/>
        <w:t>de</w:t>
      </w:r>
      <w:r>
        <w:rPr>
          <w:spacing w:val="-4"/>
        </w:rPr>
        <w:t> </w:t>
      </w:r>
      <w:r>
        <w:rPr/>
        <w:t>fiscalización</w:t>
      </w:r>
      <w:r>
        <w:rPr>
          <w:spacing w:val="-9"/>
        </w:rPr>
        <w:t> </w:t>
      </w:r>
      <w:r>
        <w:rPr/>
        <w:t>de la cuenta pública la encargada de disminuir la corrupción? ¿De qué manera las políticas públicas deben ser orientadas para contrarrestar el abuso de lo  </w:t>
      </w:r>
      <w:r>
        <w:rPr>
          <w:spacing w:val="17"/>
        </w:rPr>
        <w:t> </w:t>
      </w:r>
      <w:r>
        <w:rPr/>
        <w:t>público?</w:t>
      </w:r>
    </w:p>
    <w:p>
      <w:pPr>
        <w:pStyle w:val="BodyText"/>
        <w:spacing w:line="362" w:lineRule="auto" w:before="2"/>
        <w:ind w:left="100" w:right="132"/>
      </w:pPr>
      <w:r>
        <w:rPr/>
        <w:t>¿Es</w:t>
      </w:r>
      <w:r>
        <w:rPr>
          <w:spacing w:val="-19"/>
        </w:rPr>
        <w:t> </w:t>
      </w:r>
      <w:r>
        <w:rPr/>
        <w:t>posible</w:t>
      </w:r>
      <w:r>
        <w:rPr>
          <w:spacing w:val="-21"/>
        </w:rPr>
        <w:t> </w:t>
      </w:r>
      <w:r>
        <w:rPr/>
        <w:t>construir</w:t>
      </w:r>
      <w:r>
        <w:rPr>
          <w:spacing w:val="-19"/>
        </w:rPr>
        <w:t> </w:t>
      </w:r>
      <w:r>
        <w:rPr/>
        <w:t>un</w:t>
      </w:r>
      <w:r>
        <w:rPr>
          <w:spacing w:val="-21"/>
        </w:rPr>
        <w:t> </w:t>
      </w:r>
      <w:r>
        <w:rPr/>
        <w:t>sistema</w:t>
      </w:r>
      <w:r>
        <w:rPr>
          <w:spacing w:val="-21"/>
        </w:rPr>
        <w:t> </w:t>
      </w:r>
      <w:r>
        <w:rPr/>
        <w:t>de</w:t>
      </w:r>
      <w:r>
        <w:rPr>
          <w:spacing w:val="-21"/>
        </w:rPr>
        <w:t> </w:t>
      </w:r>
      <w:r>
        <w:rPr/>
        <w:t>rendición</w:t>
      </w:r>
      <w:r>
        <w:rPr>
          <w:spacing w:val="-21"/>
        </w:rPr>
        <w:t> </w:t>
      </w:r>
      <w:r>
        <w:rPr/>
        <w:t>de</w:t>
      </w:r>
      <w:r>
        <w:rPr>
          <w:spacing w:val="-21"/>
        </w:rPr>
        <w:t> </w:t>
      </w:r>
      <w:r>
        <w:rPr/>
        <w:t>cuentas</w:t>
      </w:r>
      <w:r>
        <w:rPr>
          <w:spacing w:val="-19"/>
        </w:rPr>
        <w:t> </w:t>
      </w:r>
      <w:r>
        <w:rPr/>
        <w:t>que</w:t>
      </w:r>
      <w:r>
        <w:rPr>
          <w:spacing w:val="-21"/>
        </w:rPr>
        <w:t> </w:t>
      </w:r>
      <w:r>
        <w:rPr/>
        <w:t>incluya</w:t>
      </w:r>
      <w:r>
        <w:rPr>
          <w:spacing w:val="-21"/>
        </w:rPr>
        <w:t> </w:t>
      </w:r>
      <w:r>
        <w:rPr/>
        <w:t>la</w:t>
      </w:r>
      <w:r>
        <w:rPr>
          <w:spacing w:val="-21"/>
        </w:rPr>
        <w:t> </w:t>
      </w:r>
      <w:r>
        <w:rPr/>
        <w:t>participación de las instituciones y una sociedad civil</w:t>
      </w:r>
      <w:r>
        <w:rPr>
          <w:spacing w:val="-27"/>
        </w:rPr>
        <w:t> </w:t>
      </w:r>
      <w:r>
        <w:rPr/>
        <w:t>organizada?</w:t>
      </w:r>
    </w:p>
    <w:p>
      <w:pPr>
        <w:pStyle w:val="BodyText"/>
        <w:spacing w:before="9"/>
        <w:rPr>
          <w:sz w:val="35"/>
        </w:rPr>
      </w:pPr>
    </w:p>
    <w:p>
      <w:pPr>
        <w:pStyle w:val="BodyText"/>
        <w:spacing w:line="362" w:lineRule="auto"/>
        <w:ind w:left="100" w:right="120" w:firstLine="427"/>
        <w:jc w:val="both"/>
      </w:pPr>
      <w:r>
        <w:rPr/>
        <w:t>El</w:t>
      </w:r>
      <w:r>
        <w:rPr>
          <w:spacing w:val="-6"/>
        </w:rPr>
        <w:t> </w:t>
      </w:r>
      <w:r>
        <w:rPr/>
        <w:t>tema</w:t>
      </w:r>
      <w:r>
        <w:rPr>
          <w:spacing w:val="-6"/>
        </w:rPr>
        <w:t> </w:t>
      </w:r>
      <w:r>
        <w:rPr/>
        <w:t>no</w:t>
      </w:r>
      <w:r>
        <w:rPr>
          <w:spacing w:val="-6"/>
        </w:rPr>
        <w:t> </w:t>
      </w:r>
      <w:r>
        <w:rPr/>
        <w:t>se</w:t>
      </w:r>
      <w:r>
        <w:rPr>
          <w:spacing w:val="-6"/>
        </w:rPr>
        <w:t> </w:t>
      </w:r>
      <w:r>
        <w:rPr/>
        <w:t>remite</w:t>
      </w:r>
      <w:r>
        <w:rPr>
          <w:spacing w:val="-6"/>
        </w:rPr>
        <w:t> </w:t>
      </w:r>
      <w:r>
        <w:rPr/>
        <w:t>únicamente</w:t>
      </w:r>
      <w:r>
        <w:rPr>
          <w:spacing w:val="-6"/>
        </w:rPr>
        <w:t> </w:t>
      </w:r>
      <w:r>
        <w:rPr/>
        <w:t>a</w:t>
      </w:r>
      <w:r>
        <w:rPr>
          <w:spacing w:val="-1"/>
        </w:rPr>
        <w:t> </w:t>
      </w:r>
      <w:r>
        <w:rPr/>
        <w:t>comprobar</w:t>
      </w:r>
      <w:r>
        <w:rPr>
          <w:spacing w:val="-4"/>
        </w:rPr>
        <w:t> </w:t>
      </w:r>
      <w:r>
        <w:rPr/>
        <w:t>que</w:t>
      </w:r>
      <w:r>
        <w:rPr>
          <w:spacing w:val="-6"/>
        </w:rPr>
        <w:t> </w:t>
      </w:r>
      <w:r>
        <w:rPr/>
        <w:t>los</w:t>
      </w:r>
      <w:r>
        <w:rPr>
          <w:spacing w:val="-4"/>
        </w:rPr>
        <w:t> </w:t>
      </w:r>
      <w:r>
        <w:rPr/>
        <w:t>registros</w:t>
      </w:r>
      <w:r>
        <w:rPr>
          <w:spacing w:val="-4"/>
        </w:rPr>
        <w:t> </w:t>
      </w:r>
      <w:r>
        <w:rPr/>
        <w:t>contables</w:t>
      </w:r>
      <w:r>
        <w:rPr>
          <w:spacing w:val="-4"/>
        </w:rPr>
        <w:t> </w:t>
      </w:r>
      <w:r>
        <w:rPr/>
        <w:t>sean correctos,</w:t>
      </w:r>
      <w:r>
        <w:rPr>
          <w:spacing w:val="53"/>
        </w:rPr>
        <w:t> </w:t>
      </w:r>
      <w:r>
        <w:rPr/>
        <w:t>sino</w:t>
      </w:r>
      <w:r>
        <w:rPr>
          <w:spacing w:val="51"/>
        </w:rPr>
        <w:t> </w:t>
      </w:r>
      <w:r>
        <w:rPr/>
        <w:t>a</w:t>
      </w:r>
      <w:r>
        <w:rPr>
          <w:spacing w:val="51"/>
        </w:rPr>
        <w:t> </w:t>
      </w:r>
      <w:r>
        <w:rPr/>
        <w:t>la</w:t>
      </w:r>
      <w:r>
        <w:rPr>
          <w:spacing w:val="51"/>
        </w:rPr>
        <w:t> </w:t>
      </w:r>
      <w:r>
        <w:rPr/>
        <w:t>evaluación</w:t>
      </w:r>
      <w:r>
        <w:rPr>
          <w:spacing w:val="51"/>
        </w:rPr>
        <w:t> </w:t>
      </w:r>
      <w:r>
        <w:rPr/>
        <w:t>del</w:t>
      </w:r>
      <w:r>
        <w:rPr>
          <w:spacing w:val="51"/>
        </w:rPr>
        <w:t> </w:t>
      </w:r>
      <w:r>
        <w:rPr/>
        <w:t>desempeño</w:t>
      </w:r>
      <w:r>
        <w:rPr>
          <w:spacing w:val="51"/>
        </w:rPr>
        <w:t> </w:t>
      </w:r>
      <w:r>
        <w:rPr/>
        <w:t>del</w:t>
      </w:r>
      <w:r>
        <w:rPr>
          <w:spacing w:val="51"/>
        </w:rPr>
        <w:t> </w:t>
      </w:r>
      <w:r>
        <w:rPr/>
        <w:t>Estado</w:t>
      </w:r>
      <w:r>
        <w:rPr>
          <w:spacing w:val="51"/>
        </w:rPr>
        <w:t> </w:t>
      </w:r>
      <w:r>
        <w:rPr/>
        <w:t>en</w:t>
      </w:r>
      <w:r>
        <w:rPr>
          <w:spacing w:val="51"/>
        </w:rPr>
        <w:t> </w:t>
      </w:r>
      <w:r>
        <w:rPr/>
        <w:t>alcanzar</w:t>
      </w:r>
      <w:r>
        <w:rPr>
          <w:spacing w:val="56"/>
        </w:rPr>
        <w:t> </w:t>
      </w:r>
      <w:r>
        <w:rPr/>
        <w:t>metas,</w:t>
      </w:r>
    </w:p>
    <w:p>
      <w:pPr>
        <w:spacing w:after="0" w:line="362" w:lineRule="auto"/>
        <w:jc w:val="both"/>
        <w:sectPr>
          <w:pgSz w:w="12240" w:h="15840"/>
          <w:pgMar w:header="0" w:footer="938" w:top="1360" w:bottom="1180" w:left="1600" w:right="1580"/>
        </w:sectPr>
      </w:pPr>
    </w:p>
    <w:p>
      <w:pPr>
        <w:pStyle w:val="BodyText"/>
        <w:spacing w:line="360" w:lineRule="auto" w:before="55"/>
        <w:ind w:left="100" w:right="98"/>
        <w:jc w:val="both"/>
      </w:pPr>
      <w:r>
        <w:rPr/>
        <w:t>objetivos nacionales y erradicar los problemas que dieron origen a una política pública, y con ello generar un valor social para la población. Se identifica al Poder Ejecutivo</w:t>
      </w:r>
      <w:r>
        <w:rPr>
          <w:spacing w:val="-9"/>
        </w:rPr>
        <w:t> </w:t>
      </w:r>
      <w:r>
        <w:rPr/>
        <w:t>como</w:t>
      </w:r>
      <w:r>
        <w:rPr>
          <w:spacing w:val="-9"/>
        </w:rPr>
        <w:t> </w:t>
      </w:r>
      <w:r>
        <w:rPr/>
        <w:t>el</w:t>
      </w:r>
      <w:r>
        <w:rPr>
          <w:spacing w:val="-8"/>
        </w:rPr>
        <w:t> </w:t>
      </w:r>
      <w:r>
        <w:rPr/>
        <w:t>principal</w:t>
      </w:r>
      <w:r>
        <w:rPr>
          <w:spacing w:val="-8"/>
        </w:rPr>
        <w:t> </w:t>
      </w:r>
      <w:r>
        <w:rPr/>
        <w:t>administrador</w:t>
      </w:r>
      <w:r>
        <w:rPr>
          <w:spacing w:val="-7"/>
        </w:rPr>
        <w:t> </w:t>
      </w:r>
      <w:r>
        <w:rPr/>
        <w:t>de</w:t>
      </w:r>
      <w:r>
        <w:rPr>
          <w:spacing w:val="-9"/>
        </w:rPr>
        <w:t> </w:t>
      </w:r>
      <w:r>
        <w:rPr/>
        <w:t>los</w:t>
      </w:r>
      <w:r>
        <w:rPr>
          <w:spacing w:val="-8"/>
        </w:rPr>
        <w:t> </w:t>
      </w:r>
      <w:r>
        <w:rPr/>
        <w:t>recursos</w:t>
      </w:r>
      <w:r>
        <w:rPr>
          <w:spacing w:val="-8"/>
        </w:rPr>
        <w:t> </w:t>
      </w:r>
      <w:r>
        <w:rPr/>
        <w:t>del</w:t>
      </w:r>
      <w:r>
        <w:rPr>
          <w:spacing w:val="-8"/>
        </w:rPr>
        <w:t> </w:t>
      </w:r>
      <w:r>
        <w:rPr/>
        <w:t>erario;</w:t>
      </w:r>
      <w:r>
        <w:rPr>
          <w:spacing w:val="-7"/>
        </w:rPr>
        <w:t> </w:t>
      </w:r>
      <w:r>
        <w:rPr/>
        <w:t>sin</w:t>
      </w:r>
      <w:r>
        <w:rPr>
          <w:spacing w:val="-9"/>
        </w:rPr>
        <w:t> </w:t>
      </w:r>
      <w:r>
        <w:rPr/>
        <w:t>embargo,</w:t>
      </w:r>
      <w:r>
        <w:rPr>
          <w:spacing w:val="-7"/>
        </w:rPr>
        <w:t> </w:t>
      </w:r>
      <w:r>
        <w:rPr/>
        <w:t>la teoría</w:t>
      </w:r>
      <w:r>
        <w:rPr>
          <w:spacing w:val="-9"/>
        </w:rPr>
        <w:t> </w:t>
      </w:r>
      <w:r>
        <w:rPr/>
        <w:t>de</w:t>
      </w:r>
      <w:r>
        <w:rPr>
          <w:spacing w:val="-9"/>
        </w:rPr>
        <w:t> </w:t>
      </w:r>
      <w:r>
        <w:rPr/>
        <w:t>la</w:t>
      </w:r>
      <w:r>
        <w:rPr>
          <w:spacing w:val="-9"/>
        </w:rPr>
        <w:t> </w:t>
      </w:r>
      <w:r>
        <w:rPr/>
        <w:t>división</w:t>
      </w:r>
      <w:r>
        <w:rPr>
          <w:spacing w:val="-9"/>
        </w:rPr>
        <w:t> </w:t>
      </w:r>
      <w:r>
        <w:rPr/>
        <w:t>de</w:t>
      </w:r>
      <w:r>
        <w:rPr>
          <w:spacing w:val="-9"/>
        </w:rPr>
        <w:t> </w:t>
      </w:r>
      <w:r>
        <w:rPr/>
        <w:t>poderes</w:t>
      </w:r>
      <w:r>
        <w:rPr>
          <w:spacing w:val="-7"/>
        </w:rPr>
        <w:t> </w:t>
      </w:r>
      <w:r>
        <w:rPr/>
        <w:t>promulga</w:t>
      </w:r>
      <w:r>
        <w:rPr>
          <w:spacing w:val="-9"/>
        </w:rPr>
        <w:t> </w:t>
      </w:r>
      <w:r>
        <w:rPr/>
        <w:t>que</w:t>
      </w:r>
      <w:r>
        <w:rPr>
          <w:spacing w:val="-9"/>
        </w:rPr>
        <w:t> </w:t>
      </w:r>
      <w:r>
        <w:rPr/>
        <w:t>el</w:t>
      </w:r>
      <w:r>
        <w:rPr>
          <w:spacing w:val="-8"/>
        </w:rPr>
        <w:t> </w:t>
      </w:r>
      <w:r>
        <w:rPr/>
        <w:t>poder</w:t>
      </w:r>
      <w:r>
        <w:rPr>
          <w:spacing w:val="-7"/>
        </w:rPr>
        <w:t> </w:t>
      </w:r>
      <w:r>
        <w:rPr/>
        <w:t>controle</w:t>
      </w:r>
      <w:r>
        <w:rPr>
          <w:spacing w:val="-9"/>
        </w:rPr>
        <w:t> </w:t>
      </w:r>
      <w:r>
        <w:rPr/>
        <w:t>al</w:t>
      </w:r>
      <w:r>
        <w:rPr>
          <w:spacing w:val="-5"/>
        </w:rPr>
        <w:t> </w:t>
      </w:r>
      <w:r>
        <w:rPr/>
        <w:t>mismo</w:t>
      </w:r>
      <w:r>
        <w:rPr>
          <w:spacing w:val="-9"/>
        </w:rPr>
        <w:t> </w:t>
      </w:r>
      <w:r>
        <w:rPr/>
        <w:t>poder,</w:t>
      </w:r>
      <w:r>
        <w:rPr>
          <w:spacing w:val="-6"/>
        </w:rPr>
        <w:t> </w:t>
      </w:r>
      <w:r>
        <w:rPr/>
        <w:t>por lo que lo poderes de la Unión deben tener un ámbito</w:t>
      </w:r>
      <w:r>
        <w:rPr>
          <w:spacing w:val="-32"/>
        </w:rPr>
        <w:t> </w:t>
      </w:r>
      <w:r>
        <w:rPr/>
        <w:t>limitado.</w:t>
      </w:r>
    </w:p>
    <w:p>
      <w:pPr>
        <w:pStyle w:val="BodyText"/>
        <w:spacing w:line="357" w:lineRule="auto" w:before="6"/>
        <w:ind w:left="100" w:right="104" w:firstLine="427"/>
        <w:jc w:val="both"/>
      </w:pPr>
      <w:r>
        <w:rPr/>
        <w:t>La</w:t>
      </w:r>
      <w:r>
        <w:rPr>
          <w:spacing w:val="-15"/>
        </w:rPr>
        <w:t> </w:t>
      </w:r>
      <w:r>
        <w:rPr/>
        <w:t>razón</w:t>
      </w:r>
      <w:r>
        <w:rPr>
          <w:spacing w:val="-15"/>
        </w:rPr>
        <w:t> </w:t>
      </w:r>
      <w:r>
        <w:rPr/>
        <w:t>de</w:t>
      </w:r>
      <w:r>
        <w:rPr>
          <w:spacing w:val="-15"/>
        </w:rPr>
        <w:t> </w:t>
      </w:r>
      <w:r>
        <w:rPr/>
        <w:t>la</w:t>
      </w:r>
      <w:r>
        <w:rPr>
          <w:spacing w:val="-15"/>
        </w:rPr>
        <w:t> </w:t>
      </w:r>
      <w:r>
        <w:rPr/>
        <w:t>existencia</w:t>
      </w:r>
      <w:r>
        <w:rPr>
          <w:spacing w:val="-15"/>
        </w:rPr>
        <w:t> </w:t>
      </w:r>
      <w:r>
        <w:rPr/>
        <w:t>del</w:t>
      </w:r>
      <w:r>
        <w:rPr>
          <w:spacing w:val="-14"/>
        </w:rPr>
        <w:t> </w:t>
      </w:r>
      <w:r>
        <w:rPr/>
        <w:t>Estado</w:t>
      </w:r>
      <w:r>
        <w:rPr>
          <w:spacing w:val="-15"/>
        </w:rPr>
        <w:t> </w:t>
      </w:r>
      <w:r>
        <w:rPr/>
        <w:t>es</w:t>
      </w:r>
      <w:r>
        <w:rPr>
          <w:spacing w:val="-13"/>
        </w:rPr>
        <w:t> </w:t>
      </w:r>
      <w:r>
        <w:rPr/>
        <w:t>la</w:t>
      </w:r>
      <w:r>
        <w:rPr>
          <w:spacing w:val="-15"/>
        </w:rPr>
        <w:t> </w:t>
      </w:r>
      <w:r>
        <w:rPr/>
        <w:t>sociedad,</w:t>
      </w:r>
      <w:r>
        <w:rPr>
          <w:spacing w:val="-8"/>
        </w:rPr>
        <w:t> </w:t>
      </w:r>
      <w:r>
        <w:rPr/>
        <w:t>y</w:t>
      </w:r>
      <w:r>
        <w:rPr>
          <w:spacing w:val="-17"/>
        </w:rPr>
        <w:t> </w:t>
      </w:r>
      <w:r>
        <w:rPr/>
        <w:t>es</w:t>
      </w:r>
      <w:r>
        <w:rPr>
          <w:spacing w:val="-9"/>
        </w:rPr>
        <w:t> </w:t>
      </w:r>
      <w:r>
        <w:rPr/>
        <w:t>la</w:t>
      </w:r>
      <w:r>
        <w:rPr>
          <w:spacing w:val="-15"/>
        </w:rPr>
        <w:t> </w:t>
      </w:r>
      <w:r>
        <w:rPr/>
        <w:t>sociedad</w:t>
      </w:r>
      <w:r>
        <w:rPr>
          <w:spacing w:val="-11"/>
        </w:rPr>
        <w:t> </w:t>
      </w:r>
      <w:r>
        <w:rPr/>
        <w:t>quien</w:t>
      </w:r>
      <w:r>
        <w:rPr>
          <w:spacing w:val="-11"/>
        </w:rPr>
        <w:t> </w:t>
      </w:r>
      <w:r>
        <w:rPr/>
        <w:t>debe calificar</w:t>
      </w:r>
      <w:r>
        <w:rPr>
          <w:spacing w:val="40"/>
        </w:rPr>
        <w:t> </w:t>
      </w:r>
      <w:r>
        <w:rPr/>
        <w:t>la</w:t>
      </w:r>
      <w:r>
        <w:rPr>
          <w:spacing w:val="35"/>
        </w:rPr>
        <w:t> </w:t>
      </w:r>
      <w:r>
        <w:rPr/>
        <w:t>efectividad</w:t>
      </w:r>
      <w:r>
        <w:rPr>
          <w:spacing w:val="35"/>
        </w:rPr>
        <w:t> </w:t>
      </w:r>
      <w:r>
        <w:rPr/>
        <w:t>de</w:t>
      </w:r>
      <w:r>
        <w:rPr>
          <w:spacing w:val="35"/>
        </w:rPr>
        <w:t> </w:t>
      </w:r>
      <w:r>
        <w:rPr/>
        <w:t>las</w:t>
      </w:r>
      <w:r>
        <w:rPr>
          <w:spacing w:val="37"/>
        </w:rPr>
        <w:t> </w:t>
      </w:r>
      <w:r>
        <w:rPr/>
        <w:t>políticas</w:t>
      </w:r>
      <w:r>
        <w:rPr>
          <w:spacing w:val="37"/>
        </w:rPr>
        <w:t> </w:t>
      </w:r>
      <w:r>
        <w:rPr/>
        <w:t>públicas</w:t>
      </w:r>
      <w:r>
        <w:rPr>
          <w:spacing w:val="37"/>
        </w:rPr>
        <w:t> </w:t>
      </w:r>
      <w:r>
        <w:rPr/>
        <w:t>llevadas</w:t>
      </w:r>
      <w:r>
        <w:rPr>
          <w:spacing w:val="37"/>
        </w:rPr>
        <w:t> </w:t>
      </w:r>
      <w:r>
        <w:rPr/>
        <w:t>a</w:t>
      </w:r>
      <w:r>
        <w:rPr>
          <w:spacing w:val="35"/>
        </w:rPr>
        <w:t> </w:t>
      </w:r>
      <w:r>
        <w:rPr/>
        <w:t>cabo</w:t>
      </w:r>
      <w:r>
        <w:rPr>
          <w:spacing w:val="35"/>
        </w:rPr>
        <w:t> </w:t>
      </w:r>
      <w:r>
        <w:rPr/>
        <w:t>por</w:t>
      </w:r>
      <w:r>
        <w:rPr>
          <w:spacing w:val="37"/>
        </w:rPr>
        <w:t> </w:t>
      </w:r>
      <w:r>
        <w:rPr/>
        <w:t>el</w:t>
      </w:r>
      <w:r>
        <w:rPr>
          <w:spacing w:val="36"/>
        </w:rPr>
        <w:t> </w:t>
      </w:r>
      <w:r>
        <w:rPr/>
        <w:t>gobierno.</w:t>
      </w:r>
    </w:p>
    <w:p>
      <w:pPr>
        <w:pStyle w:val="BodyText"/>
        <w:spacing w:line="360" w:lineRule="auto" w:before="8"/>
        <w:ind w:left="100" w:right="100"/>
        <w:jc w:val="both"/>
      </w:pPr>
      <w:r>
        <w:rPr/>
        <w:t>¿Cómo implementar políticas públicas exitosas de rendición de cuentas? ¿Es responsabilidad exclusiva del Estado combatir la corrupción? ¿Es posible que las instituciones de rendición de cuentas puedan combatir la corrupción sin tener que politizarse?</w:t>
      </w:r>
    </w:p>
    <w:p>
      <w:pPr>
        <w:pStyle w:val="BodyText"/>
        <w:spacing w:line="360" w:lineRule="auto" w:before="5"/>
        <w:ind w:left="100" w:right="100" w:firstLine="427"/>
        <w:jc w:val="both"/>
      </w:pPr>
      <w:r>
        <w:rPr/>
        <w:t>Una efectiva rendición de cuentas debe eficientar el servicio público y prevenir los actos de corrupción, aplicar correctamente los recursos en lo que fueron destinados ¿Cómo lograrlo? Lo anterior sugiere un análisis de la red de rendición de cuentas y generar propuestas para lograr la eficiencia de las políticas públicas en la obtención de un valor público (impactos sociales y económicos positivos). Lo anterior es posible cuando la sociedad adquiere conciencia sobre su responsabilidad cívica y se convierte en un elemento altamente demandante.</w:t>
      </w:r>
    </w:p>
    <w:p>
      <w:pPr>
        <w:pStyle w:val="BodyText"/>
        <w:spacing w:line="360" w:lineRule="auto" w:before="2"/>
        <w:ind w:left="100" w:right="99" w:firstLine="427"/>
        <w:jc w:val="both"/>
      </w:pPr>
      <w:r>
        <w:rPr/>
        <w:t>En la investigación se presenta una medición el desempeño del Estado mexicano a través de un conjunto específico de efectos de la rendición de cuentas contra las prácticas corruptas. El presente análisis se basa en gran medida en la ciencia</w:t>
      </w:r>
      <w:r>
        <w:rPr>
          <w:spacing w:val="-18"/>
        </w:rPr>
        <w:t> </w:t>
      </w:r>
      <w:r>
        <w:rPr/>
        <w:t>política,</w:t>
      </w:r>
      <w:r>
        <w:rPr>
          <w:spacing w:val="-15"/>
        </w:rPr>
        <w:t> </w:t>
      </w:r>
      <w:r>
        <w:rPr/>
        <w:t>la</w:t>
      </w:r>
      <w:r>
        <w:rPr>
          <w:spacing w:val="-18"/>
        </w:rPr>
        <w:t> </w:t>
      </w:r>
      <w:r>
        <w:rPr/>
        <w:t>cual</w:t>
      </w:r>
      <w:r>
        <w:rPr>
          <w:spacing w:val="-17"/>
        </w:rPr>
        <w:t> </w:t>
      </w:r>
      <w:r>
        <w:rPr/>
        <w:t>facilitó</w:t>
      </w:r>
      <w:r>
        <w:rPr>
          <w:spacing w:val="-16"/>
        </w:rPr>
        <w:t> </w:t>
      </w:r>
      <w:r>
        <w:rPr/>
        <w:t>la</w:t>
      </w:r>
      <w:r>
        <w:rPr>
          <w:spacing w:val="-18"/>
        </w:rPr>
        <w:t> </w:t>
      </w:r>
      <w:r>
        <w:rPr/>
        <w:t>comprensión</w:t>
      </w:r>
      <w:r>
        <w:rPr>
          <w:spacing w:val="-18"/>
        </w:rPr>
        <w:t> </w:t>
      </w:r>
      <w:r>
        <w:rPr/>
        <w:t>a</w:t>
      </w:r>
      <w:r>
        <w:rPr>
          <w:spacing w:val="-18"/>
        </w:rPr>
        <w:t> </w:t>
      </w:r>
      <w:r>
        <w:rPr/>
        <w:t>fondo</w:t>
      </w:r>
      <w:r>
        <w:rPr>
          <w:spacing w:val="-18"/>
        </w:rPr>
        <w:t> </w:t>
      </w:r>
      <w:r>
        <w:rPr/>
        <w:t>de</w:t>
      </w:r>
      <w:r>
        <w:rPr>
          <w:spacing w:val="-18"/>
        </w:rPr>
        <w:t> </w:t>
      </w:r>
      <w:r>
        <w:rPr/>
        <w:t>los</w:t>
      </w:r>
      <w:r>
        <w:rPr>
          <w:spacing w:val="-16"/>
        </w:rPr>
        <w:t> </w:t>
      </w:r>
      <w:r>
        <w:rPr/>
        <w:t>procesos</w:t>
      </w:r>
      <w:r>
        <w:rPr>
          <w:spacing w:val="-16"/>
        </w:rPr>
        <w:t> </w:t>
      </w:r>
      <w:r>
        <w:rPr/>
        <w:t>de</w:t>
      </w:r>
      <w:r>
        <w:rPr>
          <w:spacing w:val="-18"/>
        </w:rPr>
        <w:t> </w:t>
      </w:r>
      <w:r>
        <w:rPr/>
        <w:t>interacción entre la política, el Estado y la rendición de cuentas. Ella también permitió la identificación de las principales variables y factores responsables del desempeño del Estado</w:t>
      </w:r>
      <w:r>
        <w:rPr>
          <w:spacing w:val="-12"/>
        </w:rPr>
        <w:t> </w:t>
      </w:r>
      <w:r>
        <w:rPr/>
        <w:t>mexicano.</w:t>
      </w:r>
    </w:p>
    <w:p>
      <w:pPr>
        <w:pStyle w:val="BodyText"/>
        <w:spacing w:line="360" w:lineRule="auto" w:before="6"/>
        <w:ind w:left="100" w:right="102" w:firstLine="427"/>
        <w:jc w:val="both"/>
      </w:pPr>
      <w:r>
        <w:rPr/>
        <w:t>El</w:t>
      </w:r>
      <w:r>
        <w:rPr>
          <w:spacing w:val="-20"/>
        </w:rPr>
        <w:t> </w:t>
      </w:r>
      <w:r>
        <w:rPr/>
        <w:t>tipo</w:t>
      </w:r>
      <w:r>
        <w:rPr>
          <w:spacing w:val="-20"/>
        </w:rPr>
        <w:t> </w:t>
      </w:r>
      <w:r>
        <w:rPr/>
        <w:t>de</w:t>
      </w:r>
      <w:r>
        <w:rPr>
          <w:spacing w:val="-20"/>
        </w:rPr>
        <w:t> </w:t>
      </w:r>
      <w:r>
        <w:rPr/>
        <w:t>investigación</w:t>
      </w:r>
      <w:r>
        <w:rPr>
          <w:spacing w:val="-20"/>
        </w:rPr>
        <w:t> </w:t>
      </w:r>
      <w:r>
        <w:rPr/>
        <w:t>empleada</w:t>
      </w:r>
      <w:r>
        <w:rPr>
          <w:spacing w:val="-20"/>
        </w:rPr>
        <w:t> </w:t>
      </w:r>
      <w:r>
        <w:rPr/>
        <w:t>inicialmente</w:t>
      </w:r>
      <w:r>
        <w:rPr>
          <w:spacing w:val="-20"/>
        </w:rPr>
        <w:t> </w:t>
      </w:r>
      <w:r>
        <w:rPr/>
        <w:t>es</w:t>
      </w:r>
      <w:r>
        <w:rPr>
          <w:spacing w:val="-15"/>
        </w:rPr>
        <w:t> </w:t>
      </w:r>
      <w:r>
        <w:rPr/>
        <w:t>evaluativa</w:t>
      </w:r>
      <w:r>
        <w:rPr>
          <w:spacing w:val="29"/>
        </w:rPr>
        <w:t> </w:t>
      </w:r>
      <w:r>
        <w:rPr/>
        <w:t>y</w:t>
      </w:r>
      <w:r>
        <w:rPr>
          <w:spacing w:val="-22"/>
        </w:rPr>
        <w:t> </w:t>
      </w:r>
      <w:r>
        <w:rPr/>
        <w:t>se</w:t>
      </w:r>
      <w:r>
        <w:rPr>
          <w:spacing w:val="-20"/>
        </w:rPr>
        <w:t> </w:t>
      </w:r>
      <w:r>
        <w:rPr/>
        <w:t>presenta</w:t>
      </w:r>
      <w:r>
        <w:rPr>
          <w:spacing w:val="-20"/>
        </w:rPr>
        <w:t> </w:t>
      </w:r>
      <w:r>
        <w:rPr/>
        <w:t>como un modelo de aplicación de los métodos de investigación para medir los resultados de un programa con respecto de sus</w:t>
      </w:r>
      <w:r>
        <w:rPr>
          <w:spacing w:val="-24"/>
        </w:rPr>
        <w:t> </w:t>
      </w:r>
      <w:r>
        <w:rPr/>
        <w:t>objetivos.</w:t>
      </w:r>
    </w:p>
    <w:p>
      <w:pPr>
        <w:pStyle w:val="BodyText"/>
        <w:spacing w:line="360" w:lineRule="auto" w:before="2"/>
        <w:ind w:left="100" w:right="98" w:firstLine="424"/>
        <w:jc w:val="both"/>
      </w:pPr>
      <w:r>
        <w:rPr/>
        <w:t>Se realiza un análisis comparativo entre los resultados de las políticas de rendición de cuentas llevadas por las instituciones de algunos países avanzados y de México. Debido a la naturaleza de las variables involucradas (estocásticas) y el</w:t>
      </w:r>
    </w:p>
    <w:p>
      <w:pPr>
        <w:spacing w:after="0" w:line="360" w:lineRule="auto"/>
        <w:jc w:val="both"/>
        <w:sectPr>
          <w:pgSz w:w="12240" w:h="15840"/>
          <w:pgMar w:header="0" w:footer="938" w:top="1360" w:bottom="1180" w:left="1600" w:right="1600"/>
        </w:sectPr>
      </w:pPr>
    </w:p>
    <w:p>
      <w:pPr>
        <w:pStyle w:val="BodyText"/>
        <w:spacing w:line="360" w:lineRule="auto" w:before="55"/>
        <w:ind w:left="100" w:right="116"/>
        <w:jc w:val="both"/>
      </w:pPr>
      <w:r>
        <w:rPr/>
        <w:t>tipo de investigación (social). El diseño de investigación es de dos tipos: a) No experimental: Cuando se realiza un estudio sin manipular deliberadamente las variables (no determinístico) y b) de medición: relación cuantitativa entre el objeto que se estudia y otro que toma como unidad comparativa.</w:t>
      </w:r>
    </w:p>
    <w:p>
      <w:pPr>
        <w:pStyle w:val="BodyText"/>
        <w:spacing w:line="360" w:lineRule="auto" w:before="2"/>
        <w:ind w:left="100" w:right="124" w:firstLine="424"/>
        <w:jc w:val="both"/>
      </w:pPr>
      <w:r>
        <w:rPr/>
        <w:t>Un conjunto de 20 estudios, nacionales e internacionales, son considerados como la principal fuente de índices de desempeño del Estado. Estos estudios incluyen tanto variables cuantitativas como cualitativas sobre la política y la rendición de cuentas del Estado. Por otro lado, también se llevó a cabo una comparación</w:t>
      </w:r>
      <w:r>
        <w:rPr>
          <w:spacing w:val="-8"/>
        </w:rPr>
        <w:t> </w:t>
      </w:r>
      <w:r>
        <w:rPr/>
        <w:t>de</w:t>
      </w:r>
      <w:r>
        <w:rPr>
          <w:spacing w:val="-4"/>
        </w:rPr>
        <w:t> </w:t>
      </w:r>
      <w:r>
        <w:rPr/>
        <w:t>la</w:t>
      </w:r>
      <w:r>
        <w:rPr>
          <w:spacing w:val="-4"/>
        </w:rPr>
        <w:t> </w:t>
      </w:r>
      <w:r>
        <w:rPr/>
        <w:t>política</w:t>
      </w:r>
      <w:r>
        <w:rPr>
          <w:spacing w:val="-4"/>
        </w:rPr>
        <w:t> </w:t>
      </w:r>
      <w:r>
        <w:rPr/>
        <w:t>y</w:t>
      </w:r>
      <w:r>
        <w:rPr>
          <w:spacing w:val="-7"/>
        </w:rPr>
        <w:t> </w:t>
      </w:r>
      <w:r>
        <w:rPr/>
        <w:t>la</w:t>
      </w:r>
      <w:r>
        <w:rPr>
          <w:spacing w:val="-8"/>
        </w:rPr>
        <w:t> </w:t>
      </w:r>
      <w:r>
        <w:rPr/>
        <w:t>rendición</w:t>
      </w:r>
      <w:r>
        <w:rPr>
          <w:spacing w:val="-8"/>
        </w:rPr>
        <w:t> </w:t>
      </w:r>
      <w:r>
        <w:rPr/>
        <w:t>de</w:t>
      </w:r>
      <w:r>
        <w:rPr>
          <w:spacing w:val="-8"/>
        </w:rPr>
        <w:t> </w:t>
      </w:r>
      <w:r>
        <w:rPr/>
        <w:t>cuentas</w:t>
      </w:r>
      <w:r>
        <w:rPr>
          <w:spacing w:val="-6"/>
        </w:rPr>
        <w:t> </w:t>
      </w:r>
      <w:r>
        <w:rPr/>
        <w:t>de</w:t>
      </w:r>
      <w:r>
        <w:rPr>
          <w:spacing w:val="-4"/>
        </w:rPr>
        <w:t> </w:t>
      </w:r>
      <w:r>
        <w:rPr/>
        <w:t>México</w:t>
      </w:r>
      <w:r>
        <w:rPr>
          <w:spacing w:val="-4"/>
        </w:rPr>
        <w:t> </w:t>
      </w:r>
      <w:r>
        <w:rPr/>
        <w:t>y</w:t>
      </w:r>
      <w:r>
        <w:rPr>
          <w:spacing w:val="-10"/>
        </w:rPr>
        <w:t> </w:t>
      </w:r>
      <w:r>
        <w:rPr/>
        <w:t>de</w:t>
      </w:r>
      <w:r>
        <w:rPr>
          <w:spacing w:val="-8"/>
        </w:rPr>
        <w:t> </w:t>
      </w:r>
      <w:r>
        <w:rPr/>
        <w:t>algunos</w:t>
      </w:r>
      <w:r>
        <w:rPr>
          <w:spacing w:val="-2"/>
        </w:rPr>
        <w:t> </w:t>
      </w:r>
      <w:r>
        <w:rPr/>
        <w:t>países avanzados.</w:t>
      </w:r>
    </w:p>
    <w:p>
      <w:pPr>
        <w:pStyle w:val="BodyText"/>
        <w:spacing w:line="360" w:lineRule="auto" w:before="2"/>
        <w:ind w:left="100" w:right="120" w:firstLine="427"/>
        <w:jc w:val="both"/>
      </w:pPr>
      <w:r>
        <w:rPr>
          <w:color w:val="333333"/>
        </w:rPr>
        <w:t>La</w:t>
      </w:r>
      <w:r>
        <w:rPr>
          <w:color w:val="333333"/>
          <w:spacing w:val="-17"/>
        </w:rPr>
        <w:t> </w:t>
      </w:r>
      <w:r>
        <w:rPr>
          <w:color w:val="333333"/>
        </w:rPr>
        <w:t>presente</w:t>
      </w:r>
      <w:r>
        <w:rPr>
          <w:color w:val="333333"/>
          <w:spacing w:val="-17"/>
        </w:rPr>
        <w:t> </w:t>
      </w:r>
      <w:r>
        <w:rPr>
          <w:color w:val="333333"/>
        </w:rPr>
        <w:t>investigación</w:t>
      </w:r>
      <w:r>
        <w:rPr>
          <w:color w:val="333333"/>
          <w:spacing w:val="-17"/>
        </w:rPr>
        <w:t> </w:t>
      </w:r>
      <w:r>
        <w:rPr>
          <w:color w:val="333333"/>
        </w:rPr>
        <w:t>determinó</w:t>
      </w:r>
      <w:r>
        <w:rPr>
          <w:color w:val="333333"/>
          <w:spacing w:val="-17"/>
        </w:rPr>
        <w:t> </w:t>
      </w:r>
      <w:r>
        <w:rPr>
          <w:color w:val="333333"/>
        </w:rPr>
        <w:t>que</w:t>
      </w:r>
      <w:r>
        <w:rPr>
          <w:color w:val="333333"/>
          <w:spacing w:val="-17"/>
        </w:rPr>
        <w:t> </w:t>
      </w:r>
      <w:r>
        <w:rPr>
          <w:color w:val="333333"/>
        </w:rPr>
        <w:t>la</w:t>
      </w:r>
      <w:r>
        <w:rPr>
          <w:color w:val="333333"/>
          <w:spacing w:val="-17"/>
        </w:rPr>
        <w:t> </w:t>
      </w:r>
      <w:r>
        <w:rPr>
          <w:color w:val="333333"/>
        </w:rPr>
        <w:t>clase</w:t>
      </w:r>
      <w:r>
        <w:rPr>
          <w:color w:val="333333"/>
          <w:spacing w:val="-17"/>
        </w:rPr>
        <w:t> </w:t>
      </w:r>
      <w:r>
        <w:rPr>
          <w:color w:val="333333"/>
        </w:rPr>
        <w:t>política</w:t>
      </w:r>
      <w:r>
        <w:rPr>
          <w:color w:val="333333"/>
          <w:spacing w:val="-17"/>
        </w:rPr>
        <w:t> </w:t>
      </w:r>
      <w:r>
        <w:rPr>
          <w:color w:val="333333"/>
        </w:rPr>
        <w:t>sin</w:t>
      </w:r>
      <w:r>
        <w:rPr>
          <w:color w:val="333333"/>
          <w:spacing w:val="-13"/>
        </w:rPr>
        <w:t> </w:t>
      </w:r>
      <w:r>
        <w:rPr>
          <w:color w:val="333333"/>
        </w:rPr>
        <w:t>duda</w:t>
      </w:r>
      <w:r>
        <w:rPr>
          <w:color w:val="333333"/>
          <w:spacing w:val="-17"/>
        </w:rPr>
        <w:t> </w:t>
      </w:r>
      <w:r>
        <w:rPr>
          <w:color w:val="333333"/>
        </w:rPr>
        <w:t>puede</w:t>
      </w:r>
      <w:r>
        <w:rPr>
          <w:color w:val="333333"/>
          <w:spacing w:val="-17"/>
        </w:rPr>
        <w:t> </w:t>
      </w:r>
      <w:r>
        <w:rPr>
          <w:color w:val="333333"/>
        </w:rPr>
        <w:t>apoyar </w:t>
      </w:r>
      <w:r>
        <w:rPr/>
        <w:t>las medidas de rendición de cuentas, esto es posible si el Estado mexicano distingue entre política y administración. En esta tesis se concluye que si el Estado implementa una arquitectura institucional, en paralelo con una sociedad altamente participativa, la rendición de cuentas se fortalecerá. Por último, se concluye que la gobernanza, a través de principios políticos, puede servir para erradicar la fragmentación que hay en la implementación de las políticas</w:t>
      </w:r>
      <w:r>
        <w:rPr>
          <w:spacing w:val="-39"/>
        </w:rPr>
        <w:t> </w:t>
      </w:r>
      <w:r>
        <w:rPr/>
        <w:t>públicas.</w:t>
      </w:r>
    </w:p>
    <w:p>
      <w:pPr>
        <w:pStyle w:val="BodyText"/>
        <w:spacing w:line="360" w:lineRule="auto" w:before="6"/>
        <w:ind w:left="100" w:right="116" w:firstLine="427"/>
        <w:jc w:val="both"/>
      </w:pPr>
      <w:r>
        <w:rPr/>
        <w:t>En general, esta investigación encontró que una rendición de cuentas sólida, puede sentar las bases para que la sociedad mexicana cambie su percepción del Estado.</w:t>
      </w:r>
      <w:r>
        <w:rPr>
          <w:spacing w:val="-13"/>
        </w:rPr>
        <w:t> </w:t>
      </w:r>
      <w:r>
        <w:rPr/>
        <w:t>Esto</w:t>
      </w:r>
      <w:r>
        <w:rPr>
          <w:spacing w:val="-16"/>
        </w:rPr>
        <w:t> </w:t>
      </w:r>
      <w:r>
        <w:rPr/>
        <w:t>cambio</w:t>
      </w:r>
      <w:r>
        <w:rPr>
          <w:spacing w:val="-16"/>
        </w:rPr>
        <w:t> </w:t>
      </w:r>
      <w:r>
        <w:rPr/>
        <w:t>será</w:t>
      </w:r>
      <w:r>
        <w:rPr>
          <w:spacing w:val="-12"/>
        </w:rPr>
        <w:t> </w:t>
      </w:r>
      <w:r>
        <w:rPr/>
        <w:t>posible</w:t>
      </w:r>
      <w:r>
        <w:rPr>
          <w:spacing w:val="-16"/>
        </w:rPr>
        <w:t> </w:t>
      </w:r>
      <w:r>
        <w:rPr/>
        <w:t>si</w:t>
      </w:r>
      <w:r>
        <w:rPr>
          <w:spacing w:val="-15"/>
        </w:rPr>
        <w:t> </w:t>
      </w:r>
      <w:r>
        <w:rPr/>
        <w:t>el</w:t>
      </w:r>
      <w:r>
        <w:rPr>
          <w:spacing w:val="-11"/>
        </w:rPr>
        <w:t> </w:t>
      </w:r>
      <w:r>
        <w:rPr/>
        <w:t>Congreso</w:t>
      </w:r>
      <w:r>
        <w:rPr>
          <w:spacing w:val="-16"/>
        </w:rPr>
        <w:t> </w:t>
      </w:r>
      <w:r>
        <w:rPr/>
        <w:t>se</w:t>
      </w:r>
      <w:r>
        <w:rPr>
          <w:spacing w:val="-12"/>
        </w:rPr>
        <w:t> </w:t>
      </w:r>
      <w:r>
        <w:rPr/>
        <w:t>dedica</w:t>
      </w:r>
      <w:r>
        <w:rPr>
          <w:spacing w:val="-16"/>
        </w:rPr>
        <w:t> </w:t>
      </w:r>
      <w:r>
        <w:rPr/>
        <w:t>a</w:t>
      </w:r>
      <w:r>
        <w:rPr>
          <w:spacing w:val="-12"/>
        </w:rPr>
        <w:t> </w:t>
      </w:r>
      <w:r>
        <w:rPr/>
        <w:t>la</w:t>
      </w:r>
      <w:r>
        <w:rPr>
          <w:spacing w:val="-16"/>
        </w:rPr>
        <w:t> </w:t>
      </w:r>
      <w:r>
        <w:rPr/>
        <w:t>rendición</w:t>
      </w:r>
      <w:r>
        <w:rPr>
          <w:spacing w:val="-12"/>
        </w:rPr>
        <w:t> </w:t>
      </w:r>
      <w:r>
        <w:rPr/>
        <w:t>de</w:t>
      </w:r>
      <w:r>
        <w:rPr>
          <w:spacing w:val="-16"/>
        </w:rPr>
        <w:t> </w:t>
      </w:r>
      <w:r>
        <w:rPr/>
        <w:t>cuentas en</w:t>
      </w:r>
      <w:r>
        <w:rPr>
          <w:spacing w:val="-14"/>
        </w:rPr>
        <w:t> </w:t>
      </w:r>
      <w:r>
        <w:rPr/>
        <w:t>profundidad.</w:t>
      </w:r>
    </w:p>
    <w:p>
      <w:pPr>
        <w:pStyle w:val="BodyText"/>
        <w:spacing w:line="360" w:lineRule="auto" w:before="6"/>
        <w:ind w:left="100" w:right="114" w:firstLine="427"/>
        <w:jc w:val="both"/>
      </w:pPr>
      <w:r>
        <w:rPr/>
        <w:t>Esta tesis afirma que para combatir la corrupción es necesario que la rendición de cuentas elimine la fragmentación de las políticas públicas e implemente bases para la gobernanza, lo cual sólo es posible si el Estado aplica los principios dela ciencia</w:t>
      </w:r>
      <w:r>
        <w:rPr>
          <w:spacing w:val="-5"/>
        </w:rPr>
        <w:t> </w:t>
      </w:r>
      <w:r>
        <w:rPr/>
        <w:t>política:</w:t>
      </w:r>
      <w:r>
        <w:rPr>
          <w:spacing w:val="-4"/>
        </w:rPr>
        <w:t> </w:t>
      </w:r>
      <w:r>
        <w:rPr/>
        <w:t>división</w:t>
      </w:r>
      <w:r>
        <w:rPr>
          <w:spacing w:val="-5"/>
        </w:rPr>
        <w:t> </w:t>
      </w:r>
      <w:r>
        <w:rPr/>
        <w:t>de</w:t>
      </w:r>
      <w:r>
        <w:rPr>
          <w:spacing w:val="-5"/>
        </w:rPr>
        <w:t> </w:t>
      </w:r>
      <w:r>
        <w:rPr/>
        <w:t>poderes,</w:t>
      </w:r>
      <w:r>
        <w:rPr>
          <w:spacing w:val="-4"/>
        </w:rPr>
        <w:t> </w:t>
      </w:r>
      <w:r>
        <w:rPr/>
        <w:t>instituciones</w:t>
      </w:r>
      <w:r>
        <w:rPr>
          <w:spacing w:val="-4"/>
        </w:rPr>
        <w:t> </w:t>
      </w:r>
      <w:r>
        <w:rPr/>
        <w:t>políticas</w:t>
      </w:r>
      <w:r>
        <w:rPr>
          <w:spacing w:val="-4"/>
        </w:rPr>
        <w:t> </w:t>
      </w:r>
      <w:r>
        <w:rPr/>
        <w:t>sólidas</w:t>
      </w:r>
      <w:r>
        <w:rPr>
          <w:spacing w:val="-4"/>
        </w:rPr>
        <w:t> </w:t>
      </w:r>
      <w:r>
        <w:rPr/>
        <w:t>y</w:t>
      </w:r>
      <w:r>
        <w:rPr>
          <w:spacing w:val="-8"/>
        </w:rPr>
        <w:t> </w:t>
      </w:r>
      <w:r>
        <w:rPr/>
        <w:t>que</w:t>
      </w:r>
      <w:r>
        <w:rPr>
          <w:spacing w:val="-5"/>
        </w:rPr>
        <w:t> </w:t>
      </w:r>
      <w:r>
        <w:rPr/>
        <w:t>se</w:t>
      </w:r>
      <w:r>
        <w:rPr>
          <w:spacing w:val="-5"/>
        </w:rPr>
        <w:t> </w:t>
      </w:r>
      <w:r>
        <w:rPr/>
        <w:t>lleven</w:t>
      </w:r>
      <w:r>
        <w:rPr>
          <w:spacing w:val="-5"/>
        </w:rPr>
        <w:t> </w:t>
      </w:r>
      <w:r>
        <w:rPr/>
        <w:t>a cabo medidas de política coordinada, entre otros</w:t>
      </w:r>
      <w:r>
        <w:rPr>
          <w:spacing w:val="-32"/>
        </w:rPr>
        <w:t> </w:t>
      </w:r>
      <w:r>
        <w:rPr/>
        <w:t>factores.</w:t>
      </w:r>
    </w:p>
    <w:p>
      <w:pPr>
        <w:pStyle w:val="BodyText"/>
        <w:spacing w:line="360" w:lineRule="auto" w:before="2"/>
        <w:ind w:left="100" w:right="122" w:firstLine="427"/>
        <w:jc w:val="both"/>
      </w:pPr>
      <w:r>
        <w:rPr/>
        <w:t>El propósito de la investigación es presentar una postura basada en la ciencia política –enfoque de la gobernanza-en la cual se resalta la importancia de participación coordinada de la sociedad, el sector público y el privado en aspectos políticos, con la perspectiva de servir para futuros estudios sobre modelos más incluyentes  de  administración  pública  en  México,  orientados  hacia  lograr  una</w:t>
      </w:r>
    </w:p>
    <w:p>
      <w:pPr>
        <w:spacing w:after="0" w:line="360" w:lineRule="auto"/>
        <w:jc w:val="both"/>
        <w:sectPr>
          <w:pgSz w:w="12240" w:h="15840"/>
          <w:pgMar w:header="0" w:footer="938" w:top="1360" w:bottom="1180" w:left="1600" w:right="1580"/>
        </w:sectPr>
      </w:pPr>
    </w:p>
    <w:p>
      <w:pPr>
        <w:pStyle w:val="BodyText"/>
        <w:spacing w:line="360" w:lineRule="auto" w:before="55"/>
        <w:ind w:left="100" w:right="201"/>
        <w:jc w:val="both"/>
      </w:pPr>
      <w:r>
        <w:rPr/>
        <w:t>eficiente interacción entre las instituciones y la sociedad. A través del documento, también se aspira a sensibilizar al lector sobre la importancia de la lucha contra la corrupción en el servicio público de México.</w:t>
      </w:r>
    </w:p>
    <w:p>
      <w:pPr>
        <w:pStyle w:val="BodyText"/>
        <w:spacing w:line="360" w:lineRule="auto" w:before="6"/>
        <w:ind w:left="100" w:right="197" w:firstLine="427"/>
        <w:jc w:val="both"/>
      </w:pPr>
      <w:r>
        <w:rPr/>
        <w:t>Para ello, la estructura de la investigación se presenta en cuatro capítulos. En el</w:t>
      </w:r>
      <w:r>
        <w:rPr>
          <w:spacing w:val="-5"/>
        </w:rPr>
        <w:t> </w:t>
      </w:r>
      <w:r>
        <w:rPr/>
        <w:t>capítulo</w:t>
      </w:r>
      <w:r>
        <w:rPr>
          <w:spacing w:val="-5"/>
        </w:rPr>
        <w:t> </w:t>
      </w:r>
      <w:r>
        <w:rPr/>
        <w:t>primero</w:t>
      </w:r>
      <w:r>
        <w:rPr>
          <w:spacing w:val="-3"/>
        </w:rPr>
        <w:t> </w:t>
      </w:r>
      <w:r>
        <w:rPr/>
        <w:t>se</w:t>
      </w:r>
      <w:r>
        <w:rPr>
          <w:spacing w:val="-5"/>
        </w:rPr>
        <w:t> </w:t>
      </w:r>
      <w:r>
        <w:rPr/>
        <w:t>analiza</w:t>
      </w:r>
      <w:r>
        <w:rPr>
          <w:spacing w:val="-5"/>
        </w:rPr>
        <w:t> </w:t>
      </w:r>
      <w:r>
        <w:rPr/>
        <w:t>la</w:t>
      </w:r>
      <w:r>
        <w:rPr>
          <w:spacing w:val="-5"/>
        </w:rPr>
        <w:t> </w:t>
      </w:r>
      <w:r>
        <w:rPr/>
        <w:t>contribución</w:t>
      </w:r>
      <w:r>
        <w:rPr>
          <w:spacing w:val="-5"/>
        </w:rPr>
        <w:t> </w:t>
      </w:r>
      <w:r>
        <w:rPr/>
        <w:t>de</w:t>
      </w:r>
      <w:r>
        <w:rPr>
          <w:spacing w:val="-5"/>
        </w:rPr>
        <w:t> </w:t>
      </w:r>
      <w:r>
        <w:rPr/>
        <w:t>la</w:t>
      </w:r>
      <w:r>
        <w:rPr>
          <w:spacing w:val="-5"/>
        </w:rPr>
        <w:t> </w:t>
      </w:r>
      <w:r>
        <w:rPr/>
        <w:t>ciencia</w:t>
      </w:r>
      <w:r>
        <w:rPr>
          <w:spacing w:val="-5"/>
        </w:rPr>
        <w:t> </w:t>
      </w:r>
      <w:r>
        <w:rPr/>
        <w:t>política</w:t>
      </w:r>
      <w:r>
        <w:rPr>
          <w:spacing w:val="-5"/>
        </w:rPr>
        <w:t> </w:t>
      </w:r>
      <w:r>
        <w:rPr/>
        <w:t>en</w:t>
      </w:r>
      <w:r>
        <w:rPr>
          <w:spacing w:val="-5"/>
        </w:rPr>
        <w:t> </w:t>
      </w:r>
      <w:r>
        <w:rPr/>
        <w:t>el</w:t>
      </w:r>
      <w:r>
        <w:rPr>
          <w:spacing w:val="-5"/>
        </w:rPr>
        <w:t> </w:t>
      </w:r>
      <w:r>
        <w:rPr/>
        <w:t>contexto</w:t>
      </w:r>
      <w:r>
        <w:rPr>
          <w:spacing w:val="-5"/>
        </w:rPr>
        <w:t> </w:t>
      </w:r>
      <w:r>
        <w:rPr/>
        <w:t>de los sistemas políticos de países avanzados y emergentes–mediante el enfoque de la gobernanza- y se considera que la atención de las demandas de la sociedad genera gobernabilidad y sistemas políticos</w:t>
      </w:r>
      <w:r>
        <w:rPr>
          <w:spacing w:val="-26"/>
        </w:rPr>
        <w:t> </w:t>
      </w:r>
      <w:r>
        <w:rPr/>
        <w:t>eficientes.</w:t>
      </w:r>
    </w:p>
    <w:p>
      <w:pPr>
        <w:pStyle w:val="BodyText"/>
        <w:spacing w:line="360" w:lineRule="auto" w:before="2"/>
        <w:ind w:left="100" w:right="199" w:firstLine="427"/>
        <w:jc w:val="right"/>
      </w:pPr>
      <w:r>
        <w:rPr/>
        <w:t>Las diversas formas de control que el Estado usa para lograr la legitimidad</w:t>
      </w:r>
      <w:r>
        <w:rPr>
          <w:spacing w:val="-16"/>
        </w:rPr>
        <w:t> </w:t>
      </w:r>
      <w:r>
        <w:rPr/>
        <w:t>y</w:t>
      </w:r>
      <w:r>
        <w:rPr>
          <w:spacing w:val="-2"/>
        </w:rPr>
        <w:t> </w:t>
      </w:r>
      <w:r>
        <w:rPr/>
        <w:t>el</w:t>
      </w:r>
      <w:r>
        <w:rPr>
          <w:w w:val="99"/>
        </w:rPr>
        <w:t> </w:t>
      </w:r>
      <w:r>
        <w:rPr/>
        <w:t>buen</w:t>
      </w:r>
      <w:r>
        <w:rPr>
          <w:spacing w:val="55"/>
        </w:rPr>
        <w:t> </w:t>
      </w:r>
      <w:r>
        <w:rPr/>
        <w:t>gobierno</w:t>
      </w:r>
      <w:r>
        <w:rPr>
          <w:spacing w:val="55"/>
        </w:rPr>
        <w:t> </w:t>
      </w:r>
      <w:r>
        <w:rPr/>
        <w:t>se</w:t>
      </w:r>
      <w:r>
        <w:rPr>
          <w:spacing w:val="55"/>
        </w:rPr>
        <w:t> </w:t>
      </w:r>
      <w:r>
        <w:rPr/>
        <w:t>revisan</w:t>
      </w:r>
      <w:r>
        <w:rPr>
          <w:spacing w:val="55"/>
        </w:rPr>
        <w:t> </w:t>
      </w:r>
      <w:r>
        <w:rPr/>
        <w:t>en</w:t>
      </w:r>
      <w:r>
        <w:rPr>
          <w:spacing w:val="55"/>
        </w:rPr>
        <w:t> </w:t>
      </w:r>
      <w:r>
        <w:rPr/>
        <w:t>el</w:t>
      </w:r>
      <w:r>
        <w:rPr>
          <w:spacing w:val="56"/>
        </w:rPr>
        <w:t> </w:t>
      </w:r>
      <w:r>
        <w:rPr/>
        <w:t>capítulo</w:t>
      </w:r>
      <w:r>
        <w:rPr>
          <w:spacing w:val="55"/>
        </w:rPr>
        <w:t> </w:t>
      </w:r>
      <w:r>
        <w:rPr/>
        <w:t>segundo.</w:t>
      </w:r>
      <w:r>
        <w:rPr>
          <w:spacing w:val="58"/>
        </w:rPr>
        <w:t> </w:t>
      </w:r>
      <w:r>
        <w:rPr/>
        <w:t>Para</w:t>
      </w:r>
      <w:r>
        <w:rPr>
          <w:spacing w:val="55"/>
        </w:rPr>
        <w:t> </w:t>
      </w:r>
      <w:r>
        <w:rPr/>
        <w:t>ello,</w:t>
      </w:r>
      <w:r>
        <w:rPr>
          <w:spacing w:val="58"/>
        </w:rPr>
        <w:t> </w:t>
      </w:r>
      <w:r>
        <w:rPr/>
        <w:t>se</w:t>
      </w:r>
      <w:r>
        <w:rPr>
          <w:spacing w:val="55"/>
        </w:rPr>
        <w:t> </w:t>
      </w:r>
      <w:r>
        <w:rPr/>
        <w:t>describen</w:t>
      </w:r>
      <w:r>
        <w:rPr>
          <w:spacing w:val="55"/>
        </w:rPr>
        <w:t> </w:t>
      </w:r>
      <w:r>
        <w:rPr/>
        <w:t>las características principales de los regímenes políticos democráticos,</w:t>
      </w:r>
      <w:r>
        <w:rPr>
          <w:spacing w:val="57"/>
        </w:rPr>
        <w:t> </w:t>
      </w:r>
      <w:r>
        <w:rPr/>
        <w:t>la</w:t>
      </w:r>
      <w:r>
        <w:rPr>
          <w:spacing w:val="6"/>
        </w:rPr>
        <w:t> </w:t>
      </w:r>
      <w:r>
        <w:rPr/>
        <w:t>importancia</w:t>
      </w:r>
      <w:r>
        <w:rPr>
          <w:w w:val="99"/>
        </w:rPr>
        <w:t> </w:t>
      </w:r>
      <w:r>
        <w:rPr/>
        <w:t>del</w:t>
      </w:r>
      <w:r>
        <w:rPr>
          <w:spacing w:val="-17"/>
        </w:rPr>
        <w:t> </w:t>
      </w:r>
      <w:r>
        <w:rPr/>
        <w:t>control</w:t>
      </w:r>
      <w:r>
        <w:rPr>
          <w:spacing w:val="-17"/>
        </w:rPr>
        <w:t> </w:t>
      </w:r>
      <w:r>
        <w:rPr/>
        <w:t>del</w:t>
      </w:r>
      <w:r>
        <w:rPr>
          <w:spacing w:val="-17"/>
        </w:rPr>
        <w:t> </w:t>
      </w:r>
      <w:r>
        <w:rPr/>
        <w:t>Estado</w:t>
      </w:r>
      <w:r>
        <w:rPr>
          <w:spacing w:val="-18"/>
        </w:rPr>
        <w:t> </w:t>
      </w:r>
      <w:r>
        <w:rPr/>
        <w:t>mediante</w:t>
      </w:r>
      <w:r>
        <w:rPr>
          <w:spacing w:val="-18"/>
        </w:rPr>
        <w:t> </w:t>
      </w:r>
      <w:r>
        <w:rPr/>
        <w:t>el</w:t>
      </w:r>
      <w:r>
        <w:rPr>
          <w:spacing w:val="-17"/>
        </w:rPr>
        <w:t> </w:t>
      </w:r>
      <w:r>
        <w:rPr/>
        <w:t>equilibrio</w:t>
      </w:r>
      <w:r>
        <w:rPr>
          <w:spacing w:val="-18"/>
        </w:rPr>
        <w:t> </w:t>
      </w:r>
      <w:r>
        <w:rPr/>
        <w:t>de</w:t>
      </w:r>
      <w:r>
        <w:rPr>
          <w:spacing w:val="-18"/>
        </w:rPr>
        <w:t> </w:t>
      </w:r>
      <w:r>
        <w:rPr/>
        <w:t>poderes</w:t>
      </w:r>
      <w:r>
        <w:rPr>
          <w:spacing w:val="-16"/>
        </w:rPr>
        <w:t> </w:t>
      </w:r>
      <w:r>
        <w:rPr/>
        <w:t>y</w:t>
      </w:r>
      <w:r>
        <w:rPr>
          <w:spacing w:val="-20"/>
        </w:rPr>
        <w:t> </w:t>
      </w:r>
      <w:r>
        <w:rPr/>
        <w:t>de</w:t>
      </w:r>
      <w:r>
        <w:rPr>
          <w:spacing w:val="-18"/>
        </w:rPr>
        <w:t> </w:t>
      </w:r>
      <w:r>
        <w:rPr/>
        <w:t>la</w:t>
      </w:r>
      <w:r>
        <w:rPr>
          <w:spacing w:val="-18"/>
        </w:rPr>
        <w:t> </w:t>
      </w:r>
      <w:r>
        <w:rPr/>
        <w:t>rendición</w:t>
      </w:r>
      <w:r>
        <w:rPr>
          <w:spacing w:val="-18"/>
        </w:rPr>
        <w:t> </w:t>
      </w:r>
      <w:r>
        <w:rPr/>
        <w:t>de</w:t>
      </w:r>
      <w:r>
        <w:rPr>
          <w:spacing w:val="-18"/>
        </w:rPr>
        <w:t> </w:t>
      </w:r>
      <w:r>
        <w:rPr/>
        <w:t>cuentas.</w:t>
      </w:r>
      <w:r>
        <w:rPr>
          <w:w w:val="100"/>
        </w:rPr>
        <w:t> </w:t>
      </w:r>
      <w:r>
        <w:rPr/>
        <w:t>En el capítulo tercero, se analizan algunos de los elementos</w:t>
      </w:r>
      <w:r>
        <w:rPr>
          <w:spacing w:val="2"/>
        </w:rPr>
        <w:t> </w:t>
      </w:r>
      <w:r>
        <w:rPr/>
        <w:t>históricos</w:t>
      </w:r>
      <w:r>
        <w:rPr>
          <w:spacing w:val="38"/>
        </w:rPr>
        <w:t> </w:t>
      </w:r>
      <w:r>
        <w:rPr/>
        <w:t>más importantes de cultura política que han impedido a México tener éxito</w:t>
      </w:r>
      <w:r>
        <w:rPr>
          <w:spacing w:val="13"/>
        </w:rPr>
        <w:t> </w:t>
      </w:r>
      <w:r>
        <w:rPr/>
        <w:t>hacia</w:t>
      </w:r>
      <w:r>
        <w:rPr>
          <w:spacing w:val="9"/>
        </w:rPr>
        <w:t> </w:t>
      </w:r>
      <w:r>
        <w:rPr/>
        <w:t>lograr</w:t>
      </w:r>
      <w:r>
        <w:rPr>
          <w:w w:val="99"/>
        </w:rPr>
        <w:t> </w:t>
      </w:r>
      <w:r>
        <w:rPr/>
        <w:t>el</w:t>
      </w:r>
      <w:r>
        <w:rPr>
          <w:spacing w:val="-9"/>
        </w:rPr>
        <w:t> </w:t>
      </w:r>
      <w:r>
        <w:rPr/>
        <w:t>buen</w:t>
      </w:r>
      <w:r>
        <w:rPr>
          <w:spacing w:val="-9"/>
        </w:rPr>
        <w:t> </w:t>
      </w:r>
      <w:r>
        <w:rPr/>
        <w:t>gobierno.</w:t>
      </w:r>
      <w:r>
        <w:rPr>
          <w:spacing w:val="-7"/>
        </w:rPr>
        <w:t> </w:t>
      </w:r>
      <w:r>
        <w:rPr/>
        <w:t>Aunque</w:t>
      </w:r>
      <w:r>
        <w:rPr>
          <w:spacing w:val="-9"/>
        </w:rPr>
        <w:t> </w:t>
      </w:r>
      <w:r>
        <w:rPr/>
        <w:t>resultan</w:t>
      </w:r>
      <w:r>
        <w:rPr>
          <w:spacing w:val="-9"/>
        </w:rPr>
        <w:t> </w:t>
      </w:r>
      <w:r>
        <w:rPr/>
        <w:t>ambiguos</w:t>
      </w:r>
      <w:r>
        <w:rPr>
          <w:spacing w:val="-8"/>
        </w:rPr>
        <w:t> </w:t>
      </w:r>
      <w:r>
        <w:rPr/>
        <w:t>para</w:t>
      </w:r>
      <w:r>
        <w:rPr>
          <w:spacing w:val="-9"/>
        </w:rPr>
        <w:t> </w:t>
      </w:r>
      <w:r>
        <w:rPr/>
        <w:t>un</w:t>
      </w:r>
      <w:r>
        <w:rPr>
          <w:spacing w:val="-9"/>
        </w:rPr>
        <w:t> </w:t>
      </w:r>
      <w:r>
        <w:rPr/>
        <w:t>análisis</w:t>
      </w:r>
      <w:r>
        <w:rPr>
          <w:spacing w:val="-8"/>
        </w:rPr>
        <w:t> </w:t>
      </w:r>
      <w:r>
        <w:rPr/>
        <w:t>detallado,</w:t>
      </w:r>
      <w:r>
        <w:rPr>
          <w:spacing w:val="-7"/>
        </w:rPr>
        <w:t> </w:t>
      </w:r>
      <w:r>
        <w:rPr/>
        <w:t>sirven</w:t>
      </w:r>
      <w:r>
        <w:rPr>
          <w:spacing w:val="-9"/>
        </w:rPr>
        <w:t> </w:t>
      </w:r>
      <w:r>
        <w:rPr/>
        <w:t>para</w:t>
      </w:r>
    </w:p>
    <w:p>
      <w:pPr>
        <w:pStyle w:val="BodyText"/>
        <w:spacing w:before="2"/>
        <w:ind w:left="100"/>
        <w:jc w:val="both"/>
      </w:pPr>
      <w:r>
        <w:rPr/>
        <w:t>explicar </w:t>
      </w:r>
      <w:r>
        <w:rPr>
          <w:i/>
        </w:rPr>
        <w:t>grosso modo </w:t>
      </w:r>
      <w:r>
        <w:rPr/>
        <w:t>la inestabilidad política actual del país.</w:t>
      </w:r>
    </w:p>
    <w:p>
      <w:pPr>
        <w:pStyle w:val="BodyText"/>
        <w:spacing w:line="360" w:lineRule="auto" w:before="140"/>
        <w:ind w:left="100" w:right="102" w:firstLine="427"/>
        <w:jc w:val="both"/>
      </w:pPr>
      <w:r>
        <w:rPr/>
        <w:t>La</w:t>
      </w:r>
      <w:r>
        <w:rPr>
          <w:spacing w:val="-12"/>
        </w:rPr>
        <w:t> </w:t>
      </w:r>
      <w:r>
        <w:rPr/>
        <w:t>importancia</w:t>
      </w:r>
      <w:r>
        <w:rPr>
          <w:spacing w:val="-12"/>
        </w:rPr>
        <w:t> </w:t>
      </w:r>
      <w:r>
        <w:rPr/>
        <w:t>de</w:t>
      </w:r>
      <w:r>
        <w:rPr>
          <w:spacing w:val="-12"/>
        </w:rPr>
        <w:t> </w:t>
      </w:r>
      <w:r>
        <w:rPr/>
        <w:t>una</w:t>
      </w:r>
      <w:r>
        <w:rPr>
          <w:spacing w:val="-12"/>
        </w:rPr>
        <w:t> </w:t>
      </w:r>
      <w:r>
        <w:rPr/>
        <w:t>rendición</w:t>
      </w:r>
      <w:r>
        <w:rPr>
          <w:spacing w:val="-9"/>
        </w:rPr>
        <w:t> </w:t>
      </w:r>
      <w:r>
        <w:rPr/>
        <w:t>de</w:t>
      </w:r>
      <w:r>
        <w:rPr>
          <w:spacing w:val="-12"/>
        </w:rPr>
        <w:t> </w:t>
      </w:r>
      <w:r>
        <w:rPr/>
        <w:t>cuentas</w:t>
      </w:r>
      <w:r>
        <w:rPr>
          <w:spacing w:val="-11"/>
        </w:rPr>
        <w:t> </w:t>
      </w:r>
      <w:r>
        <w:rPr/>
        <w:t>eficiente</w:t>
      </w:r>
      <w:r>
        <w:rPr>
          <w:spacing w:val="-9"/>
        </w:rPr>
        <w:t> </w:t>
      </w:r>
      <w:r>
        <w:rPr/>
        <w:t>para</w:t>
      </w:r>
      <w:r>
        <w:rPr>
          <w:spacing w:val="-9"/>
        </w:rPr>
        <w:t> </w:t>
      </w:r>
      <w:r>
        <w:rPr/>
        <w:t>garantizar</w:t>
      </w:r>
      <w:r>
        <w:rPr>
          <w:spacing w:val="-11"/>
        </w:rPr>
        <w:t> </w:t>
      </w:r>
      <w:r>
        <w:rPr/>
        <w:t>el</w:t>
      </w:r>
      <w:r>
        <w:rPr>
          <w:spacing w:val="-12"/>
        </w:rPr>
        <w:t> </w:t>
      </w:r>
      <w:r>
        <w:rPr/>
        <w:t>equilibrio de poderes y reducir el déficit democrático se analiza en el capítulo cuarto. Se presentan</w:t>
      </w:r>
      <w:r>
        <w:rPr>
          <w:spacing w:val="-8"/>
        </w:rPr>
        <w:t> </w:t>
      </w:r>
      <w:r>
        <w:rPr/>
        <w:t>también</w:t>
      </w:r>
      <w:r>
        <w:rPr>
          <w:spacing w:val="-8"/>
        </w:rPr>
        <w:t> </w:t>
      </w:r>
      <w:r>
        <w:rPr/>
        <w:t>los</w:t>
      </w:r>
      <w:r>
        <w:rPr>
          <w:spacing w:val="-7"/>
        </w:rPr>
        <w:t> </w:t>
      </w:r>
      <w:r>
        <w:rPr/>
        <w:t>aspectos</w:t>
      </w:r>
      <w:r>
        <w:rPr>
          <w:spacing w:val="-7"/>
        </w:rPr>
        <w:t> </w:t>
      </w:r>
      <w:r>
        <w:rPr/>
        <w:t>más</w:t>
      </w:r>
      <w:r>
        <w:rPr>
          <w:spacing w:val="-7"/>
        </w:rPr>
        <w:t> </w:t>
      </w:r>
      <w:r>
        <w:rPr/>
        <w:t>importantes</w:t>
      </w:r>
      <w:r>
        <w:rPr>
          <w:spacing w:val="-7"/>
        </w:rPr>
        <w:t> </w:t>
      </w:r>
      <w:r>
        <w:rPr/>
        <w:t>que</w:t>
      </w:r>
      <w:r>
        <w:rPr>
          <w:spacing w:val="-9"/>
        </w:rPr>
        <w:t> </w:t>
      </w:r>
      <w:r>
        <w:rPr/>
        <w:t>ha</w:t>
      </w:r>
      <w:r>
        <w:rPr>
          <w:spacing w:val="-9"/>
        </w:rPr>
        <w:t> </w:t>
      </w:r>
      <w:r>
        <w:rPr/>
        <w:t>emprendido</w:t>
      </w:r>
      <w:r>
        <w:rPr>
          <w:spacing w:val="-9"/>
        </w:rPr>
        <w:t> </w:t>
      </w:r>
      <w:r>
        <w:rPr/>
        <w:t>el</w:t>
      </w:r>
      <w:r>
        <w:rPr>
          <w:spacing w:val="-8"/>
        </w:rPr>
        <w:t> </w:t>
      </w:r>
      <w:r>
        <w:rPr/>
        <w:t>Estado</w:t>
      </w:r>
      <w:r>
        <w:rPr>
          <w:spacing w:val="-9"/>
        </w:rPr>
        <w:t> </w:t>
      </w:r>
      <w:r>
        <w:rPr/>
        <w:t>para avanzar hacia la legitimidad y democracia y los resultados de </w:t>
      </w:r>
      <w:r>
        <w:rPr>
          <w:spacing w:val="3"/>
        </w:rPr>
        <w:t>la </w:t>
      </w:r>
      <w:r>
        <w:rPr/>
        <w:t>política pública de combate a la</w:t>
      </w:r>
      <w:r>
        <w:rPr>
          <w:spacing w:val="-17"/>
        </w:rPr>
        <w:t> </w:t>
      </w:r>
      <w:r>
        <w:rPr/>
        <w:t>corrupción.</w:t>
      </w:r>
    </w:p>
    <w:p>
      <w:pPr>
        <w:pStyle w:val="BodyText"/>
        <w:spacing w:line="360" w:lineRule="auto" w:before="6"/>
        <w:ind w:left="100" w:right="105" w:firstLine="427"/>
        <w:jc w:val="both"/>
      </w:pPr>
      <w:r>
        <w:rPr/>
        <w:t>Una de las conclusiones más importantes, es que se requiere mayor participación social en exigir cuentas al Estado. Esto solo se logra cuando cada habitante se concientiza que los bajos niveles de vida y de desarrollo humano pueden subsanarse si se exige al Estado regirse por principios políticos.</w:t>
      </w:r>
    </w:p>
    <w:p>
      <w:pPr>
        <w:spacing w:after="0" w:line="360" w:lineRule="auto"/>
        <w:jc w:val="both"/>
        <w:sectPr>
          <w:pgSz w:w="12240" w:h="15840"/>
          <w:pgMar w:header="0" w:footer="938" w:top="1360" w:bottom="1180" w:left="1600" w:right="1500"/>
        </w:sectPr>
      </w:pPr>
    </w:p>
    <w:p>
      <w:pPr>
        <w:pStyle w:val="BodyText"/>
        <w:spacing w:before="4"/>
        <w:rPr>
          <w:rFonts w:ascii="Times New Roman"/>
          <w:sz w:val="17"/>
        </w:rPr>
      </w:pPr>
      <w:bookmarkStart w:name="_bookmark1" w:id="2"/>
      <w:bookmarkEnd w:id="2"/>
      <w:r>
        <w:rPr/>
      </w:r>
      <w:r>
        <w:rPr>
          <w:rFonts w:ascii="Times New Roman"/>
          <w:sz w:val="17"/>
        </w:rPr>
      </w:r>
    </w:p>
    <w:p>
      <w:pPr>
        <w:spacing w:after="0"/>
        <w:rPr>
          <w:rFonts w:ascii="Times New Roman"/>
          <w:sz w:val="17"/>
        </w:rPr>
        <w:sectPr>
          <w:pgSz w:w="12240" w:h="15840"/>
          <w:pgMar w:header="0" w:footer="938" w:top="1500" w:bottom="1120" w:left="1720" w:right="1600"/>
        </w:sectPr>
      </w:pPr>
    </w:p>
    <w:p>
      <w:pPr>
        <w:pStyle w:val="Heading1"/>
        <w:ind w:left="1825"/>
        <w:jc w:val="left"/>
      </w:pPr>
      <w:r>
        <w:rPr/>
        <w:t>CAPÍTULO PRIMERO. LA GOBERNANZA</w:t>
      </w:r>
    </w:p>
    <w:p>
      <w:pPr>
        <w:pStyle w:val="BodyText"/>
        <w:spacing w:before="5"/>
        <w:rPr>
          <w:b/>
          <w:sz w:val="38"/>
        </w:rPr>
      </w:pPr>
    </w:p>
    <w:p>
      <w:pPr>
        <w:pStyle w:val="Heading1"/>
        <w:numPr>
          <w:ilvl w:val="1"/>
          <w:numId w:val="7"/>
        </w:numPr>
        <w:tabs>
          <w:tab w:pos="585" w:val="left" w:leader="none"/>
        </w:tabs>
        <w:spacing w:line="240" w:lineRule="auto" w:before="0" w:after="0"/>
        <w:ind w:left="584" w:right="0" w:hanging="464"/>
        <w:jc w:val="both"/>
      </w:pPr>
      <w:bookmarkStart w:name="_bookmark2" w:id="3"/>
      <w:bookmarkEnd w:id="3"/>
      <w:r>
        <w:rPr>
          <w:b w:val="0"/>
        </w:rPr>
      </w:r>
      <w:bookmarkStart w:name="_bookmark2" w:id="4"/>
      <w:bookmarkEnd w:id="4"/>
      <w:r>
        <w:rPr/>
        <w:t>S</w:t>
      </w:r>
      <w:r>
        <w:rPr/>
        <w:t>istema político, gobernabilidad y</w:t>
      </w:r>
      <w:r>
        <w:rPr>
          <w:spacing w:val="-14"/>
        </w:rPr>
        <w:t> </w:t>
      </w:r>
      <w:r>
        <w:rPr/>
        <w:t>gobernanza</w:t>
      </w:r>
    </w:p>
    <w:p>
      <w:pPr>
        <w:pStyle w:val="BodyText"/>
        <w:spacing w:before="8"/>
        <w:rPr>
          <w:b/>
          <w:sz w:val="41"/>
        </w:rPr>
      </w:pPr>
    </w:p>
    <w:p>
      <w:pPr>
        <w:pStyle w:val="BodyText"/>
        <w:spacing w:line="362" w:lineRule="auto"/>
        <w:ind w:left="120" w:right="119"/>
        <w:jc w:val="both"/>
      </w:pPr>
      <w:r>
        <w:rPr/>
        <w:t>El</w:t>
      </w:r>
      <w:r>
        <w:rPr>
          <w:spacing w:val="-12"/>
        </w:rPr>
        <w:t> </w:t>
      </w:r>
      <w:r>
        <w:rPr/>
        <w:t>enfoque</w:t>
      </w:r>
      <w:r>
        <w:rPr>
          <w:spacing w:val="-8"/>
        </w:rPr>
        <w:t> </w:t>
      </w:r>
      <w:r>
        <w:rPr/>
        <w:t>de</w:t>
      </w:r>
      <w:r>
        <w:rPr>
          <w:spacing w:val="-12"/>
        </w:rPr>
        <w:t> </w:t>
      </w:r>
      <w:r>
        <w:rPr/>
        <w:t>la</w:t>
      </w:r>
      <w:r>
        <w:rPr>
          <w:spacing w:val="-12"/>
        </w:rPr>
        <w:t> </w:t>
      </w:r>
      <w:r>
        <w:rPr/>
        <w:t>gobernanza</w:t>
      </w:r>
      <w:r>
        <w:rPr>
          <w:spacing w:val="-12"/>
        </w:rPr>
        <w:t> </w:t>
      </w:r>
      <w:r>
        <w:rPr/>
        <w:t>(como</w:t>
      </w:r>
      <w:r>
        <w:rPr>
          <w:spacing w:val="-12"/>
        </w:rPr>
        <w:t> </w:t>
      </w:r>
      <w:r>
        <w:rPr/>
        <w:t>suele</w:t>
      </w:r>
      <w:r>
        <w:rPr>
          <w:spacing w:val="-12"/>
        </w:rPr>
        <w:t> </w:t>
      </w:r>
      <w:r>
        <w:rPr/>
        <w:t>ser</w:t>
      </w:r>
      <w:r>
        <w:rPr>
          <w:spacing w:val="-10"/>
        </w:rPr>
        <w:t> </w:t>
      </w:r>
      <w:r>
        <w:rPr/>
        <w:t>traducida</w:t>
      </w:r>
      <w:r>
        <w:rPr>
          <w:spacing w:val="-9"/>
        </w:rPr>
        <w:t> </w:t>
      </w:r>
      <w:r>
        <w:rPr/>
        <w:t>del</w:t>
      </w:r>
      <w:r>
        <w:rPr>
          <w:spacing w:val="-8"/>
        </w:rPr>
        <w:t> </w:t>
      </w:r>
      <w:r>
        <w:rPr/>
        <w:t>anglosajón</w:t>
      </w:r>
      <w:r>
        <w:rPr>
          <w:spacing w:val="-4"/>
        </w:rPr>
        <w:t> </w:t>
      </w:r>
      <w:r>
        <w:rPr>
          <w:i/>
        </w:rPr>
        <w:t>governance) </w:t>
      </w:r>
      <w:r>
        <w:rPr/>
        <w:t>surge durante las décadas sesenta y setenta en los países que conforman la UE como una nueva forma de organización del Estado orientada hacia el “buen gobierno”.</w:t>
      </w:r>
    </w:p>
    <w:p>
      <w:pPr>
        <w:pStyle w:val="BodyText"/>
        <w:spacing w:line="357" w:lineRule="auto"/>
        <w:ind w:left="120" w:right="115" w:firstLine="427"/>
        <w:jc w:val="both"/>
      </w:pPr>
      <w:r>
        <w:rPr/>
        <w:t>De acuerdo con la ciencia política, la gobernanza es la forma de organización del</w:t>
      </w:r>
      <w:r>
        <w:rPr>
          <w:spacing w:val="-18"/>
        </w:rPr>
        <w:t> </w:t>
      </w:r>
      <w:r>
        <w:rPr/>
        <w:t>Estado</w:t>
      </w:r>
      <w:r>
        <w:rPr>
          <w:position w:val="8"/>
          <w:sz w:val="16"/>
        </w:rPr>
        <w:t>1</w:t>
      </w:r>
      <w:r>
        <w:rPr>
          <w:spacing w:val="4"/>
          <w:position w:val="8"/>
          <w:sz w:val="16"/>
        </w:rPr>
        <w:t> </w:t>
      </w:r>
      <w:r>
        <w:rPr/>
        <w:t>en</w:t>
      </w:r>
      <w:r>
        <w:rPr>
          <w:spacing w:val="-19"/>
        </w:rPr>
        <w:t> </w:t>
      </w:r>
      <w:r>
        <w:rPr/>
        <w:t>la</w:t>
      </w:r>
      <w:r>
        <w:rPr>
          <w:spacing w:val="-16"/>
        </w:rPr>
        <w:t> </w:t>
      </w:r>
      <w:r>
        <w:rPr/>
        <w:t>cual</w:t>
      </w:r>
      <w:r>
        <w:rPr>
          <w:spacing w:val="-18"/>
        </w:rPr>
        <w:t> </w:t>
      </w:r>
      <w:r>
        <w:rPr/>
        <w:t>se</w:t>
      </w:r>
      <w:r>
        <w:rPr>
          <w:spacing w:val="-19"/>
        </w:rPr>
        <w:t> </w:t>
      </w:r>
      <w:r>
        <w:rPr/>
        <w:t>permite</w:t>
      </w:r>
      <w:r>
        <w:rPr>
          <w:spacing w:val="-19"/>
        </w:rPr>
        <w:t> </w:t>
      </w:r>
      <w:r>
        <w:rPr/>
        <w:t>la</w:t>
      </w:r>
      <w:r>
        <w:rPr>
          <w:spacing w:val="-19"/>
        </w:rPr>
        <w:t> </w:t>
      </w:r>
      <w:r>
        <w:rPr/>
        <w:t>participación</w:t>
      </w:r>
      <w:r>
        <w:rPr>
          <w:spacing w:val="-16"/>
        </w:rPr>
        <w:t> </w:t>
      </w:r>
      <w:r>
        <w:rPr/>
        <w:t>del</w:t>
      </w:r>
      <w:r>
        <w:rPr>
          <w:spacing w:val="-18"/>
        </w:rPr>
        <w:t> </w:t>
      </w:r>
      <w:r>
        <w:rPr/>
        <w:t>sector</w:t>
      </w:r>
      <w:r>
        <w:rPr>
          <w:spacing w:val="-17"/>
        </w:rPr>
        <w:t> </w:t>
      </w:r>
      <w:r>
        <w:rPr/>
        <w:t>privado</w:t>
      </w:r>
      <w:r>
        <w:rPr>
          <w:spacing w:val="-19"/>
        </w:rPr>
        <w:t> </w:t>
      </w:r>
      <w:r>
        <w:rPr/>
        <w:t>en</w:t>
      </w:r>
      <w:r>
        <w:rPr>
          <w:spacing w:val="-16"/>
        </w:rPr>
        <w:t> </w:t>
      </w:r>
      <w:r>
        <w:rPr/>
        <w:t>las</w:t>
      </w:r>
      <w:r>
        <w:rPr>
          <w:spacing w:val="-17"/>
        </w:rPr>
        <w:t> </w:t>
      </w:r>
      <w:r>
        <w:rPr/>
        <w:t>decisiones e instrumentación de la política</w:t>
      </w:r>
      <w:r>
        <w:rPr>
          <w:position w:val="8"/>
          <w:sz w:val="16"/>
        </w:rPr>
        <w:t>2 </w:t>
      </w:r>
      <w:r>
        <w:rPr/>
        <w:t>y tiene lugar dentro del sistema político. Tanto las contribuciones académicas como de las instituciones gubernamentales y no gubernamentales</w:t>
      </w:r>
      <w:r>
        <w:rPr>
          <w:position w:val="8"/>
          <w:sz w:val="16"/>
        </w:rPr>
        <w:t>3</w:t>
      </w:r>
      <w:r>
        <w:rPr/>
        <w:t>(Peters, 2003: 53) difundieron el término y ha analizado sus alcances y limitaciones. En este capítulo se analiza la utilidad teórica y empírica de la gobernanza en el contexto de los sistemas políticos de países avanzados y emergentes en la política, en el Estado y en las instituciones de rendición de cuentas.</w:t>
      </w:r>
    </w:p>
    <w:p>
      <w:pPr>
        <w:pStyle w:val="BodyText"/>
        <w:spacing w:line="360" w:lineRule="auto" w:before="4"/>
        <w:ind w:left="120" w:right="120" w:firstLine="427"/>
        <w:jc w:val="both"/>
      </w:pPr>
      <w:r>
        <w:rPr/>
        <w:t>Algunos autores han realizado esfuerzos para clasificar la gobernanza (redes, instrumentos de participación y paternario), sin embargo, todas ellas se orientan a analizar la inclusión del sector privado en las actividades del Estado, es decir, en las decisiones públicas.</w:t>
      </w:r>
    </w:p>
    <w:p>
      <w:pPr>
        <w:pStyle w:val="BodyText"/>
        <w:spacing w:line="362" w:lineRule="auto"/>
        <w:ind w:left="120" w:right="117" w:firstLine="427"/>
        <w:jc w:val="both"/>
      </w:pPr>
      <w:r>
        <w:rPr/>
        <w:t>El término gobernabilidad (</w:t>
      </w:r>
      <w:r>
        <w:rPr>
          <w:i/>
        </w:rPr>
        <w:t>government</w:t>
      </w:r>
      <w:r>
        <w:rPr/>
        <w:t>) fue desde sus inicios un término muy general y envolvente que se refiere a los efectos de la gobernanza (</w:t>
      </w:r>
      <w:r>
        <w:rPr>
          <w:i/>
        </w:rPr>
        <w:t>governance</w:t>
      </w:r>
      <w:r>
        <w:rPr/>
        <w:t>o gobierno) en la política, la economía y en los aspectos sociales. El empleo del término gobernabilidad se desprende de la tesis que las demandas y  expectativas</w:t>
      </w:r>
    </w:p>
    <w:p>
      <w:pPr>
        <w:pStyle w:val="BodyText"/>
        <w:rPr>
          <w:sz w:val="20"/>
        </w:rPr>
      </w:pPr>
    </w:p>
    <w:p>
      <w:pPr>
        <w:pStyle w:val="BodyText"/>
        <w:rPr>
          <w:sz w:val="20"/>
        </w:rPr>
      </w:pPr>
    </w:p>
    <w:p>
      <w:pPr>
        <w:pStyle w:val="BodyText"/>
        <w:spacing w:before="6"/>
        <w:rPr>
          <w:sz w:val="10"/>
        </w:rPr>
      </w:pPr>
      <w:r>
        <w:rPr/>
        <w:pict>
          <v:line style="position:absolute;mso-position-horizontal-relative:page;mso-position-vertical-relative:paragraph;z-index:1744;mso-wrap-distance-left:0;mso-wrap-distance-right:0" from="85.025002pt,8.4418pt" to="229.075002pt,8.4418pt" stroked="true" strokeweight=".79999pt" strokecolor="#000000">
            <w10:wrap type="topAndBottom"/>
          </v:line>
        </w:pict>
      </w:r>
    </w:p>
    <w:p>
      <w:pPr>
        <w:spacing w:line="244" w:lineRule="auto" w:before="59"/>
        <w:ind w:left="120" w:right="124" w:firstLine="0"/>
        <w:jc w:val="both"/>
        <w:rPr>
          <w:i/>
          <w:sz w:val="16"/>
        </w:rPr>
      </w:pPr>
      <w:r>
        <w:rPr>
          <w:rFonts w:ascii="Times New Roman" w:hAnsi="Times New Roman"/>
          <w:position w:val="7"/>
          <w:sz w:val="13"/>
        </w:rPr>
        <w:t>1</w:t>
      </w:r>
      <w:r>
        <w:rPr>
          <w:sz w:val="16"/>
        </w:rPr>
        <w:t>El Estado, de acuerdo con Max Weber se considera como “una comunidad humana que reclama para sí el monopolio del uso legítimo de la fuerza física en un territorio determinado. El Estado es considerado </w:t>
      </w:r>
      <w:r>
        <w:rPr>
          <w:i/>
          <w:sz w:val="16"/>
        </w:rPr>
        <w:t>la única fuente del derecho de usar </w:t>
      </w:r>
      <w:r>
        <w:rPr>
          <w:i/>
          <w:sz w:val="16"/>
        </w:rPr>
        <w:t>violencia”</w:t>
      </w:r>
    </w:p>
    <w:p>
      <w:pPr>
        <w:spacing w:line="266" w:lineRule="auto" w:before="0"/>
        <w:ind w:left="120" w:right="124" w:firstLine="0"/>
        <w:jc w:val="both"/>
        <w:rPr>
          <w:sz w:val="16"/>
        </w:rPr>
      </w:pPr>
      <w:r>
        <w:rPr>
          <w:rFonts w:ascii="Calibri" w:hAnsi="Calibri"/>
          <w:position w:val="8"/>
          <w:sz w:val="14"/>
        </w:rPr>
        <w:t>2</w:t>
      </w:r>
      <w:r>
        <w:rPr>
          <w:sz w:val="16"/>
        </w:rPr>
        <w:t>Se considera que la política (Michael Oakeshott) consiste en “pensar acerca de las reglas de la sociedad civil que son incongruentes para corregirlas y poder hacerlas de aplicación general”.</w:t>
      </w:r>
    </w:p>
    <w:p>
      <w:pPr>
        <w:spacing w:line="164" w:lineRule="exact" w:before="0"/>
        <w:ind w:left="120" w:right="0" w:firstLine="0"/>
        <w:jc w:val="both"/>
        <w:rPr>
          <w:sz w:val="16"/>
        </w:rPr>
      </w:pPr>
      <w:r>
        <w:rPr>
          <w:sz w:val="16"/>
        </w:rPr>
        <w:t>Disponible en: </w:t>
      </w:r>
      <w:hyperlink r:id="rId19">
        <w:r>
          <w:rPr>
            <w:color w:val="0000FF"/>
            <w:sz w:val="16"/>
            <w:u w:val="single" w:color="0000FF"/>
          </w:rPr>
          <w:t>http://www.monografias.com/trabajos20/pensadores-politicos/pensadores-politicos.shtm</w:t>
        </w:r>
        <w:r>
          <w:rPr>
            <w:color w:val="0000FF"/>
            <w:sz w:val="16"/>
          </w:rPr>
          <w:t>l</w:t>
        </w:r>
      </w:hyperlink>
      <w:r>
        <w:rPr>
          <w:color w:val="0000FF"/>
          <w:sz w:val="16"/>
        </w:rPr>
        <w:t> </w:t>
      </w:r>
      <w:r>
        <w:rPr>
          <w:sz w:val="16"/>
        </w:rPr>
        <w:t>[Fecha de consulta:</w:t>
      </w:r>
    </w:p>
    <w:p>
      <w:pPr>
        <w:spacing w:line="181" w:lineRule="exact" w:before="0"/>
        <w:ind w:left="120" w:right="0" w:firstLine="0"/>
        <w:jc w:val="both"/>
        <w:rPr>
          <w:sz w:val="16"/>
        </w:rPr>
      </w:pPr>
      <w:r>
        <w:rPr>
          <w:sz w:val="16"/>
        </w:rPr>
        <w:t>15 de marzo, 2015]</w:t>
      </w:r>
    </w:p>
    <w:p>
      <w:pPr>
        <w:spacing w:line="247" w:lineRule="auto" w:before="0"/>
        <w:ind w:left="120" w:right="117" w:firstLine="0"/>
        <w:jc w:val="both"/>
        <w:rPr>
          <w:sz w:val="16"/>
        </w:rPr>
      </w:pPr>
      <w:r>
        <w:rPr>
          <w:rFonts w:ascii="Times New Roman" w:hAnsi="Times New Roman"/>
          <w:position w:val="7"/>
          <w:sz w:val="13"/>
        </w:rPr>
        <w:t>3</w:t>
      </w:r>
      <w:r>
        <w:rPr>
          <w:sz w:val="16"/>
        </w:rPr>
        <w:t>Se</w:t>
      </w:r>
      <w:r>
        <w:rPr>
          <w:spacing w:val="-12"/>
          <w:sz w:val="16"/>
        </w:rPr>
        <w:t> </w:t>
      </w:r>
      <w:r>
        <w:rPr>
          <w:sz w:val="16"/>
        </w:rPr>
        <w:t>considera</w:t>
      </w:r>
      <w:r>
        <w:rPr>
          <w:spacing w:val="-12"/>
          <w:sz w:val="16"/>
        </w:rPr>
        <w:t> </w:t>
      </w:r>
      <w:r>
        <w:rPr>
          <w:sz w:val="16"/>
        </w:rPr>
        <w:t>que</w:t>
      </w:r>
      <w:r>
        <w:rPr>
          <w:spacing w:val="-12"/>
          <w:sz w:val="16"/>
        </w:rPr>
        <w:t> </w:t>
      </w:r>
      <w:r>
        <w:rPr>
          <w:sz w:val="16"/>
        </w:rPr>
        <w:t>una</w:t>
      </w:r>
      <w:r>
        <w:rPr>
          <w:spacing w:val="-8"/>
          <w:sz w:val="16"/>
        </w:rPr>
        <w:t> </w:t>
      </w:r>
      <w:r>
        <w:rPr>
          <w:sz w:val="16"/>
        </w:rPr>
        <w:t>institución</w:t>
      </w:r>
      <w:r>
        <w:rPr>
          <w:spacing w:val="-12"/>
          <w:sz w:val="16"/>
        </w:rPr>
        <w:t> </w:t>
      </w:r>
      <w:r>
        <w:rPr>
          <w:sz w:val="16"/>
        </w:rPr>
        <w:t>(de</w:t>
      </w:r>
      <w:r>
        <w:rPr>
          <w:spacing w:val="-12"/>
          <w:sz w:val="16"/>
        </w:rPr>
        <w:t> </w:t>
      </w:r>
      <w:r>
        <w:rPr>
          <w:sz w:val="16"/>
        </w:rPr>
        <w:t>acuerdo</w:t>
      </w:r>
      <w:r>
        <w:rPr>
          <w:spacing w:val="-12"/>
          <w:sz w:val="16"/>
        </w:rPr>
        <w:t> </w:t>
      </w:r>
      <w:r>
        <w:rPr>
          <w:sz w:val="16"/>
        </w:rPr>
        <w:t>con</w:t>
      </w:r>
      <w:r>
        <w:rPr>
          <w:spacing w:val="-15"/>
          <w:sz w:val="16"/>
        </w:rPr>
        <w:t> </w:t>
      </w:r>
      <w:r>
        <w:rPr>
          <w:sz w:val="16"/>
        </w:rPr>
        <w:t>B.</w:t>
      </w:r>
      <w:r>
        <w:rPr>
          <w:spacing w:val="-11"/>
          <w:sz w:val="16"/>
        </w:rPr>
        <w:t> </w:t>
      </w:r>
      <w:r>
        <w:rPr>
          <w:sz w:val="16"/>
        </w:rPr>
        <w:t>GuyPeters)</w:t>
      </w:r>
      <w:r>
        <w:rPr>
          <w:spacing w:val="-12"/>
          <w:sz w:val="16"/>
        </w:rPr>
        <w:t> </w:t>
      </w:r>
      <w:r>
        <w:rPr>
          <w:sz w:val="16"/>
        </w:rPr>
        <w:t>es</w:t>
      </w:r>
      <w:r>
        <w:rPr>
          <w:spacing w:val="-14"/>
          <w:sz w:val="16"/>
        </w:rPr>
        <w:t> </w:t>
      </w:r>
      <w:r>
        <w:rPr>
          <w:sz w:val="16"/>
        </w:rPr>
        <w:t>el</w:t>
      </w:r>
      <w:r>
        <w:rPr>
          <w:spacing w:val="-14"/>
          <w:sz w:val="16"/>
        </w:rPr>
        <w:t> </w:t>
      </w:r>
      <w:r>
        <w:rPr>
          <w:sz w:val="16"/>
        </w:rPr>
        <w:t>“conjunto</w:t>
      </w:r>
      <w:r>
        <w:rPr>
          <w:spacing w:val="-12"/>
          <w:sz w:val="16"/>
        </w:rPr>
        <w:t> </w:t>
      </w:r>
      <w:r>
        <w:rPr>
          <w:sz w:val="16"/>
        </w:rPr>
        <w:t>de</w:t>
      </w:r>
      <w:r>
        <w:rPr>
          <w:spacing w:val="-12"/>
          <w:sz w:val="16"/>
        </w:rPr>
        <w:t> </w:t>
      </w:r>
      <w:r>
        <w:rPr>
          <w:sz w:val="16"/>
        </w:rPr>
        <w:t>reglas</w:t>
      </w:r>
      <w:r>
        <w:rPr>
          <w:spacing w:val="-11"/>
          <w:sz w:val="16"/>
        </w:rPr>
        <w:t> </w:t>
      </w:r>
      <w:r>
        <w:rPr>
          <w:sz w:val="16"/>
        </w:rPr>
        <w:t>y</w:t>
      </w:r>
      <w:r>
        <w:rPr>
          <w:spacing w:val="-11"/>
          <w:sz w:val="16"/>
        </w:rPr>
        <w:t> </w:t>
      </w:r>
      <w:r>
        <w:rPr>
          <w:sz w:val="16"/>
        </w:rPr>
        <w:t>valores</w:t>
      </w:r>
      <w:r>
        <w:rPr>
          <w:spacing w:val="-11"/>
          <w:sz w:val="16"/>
        </w:rPr>
        <w:t> </w:t>
      </w:r>
      <w:r>
        <w:rPr>
          <w:sz w:val="16"/>
        </w:rPr>
        <w:t>normativos</w:t>
      </w:r>
      <w:r>
        <w:rPr>
          <w:spacing w:val="-11"/>
          <w:sz w:val="16"/>
        </w:rPr>
        <w:t> </w:t>
      </w:r>
      <w:r>
        <w:rPr>
          <w:sz w:val="16"/>
        </w:rPr>
        <w:t>y</w:t>
      </w:r>
      <w:r>
        <w:rPr>
          <w:spacing w:val="-11"/>
          <w:sz w:val="16"/>
        </w:rPr>
        <w:t> </w:t>
      </w:r>
      <w:r>
        <w:rPr>
          <w:spacing w:val="-3"/>
          <w:sz w:val="16"/>
        </w:rPr>
        <w:t>no</w:t>
      </w:r>
      <w:r>
        <w:rPr>
          <w:spacing w:val="-12"/>
          <w:sz w:val="16"/>
        </w:rPr>
        <w:t> </w:t>
      </w:r>
      <w:r>
        <w:rPr>
          <w:sz w:val="16"/>
        </w:rPr>
        <w:t>cognitivos respecto de la manera en que influyen sobre los miembros institucionales, como también el conjunto de rutinas que se desarrollan para poner en ejecución e imponer esos</w:t>
      </w:r>
      <w:r>
        <w:rPr>
          <w:spacing w:val="-22"/>
          <w:sz w:val="16"/>
        </w:rPr>
        <w:t> </w:t>
      </w:r>
      <w:r>
        <w:rPr>
          <w:sz w:val="16"/>
        </w:rPr>
        <w:t>valores.”</w:t>
      </w:r>
    </w:p>
    <w:p>
      <w:pPr>
        <w:spacing w:after="0" w:line="247" w:lineRule="auto"/>
        <w:jc w:val="both"/>
        <w:rPr>
          <w:sz w:val="16"/>
        </w:rPr>
        <w:sectPr>
          <w:pgSz w:w="12240" w:h="15840"/>
          <w:pgMar w:header="0" w:footer="938" w:top="1360" w:bottom="1120" w:left="1580" w:right="1580"/>
        </w:sectPr>
      </w:pPr>
    </w:p>
    <w:p>
      <w:pPr>
        <w:pStyle w:val="BodyText"/>
        <w:spacing w:line="362" w:lineRule="auto" w:before="55"/>
        <w:ind w:left="100"/>
      </w:pPr>
      <w:r>
        <w:rPr/>
        <w:t>ciudadanas respecto del Estado son mayores que la capacidad del mismo para atenderlas, lo que genera un problema de ingobernabilidad (Closa, 2003: 486).</w:t>
      </w:r>
    </w:p>
    <w:p>
      <w:pPr>
        <w:pStyle w:val="BodyText"/>
        <w:spacing w:line="360" w:lineRule="auto"/>
        <w:ind w:left="100" w:right="104" w:firstLine="427"/>
        <w:jc w:val="both"/>
      </w:pPr>
      <w:r>
        <w:rPr/>
        <w:t>De la tesis surgieron diversos conceptos de gobernanza (que hace posible la gobernabilidad); los académicos y las instituciones internacionales fueron quienes más contribuciones realizaron al término.</w:t>
      </w:r>
    </w:p>
    <w:p>
      <w:pPr>
        <w:pStyle w:val="BodyText"/>
        <w:spacing w:line="360" w:lineRule="auto" w:before="6"/>
        <w:ind w:left="100" w:right="98" w:firstLine="427"/>
        <w:jc w:val="both"/>
      </w:pPr>
      <w:r>
        <w:rPr/>
        <w:t>La definición que otorga la Comisión Europea a la gobernanza se orienta a las reglas, procesos y comportamientos que inciden en el ejercicio del poder y que se basa en cinco principios: apertura, participación, responsabilidad, efectividad y coherencia. A su vez, los principios consideran los tres aspectos siguientes:</w:t>
      </w:r>
    </w:p>
    <w:p>
      <w:pPr>
        <w:pStyle w:val="BodyText"/>
      </w:pPr>
    </w:p>
    <w:p>
      <w:pPr>
        <w:pStyle w:val="ListParagraph"/>
        <w:numPr>
          <w:ilvl w:val="0"/>
          <w:numId w:val="8"/>
        </w:numPr>
        <w:tabs>
          <w:tab w:pos="821" w:val="left" w:leader="none"/>
        </w:tabs>
        <w:spacing w:line="360" w:lineRule="auto" w:before="142" w:after="0"/>
        <w:ind w:left="821" w:right="106" w:hanging="361"/>
        <w:jc w:val="both"/>
        <w:rPr>
          <w:sz w:val="24"/>
        </w:rPr>
      </w:pPr>
      <w:r>
        <w:rPr>
          <w:sz w:val="24"/>
        </w:rPr>
        <w:t>Inclusión</w:t>
      </w:r>
      <w:r>
        <w:rPr>
          <w:spacing w:val="-9"/>
          <w:sz w:val="24"/>
        </w:rPr>
        <w:t> </w:t>
      </w:r>
      <w:r>
        <w:rPr>
          <w:sz w:val="24"/>
        </w:rPr>
        <w:t>de</w:t>
      </w:r>
      <w:r>
        <w:rPr>
          <w:spacing w:val="-5"/>
          <w:sz w:val="24"/>
        </w:rPr>
        <w:t> </w:t>
      </w:r>
      <w:r>
        <w:rPr>
          <w:sz w:val="24"/>
        </w:rPr>
        <w:t>personas</w:t>
      </w:r>
      <w:r>
        <w:rPr>
          <w:spacing w:val="-3"/>
          <w:sz w:val="24"/>
        </w:rPr>
        <w:t> </w:t>
      </w:r>
      <w:r>
        <w:rPr>
          <w:sz w:val="24"/>
        </w:rPr>
        <w:t>y</w:t>
      </w:r>
      <w:r>
        <w:rPr>
          <w:spacing w:val="-10"/>
          <w:sz w:val="24"/>
        </w:rPr>
        <w:t> </w:t>
      </w:r>
      <w:r>
        <w:rPr>
          <w:sz w:val="24"/>
        </w:rPr>
        <w:t>organizaciones</w:t>
      </w:r>
      <w:r>
        <w:rPr>
          <w:spacing w:val="-7"/>
          <w:sz w:val="24"/>
        </w:rPr>
        <w:t> </w:t>
      </w:r>
      <w:r>
        <w:rPr>
          <w:sz w:val="24"/>
        </w:rPr>
        <w:t>no</w:t>
      </w:r>
      <w:r>
        <w:rPr>
          <w:spacing w:val="-9"/>
          <w:sz w:val="24"/>
        </w:rPr>
        <w:t> </w:t>
      </w:r>
      <w:r>
        <w:rPr>
          <w:sz w:val="24"/>
        </w:rPr>
        <w:t>gubernamentales</w:t>
      </w:r>
      <w:r>
        <w:rPr>
          <w:spacing w:val="-7"/>
          <w:sz w:val="24"/>
        </w:rPr>
        <w:t> </w:t>
      </w:r>
      <w:r>
        <w:rPr>
          <w:sz w:val="24"/>
        </w:rPr>
        <w:t>en</w:t>
      </w:r>
      <w:r>
        <w:rPr>
          <w:spacing w:val="-9"/>
          <w:sz w:val="24"/>
        </w:rPr>
        <w:t> </w:t>
      </w:r>
      <w:r>
        <w:rPr>
          <w:sz w:val="24"/>
        </w:rPr>
        <w:t>el</w:t>
      </w:r>
      <w:r>
        <w:rPr>
          <w:spacing w:val="-8"/>
          <w:sz w:val="24"/>
        </w:rPr>
        <w:t> </w:t>
      </w:r>
      <w:r>
        <w:rPr>
          <w:sz w:val="24"/>
        </w:rPr>
        <w:t>diseño</w:t>
      </w:r>
      <w:r>
        <w:rPr>
          <w:spacing w:val="-9"/>
          <w:sz w:val="24"/>
        </w:rPr>
        <w:t> </w:t>
      </w:r>
      <w:r>
        <w:rPr>
          <w:sz w:val="24"/>
        </w:rPr>
        <w:t>de las políticas públicas, lo que se considera que hará las políticas más eficientes.</w:t>
      </w:r>
    </w:p>
    <w:p>
      <w:pPr>
        <w:pStyle w:val="ListParagraph"/>
        <w:numPr>
          <w:ilvl w:val="0"/>
          <w:numId w:val="8"/>
        </w:numPr>
        <w:tabs>
          <w:tab w:pos="821" w:val="left" w:leader="none"/>
        </w:tabs>
        <w:spacing w:line="240" w:lineRule="auto" w:before="5" w:after="0"/>
        <w:ind w:left="821" w:right="0" w:hanging="361"/>
        <w:jc w:val="left"/>
        <w:rPr>
          <w:sz w:val="24"/>
        </w:rPr>
      </w:pPr>
      <w:r>
        <w:rPr>
          <w:sz w:val="24"/>
        </w:rPr>
        <w:t>La valoración del Estado respecto de la pertinencia de</w:t>
      </w:r>
      <w:r>
        <w:rPr>
          <w:spacing w:val="-36"/>
          <w:sz w:val="24"/>
        </w:rPr>
        <w:t> </w:t>
      </w:r>
      <w:r>
        <w:rPr>
          <w:sz w:val="24"/>
        </w:rPr>
        <w:t>actuar.</w:t>
      </w:r>
    </w:p>
    <w:p>
      <w:pPr>
        <w:pStyle w:val="ListParagraph"/>
        <w:numPr>
          <w:ilvl w:val="0"/>
          <w:numId w:val="8"/>
        </w:numPr>
        <w:tabs>
          <w:tab w:pos="821" w:val="left" w:leader="none"/>
        </w:tabs>
        <w:spacing w:line="362" w:lineRule="auto" w:before="136" w:after="0"/>
        <w:ind w:left="821" w:right="111" w:hanging="361"/>
        <w:jc w:val="both"/>
        <w:rPr>
          <w:sz w:val="24"/>
        </w:rPr>
      </w:pPr>
      <w:r>
        <w:rPr>
          <w:sz w:val="24"/>
        </w:rPr>
        <w:t>La orientación de las instituciones del Estado a realizar sus funciones sustantivas.</w:t>
      </w:r>
    </w:p>
    <w:p>
      <w:pPr>
        <w:pStyle w:val="BodyText"/>
      </w:pPr>
    </w:p>
    <w:p>
      <w:pPr>
        <w:pStyle w:val="BodyText"/>
        <w:spacing w:line="360" w:lineRule="auto" w:before="139"/>
        <w:ind w:left="100" w:right="103" w:firstLine="427"/>
        <w:jc w:val="both"/>
      </w:pPr>
      <w:r>
        <w:rPr/>
        <w:t>En la academia se considera que una mejor gobernanza solucionará los problemas de gobernabilidad, es decir, la mejora en los procedimientos se</w:t>
      </w:r>
      <w:r>
        <w:rPr>
          <w:spacing w:val="-45"/>
        </w:rPr>
        <w:t> </w:t>
      </w:r>
      <w:r>
        <w:rPr/>
        <w:t>reflejará en una mejor atención de las demandas sociales y en la legitimidad del Estado (Closa 2003:</w:t>
      </w:r>
      <w:r>
        <w:rPr>
          <w:spacing w:val="-13"/>
        </w:rPr>
        <w:t> </w:t>
      </w:r>
      <w:r>
        <w:rPr/>
        <w:t>487-494).</w:t>
      </w:r>
    </w:p>
    <w:p>
      <w:pPr>
        <w:pStyle w:val="BodyText"/>
        <w:spacing w:line="357" w:lineRule="auto" w:before="6"/>
        <w:ind w:left="100" w:right="101" w:firstLine="427"/>
        <w:jc w:val="both"/>
      </w:pPr>
      <w:r>
        <w:rPr/>
        <w:t>Entre</w:t>
      </w:r>
      <w:r>
        <w:rPr>
          <w:spacing w:val="-9"/>
        </w:rPr>
        <w:t> </w:t>
      </w:r>
      <w:r>
        <w:rPr/>
        <w:t>las</w:t>
      </w:r>
      <w:r>
        <w:rPr>
          <w:spacing w:val="-7"/>
        </w:rPr>
        <w:t> </w:t>
      </w:r>
      <w:r>
        <w:rPr/>
        <w:t>diversas</w:t>
      </w:r>
      <w:r>
        <w:rPr>
          <w:spacing w:val="-7"/>
        </w:rPr>
        <w:t> </w:t>
      </w:r>
      <w:r>
        <w:rPr/>
        <w:t>contribuciones</w:t>
      </w:r>
      <w:r>
        <w:rPr>
          <w:spacing w:val="-7"/>
        </w:rPr>
        <w:t> </w:t>
      </w:r>
      <w:r>
        <w:rPr/>
        <w:t>que</w:t>
      </w:r>
      <w:r>
        <w:rPr>
          <w:spacing w:val="-9"/>
        </w:rPr>
        <w:t> </w:t>
      </w:r>
      <w:r>
        <w:rPr/>
        <w:t>se</w:t>
      </w:r>
      <w:r>
        <w:rPr>
          <w:spacing w:val="-9"/>
        </w:rPr>
        <w:t> </w:t>
      </w:r>
      <w:r>
        <w:rPr/>
        <w:t>realizaron</w:t>
      </w:r>
      <w:r>
        <w:rPr>
          <w:spacing w:val="-9"/>
        </w:rPr>
        <w:t> </w:t>
      </w:r>
      <w:r>
        <w:rPr/>
        <w:t>para</w:t>
      </w:r>
      <w:r>
        <w:rPr>
          <w:spacing w:val="-9"/>
        </w:rPr>
        <w:t> </w:t>
      </w:r>
      <w:r>
        <w:rPr/>
        <w:t>explicar</w:t>
      </w:r>
      <w:r>
        <w:rPr>
          <w:spacing w:val="-7"/>
        </w:rPr>
        <w:t> </w:t>
      </w:r>
      <w:r>
        <w:rPr/>
        <w:t>la</w:t>
      </w:r>
      <w:r>
        <w:rPr>
          <w:spacing w:val="-9"/>
        </w:rPr>
        <w:t> </w:t>
      </w:r>
      <w:r>
        <w:rPr/>
        <w:t>gobernanza destacan las</w:t>
      </w:r>
      <w:r>
        <w:rPr>
          <w:spacing w:val="-13"/>
        </w:rPr>
        <w:t> </w:t>
      </w:r>
      <w:r>
        <w:rPr/>
        <w:t>siguientes:</w:t>
      </w:r>
    </w:p>
    <w:p>
      <w:pPr>
        <w:spacing w:after="0" w:line="357" w:lineRule="auto"/>
        <w:jc w:val="both"/>
        <w:sectPr>
          <w:pgSz w:w="12240" w:h="15840"/>
          <w:pgMar w:header="0" w:footer="938" w:top="1360" w:bottom="1180" w:left="1600" w:right="1600"/>
        </w:sectPr>
      </w:pPr>
    </w:p>
    <w:p>
      <w:pPr>
        <w:spacing w:before="53"/>
        <w:ind w:left="120" w:right="0" w:firstLine="0"/>
        <w:jc w:val="left"/>
        <w:rPr>
          <w:sz w:val="20"/>
        </w:rPr>
      </w:pPr>
      <w:bookmarkStart w:name="_bookmark3" w:id="5"/>
      <w:bookmarkEnd w:id="5"/>
      <w:r>
        <w:rPr/>
      </w:r>
      <w:r>
        <w:rPr>
          <w:sz w:val="20"/>
        </w:rPr>
        <w:t>Cuadro 1.1. Algunas definiciones de gobernanza</w:t>
      </w:r>
    </w:p>
    <w:p>
      <w:pPr>
        <w:pStyle w:val="BodyText"/>
        <w:spacing w:before="10"/>
        <w:rPr>
          <w:sz w:val="17"/>
        </w:rPr>
      </w:pPr>
    </w:p>
    <w:tbl>
      <w:tblPr>
        <w:tblW w:w="0" w:type="auto"/>
        <w:jc w:val="left"/>
        <w:tblInd w:w="122" w:type="dxa"/>
        <w:tblBorders>
          <w:top w:val="single" w:sz="11" w:space="0" w:color="808080"/>
          <w:left w:val="single" w:sz="11" w:space="0" w:color="808080"/>
          <w:bottom w:val="single" w:sz="11" w:space="0" w:color="808080"/>
          <w:right w:val="single" w:sz="11" w:space="0" w:color="808080"/>
          <w:insideH w:val="single" w:sz="11" w:space="0" w:color="808080"/>
          <w:insideV w:val="single" w:sz="11" w:space="0" w:color="808080"/>
        </w:tblBorders>
        <w:tblLayout w:type="fixed"/>
        <w:tblCellMar>
          <w:top w:w="0" w:type="dxa"/>
          <w:left w:w="0" w:type="dxa"/>
          <w:bottom w:w="0" w:type="dxa"/>
          <w:right w:w="0" w:type="dxa"/>
        </w:tblCellMar>
        <w:tblLook w:val="01E0"/>
      </w:tblPr>
      <w:tblGrid>
        <w:gridCol w:w="1348"/>
        <w:gridCol w:w="1605"/>
        <w:gridCol w:w="1840"/>
        <w:gridCol w:w="2277"/>
        <w:gridCol w:w="1741"/>
      </w:tblGrid>
      <w:tr>
        <w:trPr>
          <w:trHeight w:val="664" w:hRule="exact"/>
        </w:trPr>
        <w:tc>
          <w:tcPr>
            <w:tcW w:w="1348" w:type="dxa"/>
          </w:tcPr>
          <w:p>
            <w:pPr>
              <w:pStyle w:val="TableParagraph"/>
              <w:spacing w:line="276" w:lineRule="auto"/>
              <w:ind w:left="166" w:right="168" w:firstLine="3"/>
              <w:jc w:val="center"/>
              <w:rPr>
                <w:b/>
                <w:sz w:val="16"/>
              </w:rPr>
            </w:pPr>
            <w:r>
              <w:rPr>
                <w:b/>
                <w:sz w:val="16"/>
              </w:rPr>
              <w:t>Crozier, Hungtinton y Watanuki</w:t>
            </w:r>
          </w:p>
        </w:tc>
        <w:tc>
          <w:tcPr>
            <w:tcW w:w="1605" w:type="dxa"/>
          </w:tcPr>
          <w:p>
            <w:pPr>
              <w:pStyle w:val="TableParagraph"/>
              <w:spacing w:line="276" w:lineRule="auto"/>
              <w:ind w:left="98" w:right="104" w:firstLine="3"/>
              <w:jc w:val="center"/>
              <w:rPr>
                <w:b/>
                <w:sz w:val="16"/>
              </w:rPr>
            </w:pPr>
            <w:r>
              <w:rPr>
                <w:b/>
                <w:sz w:val="16"/>
              </w:rPr>
              <w:t>Guillermo O’Donnell</w:t>
            </w:r>
            <w:r>
              <w:rPr>
                <w:b/>
                <w:spacing w:val="-5"/>
                <w:sz w:val="16"/>
              </w:rPr>
              <w:t> </w:t>
            </w:r>
            <w:r>
              <w:rPr>
                <w:b/>
                <w:sz w:val="16"/>
              </w:rPr>
              <w:t>y</w:t>
            </w:r>
            <w:r>
              <w:rPr>
                <w:b/>
                <w:spacing w:val="-3"/>
                <w:sz w:val="16"/>
              </w:rPr>
              <w:t> </w:t>
            </w:r>
            <w:r>
              <w:rPr>
                <w:b/>
                <w:sz w:val="16"/>
              </w:rPr>
              <w:t>Adam</w:t>
            </w:r>
            <w:r>
              <w:rPr>
                <w:b/>
                <w:w w:val="99"/>
                <w:sz w:val="16"/>
              </w:rPr>
              <w:t> </w:t>
            </w:r>
            <w:r>
              <w:rPr>
                <w:b/>
                <w:sz w:val="16"/>
              </w:rPr>
              <w:t>Przeworski</w:t>
            </w:r>
          </w:p>
        </w:tc>
        <w:tc>
          <w:tcPr>
            <w:tcW w:w="1840" w:type="dxa"/>
          </w:tcPr>
          <w:p>
            <w:pPr>
              <w:pStyle w:val="TableParagraph"/>
              <w:spacing w:line="276" w:lineRule="auto"/>
              <w:ind w:left="238" w:right="95" w:firstLine="396"/>
              <w:rPr>
                <w:b/>
                <w:sz w:val="16"/>
              </w:rPr>
            </w:pPr>
            <w:r>
              <w:rPr>
                <w:b/>
                <w:sz w:val="16"/>
              </w:rPr>
              <w:t>Mayntz Héritier y Scharpf</w:t>
            </w:r>
          </w:p>
        </w:tc>
        <w:tc>
          <w:tcPr>
            <w:tcW w:w="2277" w:type="dxa"/>
          </w:tcPr>
          <w:p>
            <w:pPr>
              <w:pStyle w:val="TableParagraph"/>
              <w:spacing w:line="178" w:lineRule="exact"/>
              <w:ind w:left="610"/>
              <w:rPr>
                <w:b/>
                <w:sz w:val="16"/>
              </w:rPr>
            </w:pPr>
            <w:r>
              <w:rPr>
                <w:b/>
                <w:sz w:val="16"/>
              </w:rPr>
              <w:t>ElinorOstrom</w:t>
            </w:r>
          </w:p>
        </w:tc>
        <w:tc>
          <w:tcPr>
            <w:tcW w:w="1741" w:type="dxa"/>
          </w:tcPr>
          <w:p>
            <w:pPr>
              <w:pStyle w:val="TableParagraph"/>
              <w:spacing w:line="178" w:lineRule="exact"/>
              <w:ind w:left="234"/>
              <w:rPr>
                <w:b/>
                <w:sz w:val="16"/>
              </w:rPr>
            </w:pPr>
            <w:r>
              <w:rPr>
                <w:b/>
                <w:sz w:val="16"/>
              </w:rPr>
              <w:t>Patrick Le Galès</w:t>
            </w:r>
          </w:p>
        </w:tc>
      </w:tr>
      <w:tr>
        <w:trPr>
          <w:trHeight w:val="2352" w:hRule="exact"/>
        </w:trPr>
        <w:tc>
          <w:tcPr>
            <w:tcW w:w="1348" w:type="dxa"/>
            <w:tcBorders>
              <w:left w:val="single" w:sz="3" w:space="0" w:color="000000"/>
              <w:right w:val="single" w:sz="3" w:space="0" w:color="000000"/>
            </w:tcBorders>
          </w:tcPr>
          <w:p>
            <w:pPr>
              <w:pStyle w:val="TableParagraph"/>
              <w:spacing w:line="276" w:lineRule="auto"/>
              <w:ind w:left="103" w:right="112"/>
              <w:rPr>
                <w:sz w:val="14"/>
              </w:rPr>
            </w:pPr>
            <w:r>
              <w:rPr>
                <w:sz w:val="14"/>
              </w:rPr>
              <w:t>La distancia entre las demandas sociales y la habilidad de las instituciones públicas para satisfacerlas.</w:t>
            </w:r>
          </w:p>
        </w:tc>
        <w:tc>
          <w:tcPr>
            <w:tcW w:w="1605" w:type="dxa"/>
            <w:tcBorders>
              <w:left w:val="single" w:sz="3" w:space="0" w:color="000000"/>
              <w:right w:val="single" w:sz="3" w:space="0" w:color="000000"/>
            </w:tcBorders>
          </w:tcPr>
          <w:p>
            <w:pPr>
              <w:pStyle w:val="TableParagraph"/>
              <w:spacing w:line="276" w:lineRule="auto"/>
              <w:ind w:left="104" w:right="92"/>
              <w:rPr>
                <w:sz w:val="14"/>
              </w:rPr>
            </w:pPr>
            <w:r>
              <w:rPr>
                <w:sz w:val="14"/>
              </w:rPr>
              <w:t>Aquel estado de un país que, por un lado, evita la regresión autoritaria y, por otro, permite avanzar, expandir y aprovechar las oportunidades sociales, económicas y políticas.</w:t>
            </w:r>
          </w:p>
        </w:tc>
        <w:tc>
          <w:tcPr>
            <w:tcW w:w="1840" w:type="dxa"/>
            <w:tcBorders>
              <w:left w:val="single" w:sz="3" w:space="0" w:color="000000"/>
              <w:right w:val="single" w:sz="3" w:space="0" w:color="000000"/>
            </w:tcBorders>
          </w:tcPr>
          <w:p>
            <w:pPr>
              <w:pStyle w:val="TableParagraph"/>
              <w:spacing w:line="276" w:lineRule="auto"/>
              <w:ind w:left="104" w:right="151"/>
              <w:rPr>
                <w:sz w:val="14"/>
              </w:rPr>
            </w:pPr>
            <w:r>
              <w:rPr>
                <w:sz w:val="14"/>
              </w:rPr>
              <w:t>Una nueva conceptualización de la legitimidad de las instituciones políticas fundamentada en la eficiencia de un gobierno sobre todo para el pueblo, más que por o desde el pueblo.</w:t>
            </w:r>
          </w:p>
        </w:tc>
        <w:tc>
          <w:tcPr>
            <w:tcW w:w="2277" w:type="dxa"/>
            <w:tcBorders>
              <w:left w:val="single" w:sz="3" w:space="0" w:color="000000"/>
              <w:right w:val="single" w:sz="3" w:space="0" w:color="000000"/>
            </w:tcBorders>
          </w:tcPr>
          <w:p>
            <w:pPr>
              <w:pStyle w:val="TableParagraph"/>
              <w:ind w:left="104" w:right="117"/>
              <w:rPr>
                <w:sz w:val="14"/>
              </w:rPr>
            </w:pPr>
            <w:r>
              <w:rPr>
                <w:sz w:val="14"/>
              </w:rPr>
              <w:t>Gobernanza es la que determina la capacidad del gobierno para transformar las necesidades en políticas y, así establece patrones de interacción entre actores estratégicos no sesgados hacia grupos de interés (más equitativos) y que permitan la formulación e implementación de las políticas en el menor tiempo y esfuerzo posible (más eficientes).</w:t>
            </w:r>
          </w:p>
        </w:tc>
        <w:tc>
          <w:tcPr>
            <w:tcW w:w="1741" w:type="dxa"/>
            <w:tcBorders>
              <w:left w:val="single" w:sz="3" w:space="0" w:color="000000"/>
              <w:right w:val="single" w:sz="3" w:space="0" w:color="000000"/>
            </w:tcBorders>
          </w:tcPr>
          <w:p>
            <w:pPr>
              <w:pStyle w:val="TableParagraph"/>
              <w:spacing w:line="276" w:lineRule="auto"/>
              <w:ind w:left="104" w:right="142"/>
              <w:rPr>
                <w:sz w:val="14"/>
              </w:rPr>
            </w:pPr>
            <w:r>
              <w:rPr>
                <w:sz w:val="14"/>
              </w:rPr>
              <w:t>La gobernanza </w:t>
            </w:r>
            <w:r>
              <w:rPr>
                <w:spacing w:val="-3"/>
                <w:sz w:val="14"/>
              </w:rPr>
              <w:t>es </w:t>
            </w:r>
            <w:r>
              <w:rPr>
                <w:sz w:val="14"/>
              </w:rPr>
              <w:t>un proceso de coordinación de actores, de grupos sociales, de instituciones para</w:t>
            </w:r>
            <w:r>
              <w:rPr>
                <w:spacing w:val="-15"/>
                <w:sz w:val="14"/>
              </w:rPr>
              <w:t> </w:t>
            </w:r>
            <w:r>
              <w:rPr>
                <w:sz w:val="14"/>
              </w:rPr>
              <w:t>lograr metas definidas colectivamente en entornos fragmentados y caracterizados por la incertidumbre.</w:t>
            </w:r>
          </w:p>
        </w:tc>
      </w:tr>
    </w:tbl>
    <w:p>
      <w:pPr>
        <w:pStyle w:val="BodyText"/>
        <w:spacing w:before="1"/>
        <w:rPr>
          <w:sz w:val="6"/>
        </w:rPr>
      </w:pPr>
    </w:p>
    <w:p>
      <w:pPr>
        <w:spacing w:before="85"/>
        <w:ind w:left="120" w:right="0" w:firstLine="0"/>
        <w:jc w:val="left"/>
        <w:rPr>
          <w:sz w:val="12"/>
        </w:rPr>
      </w:pPr>
      <w:r>
        <w:rPr>
          <w:sz w:val="12"/>
        </w:rPr>
        <w:t>FUENTE:     1</w:t>
      </w:r>
      <w:hyperlink r:id="rId20">
        <w:r>
          <w:rPr>
            <w:sz w:val="12"/>
          </w:rPr>
          <w:t>http://www.robertexto.com/archivo17/gobernab_democrac.htm[</w:t>
        </w:r>
      </w:hyperlink>
      <w:r>
        <w:rPr>
          <w:sz w:val="12"/>
        </w:rPr>
        <w:t>Fecha de consulta: 20 de marzo, 2015], Prats (s.f.:  241), Prats (s.f.: 242), Prats (s.f.:</w:t>
      </w:r>
    </w:p>
    <w:p>
      <w:pPr>
        <w:spacing w:before="22"/>
        <w:ind w:left="829" w:right="0" w:firstLine="0"/>
        <w:jc w:val="left"/>
        <w:rPr>
          <w:sz w:val="12"/>
        </w:rPr>
      </w:pPr>
      <w:r>
        <w:rPr>
          <w:sz w:val="12"/>
        </w:rPr>
        <w:t>245) y Ruano (2002: 1), respectivamente,</w:t>
      </w:r>
    </w:p>
    <w:p>
      <w:pPr>
        <w:pStyle w:val="BodyText"/>
        <w:rPr>
          <w:sz w:val="12"/>
        </w:rPr>
      </w:pPr>
    </w:p>
    <w:p>
      <w:pPr>
        <w:pStyle w:val="BodyText"/>
        <w:spacing w:before="9"/>
        <w:rPr>
          <w:sz w:val="12"/>
        </w:rPr>
      </w:pPr>
    </w:p>
    <w:p>
      <w:pPr>
        <w:pStyle w:val="BodyText"/>
        <w:spacing w:line="360" w:lineRule="auto"/>
        <w:ind w:left="120" w:right="124" w:firstLine="427"/>
        <w:jc w:val="both"/>
      </w:pPr>
      <w:r>
        <w:rPr/>
        <w:t>Las definiciones anteriores convergen en que la gobernanza implica la acción del</w:t>
      </w:r>
      <w:r>
        <w:rPr>
          <w:spacing w:val="-6"/>
        </w:rPr>
        <w:t> </w:t>
      </w:r>
      <w:r>
        <w:rPr/>
        <w:t>Estado</w:t>
      </w:r>
      <w:r>
        <w:rPr>
          <w:spacing w:val="-7"/>
        </w:rPr>
        <w:t> </w:t>
      </w:r>
      <w:r>
        <w:rPr/>
        <w:t>para</w:t>
      </w:r>
      <w:r>
        <w:rPr>
          <w:spacing w:val="-7"/>
        </w:rPr>
        <w:t> </w:t>
      </w:r>
      <w:r>
        <w:rPr/>
        <w:t>la</w:t>
      </w:r>
      <w:r>
        <w:rPr>
          <w:spacing w:val="-7"/>
        </w:rPr>
        <w:t> </w:t>
      </w:r>
      <w:r>
        <w:rPr/>
        <w:t>atención</w:t>
      </w:r>
      <w:r>
        <w:rPr>
          <w:spacing w:val="-7"/>
        </w:rPr>
        <w:t> </w:t>
      </w:r>
      <w:r>
        <w:rPr/>
        <w:t>de</w:t>
      </w:r>
      <w:r>
        <w:rPr>
          <w:spacing w:val="-4"/>
        </w:rPr>
        <w:t> </w:t>
      </w:r>
      <w:r>
        <w:rPr/>
        <w:t>las</w:t>
      </w:r>
      <w:r>
        <w:rPr>
          <w:spacing w:val="-6"/>
        </w:rPr>
        <w:t> </w:t>
      </w:r>
      <w:r>
        <w:rPr/>
        <w:t>necesidades</w:t>
      </w:r>
      <w:r>
        <w:rPr>
          <w:spacing w:val="-2"/>
        </w:rPr>
        <w:t> </w:t>
      </w:r>
      <w:r>
        <w:rPr/>
        <w:t>de</w:t>
      </w:r>
      <w:r>
        <w:rPr>
          <w:spacing w:val="-7"/>
        </w:rPr>
        <w:t> </w:t>
      </w:r>
      <w:r>
        <w:rPr/>
        <w:t>la</w:t>
      </w:r>
      <w:r>
        <w:rPr>
          <w:spacing w:val="-7"/>
        </w:rPr>
        <w:t> </w:t>
      </w:r>
      <w:r>
        <w:rPr/>
        <w:t>sociedad.</w:t>
      </w:r>
      <w:r>
        <w:rPr>
          <w:spacing w:val="-5"/>
        </w:rPr>
        <w:t> </w:t>
      </w:r>
      <w:r>
        <w:rPr/>
        <w:t>Es</w:t>
      </w:r>
      <w:r>
        <w:rPr>
          <w:spacing w:val="-6"/>
        </w:rPr>
        <w:t> </w:t>
      </w:r>
      <w:r>
        <w:rPr/>
        <w:t>importante</w:t>
      </w:r>
      <w:r>
        <w:rPr>
          <w:spacing w:val="-7"/>
        </w:rPr>
        <w:t> </w:t>
      </w:r>
      <w:r>
        <w:rPr/>
        <w:t>tener presente que debido a que el diseño de la gobernanza corresponde originalmente a países europeos, se considera que es </w:t>
      </w:r>
      <w:r>
        <w:rPr>
          <w:spacing w:val="-2"/>
        </w:rPr>
        <w:t>más </w:t>
      </w:r>
      <w:r>
        <w:rPr/>
        <w:t>sencillo que la gobernanza tenga buenos resultados en éstos países</w:t>
      </w:r>
      <w:r>
        <w:rPr>
          <w:spacing w:val="-26"/>
        </w:rPr>
        <w:t> </w:t>
      </w:r>
      <w:r>
        <w:rPr/>
        <w:t>avanzados.</w:t>
      </w:r>
    </w:p>
    <w:p>
      <w:pPr>
        <w:pStyle w:val="BodyText"/>
        <w:spacing w:line="357" w:lineRule="auto" w:before="6"/>
        <w:ind w:left="120" w:right="117" w:firstLine="427"/>
        <w:jc w:val="both"/>
      </w:pPr>
      <w:r>
        <w:rPr/>
        <w:t>Una característica distintiva del enfoque de la gobernanza es que considera la reducción del tamaño del Estado mediante la inclusión de redes,</w:t>
      </w:r>
      <w:r>
        <w:rPr>
          <w:position w:val="8"/>
          <w:sz w:val="16"/>
        </w:rPr>
        <w:t>4</w:t>
      </w:r>
      <w:r>
        <w:rPr/>
        <w:t>que implican la participación activa de dos o </w:t>
      </w:r>
      <w:r>
        <w:rPr>
          <w:spacing w:val="-2"/>
        </w:rPr>
        <w:t>más </w:t>
      </w:r>
      <w:r>
        <w:rPr/>
        <w:t>grupos de actores (tanto gubernamentales como no</w:t>
      </w:r>
      <w:r>
        <w:rPr>
          <w:spacing w:val="-17"/>
        </w:rPr>
        <w:t> </w:t>
      </w:r>
      <w:r>
        <w:rPr/>
        <w:t>gubernamentales)</w:t>
      </w:r>
      <w:r>
        <w:rPr>
          <w:spacing w:val="-15"/>
        </w:rPr>
        <w:t> </w:t>
      </w:r>
      <w:r>
        <w:rPr/>
        <w:t>y</w:t>
      </w:r>
      <w:r>
        <w:rPr>
          <w:spacing w:val="-18"/>
        </w:rPr>
        <w:t> </w:t>
      </w:r>
      <w:r>
        <w:rPr/>
        <w:t>que</w:t>
      </w:r>
      <w:r>
        <w:rPr>
          <w:spacing w:val="-17"/>
        </w:rPr>
        <w:t> </w:t>
      </w:r>
      <w:r>
        <w:rPr/>
        <w:t>pueden</w:t>
      </w:r>
      <w:r>
        <w:rPr>
          <w:spacing w:val="-17"/>
        </w:rPr>
        <w:t> </w:t>
      </w:r>
      <w:r>
        <w:rPr/>
        <w:t>coadyuvar</w:t>
      </w:r>
      <w:r>
        <w:rPr>
          <w:spacing w:val="-15"/>
        </w:rPr>
        <w:t> </w:t>
      </w:r>
      <w:r>
        <w:rPr/>
        <w:t>al</w:t>
      </w:r>
      <w:r>
        <w:rPr>
          <w:spacing w:val="-16"/>
        </w:rPr>
        <w:t> </w:t>
      </w:r>
      <w:r>
        <w:rPr/>
        <w:t>Estado</w:t>
      </w:r>
      <w:r>
        <w:rPr>
          <w:spacing w:val="-17"/>
        </w:rPr>
        <w:t> </w:t>
      </w:r>
      <w:r>
        <w:rPr/>
        <w:t>en</w:t>
      </w:r>
      <w:r>
        <w:rPr>
          <w:spacing w:val="-17"/>
        </w:rPr>
        <w:t> </w:t>
      </w:r>
      <w:r>
        <w:rPr/>
        <w:t>la</w:t>
      </w:r>
      <w:r>
        <w:rPr>
          <w:spacing w:val="-17"/>
        </w:rPr>
        <w:t> </w:t>
      </w:r>
      <w:r>
        <w:rPr/>
        <w:t>atención</w:t>
      </w:r>
      <w:r>
        <w:rPr>
          <w:spacing w:val="-17"/>
        </w:rPr>
        <w:t> </w:t>
      </w:r>
      <w:r>
        <w:rPr/>
        <w:t>de</w:t>
      </w:r>
      <w:r>
        <w:rPr>
          <w:spacing w:val="-17"/>
        </w:rPr>
        <w:t> </w:t>
      </w:r>
      <w:r>
        <w:rPr/>
        <w:t>servicios, provisión</w:t>
      </w:r>
      <w:r>
        <w:rPr>
          <w:spacing w:val="-12"/>
        </w:rPr>
        <w:t> </w:t>
      </w:r>
      <w:r>
        <w:rPr/>
        <w:t>de</w:t>
      </w:r>
      <w:r>
        <w:rPr>
          <w:spacing w:val="-12"/>
        </w:rPr>
        <w:t> </w:t>
      </w:r>
      <w:r>
        <w:rPr/>
        <w:t>bienes</w:t>
      </w:r>
      <w:r>
        <w:rPr>
          <w:spacing w:val="-10"/>
        </w:rPr>
        <w:t> </w:t>
      </w:r>
      <w:r>
        <w:rPr/>
        <w:t>y</w:t>
      </w:r>
      <w:r>
        <w:rPr>
          <w:spacing w:val="-14"/>
        </w:rPr>
        <w:t> </w:t>
      </w:r>
      <w:r>
        <w:rPr/>
        <w:t>diseño</w:t>
      </w:r>
      <w:r>
        <w:rPr>
          <w:spacing w:val="-12"/>
        </w:rPr>
        <w:t> </w:t>
      </w:r>
      <w:r>
        <w:rPr/>
        <w:t>de</w:t>
      </w:r>
      <w:r>
        <w:rPr>
          <w:spacing w:val="-16"/>
        </w:rPr>
        <w:t> </w:t>
      </w:r>
      <w:r>
        <w:rPr/>
        <w:t>políticas</w:t>
      </w:r>
      <w:r>
        <w:rPr>
          <w:spacing w:val="-14"/>
        </w:rPr>
        <w:t> </w:t>
      </w:r>
      <w:r>
        <w:rPr/>
        <w:t>públicas,</w:t>
      </w:r>
      <w:r>
        <w:rPr>
          <w:spacing w:val="-13"/>
        </w:rPr>
        <w:t> </w:t>
      </w:r>
      <w:r>
        <w:rPr/>
        <w:t>con</w:t>
      </w:r>
      <w:r>
        <w:rPr>
          <w:spacing w:val="-12"/>
        </w:rPr>
        <w:t> </w:t>
      </w:r>
      <w:r>
        <w:rPr/>
        <w:t>lo</w:t>
      </w:r>
      <w:r>
        <w:rPr>
          <w:spacing w:val="-12"/>
        </w:rPr>
        <w:t> </w:t>
      </w:r>
      <w:r>
        <w:rPr/>
        <w:t>que</w:t>
      </w:r>
      <w:r>
        <w:rPr>
          <w:spacing w:val="-16"/>
        </w:rPr>
        <w:t> </w:t>
      </w:r>
      <w:r>
        <w:rPr/>
        <w:t>se</w:t>
      </w:r>
      <w:r>
        <w:rPr>
          <w:spacing w:val="-16"/>
        </w:rPr>
        <w:t> </w:t>
      </w:r>
      <w:r>
        <w:rPr/>
        <w:t>pretende</w:t>
      </w:r>
      <w:r>
        <w:rPr>
          <w:spacing w:val="-16"/>
        </w:rPr>
        <w:t> </w:t>
      </w:r>
      <w:r>
        <w:rPr/>
        <w:t>lograr</w:t>
      </w:r>
      <w:r>
        <w:rPr>
          <w:spacing w:val="-14"/>
        </w:rPr>
        <w:t> </w:t>
      </w:r>
      <w:r>
        <w:rPr/>
        <w:t>una mayor</w:t>
      </w:r>
      <w:r>
        <w:rPr>
          <w:spacing w:val="-12"/>
        </w:rPr>
        <w:t> </w:t>
      </w:r>
      <w:r>
        <w:rPr/>
        <w:t>corresponsabilidad</w:t>
      </w:r>
      <w:r>
        <w:rPr>
          <w:spacing w:val="-14"/>
        </w:rPr>
        <w:t> </w:t>
      </w:r>
      <w:r>
        <w:rPr/>
        <w:t>Estado-sociedad</w:t>
      </w:r>
      <w:r>
        <w:rPr>
          <w:position w:val="8"/>
          <w:sz w:val="16"/>
        </w:rPr>
        <w:t>5</w:t>
      </w:r>
      <w:r>
        <w:rPr>
          <w:spacing w:val="9"/>
          <w:position w:val="8"/>
          <w:sz w:val="16"/>
        </w:rPr>
        <w:t> </w:t>
      </w:r>
      <w:r>
        <w:rPr/>
        <w:t>y</w:t>
      </w:r>
      <w:r>
        <w:rPr>
          <w:spacing w:val="-15"/>
        </w:rPr>
        <w:t> </w:t>
      </w:r>
      <w:r>
        <w:rPr/>
        <w:t>una</w:t>
      </w:r>
      <w:r>
        <w:rPr>
          <w:spacing w:val="-10"/>
        </w:rPr>
        <w:t> </w:t>
      </w:r>
      <w:r>
        <w:rPr/>
        <w:t>mejor</w:t>
      </w:r>
      <w:r>
        <w:rPr>
          <w:spacing w:val="-12"/>
        </w:rPr>
        <w:t> </w:t>
      </w:r>
      <w:r>
        <w:rPr/>
        <w:t>supervisión</w:t>
      </w:r>
      <w:r>
        <w:rPr>
          <w:spacing w:val="-14"/>
        </w:rPr>
        <w:t> </w:t>
      </w:r>
      <w:r>
        <w:rPr/>
        <w:t>de</w:t>
      </w:r>
      <w:r>
        <w:rPr>
          <w:spacing w:val="-14"/>
        </w:rPr>
        <w:t> </w:t>
      </w:r>
      <w:r>
        <w:rPr/>
        <w:t>la</w:t>
      </w:r>
      <w:r>
        <w:rPr>
          <w:spacing w:val="-14"/>
        </w:rPr>
        <w:t> </w:t>
      </w:r>
      <w:r>
        <w:rPr/>
        <w:t>rendición de cuentas;</w:t>
      </w:r>
      <w:r>
        <w:rPr>
          <w:position w:val="8"/>
          <w:sz w:val="16"/>
        </w:rPr>
        <w:t>6 </w:t>
      </w:r>
      <w:r>
        <w:rPr/>
        <w:t>por tanto, en la gobernanza se otorga un papel </w:t>
      </w:r>
      <w:r>
        <w:rPr>
          <w:spacing w:val="-2"/>
        </w:rPr>
        <w:t>más </w:t>
      </w:r>
      <w:r>
        <w:rPr/>
        <w:t>activo al sector privado en la política, por lo que el poder del Estado se reduce (aunque algunos advierten, como Guy Peters, que esto implica que en la práctica todos y a la vez nadie son</w:t>
      </w:r>
      <w:r>
        <w:rPr>
          <w:spacing w:val="-15"/>
        </w:rPr>
        <w:t> </w:t>
      </w:r>
      <w:r>
        <w:rPr/>
        <w:t>culpables).</w:t>
      </w: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1768;mso-wrap-distance-left:0;mso-wrap-distance-right:0" from="85.025002pt,9.489927pt" to="229.075002pt,9.489927pt" stroked="true" strokeweight=".79999pt" strokecolor="#000000">
            <w10:wrap type="topAndBottom"/>
          </v:line>
        </w:pict>
      </w:r>
    </w:p>
    <w:p>
      <w:pPr>
        <w:spacing w:line="244" w:lineRule="auto" w:before="59"/>
        <w:ind w:left="120" w:right="124" w:firstLine="0"/>
        <w:jc w:val="both"/>
        <w:rPr>
          <w:sz w:val="16"/>
        </w:rPr>
      </w:pPr>
      <w:r>
        <w:rPr>
          <w:rFonts w:ascii="Times New Roman" w:hAnsi="Times New Roman"/>
          <w:position w:val="7"/>
          <w:sz w:val="13"/>
        </w:rPr>
        <w:t>4</w:t>
      </w:r>
      <w:r>
        <w:rPr>
          <w:sz w:val="16"/>
        </w:rPr>
        <w:t>Agustín</w:t>
      </w:r>
      <w:r>
        <w:rPr>
          <w:spacing w:val="-8"/>
          <w:sz w:val="16"/>
        </w:rPr>
        <w:t> </w:t>
      </w:r>
      <w:r>
        <w:rPr>
          <w:sz w:val="16"/>
        </w:rPr>
        <w:t>Cerrillo</w:t>
      </w:r>
      <w:r>
        <w:rPr>
          <w:spacing w:val="-3"/>
          <w:sz w:val="16"/>
        </w:rPr>
        <w:t> </w:t>
      </w:r>
      <w:r>
        <w:rPr>
          <w:sz w:val="16"/>
        </w:rPr>
        <w:t>i</w:t>
      </w:r>
      <w:r>
        <w:rPr>
          <w:spacing w:val="-6"/>
          <w:sz w:val="16"/>
        </w:rPr>
        <w:t> </w:t>
      </w:r>
      <w:r>
        <w:rPr>
          <w:sz w:val="16"/>
        </w:rPr>
        <w:t>Martínez</w:t>
      </w:r>
      <w:r>
        <w:rPr>
          <w:spacing w:val="-1"/>
          <w:sz w:val="16"/>
        </w:rPr>
        <w:t> </w:t>
      </w:r>
      <w:r>
        <w:rPr>
          <w:sz w:val="16"/>
        </w:rPr>
        <w:t>(2005)</w:t>
      </w:r>
      <w:r>
        <w:rPr>
          <w:spacing w:val="-4"/>
          <w:sz w:val="16"/>
        </w:rPr>
        <w:t> </w:t>
      </w:r>
      <w:r>
        <w:rPr>
          <w:sz w:val="16"/>
        </w:rPr>
        <w:t>señala</w:t>
      </w:r>
      <w:r>
        <w:rPr>
          <w:spacing w:val="-4"/>
          <w:sz w:val="16"/>
        </w:rPr>
        <w:t> </w:t>
      </w:r>
      <w:r>
        <w:rPr>
          <w:sz w:val="16"/>
        </w:rPr>
        <w:t>que</w:t>
      </w:r>
      <w:r>
        <w:rPr>
          <w:spacing w:val="-4"/>
          <w:sz w:val="16"/>
        </w:rPr>
        <w:t> </w:t>
      </w:r>
      <w:r>
        <w:rPr>
          <w:sz w:val="16"/>
        </w:rPr>
        <w:t>en</w:t>
      </w:r>
      <w:r>
        <w:rPr>
          <w:spacing w:val="-8"/>
          <w:sz w:val="16"/>
        </w:rPr>
        <w:t> </w:t>
      </w:r>
      <w:r>
        <w:rPr>
          <w:sz w:val="16"/>
        </w:rPr>
        <w:t>la</w:t>
      </w:r>
      <w:r>
        <w:rPr>
          <w:spacing w:val="-8"/>
          <w:sz w:val="16"/>
        </w:rPr>
        <w:t> </w:t>
      </w:r>
      <w:r>
        <w:rPr>
          <w:sz w:val="16"/>
        </w:rPr>
        <w:t>ciencia</w:t>
      </w:r>
      <w:r>
        <w:rPr>
          <w:spacing w:val="-4"/>
          <w:sz w:val="16"/>
        </w:rPr>
        <w:t> </w:t>
      </w:r>
      <w:r>
        <w:rPr>
          <w:sz w:val="16"/>
        </w:rPr>
        <w:t>política</w:t>
      </w:r>
      <w:r>
        <w:rPr>
          <w:spacing w:val="-4"/>
          <w:sz w:val="16"/>
        </w:rPr>
        <w:t> </w:t>
      </w:r>
      <w:r>
        <w:rPr>
          <w:sz w:val="16"/>
        </w:rPr>
        <w:t>el</w:t>
      </w:r>
      <w:r>
        <w:rPr>
          <w:spacing w:val="-6"/>
          <w:sz w:val="16"/>
        </w:rPr>
        <w:t> </w:t>
      </w:r>
      <w:r>
        <w:rPr>
          <w:sz w:val="16"/>
        </w:rPr>
        <w:t>uso</w:t>
      </w:r>
      <w:r>
        <w:rPr>
          <w:spacing w:val="-8"/>
          <w:sz w:val="16"/>
        </w:rPr>
        <w:t> </w:t>
      </w:r>
      <w:r>
        <w:rPr>
          <w:sz w:val="16"/>
        </w:rPr>
        <w:t>de</w:t>
      </w:r>
      <w:r>
        <w:rPr>
          <w:spacing w:val="-4"/>
          <w:sz w:val="16"/>
        </w:rPr>
        <w:t> </w:t>
      </w:r>
      <w:r>
        <w:rPr>
          <w:sz w:val="16"/>
        </w:rPr>
        <w:t>redes</w:t>
      </w:r>
      <w:r>
        <w:rPr>
          <w:spacing w:val="-11"/>
          <w:sz w:val="16"/>
        </w:rPr>
        <w:t> </w:t>
      </w:r>
      <w:r>
        <w:rPr>
          <w:sz w:val="16"/>
        </w:rPr>
        <w:t>corresponde</w:t>
      </w:r>
      <w:r>
        <w:rPr>
          <w:spacing w:val="-8"/>
          <w:sz w:val="16"/>
        </w:rPr>
        <w:t> </w:t>
      </w:r>
      <w:r>
        <w:rPr>
          <w:sz w:val="16"/>
        </w:rPr>
        <w:t>a</w:t>
      </w:r>
      <w:r>
        <w:rPr>
          <w:spacing w:val="-4"/>
          <w:sz w:val="16"/>
        </w:rPr>
        <w:t> </w:t>
      </w:r>
      <w:r>
        <w:rPr>
          <w:sz w:val="16"/>
        </w:rPr>
        <w:t>la</w:t>
      </w:r>
      <w:r>
        <w:rPr>
          <w:spacing w:val="-3"/>
          <w:sz w:val="16"/>
        </w:rPr>
        <w:t> </w:t>
      </w:r>
      <w:r>
        <w:rPr>
          <w:sz w:val="16"/>
        </w:rPr>
        <w:t>limitada</w:t>
      </w:r>
      <w:r>
        <w:rPr>
          <w:spacing w:val="-8"/>
          <w:sz w:val="16"/>
        </w:rPr>
        <w:t> </w:t>
      </w:r>
      <w:r>
        <w:rPr>
          <w:sz w:val="16"/>
        </w:rPr>
        <w:t>función</w:t>
      </w:r>
      <w:r>
        <w:rPr>
          <w:spacing w:val="-8"/>
          <w:sz w:val="16"/>
        </w:rPr>
        <w:t> </w:t>
      </w:r>
      <w:r>
        <w:rPr>
          <w:sz w:val="16"/>
        </w:rPr>
        <w:t>directiva del gobierno en la década de los años 1980 y 1990 y su existencia refleja el intento por superar estas limitaciones, al tiempo que demuestran la complejidad de las sociedades</w:t>
      </w:r>
      <w:r>
        <w:rPr>
          <w:spacing w:val="-21"/>
          <w:sz w:val="16"/>
        </w:rPr>
        <w:t> </w:t>
      </w:r>
      <w:r>
        <w:rPr>
          <w:sz w:val="16"/>
        </w:rPr>
        <w:t>modernas.</w:t>
      </w:r>
    </w:p>
    <w:p>
      <w:pPr>
        <w:spacing w:line="216" w:lineRule="exact" w:before="0"/>
        <w:ind w:left="120" w:right="0" w:firstLine="0"/>
        <w:jc w:val="both"/>
        <w:rPr>
          <w:sz w:val="16"/>
        </w:rPr>
      </w:pPr>
      <w:r>
        <w:rPr>
          <w:rFonts w:ascii="Times New Roman" w:hAnsi="Times New Roman"/>
          <w:position w:val="7"/>
          <w:sz w:val="13"/>
        </w:rPr>
        <w:t>5</w:t>
      </w:r>
      <w:r>
        <w:rPr>
          <w:sz w:val="16"/>
        </w:rPr>
        <w:t>La rendición de cuentas es una responsabilidad Estado-sociedad, un derecho social y una obligación estatal.</w:t>
      </w:r>
    </w:p>
    <w:p>
      <w:pPr>
        <w:spacing w:line="247" w:lineRule="auto" w:before="12"/>
        <w:ind w:left="120" w:right="118" w:firstLine="0"/>
        <w:jc w:val="both"/>
        <w:rPr>
          <w:sz w:val="16"/>
        </w:rPr>
      </w:pPr>
      <w:r>
        <w:rPr>
          <w:rFonts w:ascii="Calibri" w:hAnsi="Calibri"/>
          <w:position w:val="8"/>
          <w:sz w:val="14"/>
        </w:rPr>
        <w:t>6</w:t>
      </w:r>
      <w:r>
        <w:rPr>
          <w:sz w:val="16"/>
        </w:rPr>
        <w:t>De</w:t>
      </w:r>
      <w:r>
        <w:rPr>
          <w:spacing w:val="-12"/>
          <w:sz w:val="16"/>
        </w:rPr>
        <w:t> </w:t>
      </w:r>
      <w:r>
        <w:rPr>
          <w:sz w:val="16"/>
        </w:rPr>
        <w:t>acuerdo</w:t>
      </w:r>
      <w:r>
        <w:rPr>
          <w:spacing w:val="-8"/>
          <w:sz w:val="16"/>
        </w:rPr>
        <w:t> </w:t>
      </w:r>
      <w:r>
        <w:rPr>
          <w:sz w:val="16"/>
        </w:rPr>
        <w:t>con</w:t>
      </w:r>
      <w:r>
        <w:rPr>
          <w:spacing w:val="-16"/>
          <w:sz w:val="16"/>
        </w:rPr>
        <w:t> </w:t>
      </w:r>
      <w:r>
        <w:rPr>
          <w:sz w:val="16"/>
        </w:rPr>
        <w:t>Schedler</w:t>
      </w:r>
      <w:r>
        <w:rPr>
          <w:spacing w:val="-6"/>
          <w:sz w:val="16"/>
        </w:rPr>
        <w:t> </w:t>
      </w:r>
      <w:r>
        <w:rPr>
          <w:sz w:val="16"/>
        </w:rPr>
        <w:t>(2004),</w:t>
      </w:r>
      <w:r>
        <w:rPr>
          <w:spacing w:val="-8"/>
          <w:sz w:val="16"/>
        </w:rPr>
        <w:t> </w:t>
      </w:r>
      <w:r>
        <w:rPr>
          <w:sz w:val="16"/>
        </w:rPr>
        <w:t>el</w:t>
      </w:r>
      <w:r>
        <w:rPr>
          <w:spacing w:val="-14"/>
          <w:sz w:val="16"/>
        </w:rPr>
        <w:t> </w:t>
      </w:r>
      <w:r>
        <w:rPr>
          <w:sz w:val="16"/>
        </w:rPr>
        <w:t>concepto</w:t>
      </w:r>
      <w:r>
        <w:rPr>
          <w:spacing w:val="-11"/>
          <w:sz w:val="16"/>
        </w:rPr>
        <w:t> </w:t>
      </w:r>
      <w:r>
        <w:rPr>
          <w:i/>
          <w:sz w:val="16"/>
        </w:rPr>
        <w:t>accountability</w:t>
      </w:r>
      <w:r>
        <w:rPr>
          <w:i/>
          <w:spacing w:val="-10"/>
          <w:sz w:val="16"/>
        </w:rPr>
        <w:t> </w:t>
      </w:r>
      <w:r>
        <w:rPr>
          <w:sz w:val="16"/>
        </w:rPr>
        <w:t>a</w:t>
      </w:r>
      <w:r>
        <w:rPr>
          <w:spacing w:val="-8"/>
          <w:sz w:val="16"/>
        </w:rPr>
        <w:t> </w:t>
      </w:r>
      <w:r>
        <w:rPr>
          <w:sz w:val="16"/>
        </w:rPr>
        <w:t>veces</w:t>
      </w:r>
      <w:r>
        <w:rPr>
          <w:spacing w:val="-11"/>
          <w:sz w:val="16"/>
        </w:rPr>
        <w:t> </w:t>
      </w:r>
      <w:r>
        <w:rPr>
          <w:sz w:val="16"/>
        </w:rPr>
        <w:t>se</w:t>
      </w:r>
      <w:r>
        <w:rPr>
          <w:spacing w:val="-8"/>
          <w:sz w:val="16"/>
        </w:rPr>
        <w:t> </w:t>
      </w:r>
      <w:r>
        <w:rPr>
          <w:sz w:val="16"/>
        </w:rPr>
        <w:t>traduce</w:t>
      </w:r>
      <w:r>
        <w:rPr>
          <w:spacing w:val="-6"/>
          <w:sz w:val="16"/>
        </w:rPr>
        <w:t> </w:t>
      </w:r>
      <w:r>
        <w:rPr>
          <w:sz w:val="16"/>
        </w:rPr>
        <w:t>como</w:t>
      </w:r>
      <w:r>
        <w:rPr>
          <w:spacing w:val="-12"/>
          <w:sz w:val="16"/>
        </w:rPr>
        <w:t> </w:t>
      </w:r>
      <w:r>
        <w:rPr>
          <w:sz w:val="16"/>
        </w:rPr>
        <w:t>control,</w:t>
      </w:r>
      <w:r>
        <w:rPr>
          <w:spacing w:val="-11"/>
          <w:sz w:val="16"/>
        </w:rPr>
        <w:t> </w:t>
      </w:r>
      <w:r>
        <w:rPr>
          <w:sz w:val="16"/>
        </w:rPr>
        <w:t>fiscalización</w:t>
      </w:r>
      <w:r>
        <w:rPr>
          <w:spacing w:val="-12"/>
          <w:sz w:val="16"/>
        </w:rPr>
        <w:t> </w:t>
      </w:r>
      <w:r>
        <w:rPr>
          <w:sz w:val="16"/>
        </w:rPr>
        <w:t>o</w:t>
      </w:r>
      <w:r>
        <w:rPr>
          <w:spacing w:val="-12"/>
          <w:sz w:val="16"/>
        </w:rPr>
        <w:t> </w:t>
      </w:r>
      <w:r>
        <w:rPr>
          <w:sz w:val="16"/>
        </w:rPr>
        <w:t>responsabilidad. La traducción más común y la más cercana es la rendición de cuentas. Schedler considera que los pilares de la rendición de cuentas</w:t>
      </w:r>
      <w:r>
        <w:rPr>
          <w:spacing w:val="-7"/>
          <w:sz w:val="16"/>
        </w:rPr>
        <w:t> </w:t>
      </w:r>
      <w:r>
        <w:rPr>
          <w:sz w:val="16"/>
        </w:rPr>
        <w:t>son</w:t>
      </w:r>
      <w:r>
        <w:rPr>
          <w:spacing w:val="-4"/>
          <w:sz w:val="16"/>
        </w:rPr>
        <w:t> </w:t>
      </w:r>
      <w:r>
        <w:rPr>
          <w:sz w:val="16"/>
        </w:rPr>
        <w:t>la</w:t>
      </w:r>
      <w:r>
        <w:rPr>
          <w:spacing w:val="-4"/>
          <w:sz w:val="16"/>
        </w:rPr>
        <w:t> </w:t>
      </w:r>
      <w:r>
        <w:rPr>
          <w:sz w:val="16"/>
        </w:rPr>
        <w:t>información</w:t>
      </w:r>
      <w:r>
        <w:rPr>
          <w:spacing w:val="-9"/>
          <w:sz w:val="16"/>
        </w:rPr>
        <w:t> </w:t>
      </w:r>
      <w:r>
        <w:rPr>
          <w:sz w:val="16"/>
        </w:rPr>
        <w:t>(</w:t>
      </w:r>
      <w:r>
        <w:rPr>
          <w:i/>
          <w:sz w:val="16"/>
        </w:rPr>
        <w:t>accountability</w:t>
      </w:r>
      <w:r>
        <w:rPr>
          <w:sz w:val="16"/>
        </w:rPr>
        <w:t>),</w:t>
      </w:r>
      <w:r>
        <w:rPr>
          <w:spacing w:val="-4"/>
          <w:sz w:val="16"/>
        </w:rPr>
        <w:t> </w:t>
      </w:r>
      <w:r>
        <w:rPr>
          <w:sz w:val="16"/>
        </w:rPr>
        <w:t>la</w:t>
      </w:r>
      <w:r>
        <w:rPr>
          <w:spacing w:val="-9"/>
          <w:sz w:val="16"/>
        </w:rPr>
        <w:t> </w:t>
      </w:r>
      <w:r>
        <w:rPr>
          <w:sz w:val="16"/>
        </w:rPr>
        <w:t>justificación</w:t>
      </w:r>
      <w:r>
        <w:rPr>
          <w:spacing w:val="-9"/>
          <w:sz w:val="16"/>
        </w:rPr>
        <w:t> </w:t>
      </w:r>
      <w:r>
        <w:rPr>
          <w:sz w:val="16"/>
        </w:rPr>
        <w:t>(</w:t>
      </w:r>
      <w:r>
        <w:rPr>
          <w:i/>
          <w:sz w:val="16"/>
        </w:rPr>
        <w:t>answerability</w:t>
      </w:r>
      <w:r>
        <w:rPr>
          <w:sz w:val="16"/>
        </w:rPr>
        <w:t>)</w:t>
      </w:r>
      <w:r>
        <w:rPr>
          <w:spacing w:val="-5"/>
          <w:sz w:val="16"/>
        </w:rPr>
        <w:t> </w:t>
      </w:r>
      <w:r>
        <w:rPr>
          <w:sz w:val="16"/>
        </w:rPr>
        <w:t>y</w:t>
      </w:r>
      <w:r>
        <w:rPr>
          <w:spacing w:val="-8"/>
          <w:sz w:val="16"/>
        </w:rPr>
        <w:t> </w:t>
      </w:r>
      <w:r>
        <w:rPr>
          <w:sz w:val="16"/>
        </w:rPr>
        <w:t>la</w:t>
      </w:r>
      <w:r>
        <w:rPr>
          <w:spacing w:val="-4"/>
          <w:sz w:val="16"/>
        </w:rPr>
        <w:t> </w:t>
      </w:r>
      <w:r>
        <w:rPr>
          <w:sz w:val="16"/>
        </w:rPr>
        <w:t>sanción</w:t>
      </w:r>
      <w:r>
        <w:rPr>
          <w:spacing w:val="-13"/>
          <w:sz w:val="16"/>
        </w:rPr>
        <w:t> </w:t>
      </w:r>
      <w:r>
        <w:rPr>
          <w:sz w:val="16"/>
        </w:rPr>
        <w:t>(</w:t>
      </w:r>
      <w:r>
        <w:rPr>
          <w:i/>
          <w:sz w:val="16"/>
        </w:rPr>
        <w:t>enforcement</w:t>
      </w:r>
      <w:r>
        <w:rPr>
          <w:sz w:val="16"/>
        </w:rPr>
        <w:t>).</w:t>
      </w:r>
      <w:r>
        <w:rPr>
          <w:spacing w:val="-8"/>
          <w:sz w:val="16"/>
        </w:rPr>
        <w:t> </w:t>
      </w:r>
      <w:r>
        <w:rPr>
          <w:sz w:val="16"/>
        </w:rPr>
        <w:t>Por</w:t>
      </w:r>
      <w:r>
        <w:rPr>
          <w:spacing w:val="-5"/>
          <w:sz w:val="16"/>
        </w:rPr>
        <w:t> </w:t>
      </w:r>
      <w:r>
        <w:rPr>
          <w:sz w:val="16"/>
        </w:rPr>
        <w:t>otra</w:t>
      </w:r>
      <w:r>
        <w:rPr>
          <w:spacing w:val="-5"/>
          <w:sz w:val="16"/>
        </w:rPr>
        <w:t> </w:t>
      </w:r>
      <w:r>
        <w:rPr>
          <w:sz w:val="16"/>
        </w:rPr>
        <w:t>parte,</w:t>
      </w:r>
      <w:r>
        <w:rPr>
          <w:spacing w:val="-4"/>
          <w:sz w:val="16"/>
        </w:rPr>
        <w:t> </w:t>
      </w:r>
      <w:r>
        <w:rPr>
          <w:sz w:val="16"/>
        </w:rPr>
        <w:t>Schedler mencionó que el Banco mundial concibe la rendición de cuentas como una relación triangular entre la gente pobre, los proveedores</w:t>
      </w:r>
      <w:r>
        <w:rPr>
          <w:spacing w:val="-4"/>
          <w:sz w:val="16"/>
        </w:rPr>
        <w:t> </w:t>
      </w:r>
      <w:r>
        <w:rPr>
          <w:sz w:val="16"/>
        </w:rPr>
        <w:t>de</w:t>
      </w:r>
      <w:r>
        <w:rPr>
          <w:spacing w:val="-1"/>
          <w:sz w:val="16"/>
        </w:rPr>
        <w:t> </w:t>
      </w:r>
      <w:r>
        <w:rPr>
          <w:sz w:val="16"/>
        </w:rPr>
        <w:t>servicios</w:t>
      </w:r>
      <w:r>
        <w:rPr>
          <w:spacing w:val="-7"/>
          <w:sz w:val="16"/>
        </w:rPr>
        <w:t> </w:t>
      </w:r>
      <w:r>
        <w:rPr>
          <w:sz w:val="16"/>
        </w:rPr>
        <w:t>de</w:t>
      </w:r>
      <w:r>
        <w:rPr>
          <w:spacing w:val="-1"/>
          <w:sz w:val="16"/>
        </w:rPr>
        <w:t> </w:t>
      </w:r>
      <w:r>
        <w:rPr>
          <w:sz w:val="16"/>
        </w:rPr>
        <w:t>primera</w:t>
      </w:r>
      <w:r>
        <w:rPr>
          <w:spacing w:val="-1"/>
          <w:sz w:val="16"/>
        </w:rPr>
        <w:t> </w:t>
      </w:r>
      <w:r>
        <w:rPr>
          <w:sz w:val="16"/>
        </w:rPr>
        <w:t>línea</w:t>
      </w:r>
      <w:r>
        <w:rPr>
          <w:spacing w:val="-1"/>
          <w:sz w:val="16"/>
        </w:rPr>
        <w:t> </w:t>
      </w:r>
      <w:r>
        <w:rPr>
          <w:sz w:val="16"/>
        </w:rPr>
        <w:t>y</w:t>
      </w:r>
      <w:r>
        <w:rPr>
          <w:spacing w:val="-4"/>
          <w:sz w:val="16"/>
        </w:rPr>
        <w:t> </w:t>
      </w:r>
      <w:r>
        <w:rPr>
          <w:sz w:val="16"/>
        </w:rPr>
        <w:t>los</w:t>
      </w:r>
      <w:r>
        <w:rPr>
          <w:spacing w:val="-4"/>
          <w:sz w:val="16"/>
        </w:rPr>
        <w:t> </w:t>
      </w:r>
      <w:r>
        <w:rPr>
          <w:sz w:val="16"/>
        </w:rPr>
        <w:t>autores</w:t>
      </w:r>
      <w:r>
        <w:rPr>
          <w:spacing w:val="-7"/>
          <w:sz w:val="16"/>
        </w:rPr>
        <w:t> </w:t>
      </w:r>
      <w:r>
        <w:rPr>
          <w:sz w:val="16"/>
        </w:rPr>
        <w:t>de</w:t>
      </w:r>
      <w:r>
        <w:rPr>
          <w:spacing w:val="-4"/>
          <w:sz w:val="16"/>
        </w:rPr>
        <w:t> </w:t>
      </w:r>
      <w:r>
        <w:rPr>
          <w:sz w:val="16"/>
        </w:rPr>
        <w:t>las</w:t>
      </w:r>
      <w:r>
        <w:rPr>
          <w:spacing w:val="-4"/>
          <w:sz w:val="16"/>
        </w:rPr>
        <w:t> </w:t>
      </w:r>
      <w:r>
        <w:rPr>
          <w:sz w:val="16"/>
        </w:rPr>
        <w:t>políticas.</w:t>
      </w:r>
    </w:p>
    <w:p>
      <w:pPr>
        <w:spacing w:after="0" w:line="247" w:lineRule="auto"/>
        <w:jc w:val="both"/>
        <w:rPr>
          <w:sz w:val="16"/>
        </w:rPr>
        <w:sectPr>
          <w:pgSz w:w="12240" w:h="15840"/>
          <w:pgMar w:header="0" w:footer="938" w:top="1360" w:bottom="1180" w:left="1580" w:right="1580"/>
        </w:sectPr>
      </w:pPr>
    </w:p>
    <w:p>
      <w:pPr>
        <w:pStyle w:val="BodyText"/>
        <w:spacing w:line="360" w:lineRule="auto" w:before="55"/>
        <w:ind w:left="120" w:right="116" w:firstLine="427"/>
        <w:jc w:val="both"/>
        <w:rPr>
          <w:sz w:val="16"/>
        </w:rPr>
      </w:pPr>
      <w:r>
        <w:rPr/>
        <w:t>La actividad del Estado (administración pública) surge como una respuesta a los</w:t>
      </w:r>
      <w:r>
        <w:rPr>
          <w:spacing w:val="-12"/>
        </w:rPr>
        <w:t> </w:t>
      </w:r>
      <w:r>
        <w:rPr/>
        <w:t>proyectos</w:t>
      </w:r>
      <w:r>
        <w:rPr>
          <w:spacing w:val="-12"/>
        </w:rPr>
        <w:t> </w:t>
      </w:r>
      <w:r>
        <w:rPr/>
        <w:t>nacionales,</w:t>
      </w:r>
      <w:r>
        <w:rPr>
          <w:spacing w:val="-11"/>
        </w:rPr>
        <w:t> </w:t>
      </w:r>
      <w:r>
        <w:rPr/>
        <w:t>los</w:t>
      </w:r>
      <w:r>
        <w:rPr>
          <w:spacing w:val="-12"/>
        </w:rPr>
        <w:t> </w:t>
      </w:r>
      <w:r>
        <w:rPr/>
        <w:t>problemas</w:t>
      </w:r>
      <w:r>
        <w:rPr>
          <w:spacing w:val="-12"/>
        </w:rPr>
        <w:t> </w:t>
      </w:r>
      <w:r>
        <w:rPr/>
        <w:t>sociales</w:t>
      </w:r>
      <w:r>
        <w:rPr>
          <w:spacing w:val="-8"/>
        </w:rPr>
        <w:t> </w:t>
      </w:r>
      <w:r>
        <w:rPr/>
        <w:t>y</w:t>
      </w:r>
      <w:r>
        <w:rPr>
          <w:spacing w:val="-15"/>
        </w:rPr>
        <w:t> </w:t>
      </w:r>
      <w:r>
        <w:rPr/>
        <w:t>las</w:t>
      </w:r>
      <w:r>
        <w:rPr>
          <w:spacing w:val="-8"/>
        </w:rPr>
        <w:t> </w:t>
      </w:r>
      <w:r>
        <w:rPr/>
        <w:t>demandas</w:t>
      </w:r>
      <w:r>
        <w:rPr>
          <w:spacing w:val="-12"/>
        </w:rPr>
        <w:t> </w:t>
      </w:r>
      <w:r>
        <w:rPr/>
        <w:t>ciudadanas</w:t>
      </w:r>
      <w:r>
        <w:rPr>
          <w:spacing w:val="-12"/>
        </w:rPr>
        <w:t> </w:t>
      </w:r>
      <w:r>
        <w:rPr/>
        <w:t>(tanto reales</w:t>
      </w:r>
      <w:r>
        <w:rPr>
          <w:spacing w:val="-7"/>
        </w:rPr>
        <w:t> </w:t>
      </w:r>
      <w:r>
        <w:rPr/>
        <w:t>como</w:t>
      </w:r>
      <w:r>
        <w:rPr>
          <w:spacing w:val="-9"/>
        </w:rPr>
        <w:t> </w:t>
      </w:r>
      <w:r>
        <w:rPr/>
        <w:t>potenciales).</w:t>
      </w:r>
      <w:r>
        <w:rPr>
          <w:spacing w:val="-6"/>
        </w:rPr>
        <w:t> </w:t>
      </w:r>
      <w:r>
        <w:rPr/>
        <w:t>Esto</w:t>
      </w:r>
      <w:r>
        <w:rPr>
          <w:spacing w:val="-9"/>
        </w:rPr>
        <w:t> </w:t>
      </w:r>
      <w:r>
        <w:rPr/>
        <w:t>se</w:t>
      </w:r>
      <w:r>
        <w:rPr>
          <w:spacing w:val="-9"/>
        </w:rPr>
        <w:t> </w:t>
      </w:r>
      <w:r>
        <w:rPr/>
        <w:t>orienta</w:t>
      </w:r>
      <w:r>
        <w:rPr>
          <w:spacing w:val="-9"/>
        </w:rPr>
        <w:t> </w:t>
      </w:r>
      <w:r>
        <w:rPr/>
        <w:t>a</w:t>
      </w:r>
      <w:r>
        <w:rPr>
          <w:spacing w:val="-9"/>
        </w:rPr>
        <w:t> </w:t>
      </w:r>
      <w:r>
        <w:rPr/>
        <w:t>la</w:t>
      </w:r>
      <w:r>
        <w:rPr>
          <w:spacing w:val="-9"/>
        </w:rPr>
        <w:t> </w:t>
      </w:r>
      <w:r>
        <w:rPr/>
        <w:t>adopción</w:t>
      </w:r>
      <w:r>
        <w:rPr>
          <w:spacing w:val="-9"/>
        </w:rPr>
        <w:t> </w:t>
      </w:r>
      <w:r>
        <w:rPr/>
        <w:t>y</w:t>
      </w:r>
      <w:r>
        <w:rPr>
          <w:spacing w:val="-11"/>
        </w:rPr>
        <w:t> </w:t>
      </w:r>
      <w:r>
        <w:rPr/>
        <w:t>ejecución</w:t>
      </w:r>
      <w:r>
        <w:rPr>
          <w:spacing w:val="-9"/>
        </w:rPr>
        <w:t> </w:t>
      </w:r>
      <w:r>
        <w:rPr/>
        <w:t>de</w:t>
      </w:r>
      <w:r>
        <w:rPr>
          <w:spacing w:val="-9"/>
        </w:rPr>
        <w:t> </w:t>
      </w:r>
      <w:r>
        <w:rPr/>
        <w:t>acciones</w:t>
      </w:r>
      <w:r>
        <w:rPr>
          <w:spacing w:val="-7"/>
        </w:rPr>
        <w:t> </w:t>
      </w:r>
      <w:r>
        <w:rPr/>
        <w:t>del Estado. Los resultados en la sociedad redundan en un cambio de la situación política, económica y social. Todos estos elementos interactúan dentro del sistema político.</w:t>
      </w:r>
      <w:r>
        <w:rPr>
          <w:position w:val="8"/>
          <w:sz w:val="16"/>
        </w:rPr>
        <w:t>7</w:t>
      </w:r>
    </w:p>
    <w:p>
      <w:pPr>
        <w:pStyle w:val="BodyText"/>
        <w:spacing w:line="360" w:lineRule="auto"/>
        <w:ind w:left="120" w:right="122" w:firstLine="427"/>
        <w:jc w:val="right"/>
      </w:pPr>
      <w:r>
        <w:rPr/>
        <w:t>La gobernabilidad del Estado se realiza en los sistemas políticos en torno a</w:t>
      </w:r>
      <w:r>
        <w:rPr>
          <w:w w:val="99"/>
        </w:rPr>
        <w:t> </w:t>
      </w:r>
      <w:r>
        <w:rPr/>
        <w:t>lograr la legitimidad del Estado. La legitimidad se asocia, tanto a la eficiencia del</w:t>
      </w:r>
      <w:r>
        <w:rPr>
          <w:w w:val="99"/>
        </w:rPr>
        <w:t> </w:t>
      </w:r>
      <w:r>
        <w:rPr/>
        <w:t>sistema electoral como a la capacidad del Estado para atender (productos, </w:t>
      </w:r>
      <w:r>
        <w:rPr>
          <w:i/>
        </w:rPr>
        <w:t>ouputs</w:t>
      </w:r>
      <w:r>
        <w:rPr/>
        <w:t>) las demandas (insumos o </w:t>
      </w:r>
      <w:r>
        <w:rPr>
          <w:i/>
        </w:rPr>
        <w:t>inputs</w:t>
      </w:r>
      <w:r>
        <w:rPr/>
        <w:t>), la cual se realiza mediante la gobernanza, y que</w:t>
      </w:r>
      <w:r>
        <w:rPr>
          <w:w w:val="99"/>
        </w:rPr>
        <w:t> </w:t>
      </w:r>
      <w:r>
        <w:rPr/>
        <w:t>finalmente repercute en los rendimientos (eficacia y eficiencia) del sistema político.</w:t>
      </w:r>
      <w:r>
        <w:rPr>
          <w:w w:val="100"/>
        </w:rPr>
        <w:t> </w:t>
      </w:r>
      <w:r>
        <w:rPr/>
        <w:t>Desde el punto de vista de la ciencia política (Easton 1999: 13-28) el sistema</w:t>
      </w:r>
      <w:r>
        <w:rPr>
          <w:w w:val="99"/>
        </w:rPr>
        <w:t> </w:t>
      </w:r>
      <w:r>
        <w:rPr/>
        <w:t>político  puede  considerado  como  la  inclusión  de  la  sociedad  para  la     mejor</w:t>
      </w:r>
    </w:p>
    <w:p>
      <w:pPr>
        <w:pStyle w:val="BodyText"/>
        <w:spacing w:before="5"/>
        <w:ind w:left="120"/>
      </w:pPr>
      <w:r>
        <w:rPr/>
        <w:t>asignación de valores.</w:t>
      </w:r>
    </w:p>
    <w:p>
      <w:pPr>
        <w:pStyle w:val="BodyText"/>
        <w:spacing w:line="360" w:lineRule="auto" w:before="136"/>
        <w:ind w:left="120" w:right="120" w:firstLine="427"/>
        <w:jc w:val="both"/>
      </w:pPr>
      <w:r>
        <w:rPr/>
        <w:t>Para</w:t>
      </w:r>
      <w:r>
        <w:rPr>
          <w:spacing w:val="-10"/>
        </w:rPr>
        <w:t> </w:t>
      </w:r>
      <w:r>
        <w:rPr/>
        <w:t>que</w:t>
      </w:r>
      <w:r>
        <w:rPr>
          <w:spacing w:val="-10"/>
        </w:rPr>
        <w:t> </w:t>
      </w:r>
      <w:r>
        <w:rPr/>
        <w:t>un</w:t>
      </w:r>
      <w:r>
        <w:rPr>
          <w:spacing w:val="-10"/>
        </w:rPr>
        <w:t> </w:t>
      </w:r>
      <w:r>
        <w:rPr/>
        <w:t>sistema</w:t>
      </w:r>
      <w:r>
        <w:rPr>
          <w:spacing w:val="-10"/>
        </w:rPr>
        <w:t> </w:t>
      </w:r>
      <w:r>
        <w:rPr/>
        <w:t>político</w:t>
      </w:r>
      <w:r>
        <w:rPr>
          <w:spacing w:val="-10"/>
        </w:rPr>
        <w:t> </w:t>
      </w:r>
      <w:r>
        <w:rPr/>
        <w:t>sea</w:t>
      </w:r>
      <w:r>
        <w:rPr>
          <w:spacing w:val="-10"/>
        </w:rPr>
        <w:t> </w:t>
      </w:r>
      <w:r>
        <w:rPr/>
        <w:t>eficiente</w:t>
      </w:r>
      <w:r>
        <w:rPr>
          <w:spacing w:val="-10"/>
        </w:rPr>
        <w:t> </w:t>
      </w:r>
      <w:r>
        <w:rPr/>
        <w:t>requiere</w:t>
      </w:r>
      <w:r>
        <w:rPr>
          <w:spacing w:val="-10"/>
        </w:rPr>
        <w:t> </w:t>
      </w:r>
      <w:r>
        <w:rPr/>
        <w:t>que</w:t>
      </w:r>
      <w:r>
        <w:rPr>
          <w:spacing w:val="-10"/>
        </w:rPr>
        <w:t> </w:t>
      </w:r>
      <w:r>
        <w:rPr/>
        <w:t>la</w:t>
      </w:r>
      <w:r>
        <w:rPr>
          <w:spacing w:val="-10"/>
        </w:rPr>
        <w:t> </w:t>
      </w:r>
      <w:r>
        <w:rPr/>
        <w:t>gobernanza</w:t>
      </w:r>
      <w:r>
        <w:rPr>
          <w:spacing w:val="-10"/>
        </w:rPr>
        <w:t> </w:t>
      </w:r>
      <w:r>
        <w:rPr/>
        <w:t>satisfaga las demandas sociales. Esto tiene como resultado la gobernabilidad (si las demandas son atendidas) o ingobernabilidad (demandas no atendidas). Es importante considerar que con frecuencia la atención de las demandas sociales se desfasa</w:t>
      </w:r>
      <w:r>
        <w:rPr>
          <w:spacing w:val="-8"/>
        </w:rPr>
        <w:t> </w:t>
      </w:r>
      <w:r>
        <w:rPr/>
        <w:t>del</w:t>
      </w:r>
      <w:r>
        <w:rPr>
          <w:spacing w:val="-7"/>
        </w:rPr>
        <w:t> </w:t>
      </w:r>
      <w:r>
        <w:rPr/>
        <w:t>tiempo</w:t>
      </w:r>
      <w:r>
        <w:rPr>
          <w:spacing w:val="-8"/>
        </w:rPr>
        <w:t> </w:t>
      </w:r>
      <w:r>
        <w:rPr/>
        <w:t>de</w:t>
      </w:r>
      <w:r>
        <w:rPr>
          <w:spacing w:val="-8"/>
        </w:rPr>
        <w:t> </w:t>
      </w:r>
      <w:r>
        <w:rPr/>
        <w:t>atención</w:t>
      </w:r>
      <w:r>
        <w:rPr>
          <w:spacing w:val="-8"/>
        </w:rPr>
        <w:t> </w:t>
      </w:r>
      <w:r>
        <w:rPr/>
        <w:t>de</w:t>
      </w:r>
      <w:r>
        <w:rPr>
          <w:spacing w:val="-8"/>
        </w:rPr>
        <w:t> </w:t>
      </w:r>
      <w:r>
        <w:rPr/>
        <w:t>las</w:t>
      </w:r>
      <w:r>
        <w:rPr>
          <w:spacing w:val="-2"/>
        </w:rPr>
        <w:t> </w:t>
      </w:r>
      <w:r>
        <w:rPr/>
        <w:t>mismas,</w:t>
      </w:r>
      <w:r>
        <w:rPr>
          <w:spacing w:val="-5"/>
        </w:rPr>
        <w:t> </w:t>
      </w:r>
      <w:r>
        <w:rPr/>
        <w:t>lo</w:t>
      </w:r>
      <w:r>
        <w:rPr>
          <w:spacing w:val="-8"/>
        </w:rPr>
        <w:t> </w:t>
      </w:r>
      <w:r>
        <w:rPr/>
        <w:t>cual</w:t>
      </w:r>
      <w:r>
        <w:rPr>
          <w:spacing w:val="-7"/>
        </w:rPr>
        <w:t> </w:t>
      </w:r>
      <w:r>
        <w:rPr/>
        <w:t>le</w:t>
      </w:r>
      <w:r>
        <w:rPr>
          <w:spacing w:val="-8"/>
        </w:rPr>
        <w:t> </w:t>
      </w:r>
      <w:r>
        <w:rPr/>
        <w:t>puede</w:t>
      </w:r>
      <w:r>
        <w:rPr>
          <w:spacing w:val="-8"/>
        </w:rPr>
        <w:t> </w:t>
      </w:r>
      <w:r>
        <w:rPr/>
        <w:t>restar</w:t>
      </w:r>
      <w:r>
        <w:rPr>
          <w:spacing w:val="-6"/>
        </w:rPr>
        <w:t> </w:t>
      </w:r>
      <w:r>
        <w:rPr/>
        <w:t>legitimidad</w:t>
      </w:r>
      <w:r>
        <w:rPr>
          <w:spacing w:val="-4"/>
        </w:rPr>
        <w:t> </w:t>
      </w:r>
      <w:r>
        <w:rPr/>
        <w:t>al Estado.</w:t>
      </w:r>
    </w:p>
    <w:p>
      <w:pPr>
        <w:pStyle w:val="BodyText"/>
        <w:spacing w:line="362" w:lineRule="auto" w:before="1"/>
        <w:ind w:left="120" w:right="117" w:firstLine="427"/>
        <w:jc w:val="both"/>
      </w:pPr>
      <w:r>
        <w:rPr/>
        <w:t>El siguiente esquema representa los efectos de la gobernanza en la gobernabilidad y en el sistema político: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1792;mso-wrap-distance-left:0;mso-wrap-distance-right:0" from="85.025002pt,14.760577pt" to="229.075002pt,14.760577pt" stroked="true" strokeweight=".79999pt" strokecolor="#000000">
            <w10:wrap type="topAndBottom"/>
          </v:line>
        </w:pict>
      </w:r>
    </w:p>
    <w:p>
      <w:pPr>
        <w:spacing w:line="247" w:lineRule="auto" w:before="59"/>
        <w:ind w:left="120" w:right="116" w:firstLine="0"/>
        <w:jc w:val="both"/>
        <w:rPr>
          <w:sz w:val="16"/>
        </w:rPr>
      </w:pPr>
      <w:r>
        <w:rPr>
          <w:rFonts w:ascii="Times New Roman" w:hAnsi="Times New Roman"/>
          <w:position w:val="7"/>
          <w:sz w:val="13"/>
        </w:rPr>
        <w:t>7</w:t>
      </w:r>
      <w:r>
        <w:rPr>
          <w:sz w:val="16"/>
        </w:rPr>
        <w:t>De acuerdo con Karl Loewenstein, el sistema político es democrático constitucional si cuenta con instituciones efectivas donde sus elementos que representan el poder se encuentren sometidos a las reglas fijas de la constitución, por lo que ésta es el dispositivo fundamental que controla el proceso del poder.</w:t>
      </w:r>
    </w:p>
    <w:p>
      <w:pPr>
        <w:spacing w:line="240" w:lineRule="auto" w:before="0"/>
        <w:ind w:left="120" w:right="4135" w:firstLine="0"/>
        <w:jc w:val="left"/>
        <w:rPr>
          <w:sz w:val="16"/>
        </w:rPr>
      </w:pPr>
      <w:r>
        <w:rPr>
          <w:sz w:val="16"/>
        </w:rPr>
        <w:t>Disponible en: </w:t>
      </w:r>
      <w:hyperlink r:id="rId22">
        <w:r>
          <w:rPr>
            <w:sz w:val="16"/>
          </w:rPr>
          <w:t>http://biblio.juridicas.unam.mx/libros/1/348/27.pdf</w:t>
        </w:r>
      </w:hyperlink>
      <w:r>
        <w:rPr>
          <w:sz w:val="16"/>
        </w:rPr>
        <w:t> [Fecha de consulta: 7 de marzo de 2015]</w:t>
      </w:r>
    </w:p>
    <w:p>
      <w:pPr>
        <w:spacing w:after="0" w:line="240" w:lineRule="auto"/>
        <w:jc w:val="left"/>
        <w:rPr>
          <w:sz w:val="16"/>
        </w:rPr>
        <w:sectPr>
          <w:footerReference w:type="default" r:id="rId21"/>
          <w:pgSz w:w="12240" w:h="15840"/>
          <w:pgMar w:footer="998" w:header="0" w:top="1360" w:bottom="1180" w:left="1580" w:right="1580"/>
        </w:sectPr>
      </w:pPr>
    </w:p>
    <w:p>
      <w:pPr>
        <w:spacing w:before="53"/>
        <w:ind w:left="1165" w:right="0" w:firstLine="0"/>
        <w:jc w:val="left"/>
        <w:rPr>
          <w:sz w:val="20"/>
        </w:rPr>
      </w:pPr>
      <w:bookmarkStart w:name="_bookmark4" w:id="6"/>
      <w:bookmarkEnd w:id="6"/>
      <w:r>
        <w:rPr/>
      </w:r>
      <w:r>
        <w:rPr>
          <w:sz w:val="20"/>
        </w:rPr>
        <w:t>Esquema 1.1. Relación entre sistema político, gobernabilidad y gobernanza</w:t>
      </w:r>
    </w:p>
    <w:p>
      <w:pPr>
        <w:pStyle w:val="BodyText"/>
        <w:spacing w:before="5"/>
        <w:rPr>
          <w:sz w:val="14"/>
        </w:rPr>
      </w:pPr>
      <w:r>
        <w:rPr/>
        <w:pict>
          <v:group style="position:absolute;margin-left:95pt;margin-top:10.25083pt;width:419.8pt;height:246pt;mso-position-horizontal-relative:page;mso-position-vertical-relative:paragraph;z-index:2056;mso-wrap-distance-left:0;mso-wrap-distance-right:0" coordorigin="1900,205" coordsize="8396,4920">
            <v:shape style="position:absolute;left:1900;top:205;width:8396;height:4920" type="#_x0000_t75" stroked="false">
              <v:imagedata r:id="rId24" o:title=""/>
            </v:shape>
            <v:rect style="position:absolute;left:2025;top:234;width:8230;height:4765" filled="true" fillcolor="#edebe0" stroked="false">
              <v:fill type="solid"/>
            </v:rect>
            <v:shape style="position:absolute;left:4355;top:1113;width:3066;height:1224" coordorigin="4355,1113" coordsize="3066,1224" path="m5888,1113l5826,1114,5765,1115,5705,1118,5587,1125,5471,1136,5359,1151,5252,1168,5148,1189,5049,1213,4955,1240,4867,1269,4784,1301,4708,1335,4638,1371,4575,1410,4519,1450,4470,1492,4413,1559,4375,1628,4357,1700,4355,1725,4355,2337,7420,2337,7420,1725,7410,1652,7378,1581,7327,1514,7283,1471,7230,1430,7171,1390,7104,1353,7031,1317,6951,1284,6866,1254,6774,1226,6678,1201,6577,1178,6471,1159,6361,1143,6248,1130,6131,1121,6011,1115,5950,1114,5888,1113xe" filled="true" fillcolor="#dce6f1" stroked="false">
              <v:path arrowok="t"/>
              <v:fill type="solid"/>
            </v:shape>
            <v:shape style="position:absolute;left:4355;top:1113;width:3066;height:1224" coordorigin="4355,1113" coordsize="3066,1224" path="m4355,2337l4355,1725,4357,1700,4360,1676,4385,1605,4430,1536,4494,1471,4546,1430,4605,1390,4672,1353,4745,1317,4825,1284,4910,1254,5002,1226,5098,1201,5199,1178,5305,1159,5415,1143,5528,1130,5645,1121,5765,1115,5826,1114,5888,1113,5950,1114,6011,1115,6071,1118,6190,1125,6305,1136,6417,1151,6525,1168,6628,1189,6727,1213,6821,1240,6909,1269,6992,1301,7068,1335,7138,1371,7201,1410,7257,1450,7306,1492,7363,1559,7401,1628,7419,1700,7420,1725,7420,2337,4355,2337xe" filled="false" stroked="true" strokeweight="1.23437pt" strokecolor="#385d89">
              <v:path arrowok="t"/>
            </v:shape>
            <v:shape style="position:absolute;left:6195;top:1786;width:550;height:373" coordorigin="6195,1786" coordsize="550,373" path="m6469,1786l6195,2159,6744,2159,6469,1786xe" filled="true" fillcolor="#4f81bc" stroked="false">
              <v:path arrowok="t"/>
              <v:fill type="solid"/>
            </v:shape>
            <v:shape style="position:absolute;left:6195;top:1786;width:550;height:373" coordorigin="6195,1786" coordsize="550,373" path="m6195,2159l6469,1786,6744,2159,6195,2159xe" filled="false" stroked="true" strokeweight="1.258605pt" strokecolor="#385d89">
              <v:path arrowok="t"/>
            </v:shape>
            <v:shape style="position:absolute;left:4969;top:1851;width:550;height:365" coordorigin="4969,1851" coordsize="550,365" path="m5518,1851l4969,1851,5243,2215,5518,1851xe" filled="true" fillcolor="#c0504d" stroked="false">
              <v:path arrowok="t"/>
              <v:fill type="solid"/>
            </v:shape>
            <v:shape style="position:absolute;left:4969;top:1851;width:550;height:365" coordorigin="4969,1851" coordsize="550,365" path="m5518,1851l5243,2215,4969,1851,5518,1851xe" filled="false" stroked="true" strokeweight="1.25732pt" strokecolor="#8b3836">
              <v:path arrowok="t"/>
            </v:shape>
            <v:shape style="position:absolute;left:5582;top:3569;width:478;height:365" coordorigin="5582,3569" coordsize="478,365" path="m5940,3922l5701,3922,5701,3933,5940,3933,5940,3922xm5940,3888l5701,3888,5701,3911,5940,3911,5940,3888xm5940,3751l5701,3751,5701,3876,5940,3876,5940,3751xm5820,3569l5582,3751,6059,3751,5820,3569xe" filled="true" fillcolor="#375f92" stroked="false">
              <v:path arrowok="t"/>
              <v:fill opacity="21588f" type="solid"/>
            </v:shape>
            <v:shape style="position:absolute;left:5545;top:3553;width:552;height:393" coordorigin="5545,3553" coordsize="552,393" path="m5687,3751l5687,3946,5953,3946,5953,3934,5701,3934,5708,3928,5701,3921,5953,3921,5953,3911,5715,3911,5703,3900,5701,3900,5702,3899,5701,3898,5703,3898,5715,3888,5953,3888,5953,3876,5715,3876,5701,3864,5715,3864,5715,3763,5701,3763,5687,3751xm5708,3928l5701,3934,5940,3934,5939,3933,5715,3933,5708,3928xm5953,3921l5940,3921,5933,3928,5940,3934,5953,3934,5953,3921xm5715,3922l5708,3928,5715,3933,5715,3922xm5926,3922l5715,3922,5715,3933,5926,3933,5926,3922xm5926,3922l5926,3933,5933,3928,5926,3922xm5933,3928l5926,3933,5939,3933,5933,3928xm5940,3921l5701,3921,5708,3928,5715,3922,5939,3922,5940,3921xm5939,3922l5926,3922,5933,3928,5939,3922xm5715,3888l5702,3899,5715,3911,5715,3888xm5926,3888l5715,3888,5715,3911,5926,3911,5926,3888xm5926,3888l5926,3911,5939,3899,5926,3888xm5939,3899l5926,3911,5953,3911,5953,3900,5940,3900,5939,3899xm5702,3899l5701,3900,5703,3900,5702,3899xm5953,3898l5940,3898,5939,3899,5940,3900,5953,3900,5953,3898xm5703,3898l5701,3898,5702,3899,5703,3898xm5953,3888l5926,3888,5939,3899,5940,3898,5953,3898,5953,3888xm5715,3864l5701,3864,5715,3876,5715,3864xm5926,3864l5715,3864,5715,3876,5926,3876,5926,3864xm6023,3739l5926,3739,5926,3876,5940,3864,5953,3864,5953,3763,5940,3763,5953,3751,6038,3751,6023,3739xm5953,3864l5940,3864,5926,3876,5953,3876,5953,3864xm5820,3553l5545,3763,5687,3763,5687,3760,5590,3760,5581,3739,5618,3739,5820,3585,5812,3578,5854,3578,5820,3553xm5715,3751l5687,3751,5701,3763,5715,3763,5715,3751xm5953,3751l5940,3763,5953,3763,5953,3751xm6038,3751l5953,3751,5953,3763,6096,3763,6092,3760,6051,3760,6038,3751xm5618,3739l5581,3739,5590,3760,5618,3739xm5715,3739l5618,3739,5590,3760,5687,3760,5687,3751,5715,3751,5715,3739xm5854,3578l5829,3578,5820,3585,6051,3760,6059,3739,6064,3739,5854,3578xm6064,3739l6059,3739,6051,3760,6092,3760,6064,3739xm5829,3578l5812,3578,5820,3585,5829,3578xe" filled="true" fillcolor="#385d89" stroked="false">
              <v:path arrowok="t"/>
              <v:fill type="solid"/>
            </v:shape>
            <v:shape style="position:absolute;left:7632;top:3681;width:287;height:582" coordorigin="7632,3681" coordsize="287,582" path="m7896,3793l7793,3793,7807,3831,7817,3869,7821,3909,7821,3948,7817,3987,7808,4026,7795,4064,7778,4102,7756,4138,7731,4172,7702,4204,7669,4235,7632,4263,7716,4205,7753,4177,7786,4147,7815,4114,7840,4080,7861,4044,7879,4007,7892,3969,7901,3930,7905,3890,7905,3851,7900,3812,7896,3793xm7782,3681l7751,3822,7793,3793,7896,3793,7891,3773,7877,3735,7919,3706,7782,3681xe" filled="true" fillcolor="#4f81bc" stroked="false">
              <v:path arrowok="t"/>
              <v:fill type="solid"/>
            </v:shape>
            <v:shape style="position:absolute;left:7010;top:4154;width:663;height:200" coordorigin="7010,4154" coordsize="663,200" path="m7094,4154l7010,4212,7038,4242,7069,4268,7103,4291,7139,4310,7177,4326,7216,4338,7257,4347,7299,4352,7341,4354,7384,4352,7427,4346,7470,4337,7512,4324,7553,4307,7575,4296,7420,4296,7378,4294,7337,4288,7296,4279,7258,4267,7220,4251,7185,4232,7152,4209,7122,4184,7094,4154xm7672,4232l7632,4252,7590,4268,7548,4280,7506,4289,7463,4294,7420,4296,7575,4296,7593,4287,7632,4263,7642,4255,7653,4248,7663,4240,7672,4232xe" filled="true" fillcolor="#406897" stroked="false">
              <v:path arrowok="t"/>
              <v:fill type="solid"/>
            </v:shape>
            <v:shape style="position:absolute;left:7010;top:3681;width:909;height:673" coordorigin="7010,3681" coordsize="909,673" path="m7672,4232l7590,4268,7506,4289,7420,4296,7378,4294,7296,4279,7220,4251,7152,4209,7094,4154,7010,4212,7038,4242,7069,4268,7139,4310,7216,4338,7299,4352,7341,4354,7384,4352,7470,4337,7553,4307,7632,4263,7716,4205,7753,4177,7786,4147,7840,4080,7879,4007,7901,3930,7905,3890,7905,3851,7900,3812,7891,3773,7877,3735,7919,3706,7782,3681,7751,3822,7793,3793,7807,3831,7817,3869,7821,3909,7821,3948,7817,3987,7795,4064,7756,4138,7702,4204,7669,4235,7632,4263e" filled="false" stroked="true" strokeweight="1.123514pt" strokecolor="#385d89">
              <v:path arrowok="t"/>
            </v:shape>
            <v:shape style="position:absolute;left:3426;top:1203;width:261;height:498" coordorigin="3426,1203" coordsize="261,498" path="m3584,1203l3595,1241,3560,1263,3528,1289,3500,1318,3477,1350,3457,1385,3443,1422,3432,1461,3427,1501,3426,1542,3430,1584,3440,1626,3462,1701,3453,1659,3448,1617,3449,1576,3454,1536,3465,1497,3480,1460,3499,1425,3523,1393,3550,1364,3582,1338,3617,1316,3649,1316,3687,1248,3584,1203xm3649,1316l3617,1316,3628,1353,3649,1316xe" filled="true" fillcolor="#c0504d" stroked="false">
              <v:path arrowok="t"/>
              <v:fill type="solid"/>
            </v:shape>
            <v:shape style="position:absolute;left:3453;top:1663;width:443;height:304" coordorigin="3453,1663" coordsize="443,304" path="m3453,1663l3455,1676,3458,1688,3462,1701,3477,1742,3497,1781,3520,1817,3548,1850,3579,1879,3612,1904,3649,1925,3687,1942,3727,1955,3768,1963,3810,1966,3853,1965,3896,1957,3876,1891,3788,1891,3746,1888,3704,1880,3664,1867,3625,1850,3589,1828,3555,1802,3524,1772,3496,1739,3473,1703,3453,1663xm3874,1882l3831,1889,3788,1891,3876,1891,3874,1882xe" filled="true" fillcolor="#9a403d" stroked="false">
              <v:path arrowok="t"/>
              <v:fill type="solid"/>
            </v:shape>
            <v:shape style="position:absolute;left:3426;top:1203;width:470;height:764" coordorigin="3426,1203" coordsize="470,764" path="m3453,1663l3496,1739,3555,1802,3625,1850,3704,1880,3788,1891,3831,1889,3874,1882,3896,1957,3853,1965,3810,1966,3727,1955,3649,1925,3579,1879,3520,1817,3477,1742,3462,1701,3440,1626,3430,1584,3426,1542,3432,1461,3457,1385,3500,1318,3560,1263,3595,1241,3584,1203,3687,1248,3628,1353,3617,1316,3550,1364,3499,1425,3465,1497,3449,1576,3448,1617,3453,1659,3462,1701e" filled="false" stroked="true" strokeweight="1.1686pt" strokecolor="#8b3836">
              <v:path arrowok="t"/>
            </v:shape>
            <v:shape style="position:absolute;left:7967;top:1243;width:295;height:556" coordorigin="7967,1243" coordsize="295,556" path="m8180,1374l8044,1374,8081,1398,8115,1426,8144,1456,8169,1489,8190,1524,8207,1561,8219,1599,8227,1638,8230,1678,8228,1718,8221,1759,8209,1799,8241,1712,8253,1672,8260,1631,8262,1591,8260,1551,8252,1512,8240,1474,8223,1437,8202,1402,8180,1374xm8093,1243l7967,1290,8028,1417,8044,1374,8180,1374,8177,1369,8147,1339,8114,1311,8077,1287,8093,1243xe" filled="true" fillcolor="#4f81bc" stroked="false">
              <v:path arrowok="t"/>
              <v:fill type="solid"/>
            </v:shape>
            <v:shape style="position:absolute;left:7692;top:1754;width:531;height:296" coordorigin="7692,1754" coordsize="531,296" path="m7724,1943l7692,2030,7734,2041,7778,2047,7821,2049,7863,2047,7905,2041,7945,2032,7985,2019,8022,2002,8057,1982,8085,1962,7860,1962,7815,1960,7769,1954,7724,1943xm8222,1754l8199,1791,8172,1825,8142,1855,8108,1882,8072,1905,8033,1925,7992,1940,7949,1952,7905,1959,7860,1962,8085,1962,8090,1958,8121,1932,8148,1903,8172,1871,8192,1836,8209,1799,8213,1788,8216,1777,8219,1765,8222,1754xe" filled="true" fillcolor="#406897" stroked="false">
              <v:path arrowok="t"/>
              <v:fill type="solid"/>
            </v:shape>
            <v:shape style="position:absolute;left:7692;top:1243;width:571;height:806" coordorigin="7692,1243" coordsize="571,806" path="m8222,1754l8172,1825,8108,1882,8033,1925,7949,1952,7860,1962,7815,1960,7769,1954,7724,1943,7692,2030,7734,2041,7778,2047,7821,2049,7863,2047,7905,2041,7985,2019,8057,1982,8121,1932,8172,1871,8209,1799,8241,1712,8253,1672,8260,1631,8260,1551,8240,1474,8202,1402,8147,1339,8077,1287,8093,1243,7967,1290,8028,1417,8044,1374,8115,1426,8169,1489,8207,1561,8227,1638,8230,1678,8228,1718,8221,1759,8209,1799e" filled="false" stroked="true" strokeweight="1.161382pt" strokecolor="#385d89">
              <v:path arrowok="t"/>
            </v:shape>
            <v:shape style="position:absolute;left:4048;top:3746;width:164;height:552" coordorigin="4048,3746" coordsize="164,552" path="m4083,3746l4112,3779,4090,3812,4072,3847,4060,3884,4052,3922,4048,3961,4050,4001,4056,4041,4066,4081,4081,4120,4101,4159,4125,4196,4154,4232,4212,4298,4183,4262,4159,4225,4139,4186,4124,4147,4114,4107,4108,4067,4106,4027,4110,3988,4118,3950,4130,3913,4148,3878,4170,3845,4201,3845,4206,3750,4083,3746xm4201,3845l4170,3845,4199,3878,4201,3845xe" filled="true" fillcolor="#c0504d" stroked="false">
              <v:path arrowok="t"/>
              <v:fill type="solid"/>
            </v:shape>
            <v:shape style="position:absolute;left:4184;top:4264;width:591;height:196" coordorigin="4184,4264" coordsize="591,196" path="m4184,4264l4191,4272,4198,4281,4205,4289,4212,4298,4243,4330,4276,4359,4312,4384,4349,4405,4388,4424,4428,4438,4468,4449,4509,4456,4549,4459,4590,4458,4629,4454,4668,4445,4705,4432,4741,4416,4774,4395,4773,4393,4517,4393,4474,4392,4430,4387,4386,4377,4343,4363,4301,4344,4260,4322,4221,4295,4184,4264xm4716,4329l4681,4351,4642,4369,4602,4381,4560,4390,4517,4393,4773,4393,4716,4329xe" filled="true" fillcolor="#9a403d" stroked="false">
              <v:path arrowok="t"/>
              <v:fill type="solid"/>
            </v:shape>
            <v:shape style="position:absolute;left:4048;top:3746;width:727;height:713" coordorigin="4048,3746" coordsize="727,713" path="m4184,4264l4260,4322,4343,4363,4430,4387,4517,4393,4560,4390,4602,4381,4642,4369,4681,4351,4716,4329,4774,4395,4741,4416,4705,4432,4668,4445,4629,4454,4590,4458,4549,4459,4509,4456,4428,4438,4349,4405,4276,4359,4212,4298,4154,4232,4125,4196,4101,4159,4066,4081,4050,4001,4048,3961,4052,3922,4060,3884,4072,3847,4090,3812,4112,3779,4083,3746,4206,3750,4199,3878,4170,3845,4130,3913,4110,3988,4106,4027,4108,4067,4124,4147,4159,4225,4183,4262,4212,4298e" filled="false" stroked="true" strokeweight="1.140128pt" strokecolor="#8b3836">
              <v:path arrowok="t"/>
            </v:shape>
            <v:shape style="position:absolute;left:8791;top:562;width:334;height:4417" coordorigin="8791,562" coordsize="334,4417" path="m9041,4969l8874,4969,8874,4979,9041,4979,9041,4969xm9041,4941l8874,4941,8874,4960,9041,4960,9041,4941xm9041,712l8874,712,8874,4932,9041,4932,9041,712xm8958,562l8791,712,9124,712,8958,562xe" filled="true" fillcolor="#e36c09" stroked="false">
              <v:path arrowok="t"/>
              <v:fill type="solid"/>
            </v:shape>
            <v:shape style="position:absolute;left:8758;top:545;width:399;height:4446" coordorigin="8758,545" coordsize="399,4446" path="m8861,712l8861,4991,9054,4991,9054,4982,8874,4982,8882,4974,8874,4967,9054,4967,9054,4960,8888,4960,8880,4953,8874,4953,8877,4951,8874,4948,8880,4948,8888,4941,9054,4941,9054,4932,8888,4932,8874,4920,8888,4920,8888,724,8874,724,8861,712xm8882,4974l8874,4982,9041,4982,9038,4979,8888,4979,8882,4974xm9054,4967l9041,4967,9033,4974,9041,4982,9054,4982,9054,4967xm8888,4969l8882,4974,8888,4979,8888,4969xm9027,4969l8888,4969,8888,4979,9027,4979,9027,4969xm9027,4969l9027,4979,9033,4974,9027,4969xm9033,4974l9027,4979,9038,4979,9033,4974xm9041,4967l8874,4967,8882,4974,8888,4969,9038,4969,9041,4967xm9038,4969l9027,4969,9033,4974,9038,4969xm8888,4941l8877,4951,8888,4960,8888,4941xm9027,4941l8888,4941,8888,4960,9027,4960,9027,4941xm9027,4941l9027,4960,9038,4951,9027,4941xm9038,4951l9027,4960,9054,4960,9054,4953,9041,4953,9038,4951xm8877,4951l8874,4953,8880,4953,8877,4951xm9054,4948l9041,4948,9038,4951,9041,4953,9054,4953,9054,4948xm8880,4948l8874,4948,8877,4951,8880,4948xm9054,4941l9027,4941,9038,4951,9041,4948,9054,4948,9054,4941xm8888,4920l8874,4920,8888,4932,8888,4920xm9027,4920l8888,4920,8888,4932,9027,4932,9027,4920xm9092,700l9027,700,9027,4932,9041,4920,9054,4920,9054,724,9041,724,9054,712,9105,712,9092,700xm9054,4920l9041,4920,9027,4932,9054,4932,9054,4920xm8958,545l8758,724,8861,724,8861,721,8800,721,8791,700,8823,700,8958,579,8948,571,8986,571,8958,545xm8888,712l8861,712,8874,724,8888,724,8888,712xm9054,712l9041,724,9054,724,9054,712xm9105,712l9054,712,9054,724,9157,724,9153,721,9115,721,9105,712xm8823,700l8791,700,8800,721,8823,700xm8888,700l8823,700,8800,721,8861,721,8861,712,8888,712,8888,700xm8986,571l8967,571,8958,579,9115,721,9124,700,9130,700,8986,571xm9130,700l9124,700,9115,721,9153,721,9130,700xm8967,571l8948,571,8958,579,8967,571xe" filled="true" fillcolor="#385d89" stroked="false">
              <v:path arrowok="t"/>
              <v:fill type="solid"/>
            </v:shape>
            <v:shape style="position:absolute;left:6262;top:744;width:2525;height:365" coordorigin="6262,744" coordsize="2525,365" path="m8786,1109l8780,1001,8763,936,8753,927,7558,927,7547,918,7538,892,7531,852,7526,802,7524,744,7522,802,7518,852,7510,892,7501,918,7490,927,6296,927,6285,936,6276,962,6269,1001,6264,1052,6262,1109e" filled="false" stroked="true" strokeweight="1.624506pt" strokecolor="#001f5f">
              <v:path arrowok="t"/>
            </v:shape>
            <v:shape style="position:absolute;left:2782;top:801;width:2597;height:276" coordorigin="2782,801" coordsize="2597,276" path="m5379,1077l5377,1023,5371,979,5363,950,5353,939,4106,939,4096,928,4088,899,4083,855,4081,801,4079,855,4073,899,4065,928,4055,939,2808,939,2798,950,2790,979,2784,1023,2782,1077e" filled="false" stroked="true" strokeweight="1.62281pt" strokecolor="#c00000">
              <v:path arrowok="t"/>
            </v:shape>
            <v:line style="position:absolute" from="2034,3561" to="9872,3500" stroked="true" strokeweight="1.620792pt" strokecolor="#497dba">
              <v:stroke dashstyle="longDash"/>
            </v:line>
            <v:line style="position:absolute" from="2034,2645" to="9872,2584" stroked="true" strokeweight="1.620792pt" strokecolor="#497dba">
              <v:stroke dashstyle="longDash"/>
            </v:line>
            <v:shape style="position:absolute;left:7222;top:2766;width:334;height:430" coordorigin="7222,2766" coordsize="334,430" path="m7233,2874l7222,2874,7222,3089,7233,3089,7233,2874xm7264,2874l7243,2874,7243,3089,7264,3089,7264,2874xm7389,2766l7389,2874,7274,2874,7274,3089,7389,3089,7389,3196,7556,2981,7389,2766xe" filled="true" fillcolor="#ffffff" stroked="false">
              <v:path arrowok="t"/>
              <v:fill type="solid"/>
            </v:shape>
            <v:shape style="position:absolute;left:7209;top:2728;width:364;height:507" coordorigin="7209,2728" coordsize="364,507" path="m7375,3089l7375,3235,7405,3196,7402,3196,7378,3189,7402,3157,7402,3101,7389,3101,7375,3089xm7402,3157l7378,3189,7402,3196,7402,3157xm7539,2981l7402,3157,7402,3196,7405,3196,7567,2988,7545,2988,7539,2981xm7229,2862l7209,2862,7209,3101,7229,3101,7229,3089,7219,3089,7219,2874,7229,2874,7229,2862xm7229,3083l7229,3101,7246,3101,7246,3089,7236,3089,7229,3083xm7246,3079l7246,3101,7261,3101,7261,3089,7250,3089,7250,3083,7246,3079xm7274,3076l7264,3076,7261,3079,7261,3101,7277,3101,7277,3079,7274,3076xm7277,3079l7277,3101,7375,3101,7375,3089,7288,3089,7277,3079xm7402,3076l7288,3076,7288,3089,7375,3089,7389,3101,7402,3101,7402,3076xm7219,2874l7219,3089,7227,3081,7222,3076,7229,3076,7229,2886,7222,2886,7227,2881,7219,2874xm7227,3081l7219,3089,7229,3089,7229,3083,7227,3081xm7236,3076l7233,3076,7230,3079,7230,3083,7236,3089,7236,3076xm7246,2874l7236,2874,7236,3089,7246,3089,7246,3079,7243,3076,7246,3076,7246,2886,7243,2886,7246,2883,7246,2874xm7250,3083l7250,3089,7253,3086,7250,3083xm7253,3086l7250,3089,7257,3089,7253,3086xm7257,3083l7253,3086,7257,3089,7257,3083xm7261,3079l7257,3083,7257,3089,7261,3089,7261,3079xm7288,2874l7277,2883,7277,3079,7288,3089,7288,2874xm7253,2877l7250,2879,7250,3083,7253,3086,7257,3083,7257,2879,7253,2877xm7250,2879l7246,2883,7246,3079,7250,3083,7250,2879xm7257,2879l7257,3083,7261,3079,7261,2883,7257,2879xm7229,3079l7227,3081,7229,3083,7229,3079xm7229,3076l7222,3076,7227,3081,7229,3079,7229,3076xm7229,2883l7229,3079,7233,3076,7236,3076,7236,2886,7233,2886,7229,2883xm7246,3076l7243,3076,7246,3079,7246,3076xm7277,3076l7274,3076,7277,3079,7277,3076xm7261,2883l7261,3079,7264,3076,7277,3076,7277,2886,7264,2886,7261,2883xm7545,2974l7539,2981,7545,2988,7545,2974xm7567,2974l7545,2974,7545,2988,7567,2988,7572,2981,7567,2974xm7405,2766l7402,2766,7402,2805,7539,2981,7545,2974,7567,2974,7405,2766xm7227,2881l7222,2886,7229,2886,7229,2883,7227,2881xm7236,2874l7230,2879,7230,2883,7233,2886,7236,2886,7236,2874xm7246,2883l7243,2886,7246,2886,7246,2883xm7277,2862l7261,2862,7261,2883,7264,2886,7274,2886,7277,2883,7277,2862xm7277,2883l7274,2886,7277,2886,7277,2883xm7402,2862l7389,2862,7375,2874,7288,2874,7288,2886,7402,2886,7402,2862xm7261,2874l7257,2874,7257,2879,7261,2883,7261,2874xm7375,2862l7277,2862,7277,2883,7288,2874,7375,2874,7375,2862xm7229,2879l7227,2881,7229,2883,7229,2879xm7261,2862l7246,2862,7246,2883,7250,2879,7250,2874,7261,2874,7261,2862xm7229,2874l7219,2874,7227,2881,7229,2879,7229,2874xm7246,2862l7229,2862,7229,2879,7236,2874,7246,2874,7246,2862xm7250,2874l7250,2879,7253,2877,7250,2874xm7257,2874l7253,2877,7257,2879,7257,2874xm7257,2874l7250,2874,7253,2877,7257,2874xm7375,2728l7375,2874,7389,2862,7402,2862,7402,2805,7378,2773,7402,2766,7405,2766,7375,2728xm7402,2766l7378,2773,7402,2805,7402,2766xe" filled="true" fillcolor="#4f81bc" stroked="false">
              <v:path arrowok="t"/>
              <v:fill type="solid"/>
            </v:shape>
            <v:shape style="position:absolute;left:4013;top:2766;width:334;height:430" coordorigin="4013,2766" coordsize="334,430" path="m4347,2874l4336,2874,4336,3089,4347,3089,4347,2874xm4326,2874l4305,2874,4305,3089,4326,3089,4326,2874xm4180,2766l4013,2981,4180,3196,4180,3089,4294,3089,4294,2874,4180,2874,4180,2766xe" filled="true" fillcolor="#ffffff" stroked="false">
              <v:path arrowok="t"/>
              <v:fill type="solid"/>
            </v:shape>
            <v:shape style="position:absolute;left:3996;top:2728;width:364;height:507" coordorigin="3996,2728" coordsize="364,507" path="m4193,2728l3996,2981,4193,3235,4193,3196,4166,3196,4166,3157,4035,2988,4024,2988,4024,2974,4035,2974,4166,2805,4166,2766,4193,2766,4193,2728xm4166,3157l4166,3196,4191,3189,4166,3157xm4281,3076l4166,3076,4166,3157,4191,3189,4166,3196,4193,3196,4193,3101,4180,3101,4193,3089,4281,3089,4281,3076xm4193,3089l4180,3101,4193,3101,4193,3089xm4291,3079l4281,3089,4193,3089,4193,3101,4291,3101,4291,3079xm4305,3076l4294,3076,4291,3079,4291,3101,4308,3101,4308,3079,4305,3076xm4308,3079l4308,3101,4323,3101,4323,3089,4312,3089,4312,3083,4308,3079xm4333,3076l4326,3076,4323,3079,4323,3101,4339,3101,4339,3089,4333,3089,4333,3076xm4341,3081l4339,3083,4339,3101,4360,3101,4360,3089,4350,3089,4341,3081xm4281,2874l4281,3089,4291,3079,4291,2883,4281,2874xm4312,3083l4312,3089,4315,3086,4312,3083xm4315,3086l4312,3089,4318,3089,4315,3086xm4318,3083l4315,3086,4318,3089,4318,3083xm4323,3079l4318,3083,4318,3089,4323,3089,4323,3079xm4333,2874l4333,3089,4339,3083,4339,3079,4336,3076,4339,3076,4339,2886,4336,2886,4339,2883,4339,2879,4333,2874xm4339,3083l4333,3089,4339,3089,4339,3083xm4350,3076l4346,3076,4341,3081,4350,3089,4350,3076xm4360,2874l4350,2874,4350,3089,4360,3089,4360,2874xm4315,2877l4312,2879,4312,3083,4315,3086,4318,3083,4318,2879,4315,2877xm4312,2879l4308,2883,4308,3079,4312,3083,4312,2879xm4318,2879l4318,3083,4323,3079,4323,2883,4318,2879xm4339,3079l4339,3083,4341,3081,4339,3079xm4341,2881l4339,2883,4339,3079,4341,3081,4346,3076,4350,3076,4350,2886,4346,2886,4341,2881xm4323,2883l4323,3079,4326,3076,4333,3076,4333,2886,4326,2886,4323,2883xm4339,3076l4336,3076,4339,3079,4339,3076xm4291,2883l4291,3079,4294,3076,4308,3076,4308,2886,4294,2886,4291,2883xm4308,3076l4305,3076,4308,3079,4308,3076xm4024,2974l4024,2988,4029,2981,4024,2974xm4029,2981l4024,2988,4035,2988,4029,2981xm4035,2974l4024,2974,4029,2981,4035,2974xm4193,2766l4166,2766,4191,2773,4166,2805,4166,2886,4281,2886,4281,2874,4193,2874,4180,2862,4193,2862,4193,2766xm4308,2862l4291,2862,4291,2883,4294,2886,4305,2886,4308,2883,4308,2862xm4308,2883l4305,2886,4308,2886,4308,2883xm4339,2862l4323,2862,4323,2883,4326,2886,4333,2886,4333,2874,4339,2874,4339,2862xm4339,2883l4336,2886,4339,2886,4339,2883xm4350,2874l4341,2881,4346,2886,4350,2886,4350,2874xm4323,2862l4308,2862,4308,2883,4312,2879,4312,2874,4323,2874,4323,2862xm4291,2862l4193,2862,4193,2874,4281,2874,4291,2883,4291,2862xm4323,2874l4318,2874,4318,2879,4323,2883,4323,2874xm4339,2879l4339,2883,4341,2881,4339,2879xm4360,2862l4339,2862,4339,2879,4341,2881,4350,2874,4360,2874,4360,2862xm4339,2874l4333,2874,4339,2879,4339,2874xm4312,2874l4312,2879,4315,2877,4312,2874xm4318,2874l4315,2877,4318,2879,4318,2874xm4318,2874l4312,2874,4315,2877,4318,2874xm4193,2862l4180,2862,4193,2874,4193,2862xm4166,2766l4166,2805,4191,2773,4166,2766xe" filled="true" fillcolor="#c0504d" stroked="false">
              <v:path arrowok="t"/>
              <v:fill type="solid"/>
            </v:shape>
            <v:shape style="position:absolute;left:4626;top:2710;width:2317;height:446" type="#_x0000_t202" filled="true" fillcolor="#ffffff" stroked="true" strokeweight="1.221569pt" strokecolor="#c0504d">
              <v:textbox inset="0,0,0,0">
                <w:txbxContent>
                  <w:p>
                    <w:pPr>
                      <w:spacing w:before="36"/>
                      <w:ind w:left="76" w:right="0" w:firstLine="0"/>
                      <w:jc w:val="left"/>
                      <w:rPr>
                        <w:b/>
                        <w:sz w:val="30"/>
                      </w:rPr>
                    </w:pPr>
                    <w:r>
                      <w:rPr>
                        <w:b/>
                        <w:color w:val="001F5F"/>
                        <w:w w:val="110"/>
                        <w:sz w:val="30"/>
                      </w:rPr>
                      <w:t>Gobernanza</w:t>
                    </w:r>
                  </w:p>
                </w:txbxContent>
              </v:textbox>
              <v:fill type="solid"/>
              <w10:wrap type="none"/>
            </v:shape>
            <v:shape style="position:absolute;left:3325;top:375;width:1303;height:341" type="#_x0000_t202" filled="false" stroked="false">
              <v:textbox inset="0,0,0,0">
                <w:txbxContent>
                  <w:p>
                    <w:pPr>
                      <w:spacing w:line="157" w:lineRule="exact" w:before="0"/>
                      <w:ind w:left="81" w:right="-12" w:hanging="82"/>
                      <w:jc w:val="left"/>
                      <w:rPr>
                        <w:b/>
                        <w:sz w:val="15"/>
                      </w:rPr>
                    </w:pPr>
                    <w:r>
                      <w:rPr>
                        <w:b/>
                        <w:color w:val="C00000"/>
                        <w:w w:val="115"/>
                        <w:sz w:val="15"/>
                      </w:rPr>
                      <w:t>Sistema</w:t>
                    </w:r>
                    <w:r>
                      <w:rPr>
                        <w:b/>
                        <w:color w:val="C00000"/>
                        <w:spacing w:val="-27"/>
                        <w:w w:val="115"/>
                        <w:sz w:val="15"/>
                      </w:rPr>
                      <w:t> </w:t>
                    </w:r>
                    <w:r>
                      <w:rPr>
                        <w:b/>
                        <w:color w:val="C00000"/>
                        <w:w w:val="115"/>
                        <w:sz w:val="15"/>
                      </w:rPr>
                      <w:t>político</w:t>
                    </w:r>
                  </w:p>
                  <w:p>
                    <w:pPr>
                      <w:spacing w:line="170" w:lineRule="exact" w:before="14"/>
                      <w:ind w:left="81" w:right="-12" w:firstLine="0"/>
                      <w:jc w:val="left"/>
                      <w:rPr>
                        <w:b/>
                        <w:sz w:val="15"/>
                      </w:rPr>
                    </w:pPr>
                    <w:r>
                      <w:rPr>
                        <w:b/>
                        <w:color w:val="C00000"/>
                        <w:w w:val="115"/>
                        <w:sz w:val="15"/>
                      </w:rPr>
                      <w:t>sobrecargado</w:t>
                    </w:r>
                  </w:p>
                </w:txbxContent>
              </v:textbox>
              <w10:wrap type="none"/>
            </v:shape>
            <v:shape style="position:absolute;left:6327;top:314;width:1303;height:341" type="#_x0000_t202" filled="false" stroked="false">
              <v:textbox inset="0,0,0,0">
                <w:txbxContent>
                  <w:p>
                    <w:pPr>
                      <w:spacing w:line="157" w:lineRule="exact" w:before="0"/>
                      <w:ind w:left="0" w:right="0" w:firstLine="0"/>
                      <w:jc w:val="center"/>
                      <w:rPr>
                        <w:b/>
                        <w:sz w:val="15"/>
                      </w:rPr>
                    </w:pPr>
                    <w:r>
                      <w:rPr>
                        <w:b/>
                        <w:color w:val="001F5F"/>
                        <w:w w:val="115"/>
                        <w:sz w:val="15"/>
                      </w:rPr>
                      <w:t>Sistema</w:t>
                    </w:r>
                    <w:r>
                      <w:rPr>
                        <w:b/>
                        <w:color w:val="001F5F"/>
                        <w:spacing w:val="-28"/>
                        <w:w w:val="115"/>
                        <w:sz w:val="15"/>
                      </w:rPr>
                      <w:t> </w:t>
                    </w:r>
                    <w:r>
                      <w:rPr>
                        <w:b/>
                        <w:color w:val="001F5F"/>
                        <w:w w:val="115"/>
                        <w:sz w:val="15"/>
                      </w:rPr>
                      <w:t>político</w:t>
                    </w:r>
                  </w:p>
                  <w:p>
                    <w:pPr>
                      <w:spacing w:line="170" w:lineRule="exact" w:before="14"/>
                      <w:ind w:left="0" w:right="6" w:firstLine="0"/>
                      <w:jc w:val="center"/>
                      <w:rPr>
                        <w:b/>
                        <w:sz w:val="15"/>
                      </w:rPr>
                    </w:pPr>
                    <w:r>
                      <w:rPr>
                        <w:b/>
                        <w:color w:val="001F5F"/>
                        <w:w w:val="115"/>
                        <w:sz w:val="15"/>
                      </w:rPr>
                      <w:t>eficiente</w:t>
                    </w:r>
                  </w:p>
                </w:txbxContent>
              </v:textbox>
              <w10:wrap type="none"/>
            </v:shape>
            <v:shape style="position:absolute;left:4509;top:1246;width:2762;height:511" type="#_x0000_t202" filled="false" stroked="false">
              <v:textbox inset="0,0,0,0">
                <w:txbxContent>
                  <w:p>
                    <w:pPr>
                      <w:spacing w:line="224" w:lineRule="exact" w:before="0"/>
                      <w:ind w:left="341" w:right="0" w:firstLine="0"/>
                      <w:jc w:val="left"/>
                      <w:rPr>
                        <w:b/>
                        <w:sz w:val="22"/>
                      </w:rPr>
                    </w:pPr>
                    <w:r>
                      <w:rPr>
                        <w:b/>
                        <w:color w:val="001F5F"/>
                        <w:w w:val="110"/>
                        <w:sz w:val="22"/>
                      </w:rPr>
                      <w:t>Gobernabilidad</w:t>
                    </w:r>
                  </w:p>
                  <w:p>
                    <w:pPr>
                      <w:spacing w:line="170" w:lineRule="exact" w:before="115"/>
                      <w:ind w:left="0" w:right="0" w:firstLine="0"/>
                      <w:jc w:val="left"/>
                      <w:rPr>
                        <w:b/>
                        <w:sz w:val="15"/>
                      </w:rPr>
                    </w:pPr>
                    <w:r>
                      <w:rPr>
                        <w:b/>
                        <w:color w:val="C00000"/>
                        <w:w w:val="115"/>
                        <w:sz w:val="15"/>
                      </w:rPr>
                      <w:t>Ingobernabilidad </w:t>
                    </w:r>
                    <w:r>
                      <w:rPr>
                        <w:b/>
                        <w:color w:val="001F5F"/>
                        <w:w w:val="115"/>
                        <w:sz w:val="15"/>
                      </w:rPr>
                      <w:t>Gobernabilidad</w:t>
                    </w:r>
                  </w:p>
                </w:txbxContent>
              </v:textbox>
              <w10:wrap type="none"/>
            </v:shape>
            <v:shape style="position:absolute;left:9104;top:1111;width:933;height:341" type="#_x0000_t202" filled="false" stroked="false">
              <v:textbox inset="0,0,0,0">
                <w:txbxContent>
                  <w:p>
                    <w:pPr>
                      <w:spacing w:line="157" w:lineRule="exact" w:before="0"/>
                      <w:ind w:left="0" w:right="0" w:firstLine="0"/>
                      <w:jc w:val="center"/>
                      <w:rPr>
                        <w:b/>
                        <w:sz w:val="15"/>
                      </w:rPr>
                    </w:pPr>
                    <w:r>
                      <w:rPr>
                        <w:b/>
                        <w:color w:val="001F5F"/>
                        <w:w w:val="115"/>
                        <w:sz w:val="15"/>
                      </w:rPr>
                      <w:t>Resultados</w:t>
                    </w:r>
                  </w:p>
                  <w:p>
                    <w:pPr>
                      <w:spacing w:line="170" w:lineRule="exact" w:before="14"/>
                      <w:ind w:left="9" w:right="0" w:firstLine="0"/>
                      <w:jc w:val="center"/>
                      <w:rPr>
                        <w:b/>
                        <w:sz w:val="15"/>
                      </w:rPr>
                    </w:pPr>
                    <w:r>
                      <w:rPr>
                        <w:b/>
                        <w:color w:val="001F5F"/>
                        <w:w w:val="115"/>
                        <w:sz w:val="15"/>
                      </w:rPr>
                      <w:t>(</w:t>
                    </w:r>
                    <w:r>
                      <w:rPr>
                        <w:b/>
                        <w:i/>
                        <w:color w:val="001F5F"/>
                        <w:w w:val="115"/>
                        <w:sz w:val="15"/>
                      </w:rPr>
                      <w:t>Ouputs</w:t>
                    </w:r>
                    <w:r>
                      <w:rPr>
                        <w:b/>
                        <w:color w:val="001F5F"/>
                        <w:w w:val="115"/>
                        <w:sz w:val="15"/>
                      </w:rPr>
                      <w:t>)</w:t>
                    </w:r>
                  </w:p>
                </w:txbxContent>
              </v:textbox>
              <w10:wrap type="none"/>
            </v:shape>
            <v:shape style="position:absolute;left:2603;top:2891;width:1114;height:341" type="#_x0000_t202" filled="false" stroked="false">
              <v:textbox inset="0,0,0,0">
                <w:txbxContent>
                  <w:p>
                    <w:pPr>
                      <w:spacing w:line="157" w:lineRule="exact" w:before="0"/>
                      <w:ind w:left="-1" w:right="0" w:firstLine="0"/>
                      <w:jc w:val="center"/>
                      <w:rPr>
                        <w:b/>
                        <w:sz w:val="15"/>
                      </w:rPr>
                    </w:pPr>
                    <w:r>
                      <w:rPr>
                        <w:b/>
                        <w:color w:val="C00000"/>
                        <w:w w:val="115"/>
                        <w:sz w:val="15"/>
                      </w:rPr>
                      <w:t>Demandas</w:t>
                    </w:r>
                    <w:r>
                      <w:rPr>
                        <w:b/>
                        <w:color w:val="C00000"/>
                        <w:spacing w:val="-22"/>
                        <w:w w:val="115"/>
                        <w:sz w:val="15"/>
                      </w:rPr>
                      <w:t> </w:t>
                    </w:r>
                    <w:r>
                      <w:rPr>
                        <w:b/>
                        <w:color w:val="C00000"/>
                        <w:w w:val="115"/>
                        <w:sz w:val="15"/>
                      </w:rPr>
                      <w:t>no</w:t>
                    </w:r>
                  </w:p>
                  <w:p>
                    <w:pPr>
                      <w:spacing w:line="170" w:lineRule="exact" w:before="14"/>
                      <w:ind w:left="0" w:right="0" w:firstLine="0"/>
                      <w:jc w:val="center"/>
                      <w:rPr>
                        <w:b/>
                        <w:sz w:val="15"/>
                      </w:rPr>
                    </w:pPr>
                    <w:r>
                      <w:rPr>
                        <w:b/>
                        <w:color w:val="C00000"/>
                        <w:w w:val="115"/>
                        <w:sz w:val="15"/>
                      </w:rPr>
                      <w:t>atendidas</w:t>
                    </w:r>
                  </w:p>
                </w:txbxContent>
              </v:textbox>
              <w10:wrap type="none"/>
            </v:shape>
            <v:shape style="position:absolute;left:9213;top:2830;width:708;height:155" type="#_x0000_t202" filled="false" stroked="false">
              <v:textbox inset="0,0,0,0">
                <w:txbxContent>
                  <w:p>
                    <w:pPr>
                      <w:spacing w:line="154" w:lineRule="exact" w:before="0"/>
                      <w:ind w:left="0" w:right="0" w:firstLine="0"/>
                      <w:jc w:val="left"/>
                      <w:rPr>
                        <w:b/>
                        <w:sz w:val="15"/>
                      </w:rPr>
                    </w:pPr>
                    <w:r>
                      <w:rPr>
                        <w:b/>
                        <w:color w:val="001F5F"/>
                        <w:w w:val="110"/>
                        <w:sz w:val="15"/>
                      </w:rPr>
                      <w:t>Políticas</w:t>
                    </w:r>
                  </w:p>
                </w:txbxContent>
              </v:textbox>
              <w10:wrap type="none"/>
            </v:shape>
            <v:shape style="position:absolute;left:7769;top:2952;width:881;height:342" type="#_x0000_t202" filled="false" stroked="false">
              <v:textbox inset="0,0,0,0">
                <w:txbxContent>
                  <w:p>
                    <w:pPr>
                      <w:spacing w:line="157" w:lineRule="exact" w:before="0"/>
                      <w:ind w:left="35" w:right="-11" w:hanging="36"/>
                      <w:jc w:val="left"/>
                      <w:rPr>
                        <w:b/>
                        <w:sz w:val="15"/>
                      </w:rPr>
                    </w:pPr>
                    <w:r>
                      <w:rPr>
                        <w:b/>
                        <w:color w:val="001F5F"/>
                        <w:w w:val="115"/>
                        <w:sz w:val="15"/>
                      </w:rPr>
                      <w:t>Demandas</w:t>
                    </w:r>
                  </w:p>
                  <w:p>
                    <w:pPr>
                      <w:spacing w:line="170" w:lineRule="exact" w:before="14"/>
                      <w:ind w:left="35" w:right="-11" w:firstLine="0"/>
                      <w:jc w:val="left"/>
                      <w:rPr>
                        <w:b/>
                        <w:sz w:val="15"/>
                      </w:rPr>
                    </w:pPr>
                    <w:r>
                      <w:rPr>
                        <w:b/>
                        <w:color w:val="001F5F"/>
                        <w:w w:val="115"/>
                        <w:sz w:val="15"/>
                      </w:rPr>
                      <w:t>atendidas</w:t>
                    </w:r>
                  </w:p>
                </w:txbxContent>
              </v:textbox>
              <w10:wrap type="none"/>
            </v:shape>
            <v:shape style="position:absolute;left:5141;top:4180;width:1617;height:341" type="#_x0000_t202" filled="false" stroked="false">
              <v:textbox inset="0,0,0,0">
                <w:txbxContent>
                  <w:p>
                    <w:pPr>
                      <w:spacing w:line="157" w:lineRule="exact" w:before="0"/>
                      <w:ind w:left="0" w:right="-13" w:firstLine="18"/>
                      <w:jc w:val="left"/>
                      <w:rPr>
                        <w:b/>
                        <w:sz w:val="15"/>
                      </w:rPr>
                    </w:pPr>
                    <w:r>
                      <w:rPr>
                        <w:b/>
                        <w:color w:val="001F5F"/>
                        <w:w w:val="115"/>
                        <w:sz w:val="15"/>
                      </w:rPr>
                      <w:t>Demandas</w:t>
                    </w:r>
                    <w:r>
                      <w:rPr>
                        <w:b/>
                        <w:color w:val="001F5F"/>
                        <w:spacing w:val="-27"/>
                        <w:w w:val="115"/>
                        <w:sz w:val="15"/>
                      </w:rPr>
                      <w:t> </w:t>
                    </w:r>
                    <w:r>
                      <w:rPr>
                        <w:b/>
                        <w:color w:val="001F5F"/>
                        <w:w w:val="115"/>
                        <w:sz w:val="15"/>
                      </w:rPr>
                      <w:t>sociales</w:t>
                    </w:r>
                  </w:p>
                  <w:p>
                    <w:pPr>
                      <w:spacing w:line="170" w:lineRule="exact" w:before="14"/>
                      <w:ind w:left="0" w:right="-13" w:firstLine="0"/>
                      <w:jc w:val="left"/>
                      <w:rPr>
                        <w:b/>
                        <w:sz w:val="15"/>
                      </w:rPr>
                    </w:pPr>
                    <w:r>
                      <w:rPr>
                        <w:b/>
                        <w:color w:val="001F5F"/>
                        <w:w w:val="115"/>
                        <w:sz w:val="15"/>
                      </w:rPr>
                      <w:t>reales y</w:t>
                    </w:r>
                    <w:r>
                      <w:rPr>
                        <w:b/>
                        <w:color w:val="001F5F"/>
                        <w:spacing w:val="-30"/>
                        <w:w w:val="115"/>
                        <w:sz w:val="15"/>
                      </w:rPr>
                      <w:t> </w:t>
                    </w:r>
                    <w:r>
                      <w:rPr>
                        <w:b/>
                        <w:color w:val="001F5F"/>
                        <w:w w:val="115"/>
                        <w:sz w:val="15"/>
                      </w:rPr>
                      <w:t>potenciales</w:t>
                    </w:r>
                  </w:p>
                </w:txbxContent>
              </v:textbox>
              <w10:wrap type="none"/>
            </v:shape>
            <v:shape style="position:absolute;left:9132;top:4119;width:879;height:341" type="#_x0000_t202" filled="false" stroked="false">
              <v:textbox inset="0,0,0,0">
                <w:txbxContent>
                  <w:p>
                    <w:pPr>
                      <w:spacing w:line="157" w:lineRule="exact" w:before="0"/>
                      <w:ind w:left="99" w:right="-13" w:hanging="100"/>
                      <w:jc w:val="left"/>
                      <w:rPr>
                        <w:b/>
                        <w:sz w:val="15"/>
                      </w:rPr>
                    </w:pPr>
                    <w:r>
                      <w:rPr>
                        <w:b/>
                        <w:color w:val="001F5F"/>
                        <w:w w:val="115"/>
                        <w:sz w:val="15"/>
                      </w:rPr>
                      <w:t>Demandas</w:t>
                    </w:r>
                  </w:p>
                  <w:p>
                    <w:pPr>
                      <w:spacing w:line="170" w:lineRule="exact" w:before="14"/>
                      <w:ind w:left="99" w:right="-13" w:firstLine="0"/>
                      <w:jc w:val="left"/>
                      <w:rPr>
                        <w:b/>
                        <w:sz w:val="15"/>
                      </w:rPr>
                    </w:pPr>
                    <w:r>
                      <w:rPr>
                        <w:b/>
                        <w:color w:val="001F5F"/>
                        <w:w w:val="115"/>
                        <w:sz w:val="15"/>
                      </w:rPr>
                      <w:t>(</w:t>
                    </w:r>
                    <w:r>
                      <w:rPr>
                        <w:b/>
                        <w:i/>
                        <w:color w:val="001F5F"/>
                        <w:w w:val="115"/>
                        <w:sz w:val="15"/>
                      </w:rPr>
                      <w:t>Imputs</w:t>
                    </w:r>
                    <w:r>
                      <w:rPr>
                        <w:b/>
                        <w:color w:val="001F5F"/>
                        <w:w w:val="115"/>
                        <w:sz w:val="15"/>
                      </w:rPr>
                      <w:t>)</w:t>
                    </w:r>
                  </w:p>
                </w:txbxContent>
              </v:textbox>
              <w10:wrap type="none"/>
            </v:shape>
            <w10:wrap type="topAndBottom"/>
          </v:group>
        </w:pict>
      </w:r>
    </w:p>
    <w:p>
      <w:pPr>
        <w:spacing w:before="136"/>
        <w:ind w:left="809" w:right="0" w:firstLine="0"/>
        <w:jc w:val="left"/>
        <w:rPr>
          <w:sz w:val="12"/>
        </w:rPr>
      </w:pPr>
      <w:r>
        <w:rPr>
          <w:sz w:val="12"/>
        </w:rPr>
        <w:t>FUENTE:      </w:t>
      </w:r>
      <w:r>
        <w:rPr>
          <w:color w:val="0000FF"/>
          <w:sz w:val="12"/>
          <w:u w:val="single" w:color="0000FF"/>
        </w:rPr>
        <w:t>Closa Montero, Carlos. (2003)</w:t>
      </w:r>
      <w:r>
        <w:rPr>
          <w:color w:val="0000FF"/>
          <w:sz w:val="1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BodyText"/>
        <w:spacing w:before="70"/>
        <w:ind w:left="528"/>
      </w:pPr>
      <w:r>
        <w:rPr/>
        <w:t>La gobernabilidad tiene las siguientes vertientes:</w:t>
      </w:r>
    </w:p>
    <w:p>
      <w:pPr>
        <w:pStyle w:val="BodyText"/>
        <w:spacing w:before="6"/>
        <w:rPr>
          <w:sz w:val="29"/>
        </w:rPr>
      </w:pPr>
    </w:p>
    <w:p>
      <w:pPr>
        <w:pStyle w:val="ListParagraph"/>
        <w:numPr>
          <w:ilvl w:val="1"/>
          <w:numId w:val="8"/>
        </w:numPr>
        <w:tabs>
          <w:tab w:pos="821" w:val="left" w:leader="none"/>
        </w:tabs>
        <w:spacing w:line="360" w:lineRule="auto" w:before="0" w:after="0"/>
        <w:ind w:left="821" w:right="103" w:hanging="361"/>
        <w:jc w:val="both"/>
        <w:rPr>
          <w:sz w:val="24"/>
        </w:rPr>
      </w:pPr>
      <w:r>
        <w:rPr>
          <w:sz w:val="24"/>
        </w:rPr>
        <w:t>Social, relacionada con la legitimidad que la sociedad le otorga al Estado si ésta percibe que las políticas públicas se orientan a atender los problemas de seguridad nacional. En América Latina, por ejemplo, existe la percepción de que el Estado requiere atender en forma prioritaria los problemas nacionales.</w:t>
      </w:r>
    </w:p>
    <w:p>
      <w:pPr>
        <w:pStyle w:val="ListParagraph"/>
        <w:numPr>
          <w:ilvl w:val="1"/>
          <w:numId w:val="8"/>
        </w:numPr>
        <w:tabs>
          <w:tab w:pos="889" w:val="left" w:leader="none"/>
        </w:tabs>
        <w:spacing w:line="360" w:lineRule="auto" w:before="2" w:after="0"/>
        <w:ind w:left="821" w:right="106" w:hanging="361"/>
        <w:jc w:val="both"/>
        <w:rPr>
          <w:sz w:val="24"/>
        </w:rPr>
      </w:pPr>
      <w:r>
        <w:rPr>
          <w:sz w:val="24"/>
        </w:rPr>
        <w:t>Política, que se refiere a la capacidad del gobierno para dirigir la sociedad (Estado de derecho, normativa y políticas públicas efectivas para garantizar la</w:t>
      </w:r>
      <w:r>
        <w:rPr>
          <w:spacing w:val="-9"/>
          <w:sz w:val="24"/>
        </w:rPr>
        <w:t> </w:t>
      </w:r>
      <w:r>
        <w:rPr>
          <w:sz w:val="24"/>
        </w:rPr>
        <w:t>democracia).</w:t>
      </w:r>
    </w:p>
    <w:p>
      <w:pPr>
        <w:pStyle w:val="BodyText"/>
      </w:pPr>
    </w:p>
    <w:p>
      <w:pPr>
        <w:pStyle w:val="BodyText"/>
        <w:spacing w:line="360" w:lineRule="auto" w:before="142"/>
        <w:ind w:left="100" w:right="104" w:firstLine="427"/>
        <w:jc w:val="both"/>
      </w:pPr>
      <w:r>
        <w:rPr/>
        <w:t>El</w:t>
      </w:r>
      <w:r>
        <w:rPr>
          <w:spacing w:val="-17"/>
        </w:rPr>
        <w:t> </w:t>
      </w:r>
      <w:r>
        <w:rPr/>
        <w:t>enfoque</w:t>
      </w:r>
      <w:r>
        <w:rPr>
          <w:spacing w:val="-14"/>
        </w:rPr>
        <w:t> </w:t>
      </w:r>
      <w:r>
        <w:rPr/>
        <w:t>de</w:t>
      </w:r>
      <w:r>
        <w:rPr>
          <w:spacing w:val="-14"/>
        </w:rPr>
        <w:t> </w:t>
      </w:r>
      <w:r>
        <w:rPr/>
        <w:t>gobernabilidad</w:t>
      </w:r>
      <w:r>
        <w:rPr>
          <w:spacing w:val="-14"/>
        </w:rPr>
        <w:t> </w:t>
      </w:r>
      <w:r>
        <w:rPr/>
        <w:t>apunta</w:t>
      </w:r>
      <w:r>
        <w:rPr>
          <w:spacing w:val="-17"/>
        </w:rPr>
        <w:t> </w:t>
      </w:r>
      <w:r>
        <w:rPr/>
        <w:t>a</w:t>
      </w:r>
      <w:r>
        <w:rPr>
          <w:spacing w:val="-14"/>
        </w:rPr>
        <w:t> </w:t>
      </w:r>
      <w:r>
        <w:rPr/>
        <w:t>los</w:t>
      </w:r>
      <w:r>
        <w:rPr>
          <w:spacing w:val="-15"/>
        </w:rPr>
        <w:t> </w:t>
      </w:r>
      <w:r>
        <w:rPr/>
        <w:t>problemas</w:t>
      </w:r>
      <w:r>
        <w:rPr>
          <w:spacing w:val="-12"/>
        </w:rPr>
        <w:t> </w:t>
      </w:r>
      <w:r>
        <w:rPr/>
        <w:t>estructurales</w:t>
      </w:r>
      <w:r>
        <w:rPr>
          <w:spacing w:val="-15"/>
        </w:rPr>
        <w:t> </w:t>
      </w:r>
      <w:r>
        <w:rPr/>
        <w:t>del</w:t>
      </w:r>
      <w:r>
        <w:rPr>
          <w:spacing w:val="-13"/>
        </w:rPr>
        <w:t> </w:t>
      </w:r>
      <w:r>
        <w:rPr/>
        <w:t>gobierno democrático, lo que puede explicarse porque en algunos Estados prevalece el régimen</w:t>
      </w:r>
      <w:r>
        <w:rPr>
          <w:spacing w:val="-6"/>
        </w:rPr>
        <w:t> </w:t>
      </w:r>
      <w:r>
        <w:rPr/>
        <w:t>político</w:t>
      </w:r>
      <w:r>
        <w:rPr>
          <w:spacing w:val="-6"/>
        </w:rPr>
        <w:t> </w:t>
      </w:r>
      <w:r>
        <w:rPr/>
        <w:t>autoritario,</w:t>
      </w:r>
      <w:r>
        <w:rPr>
          <w:spacing w:val="-4"/>
        </w:rPr>
        <w:t> </w:t>
      </w:r>
      <w:r>
        <w:rPr/>
        <w:t>y</w:t>
      </w:r>
      <w:r>
        <w:rPr>
          <w:spacing w:val="-8"/>
        </w:rPr>
        <w:t> </w:t>
      </w:r>
      <w:r>
        <w:rPr/>
        <w:t>por</w:t>
      </w:r>
      <w:r>
        <w:rPr>
          <w:spacing w:val="-4"/>
        </w:rPr>
        <w:t> </w:t>
      </w:r>
      <w:r>
        <w:rPr/>
        <w:t>los</w:t>
      </w:r>
      <w:r>
        <w:rPr>
          <w:spacing w:val="-4"/>
        </w:rPr>
        <w:t> </w:t>
      </w:r>
      <w:r>
        <w:rPr/>
        <w:t>efectos</w:t>
      </w:r>
      <w:r>
        <w:rPr>
          <w:spacing w:val="-4"/>
        </w:rPr>
        <w:t> </w:t>
      </w:r>
      <w:r>
        <w:rPr/>
        <w:t>de</w:t>
      </w:r>
      <w:r>
        <w:rPr>
          <w:spacing w:val="-6"/>
        </w:rPr>
        <w:t> </w:t>
      </w:r>
      <w:r>
        <w:rPr/>
        <w:t>las</w:t>
      </w:r>
      <w:r>
        <w:rPr>
          <w:spacing w:val="-4"/>
        </w:rPr>
        <w:t> </w:t>
      </w:r>
      <w:r>
        <w:rPr/>
        <w:t>políticas</w:t>
      </w:r>
      <w:r>
        <w:rPr>
          <w:spacing w:val="-4"/>
        </w:rPr>
        <w:t> </w:t>
      </w:r>
      <w:r>
        <w:rPr/>
        <w:t>públicas</w:t>
      </w:r>
      <w:r>
        <w:rPr>
          <w:spacing w:val="-4"/>
        </w:rPr>
        <w:t> </w:t>
      </w:r>
      <w:r>
        <w:rPr/>
        <w:t>y</w:t>
      </w:r>
      <w:r>
        <w:rPr>
          <w:spacing w:val="-8"/>
        </w:rPr>
        <w:t> </w:t>
      </w:r>
      <w:r>
        <w:rPr/>
        <w:t>económicas que prevalecen de administraciones</w:t>
      </w:r>
      <w:r>
        <w:rPr>
          <w:spacing w:val="-24"/>
        </w:rPr>
        <w:t> </w:t>
      </w:r>
      <w:r>
        <w:rPr/>
        <w:t>anteriores.</w:t>
      </w:r>
    </w:p>
    <w:p>
      <w:pPr>
        <w:spacing w:after="0" w:line="360" w:lineRule="auto"/>
        <w:jc w:val="both"/>
        <w:sectPr>
          <w:footerReference w:type="default" r:id="rId23"/>
          <w:pgSz w:w="12240" w:h="15840"/>
          <w:pgMar w:footer="998" w:header="0" w:top="1360" w:bottom="1180" w:left="1600" w:right="1600"/>
          <w:pgNumType w:start="11"/>
        </w:sectPr>
      </w:pPr>
    </w:p>
    <w:p>
      <w:pPr>
        <w:pStyle w:val="BodyText"/>
        <w:spacing w:before="9"/>
        <w:rPr>
          <w:sz w:val="22"/>
        </w:rPr>
      </w:pPr>
    </w:p>
    <w:p>
      <w:pPr>
        <w:pStyle w:val="BodyText"/>
        <w:spacing w:line="360" w:lineRule="auto" w:before="69"/>
        <w:ind w:left="120" w:right="116" w:firstLine="427"/>
        <w:jc w:val="both"/>
      </w:pPr>
      <w:r>
        <w:rPr/>
        <w:t>Para</w:t>
      </w:r>
      <w:r>
        <w:rPr>
          <w:spacing w:val="-18"/>
        </w:rPr>
        <w:t> </w:t>
      </w:r>
      <w:r>
        <w:rPr/>
        <w:t>que</w:t>
      </w:r>
      <w:r>
        <w:rPr>
          <w:spacing w:val="-18"/>
        </w:rPr>
        <w:t> </w:t>
      </w:r>
      <w:r>
        <w:rPr/>
        <w:t>la</w:t>
      </w:r>
      <w:r>
        <w:rPr>
          <w:spacing w:val="-18"/>
        </w:rPr>
        <w:t> </w:t>
      </w:r>
      <w:r>
        <w:rPr/>
        <w:t>capacidad</w:t>
      </w:r>
      <w:r>
        <w:rPr>
          <w:spacing w:val="-18"/>
        </w:rPr>
        <w:t> </w:t>
      </w:r>
      <w:r>
        <w:rPr/>
        <w:t>de</w:t>
      </w:r>
      <w:r>
        <w:rPr>
          <w:spacing w:val="-18"/>
        </w:rPr>
        <w:t> </w:t>
      </w:r>
      <w:r>
        <w:rPr/>
        <w:t>gobernar</w:t>
      </w:r>
      <w:r>
        <w:rPr>
          <w:spacing w:val="-16"/>
        </w:rPr>
        <w:t> </w:t>
      </w:r>
      <w:r>
        <w:rPr/>
        <w:t>se</w:t>
      </w:r>
      <w:r>
        <w:rPr>
          <w:spacing w:val="-18"/>
        </w:rPr>
        <w:t> </w:t>
      </w:r>
      <w:r>
        <w:rPr/>
        <w:t>traduzca</w:t>
      </w:r>
      <w:r>
        <w:rPr>
          <w:spacing w:val="-18"/>
        </w:rPr>
        <w:t> </w:t>
      </w:r>
      <w:r>
        <w:rPr/>
        <w:t>en</w:t>
      </w:r>
      <w:r>
        <w:rPr>
          <w:spacing w:val="-18"/>
        </w:rPr>
        <w:t> </w:t>
      </w:r>
      <w:r>
        <w:rPr/>
        <w:t>“buen</w:t>
      </w:r>
      <w:r>
        <w:rPr>
          <w:spacing w:val="-18"/>
        </w:rPr>
        <w:t> </w:t>
      </w:r>
      <w:r>
        <w:rPr/>
        <w:t>gobierno”</w:t>
      </w:r>
      <w:r>
        <w:rPr>
          <w:spacing w:val="-16"/>
        </w:rPr>
        <w:t> </w:t>
      </w:r>
      <w:r>
        <w:rPr/>
        <w:t>es</w:t>
      </w:r>
      <w:r>
        <w:rPr>
          <w:spacing w:val="-16"/>
        </w:rPr>
        <w:t> </w:t>
      </w:r>
      <w:r>
        <w:rPr/>
        <w:t>necesario un análisis profundo de la conducción de la política. La literatura considera que existen dos dimensiones de la gobernanza: La </w:t>
      </w:r>
      <w:r>
        <w:rPr>
          <w:i/>
        </w:rPr>
        <w:t>estructural </w:t>
      </w:r>
      <w:r>
        <w:rPr/>
        <w:t>y la </w:t>
      </w:r>
      <w:r>
        <w:rPr>
          <w:i/>
        </w:rPr>
        <w:t>dinámica</w:t>
      </w:r>
      <w:r>
        <w:rPr/>
        <w:t>, la primera hace referencia a las políticas institucionales que limitan o incentivan a los actores en la toma de decisiones; de esta forma, la gobernanza implica diseñar un marco institucional que permita emitir información relevante para la toma de decisiones; y la </w:t>
      </w:r>
      <w:r>
        <w:rPr>
          <w:i/>
        </w:rPr>
        <w:t>dinámica </w:t>
      </w:r>
      <w:r>
        <w:rPr/>
        <w:t>se refiere a las acciones de los actores y las decisiones que afectan la estructura de la</w:t>
      </w:r>
      <w:r>
        <w:rPr>
          <w:spacing w:val="-20"/>
        </w:rPr>
        <w:t> </w:t>
      </w:r>
      <w:r>
        <w:rPr/>
        <w:t>institución.</w:t>
      </w:r>
    </w:p>
    <w:p>
      <w:pPr>
        <w:pStyle w:val="BodyText"/>
        <w:spacing w:line="360" w:lineRule="auto" w:before="6"/>
        <w:ind w:left="120" w:right="121" w:firstLine="427"/>
        <w:jc w:val="both"/>
      </w:pPr>
      <w:r>
        <w:rPr/>
        <w:t>Desde esta perspectiva, la gobernanza compromete el liderazgo moral de los actores para mejorar las estructuras institucionales en la solución de los</w:t>
      </w:r>
      <w:r>
        <w:rPr>
          <w:spacing w:val="-45"/>
        </w:rPr>
        <w:t> </w:t>
      </w:r>
      <w:r>
        <w:rPr/>
        <w:t>problemas de acción</w:t>
      </w:r>
      <w:r>
        <w:rPr>
          <w:spacing w:val="-10"/>
        </w:rPr>
        <w:t> </w:t>
      </w:r>
      <w:r>
        <w:rPr/>
        <w:t>colectiva.</w:t>
      </w:r>
    </w:p>
    <w:p>
      <w:pPr>
        <w:pStyle w:val="BodyText"/>
        <w:spacing w:line="360" w:lineRule="auto" w:before="2"/>
        <w:ind w:left="120" w:right="118" w:firstLine="427"/>
        <w:jc w:val="right"/>
      </w:pPr>
      <w:r>
        <w:rPr/>
        <w:t>La gobernanza puede expresarse como el cambio en el proceso</w:t>
      </w:r>
      <w:r>
        <w:rPr>
          <w:spacing w:val="21"/>
        </w:rPr>
        <w:t> </w:t>
      </w:r>
      <w:r>
        <w:rPr/>
        <w:t>de</w:t>
      </w:r>
      <w:r>
        <w:rPr>
          <w:spacing w:val="15"/>
        </w:rPr>
        <w:t> </w:t>
      </w:r>
      <w:r>
        <w:rPr/>
        <w:t>gobernar</w:t>
      </w:r>
      <w:r>
        <w:rPr>
          <w:w w:val="99"/>
        </w:rPr>
        <w:t> </w:t>
      </w:r>
      <w:r>
        <w:rPr/>
        <w:t>en</w:t>
      </w:r>
      <w:r>
        <w:rPr>
          <w:spacing w:val="-18"/>
        </w:rPr>
        <w:t> </w:t>
      </w:r>
      <w:r>
        <w:rPr/>
        <w:t>el</w:t>
      </w:r>
      <w:r>
        <w:rPr>
          <w:spacing w:val="-17"/>
        </w:rPr>
        <w:t> </w:t>
      </w:r>
      <w:r>
        <w:rPr/>
        <w:t>que</w:t>
      </w:r>
      <w:r>
        <w:rPr>
          <w:spacing w:val="-18"/>
        </w:rPr>
        <w:t> </w:t>
      </w:r>
      <w:r>
        <w:rPr/>
        <w:t>intervienen</w:t>
      </w:r>
      <w:r>
        <w:rPr>
          <w:spacing w:val="-18"/>
        </w:rPr>
        <w:t> </w:t>
      </w:r>
      <w:r>
        <w:rPr/>
        <w:t>el</w:t>
      </w:r>
      <w:r>
        <w:rPr>
          <w:spacing w:val="-17"/>
        </w:rPr>
        <w:t> </w:t>
      </w:r>
      <w:r>
        <w:rPr/>
        <w:t>Estado</w:t>
      </w:r>
      <w:r>
        <w:rPr>
          <w:spacing w:val="-18"/>
        </w:rPr>
        <w:t> </w:t>
      </w:r>
      <w:r>
        <w:rPr/>
        <w:t>y</w:t>
      </w:r>
      <w:r>
        <w:rPr>
          <w:spacing w:val="-20"/>
        </w:rPr>
        <w:t> </w:t>
      </w:r>
      <w:r>
        <w:rPr/>
        <w:t>el</w:t>
      </w:r>
      <w:r>
        <w:rPr>
          <w:spacing w:val="-17"/>
        </w:rPr>
        <w:t> </w:t>
      </w:r>
      <w:r>
        <w:rPr/>
        <w:t>sector</w:t>
      </w:r>
      <w:r>
        <w:rPr>
          <w:spacing w:val="-16"/>
        </w:rPr>
        <w:t> </w:t>
      </w:r>
      <w:r>
        <w:rPr/>
        <w:t>privado</w:t>
      </w:r>
      <w:r>
        <w:rPr>
          <w:spacing w:val="-18"/>
        </w:rPr>
        <w:t> </w:t>
      </w:r>
      <w:r>
        <w:rPr/>
        <w:t>interrelacionados</w:t>
      </w:r>
      <w:r>
        <w:rPr>
          <w:spacing w:val="-16"/>
        </w:rPr>
        <w:t> </w:t>
      </w:r>
      <w:r>
        <w:rPr/>
        <w:t>mediante</w:t>
      </w:r>
      <w:r>
        <w:rPr>
          <w:spacing w:val="-14"/>
        </w:rPr>
        <w:t> </w:t>
      </w:r>
      <w:r>
        <w:rPr/>
        <w:t>redes,</w:t>
      </w:r>
      <w:r>
        <w:rPr>
          <w:w w:val="100"/>
        </w:rPr>
        <w:t> </w:t>
      </w:r>
      <w:r>
        <w:rPr/>
        <w:t>en las cuales prevalece la coordinación, la negociación y los</w:t>
      </w:r>
      <w:r>
        <w:rPr>
          <w:spacing w:val="-38"/>
        </w:rPr>
        <w:t> </w:t>
      </w:r>
      <w:r>
        <w:rPr/>
        <w:t>compromisos</w:t>
      </w:r>
      <w:r>
        <w:rPr>
          <w:spacing w:val="-3"/>
        </w:rPr>
        <w:t> </w:t>
      </w:r>
      <w:r>
        <w:rPr/>
        <w:t>mutuos.</w:t>
      </w:r>
      <w:r>
        <w:rPr>
          <w:w w:val="100"/>
        </w:rPr>
        <w:t> </w:t>
      </w:r>
      <w:r>
        <w:rPr/>
        <w:t>Si bien la gobernanza es una propuesta innovadora, donde se</w:t>
      </w:r>
      <w:r>
        <w:rPr>
          <w:spacing w:val="34"/>
        </w:rPr>
        <w:t> </w:t>
      </w:r>
      <w:r>
        <w:rPr/>
        <w:t>prevé</w:t>
      </w:r>
      <w:r>
        <w:rPr>
          <w:spacing w:val="9"/>
        </w:rPr>
        <w:t> </w:t>
      </w:r>
      <w:r>
        <w:rPr/>
        <w:t>la</w:t>
      </w:r>
      <w:r>
        <w:rPr>
          <w:w w:val="99"/>
        </w:rPr>
        <w:t> </w:t>
      </w:r>
      <w:r>
        <w:rPr/>
        <w:t>participación del sector público y privado mediante redes,</w:t>
      </w:r>
      <w:r>
        <w:rPr>
          <w:position w:val="8"/>
          <w:sz w:val="16"/>
        </w:rPr>
        <w:t>8 </w:t>
      </w:r>
      <w:r>
        <w:rPr/>
        <w:t>se debe</w:t>
      </w:r>
      <w:r>
        <w:rPr>
          <w:spacing w:val="32"/>
        </w:rPr>
        <w:t> </w:t>
      </w:r>
      <w:r>
        <w:rPr/>
        <w:t>tener</w:t>
      </w:r>
      <w:r>
        <w:rPr>
          <w:spacing w:val="9"/>
        </w:rPr>
        <w:t> </w:t>
      </w:r>
      <w:r>
        <w:rPr/>
        <w:t>presente</w:t>
      </w:r>
      <w:r>
        <w:rPr>
          <w:w w:val="99"/>
        </w:rPr>
        <w:t> </w:t>
      </w:r>
      <w:r>
        <w:rPr/>
        <w:t>que pueden generarse nuevos problemas. Se considera que en</w:t>
      </w:r>
      <w:r>
        <w:rPr>
          <w:spacing w:val="44"/>
        </w:rPr>
        <w:t> </w:t>
      </w:r>
      <w:r>
        <w:rPr/>
        <w:t>Europa</w:t>
      </w:r>
      <w:r>
        <w:rPr>
          <w:spacing w:val="26"/>
        </w:rPr>
        <w:t> </w:t>
      </w:r>
      <w:r>
        <w:rPr/>
        <w:t>la</w:t>
      </w:r>
      <w:r>
        <w:rPr>
          <w:w w:val="99"/>
        </w:rPr>
        <w:t> </w:t>
      </w:r>
      <w:r>
        <w:rPr/>
        <w:t>democracia</w:t>
      </w:r>
      <w:r>
        <w:rPr>
          <w:spacing w:val="-12"/>
        </w:rPr>
        <w:t> </w:t>
      </w:r>
      <w:r>
        <w:rPr/>
        <w:t>participativa</w:t>
      </w:r>
      <w:r>
        <w:rPr>
          <w:spacing w:val="-12"/>
        </w:rPr>
        <w:t> </w:t>
      </w:r>
      <w:r>
        <w:rPr/>
        <w:t>es</w:t>
      </w:r>
      <w:r>
        <w:rPr>
          <w:spacing w:val="-10"/>
        </w:rPr>
        <w:t> </w:t>
      </w:r>
      <w:r>
        <w:rPr/>
        <w:t>más</w:t>
      </w:r>
      <w:r>
        <w:rPr>
          <w:spacing w:val="-10"/>
        </w:rPr>
        <w:t> </w:t>
      </w:r>
      <w:r>
        <w:rPr/>
        <w:t>dinámica,</w:t>
      </w:r>
      <w:r>
        <w:rPr>
          <w:spacing w:val="-10"/>
        </w:rPr>
        <w:t> </w:t>
      </w:r>
      <w:r>
        <w:rPr/>
        <w:t>lo</w:t>
      </w:r>
      <w:r>
        <w:rPr>
          <w:spacing w:val="-12"/>
        </w:rPr>
        <w:t> </w:t>
      </w:r>
      <w:r>
        <w:rPr/>
        <w:t>que</w:t>
      </w:r>
      <w:r>
        <w:rPr>
          <w:spacing w:val="-12"/>
        </w:rPr>
        <w:t> </w:t>
      </w:r>
      <w:r>
        <w:rPr/>
        <w:t>incide</w:t>
      </w:r>
      <w:r>
        <w:rPr>
          <w:spacing w:val="-12"/>
        </w:rPr>
        <w:t> </w:t>
      </w:r>
      <w:r>
        <w:rPr/>
        <w:t>en</w:t>
      </w:r>
      <w:r>
        <w:rPr>
          <w:spacing w:val="-12"/>
        </w:rPr>
        <w:t> </w:t>
      </w:r>
      <w:r>
        <w:rPr/>
        <w:t>un</w:t>
      </w:r>
      <w:r>
        <w:rPr>
          <w:spacing w:val="-9"/>
        </w:rPr>
        <w:t> </w:t>
      </w:r>
      <w:r>
        <w:rPr/>
        <w:t>mejor</w:t>
      </w:r>
      <w:r>
        <w:rPr>
          <w:spacing w:val="-10"/>
        </w:rPr>
        <w:t> </w:t>
      </w:r>
      <w:r>
        <w:rPr/>
        <w:t>desempeño</w:t>
      </w:r>
      <w:r>
        <w:rPr>
          <w:spacing w:val="-9"/>
        </w:rPr>
        <w:t> </w:t>
      </w:r>
      <w:r>
        <w:rPr/>
        <w:t>de</w:t>
      </w:r>
      <w:r>
        <w:rPr>
          <w:w w:val="99"/>
        </w:rPr>
        <w:t> </w:t>
      </w:r>
      <w:r>
        <w:rPr/>
        <w:t>la gobernanza y una mejor coordinación de las redes (relación entre sector</w:t>
      </w:r>
      <w:r>
        <w:rPr>
          <w:spacing w:val="5"/>
        </w:rPr>
        <w:t> </w:t>
      </w:r>
      <w:r>
        <w:rPr/>
        <w:t>público</w:t>
      </w:r>
      <w:r>
        <w:rPr>
          <w:w w:val="99"/>
        </w:rPr>
        <w:t> </w:t>
      </w:r>
      <w:r>
        <w:rPr/>
        <w:t>y privado) para el diseño de políticas; no obstante, la Comisión</w:t>
      </w:r>
      <w:r>
        <w:rPr>
          <w:spacing w:val="65"/>
        </w:rPr>
        <w:t> </w:t>
      </w:r>
      <w:r>
        <w:rPr/>
        <w:t>Europea</w:t>
      </w:r>
      <w:r>
        <w:rPr>
          <w:spacing w:val="20"/>
        </w:rPr>
        <w:t> </w:t>
      </w:r>
      <w:r>
        <w:rPr/>
        <w:t>advierte</w:t>
      </w:r>
      <w:r>
        <w:rPr>
          <w:w w:val="99"/>
        </w:rPr>
        <w:t> </w:t>
      </w:r>
      <w:r>
        <w:rPr/>
        <w:t>que pueden presentarse factores negativos, ya que no</w:t>
      </w:r>
      <w:r>
        <w:rPr>
          <w:spacing w:val="60"/>
        </w:rPr>
        <w:t> </w:t>
      </w:r>
      <w:r>
        <w:rPr/>
        <w:t>necesariamente</w:t>
      </w:r>
      <w:r>
        <w:rPr>
          <w:spacing w:val="40"/>
        </w:rPr>
        <w:t> </w:t>
      </w:r>
      <w:r>
        <w:rPr/>
        <w:t>la</w:t>
      </w:r>
      <w:r>
        <w:rPr>
          <w:w w:val="99"/>
        </w:rPr>
        <w:t> </w:t>
      </w:r>
      <w:r>
        <w:rPr/>
        <w:t>gobernanza se refleja en políticas más eficientes, porque puede</w:t>
      </w:r>
      <w:r>
        <w:rPr>
          <w:spacing w:val="40"/>
        </w:rPr>
        <w:t> </w:t>
      </w:r>
      <w:r>
        <w:rPr/>
        <w:t>haber</w:t>
      </w:r>
      <w:r>
        <w:rPr>
          <w:spacing w:val="12"/>
        </w:rPr>
        <w:t> </w:t>
      </w:r>
      <w:r>
        <w:rPr/>
        <w:t>demandas encontradas, porque las redes no implican necesariamente la  </w:t>
      </w:r>
      <w:r>
        <w:rPr>
          <w:spacing w:val="35"/>
        </w:rPr>
        <w:t> </w:t>
      </w:r>
      <w:r>
        <w:rPr/>
        <w:t>corresponsabilidad</w:t>
      </w:r>
    </w:p>
    <w:p>
      <w:pPr>
        <w:pStyle w:val="BodyText"/>
        <w:spacing w:before="2"/>
        <w:ind w:left="120"/>
      </w:pPr>
      <w:r>
        <w:rPr/>
        <w:t>de acciones.</w:t>
      </w:r>
    </w:p>
    <w:p>
      <w:pPr>
        <w:pStyle w:val="BodyText"/>
        <w:spacing w:line="360" w:lineRule="auto" w:before="140"/>
        <w:ind w:left="120" w:right="122" w:firstLine="427"/>
        <w:jc w:val="both"/>
      </w:pPr>
      <w:r>
        <w:rPr/>
        <w:t>El origen del enfoque de la gobernanza ha sido estudiado ampliamente. Luis Aguilar</w:t>
      </w:r>
      <w:r>
        <w:rPr>
          <w:spacing w:val="-4"/>
        </w:rPr>
        <w:t> </w:t>
      </w:r>
      <w:r>
        <w:rPr/>
        <w:t>consideró</w:t>
      </w:r>
      <w:r>
        <w:rPr>
          <w:spacing w:val="-5"/>
        </w:rPr>
        <w:t> </w:t>
      </w:r>
      <w:r>
        <w:rPr/>
        <w:t>que</w:t>
      </w:r>
      <w:r>
        <w:rPr>
          <w:spacing w:val="-5"/>
        </w:rPr>
        <w:t> </w:t>
      </w:r>
      <w:r>
        <w:rPr/>
        <w:t>la</w:t>
      </w:r>
      <w:r>
        <w:rPr>
          <w:spacing w:val="-5"/>
        </w:rPr>
        <w:t> </w:t>
      </w:r>
      <w:r>
        <w:rPr/>
        <w:t>Sociología</w:t>
      </w:r>
      <w:r>
        <w:rPr>
          <w:spacing w:val="-5"/>
        </w:rPr>
        <w:t> </w:t>
      </w:r>
      <w:r>
        <w:rPr/>
        <w:t>de</w:t>
      </w:r>
      <w:r>
        <w:rPr>
          <w:spacing w:val="-2"/>
        </w:rPr>
        <w:t> </w:t>
      </w:r>
      <w:r>
        <w:rPr/>
        <w:t>las</w:t>
      </w:r>
      <w:r>
        <w:rPr>
          <w:spacing w:val="-4"/>
        </w:rPr>
        <w:t> </w:t>
      </w:r>
      <w:r>
        <w:rPr/>
        <w:t>Organizaciones,</w:t>
      </w:r>
      <w:r>
        <w:rPr>
          <w:spacing w:val="-4"/>
        </w:rPr>
        <w:t> </w:t>
      </w:r>
      <w:r>
        <w:rPr/>
        <w:t>la</w:t>
      </w:r>
      <w:r>
        <w:rPr>
          <w:spacing w:val="-5"/>
        </w:rPr>
        <w:t> </w:t>
      </w:r>
      <w:r>
        <w:rPr/>
        <w:t>Teoría</w:t>
      </w:r>
      <w:r>
        <w:rPr>
          <w:spacing w:val="-5"/>
        </w:rPr>
        <w:t> </w:t>
      </w:r>
      <w:r>
        <w:rPr/>
        <w:t>de</w:t>
      </w:r>
      <w:r>
        <w:rPr>
          <w:spacing w:val="-5"/>
        </w:rPr>
        <w:t> </w:t>
      </w:r>
      <w:r>
        <w:rPr/>
        <w:t>la</w:t>
      </w:r>
      <w:r>
        <w:rPr>
          <w:spacing w:val="-5"/>
        </w:rPr>
        <w:t> </w:t>
      </w:r>
      <w:r>
        <w:rPr/>
        <w:t>Elección Racional, el Neo institucionalismo y la Nueva Administración Pública han sido las formas de organización del Estado que han explicado los cambios sociales y económicos que dieron origen a la gobernanza (Aguilar, 2010: 31 y</w:t>
      </w:r>
      <w:r>
        <w:rPr>
          <w:spacing w:val="-35"/>
        </w:rPr>
        <w:t> </w:t>
      </w:r>
      <w:r>
        <w:rPr/>
        <w:t>32).</w:t>
      </w:r>
    </w:p>
    <w:p>
      <w:pPr>
        <w:pStyle w:val="BodyText"/>
        <w:spacing w:before="1"/>
        <w:rPr>
          <w:sz w:val="18"/>
        </w:rPr>
      </w:pPr>
      <w:r>
        <w:rPr/>
        <w:pict>
          <v:line style="position:absolute;mso-position-horizontal-relative:page;mso-position-vertical-relative:paragraph;z-index:2080;mso-wrap-distance-left:0;mso-wrap-distance-right:0" from="85.025002pt,12.748914pt" to="229.075002pt,12.748914pt" stroked="true" strokeweight=".79999pt" strokecolor="#000000">
            <w10:wrap type="topAndBottom"/>
          </v:line>
        </w:pict>
      </w:r>
    </w:p>
    <w:p>
      <w:pPr>
        <w:spacing w:before="59"/>
        <w:ind w:left="120" w:right="0" w:firstLine="0"/>
        <w:jc w:val="left"/>
        <w:rPr>
          <w:sz w:val="16"/>
        </w:rPr>
      </w:pPr>
      <w:r>
        <w:rPr>
          <w:rFonts w:ascii="Times New Roman" w:hAnsi="Times New Roman"/>
          <w:position w:val="7"/>
          <w:sz w:val="13"/>
        </w:rPr>
        <w:t>8</w:t>
      </w:r>
      <w:r>
        <w:rPr>
          <w:sz w:val="16"/>
        </w:rPr>
        <w:t>Es probable que las acciones del Estado sean más efectivas si se involucra a la sociedad, el sector público y el privado.</w:t>
      </w:r>
    </w:p>
    <w:p>
      <w:pPr>
        <w:spacing w:after="0"/>
        <w:jc w:val="left"/>
        <w:rPr>
          <w:sz w:val="16"/>
        </w:rPr>
        <w:sectPr>
          <w:pgSz w:w="12240" w:h="15840"/>
          <w:pgMar w:header="0" w:footer="998" w:top="1500" w:bottom="1180" w:left="1580" w:right="1580"/>
        </w:sectPr>
      </w:pPr>
    </w:p>
    <w:p>
      <w:pPr>
        <w:pStyle w:val="BodyText"/>
        <w:spacing w:line="360" w:lineRule="auto" w:before="55"/>
        <w:ind w:left="100" w:right="98" w:firstLine="427"/>
        <w:jc w:val="both"/>
      </w:pPr>
      <w:r>
        <w:rPr/>
        <w:t>Guy</w:t>
      </w:r>
      <w:r>
        <w:rPr>
          <w:spacing w:val="-13"/>
        </w:rPr>
        <w:t> </w:t>
      </w:r>
      <w:r>
        <w:rPr/>
        <w:t>Peters</w:t>
      </w:r>
      <w:r>
        <w:rPr>
          <w:spacing w:val="-7"/>
        </w:rPr>
        <w:t> </w:t>
      </w:r>
      <w:r>
        <w:rPr/>
        <w:t>destacó</w:t>
      </w:r>
      <w:r>
        <w:rPr>
          <w:spacing w:val="-9"/>
        </w:rPr>
        <w:t> </w:t>
      </w:r>
      <w:r>
        <w:rPr/>
        <w:t>que</w:t>
      </w:r>
      <w:r>
        <w:rPr>
          <w:spacing w:val="-9"/>
        </w:rPr>
        <w:t> </w:t>
      </w:r>
      <w:r>
        <w:rPr/>
        <w:t>la</w:t>
      </w:r>
      <w:r>
        <w:rPr>
          <w:spacing w:val="-13"/>
        </w:rPr>
        <w:t> </w:t>
      </w:r>
      <w:r>
        <w:rPr/>
        <w:t>Nueva</w:t>
      </w:r>
      <w:r>
        <w:rPr>
          <w:spacing w:val="-13"/>
        </w:rPr>
        <w:t> </w:t>
      </w:r>
      <w:r>
        <w:rPr/>
        <w:t>Administración</w:t>
      </w:r>
      <w:r>
        <w:rPr>
          <w:spacing w:val="-13"/>
        </w:rPr>
        <w:t> </w:t>
      </w:r>
      <w:r>
        <w:rPr/>
        <w:t>Pública</w:t>
      </w:r>
      <w:r>
        <w:rPr>
          <w:spacing w:val="-13"/>
        </w:rPr>
        <w:t> </w:t>
      </w:r>
      <w:r>
        <w:rPr/>
        <w:t>es</w:t>
      </w:r>
      <w:r>
        <w:rPr>
          <w:spacing w:val="-11"/>
        </w:rPr>
        <w:t> </w:t>
      </w:r>
      <w:r>
        <w:rPr/>
        <w:t>la</w:t>
      </w:r>
      <w:r>
        <w:rPr>
          <w:spacing w:val="-13"/>
        </w:rPr>
        <w:t> </w:t>
      </w:r>
      <w:r>
        <w:rPr/>
        <w:t>antecesora</w:t>
      </w:r>
      <w:r>
        <w:rPr>
          <w:spacing w:val="-9"/>
        </w:rPr>
        <w:t> </w:t>
      </w:r>
      <w:r>
        <w:rPr/>
        <w:t>de</w:t>
      </w:r>
      <w:r>
        <w:rPr>
          <w:spacing w:val="-13"/>
        </w:rPr>
        <w:t> </w:t>
      </w:r>
      <w:r>
        <w:rPr/>
        <w:t>la teoría de la gobernanza (Peters, 1994) y más remotamente, el enfoque de Administración Pública</w:t>
      </w:r>
      <w:r>
        <w:rPr>
          <w:spacing w:val="-22"/>
        </w:rPr>
        <w:t> </w:t>
      </w:r>
      <w:r>
        <w:rPr/>
        <w:t>Tradicional.</w:t>
      </w:r>
    </w:p>
    <w:p>
      <w:pPr>
        <w:pStyle w:val="BodyText"/>
        <w:spacing w:line="360" w:lineRule="auto" w:before="6"/>
        <w:ind w:left="100" w:right="99" w:firstLine="427"/>
        <w:jc w:val="both"/>
      </w:pPr>
      <w:r>
        <w:rPr/>
        <w:t>Los dos enfoques comparten muchas semejanzas con la teoría de la gobernanza;</w:t>
      </w:r>
      <w:r>
        <w:rPr>
          <w:spacing w:val="-9"/>
        </w:rPr>
        <w:t> </w:t>
      </w:r>
      <w:r>
        <w:rPr/>
        <w:t>ésta</w:t>
      </w:r>
      <w:r>
        <w:rPr>
          <w:spacing w:val="-9"/>
        </w:rPr>
        <w:t> </w:t>
      </w:r>
      <w:r>
        <w:rPr/>
        <w:t>última,</w:t>
      </w:r>
      <w:r>
        <w:rPr>
          <w:spacing w:val="-9"/>
        </w:rPr>
        <w:t> </w:t>
      </w:r>
      <w:r>
        <w:rPr/>
        <w:t>de</w:t>
      </w:r>
      <w:r>
        <w:rPr>
          <w:spacing w:val="-12"/>
        </w:rPr>
        <w:t> </w:t>
      </w:r>
      <w:r>
        <w:rPr/>
        <w:t>acuerdo</w:t>
      </w:r>
      <w:r>
        <w:rPr>
          <w:spacing w:val="-12"/>
        </w:rPr>
        <w:t> </w:t>
      </w:r>
      <w:r>
        <w:rPr/>
        <w:t>con</w:t>
      </w:r>
      <w:r>
        <w:rPr>
          <w:spacing w:val="-12"/>
        </w:rPr>
        <w:t> </w:t>
      </w:r>
      <w:r>
        <w:rPr/>
        <w:t>Peters,</w:t>
      </w:r>
      <w:r>
        <w:rPr>
          <w:spacing w:val="-9"/>
        </w:rPr>
        <w:t> </w:t>
      </w:r>
      <w:r>
        <w:rPr/>
        <w:t>es</w:t>
      </w:r>
      <w:r>
        <w:rPr>
          <w:spacing w:val="-7"/>
        </w:rPr>
        <w:t> </w:t>
      </w:r>
      <w:r>
        <w:rPr/>
        <w:t>la</w:t>
      </w:r>
      <w:r>
        <w:rPr>
          <w:spacing w:val="-9"/>
        </w:rPr>
        <w:t> </w:t>
      </w:r>
      <w:r>
        <w:rPr/>
        <w:t>que</w:t>
      </w:r>
      <w:r>
        <w:rPr>
          <w:spacing w:val="-12"/>
        </w:rPr>
        <w:t> </w:t>
      </w:r>
      <w:r>
        <w:rPr/>
        <w:t>presenta</w:t>
      </w:r>
      <w:r>
        <w:rPr>
          <w:spacing w:val="-9"/>
        </w:rPr>
        <w:t> </w:t>
      </w:r>
      <w:r>
        <w:rPr/>
        <w:t>más</w:t>
      </w:r>
      <w:r>
        <w:rPr>
          <w:spacing w:val="-10"/>
        </w:rPr>
        <w:t> </w:t>
      </w:r>
      <w:r>
        <w:rPr/>
        <w:t>elementos para una mejor rendición de cuentas del Estado. De acuerdo con Guy Peters, las características de los tres enfoques de acción pública y su incidencia en la política, el Estado y en la rendición de cuentas son las</w:t>
      </w:r>
      <w:r>
        <w:rPr>
          <w:spacing w:val="-24"/>
        </w:rPr>
        <w:t> </w:t>
      </w:r>
      <w:r>
        <w:rPr/>
        <w:t>siguientes:</w:t>
      </w:r>
    </w:p>
    <w:p>
      <w:pPr>
        <w:pStyle w:val="BodyText"/>
      </w:pPr>
    </w:p>
    <w:p>
      <w:pPr>
        <w:spacing w:before="156"/>
        <w:ind w:left="2393" w:right="0" w:firstLine="0"/>
        <w:jc w:val="left"/>
        <w:rPr>
          <w:sz w:val="20"/>
        </w:rPr>
      </w:pPr>
      <w:bookmarkStart w:name="_bookmark5" w:id="7"/>
      <w:bookmarkEnd w:id="7"/>
      <w:r>
        <w:rPr/>
      </w:r>
      <w:r>
        <w:rPr>
          <w:sz w:val="20"/>
        </w:rPr>
        <w:t>Cuadro 1.2. Características de la acción pública</w:t>
      </w:r>
    </w:p>
    <w:p>
      <w:pPr>
        <w:pStyle w:val="BodyText"/>
        <w:spacing w:before="5" w:after="1"/>
        <w:rPr>
          <w:sz w:val="17"/>
        </w:rPr>
      </w:pPr>
    </w:p>
    <w:tbl>
      <w:tblPr>
        <w:tblW w:w="0" w:type="auto"/>
        <w:jc w:val="left"/>
        <w:tblInd w:w="210" w:type="dxa"/>
        <w:tblBorders>
          <w:top w:val="single" w:sz="11" w:space="0" w:color="808080"/>
          <w:left w:val="single" w:sz="11" w:space="0" w:color="808080"/>
          <w:bottom w:val="single" w:sz="11" w:space="0" w:color="808080"/>
          <w:right w:val="single" w:sz="11" w:space="0" w:color="808080"/>
          <w:insideH w:val="single" w:sz="11" w:space="0" w:color="808080"/>
          <w:insideV w:val="single" w:sz="11" w:space="0" w:color="808080"/>
        </w:tblBorders>
        <w:tblLayout w:type="fixed"/>
        <w:tblCellMar>
          <w:top w:w="0" w:type="dxa"/>
          <w:left w:w="0" w:type="dxa"/>
          <w:bottom w:w="0" w:type="dxa"/>
          <w:right w:w="0" w:type="dxa"/>
        </w:tblCellMar>
        <w:tblLook w:val="01E0"/>
      </w:tblPr>
      <w:tblGrid>
        <w:gridCol w:w="892"/>
        <w:gridCol w:w="2657"/>
        <w:gridCol w:w="2761"/>
        <w:gridCol w:w="2197"/>
      </w:tblGrid>
      <w:tr>
        <w:trPr>
          <w:trHeight w:val="800" w:hRule="exact"/>
        </w:trPr>
        <w:tc>
          <w:tcPr>
            <w:tcW w:w="892" w:type="dxa"/>
          </w:tcPr>
          <w:p>
            <w:pPr/>
          </w:p>
        </w:tc>
        <w:tc>
          <w:tcPr>
            <w:tcW w:w="2657" w:type="dxa"/>
          </w:tcPr>
          <w:p>
            <w:pPr>
              <w:pStyle w:val="TableParagraph"/>
              <w:rPr>
                <w:sz w:val="14"/>
              </w:rPr>
            </w:pPr>
          </w:p>
          <w:p>
            <w:pPr>
              <w:pStyle w:val="TableParagraph"/>
              <w:spacing w:before="1"/>
              <w:rPr>
                <w:sz w:val="19"/>
              </w:rPr>
            </w:pPr>
          </w:p>
          <w:p>
            <w:pPr>
              <w:pStyle w:val="TableParagraph"/>
              <w:ind w:left="142"/>
              <w:rPr>
                <w:b/>
                <w:sz w:val="14"/>
              </w:rPr>
            </w:pPr>
            <w:r>
              <w:rPr>
                <w:b/>
                <w:sz w:val="14"/>
              </w:rPr>
              <w:t>Administración Pública Tradicional</w:t>
            </w:r>
          </w:p>
        </w:tc>
        <w:tc>
          <w:tcPr>
            <w:tcW w:w="2761" w:type="dxa"/>
          </w:tcPr>
          <w:p>
            <w:pPr>
              <w:pStyle w:val="TableParagraph"/>
              <w:rPr>
                <w:sz w:val="14"/>
              </w:rPr>
            </w:pPr>
          </w:p>
          <w:p>
            <w:pPr>
              <w:pStyle w:val="TableParagraph"/>
              <w:spacing w:before="1"/>
              <w:rPr>
                <w:sz w:val="19"/>
              </w:rPr>
            </w:pPr>
          </w:p>
          <w:p>
            <w:pPr>
              <w:pStyle w:val="TableParagraph"/>
              <w:ind w:left="358"/>
              <w:rPr>
                <w:b/>
                <w:sz w:val="14"/>
              </w:rPr>
            </w:pPr>
            <w:r>
              <w:rPr>
                <w:b/>
                <w:sz w:val="14"/>
              </w:rPr>
              <w:t>Nueva Administración Pública</w:t>
            </w:r>
          </w:p>
        </w:tc>
        <w:tc>
          <w:tcPr>
            <w:tcW w:w="2197" w:type="dxa"/>
          </w:tcPr>
          <w:p>
            <w:pPr>
              <w:pStyle w:val="TableParagraph"/>
              <w:rPr>
                <w:sz w:val="14"/>
              </w:rPr>
            </w:pPr>
          </w:p>
          <w:p>
            <w:pPr>
              <w:pStyle w:val="TableParagraph"/>
              <w:spacing w:before="1"/>
              <w:rPr>
                <w:sz w:val="19"/>
              </w:rPr>
            </w:pPr>
          </w:p>
          <w:p>
            <w:pPr>
              <w:pStyle w:val="TableParagraph"/>
              <w:ind w:left="678"/>
              <w:rPr>
                <w:b/>
                <w:sz w:val="14"/>
              </w:rPr>
            </w:pPr>
            <w:r>
              <w:rPr>
                <w:b/>
                <w:sz w:val="14"/>
              </w:rPr>
              <w:t>Gobernanza</w:t>
            </w:r>
          </w:p>
        </w:tc>
      </w:tr>
      <w:tr>
        <w:trPr>
          <w:trHeight w:val="2833" w:hRule="exact"/>
        </w:trPr>
        <w:tc>
          <w:tcPr>
            <w:tcW w:w="892"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spacing w:before="8"/>
              <w:rPr>
                <w:sz w:val="13"/>
              </w:rPr>
            </w:pPr>
          </w:p>
          <w:p>
            <w:pPr>
              <w:pStyle w:val="TableParagraph"/>
              <w:ind w:left="103"/>
              <w:rPr>
                <w:b/>
                <w:sz w:val="14"/>
              </w:rPr>
            </w:pPr>
            <w:r>
              <w:rPr>
                <w:b/>
                <w:sz w:val="14"/>
              </w:rPr>
              <w:t>Política</w:t>
            </w:r>
          </w:p>
        </w:tc>
        <w:tc>
          <w:tcPr>
            <w:tcW w:w="2657" w:type="dxa"/>
            <w:tcBorders>
              <w:left w:val="single" w:sz="3" w:space="0" w:color="000000"/>
              <w:right w:val="single" w:sz="3" w:space="0" w:color="000000"/>
            </w:tcBorders>
          </w:tcPr>
          <w:p>
            <w:pPr>
              <w:pStyle w:val="TableParagraph"/>
              <w:rPr>
                <w:sz w:val="16"/>
              </w:rPr>
            </w:pPr>
          </w:p>
          <w:p>
            <w:pPr>
              <w:pStyle w:val="TableParagraph"/>
              <w:numPr>
                <w:ilvl w:val="0"/>
                <w:numId w:val="9"/>
              </w:numPr>
              <w:tabs>
                <w:tab w:pos="420" w:val="left" w:leader="none"/>
              </w:tabs>
              <w:spacing w:line="278" w:lineRule="auto" w:before="0" w:after="0"/>
              <w:ind w:left="420" w:right="238" w:hanging="316"/>
              <w:jc w:val="left"/>
              <w:rPr>
                <w:sz w:val="14"/>
              </w:rPr>
            </w:pPr>
            <w:r>
              <w:rPr>
                <w:sz w:val="14"/>
              </w:rPr>
              <w:t>Politización de la</w:t>
            </w:r>
            <w:r>
              <w:rPr>
                <w:spacing w:val="-18"/>
                <w:sz w:val="14"/>
              </w:rPr>
              <w:t> </w:t>
            </w:r>
            <w:r>
              <w:rPr>
                <w:sz w:val="14"/>
              </w:rPr>
              <w:t>administración pública mediante el sistema burocrático</w:t>
            </w:r>
            <w:r>
              <w:rPr>
                <w:spacing w:val="-14"/>
                <w:sz w:val="14"/>
              </w:rPr>
              <w:t> </w:t>
            </w:r>
            <w:r>
              <w:rPr>
                <w:sz w:val="14"/>
              </w:rPr>
              <w:t>(dirigentes).</w:t>
            </w:r>
          </w:p>
          <w:p>
            <w:pPr>
              <w:pStyle w:val="TableParagraph"/>
              <w:numPr>
                <w:ilvl w:val="0"/>
                <w:numId w:val="9"/>
              </w:numPr>
              <w:tabs>
                <w:tab w:pos="420" w:val="left" w:leader="none"/>
              </w:tabs>
              <w:spacing w:line="240" w:lineRule="auto" w:before="0" w:after="0"/>
              <w:ind w:left="420" w:right="318" w:hanging="316"/>
              <w:jc w:val="left"/>
              <w:rPr>
                <w:sz w:val="14"/>
              </w:rPr>
            </w:pPr>
            <w:r>
              <w:rPr>
                <w:sz w:val="14"/>
              </w:rPr>
              <w:t>La despolitización del</w:t>
            </w:r>
            <w:r>
              <w:rPr>
                <w:spacing w:val="-20"/>
                <w:sz w:val="14"/>
              </w:rPr>
              <w:t> </w:t>
            </w:r>
            <w:r>
              <w:rPr>
                <w:sz w:val="14"/>
              </w:rPr>
              <w:t>personal gubernamental mediante el servicio profesional de carrera (SPC)</w:t>
            </w:r>
          </w:p>
          <w:p>
            <w:pPr>
              <w:pStyle w:val="TableParagraph"/>
              <w:numPr>
                <w:ilvl w:val="0"/>
                <w:numId w:val="9"/>
              </w:numPr>
              <w:tabs>
                <w:tab w:pos="459" w:val="left" w:leader="none"/>
                <w:tab w:pos="460" w:val="left" w:leader="none"/>
              </w:tabs>
              <w:spacing w:line="240" w:lineRule="auto" w:before="0" w:after="0"/>
              <w:ind w:left="420" w:right="202" w:hanging="316"/>
              <w:jc w:val="left"/>
              <w:rPr>
                <w:sz w:val="14"/>
              </w:rPr>
            </w:pPr>
            <w:r>
              <w:rPr>
                <w:sz w:val="14"/>
              </w:rPr>
              <w:t>Control de empleados mediante leyes, reglamentos y</w:t>
            </w:r>
            <w:r>
              <w:rPr>
                <w:spacing w:val="-21"/>
                <w:sz w:val="14"/>
              </w:rPr>
              <w:t> </w:t>
            </w:r>
            <w:r>
              <w:rPr>
                <w:sz w:val="14"/>
              </w:rPr>
              <w:t>normativa.</w:t>
            </w:r>
          </w:p>
        </w:tc>
        <w:tc>
          <w:tcPr>
            <w:tcW w:w="2761" w:type="dxa"/>
            <w:tcBorders>
              <w:left w:val="single" w:sz="3" w:space="0" w:color="000000"/>
              <w:right w:val="single" w:sz="3" w:space="0" w:color="000000"/>
            </w:tcBorders>
          </w:tcPr>
          <w:p>
            <w:pPr>
              <w:pStyle w:val="TableParagraph"/>
              <w:spacing w:before="11"/>
              <w:rPr>
                <w:sz w:val="13"/>
              </w:rPr>
            </w:pPr>
          </w:p>
          <w:p>
            <w:pPr>
              <w:pStyle w:val="TableParagraph"/>
              <w:numPr>
                <w:ilvl w:val="0"/>
                <w:numId w:val="10"/>
              </w:numPr>
              <w:tabs>
                <w:tab w:pos="397" w:val="left" w:leader="none"/>
              </w:tabs>
              <w:spacing w:line="240" w:lineRule="auto" w:before="0" w:after="0"/>
              <w:ind w:left="396" w:right="266" w:hanging="292"/>
              <w:jc w:val="both"/>
              <w:rPr>
                <w:sz w:val="14"/>
              </w:rPr>
            </w:pPr>
            <w:r>
              <w:rPr>
                <w:sz w:val="14"/>
              </w:rPr>
              <w:t>Mayor libertad de designación</w:t>
            </w:r>
            <w:r>
              <w:rPr>
                <w:spacing w:val="-19"/>
                <w:sz w:val="14"/>
              </w:rPr>
              <w:t> </w:t>
            </w:r>
            <w:r>
              <w:rPr>
                <w:sz w:val="14"/>
              </w:rPr>
              <w:t>del personal (politización de la fuerza laboral).</w:t>
            </w:r>
          </w:p>
          <w:p>
            <w:pPr>
              <w:pStyle w:val="TableParagraph"/>
              <w:numPr>
                <w:ilvl w:val="0"/>
                <w:numId w:val="10"/>
              </w:numPr>
              <w:tabs>
                <w:tab w:pos="397" w:val="left" w:leader="none"/>
              </w:tabs>
              <w:spacing w:line="240" w:lineRule="auto" w:before="3" w:after="0"/>
              <w:ind w:left="396" w:right="213" w:hanging="292"/>
              <w:jc w:val="left"/>
              <w:rPr>
                <w:sz w:val="14"/>
              </w:rPr>
            </w:pPr>
            <w:r>
              <w:rPr>
                <w:sz w:val="14"/>
              </w:rPr>
              <w:t>Dirección clara de las políticas públicas, lo que hace que la rendición de cuentas tenga un carácter más interno y</w:t>
            </w:r>
            <w:r>
              <w:rPr>
                <w:spacing w:val="-21"/>
                <w:sz w:val="14"/>
              </w:rPr>
              <w:t> </w:t>
            </w:r>
            <w:r>
              <w:rPr>
                <w:sz w:val="14"/>
              </w:rPr>
              <w:t>profesional.</w:t>
            </w:r>
          </w:p>
          <w:p>
            <w:pPr>
              <w:pStyle w:val="TableParagraph"/>
              <w:numPr>
                <w:ilvl w:val="0"/>
                <w:numId w:val="10"/>
              </w:numPr>
              <w:tabs>
                <w:tab w:pos="397" w:val="left" w:leader="none"/>
              </w:tabs>
              <w:spacing w:line="240" w:lineRule="auto" w:before="3" w:after="0"/>
              <w:ind w:left="396" w:right="159" w:hanging="292"/>
              <w:jc w:val="left"/>
              <w:rPr>
                <w:sz w:val="14"/>
              </w:rPr>
            </w:pPr>
            <w:r>
              <w:rPr>
                <w:sz w:val="14"/>
              </w:rPr>
              <w:t>Se institucionaliza el papel del administrador público como político (en el diseño de políticas</w:t>
            </w:r>
            <w:r>
              <w:rPr>
                <w:spacing w:val="-22"/>
                <w:sz w:val="14"/>
              </w:rPr>
              <w:t> </w:t>
            </w:r>
            <w:r>
              <w:rPr>
                <w:sz w:val="14"/>
              </w:rPr>
              <w:t>públicas).</w:t>
            </w:r>
          </w:p>
          <w:p>
            <w:pPr>
              <w:pStyle w:val="TableParagraph"/>
              <w:numPr>
                <w:ilvl w:val="0"/>
                <w:numId w:val="10"/>
              </w:numPr>
              <w:tabs>
                <w:tab w:pos="397" w:val="left" w:leader="none"/>
              </w:tabs>
              <w:spacing w:line="242" w:lineRule="auto" w:before="0" w:after="0"/>
              <w:ind w:left="396" w:right="155" w:hanging="292"/>
              <w:jc w:val="left"/>
              <w:rPr>
                <w:sz w:val="14"/>
              </w:rPr>
            </w:pPr>
            <w:r>
              <w:rPr>
                <w:sz w:val="14"/>
              </w:rPr>
              <w:t>Liberar a los administradores y las instituciones públicas del control</w:t>
            </w:r>
            <w:r>
              <w:rPr>
                <w:spacing w:val="-21"/>
                <w:sz w:val="14"/>
              </w:rPr>
              <w:t> </w:t>
            </w:r>
            <w:r>
              <w:rPr>
                <w:sz w:val="14"/>
              </w:rPr>
              <w:t>de los líderes</w:t>
            </w:r>
            <w:r>
              <w:rPr>
                <w:spacing w:val="-18"/>
                <w:sz w:val="14"/>
              </w:rPr>
              <w:t> </w:t>
            </w:r>
            <w:r>
              <w:rPr>
                <w:sz w:val="14"/>
              </w:rPr>
              <w:t>políticos.</w:t>
            </w:r>
          </w:p>
        </w:tc>
        <w:tc>
          <w:tcPr>
            <w:tcW w:w="2197" w:type="dxa"/>
            <w:tcBorders>
              <w:left w:val="single" w:sz="3" w:space="0" w:color="000000"/>
              <w:right w:val="single" w:sz="3" w:space="0" w:color="000000"/>
            </w:tcBorders>
          </w:tcPr>
          <w:p>
            <w:pPr>
              <w:pStyle w:val="TableParagraph"/>
              <w:spacing w:before="11"/>
              <w:rPr>
                <w:sz w:val="13"/>
              </w:rPr>
            </w:pPr>
          </w:p>
          <w:p>
            <w:pPr>
              <w:pStyle w:val="TableParagraph"/>
              <w:numPr>
                <w:ilvl w:val="0"/>
                <w:numId w:val="11"/>
              </w:numPr>
              <w:tabs>
                <w:tab w:pos="352" w:val="left" w:leader="none"/>
              </w:tabs>
              <w:spacing w:line="240" w:lineRule="auto" w:before="0" w:after="0"/>
              <w:ind w:left="352" w:right="126" w:hanging="280"/>
              <w:jc w:val="left"/>
              <w:rPr>
                <w:sz w:val="14"/>
              </w:rPr>
            </w:pPr>
            <w:r>
              <w:rPr>
                <w:sz w:val="14"/>
              </w:rPr>
              <w:t>Análisis de las propuestas de actores no gubernamentales para el diseño de políticas</w:t>
            </w:r>
            <w:r>
              <w:rPr>
                <w:spacing w:val="-18"/>
                <w:sz w:val="14"/>
              </w:rPr>
              <w:t> </w:t>
            </w:r>
            <w:r>
              <w:rPr>
                <w:sz w:val="14"/>
              </w:rPr>
              <w:t>públicas (despolitización).</w:t>
            </w:r>
          </w:p>
          <w:p>
            <w:pPr>
              <w:pStyle w:val="TableParagraph"/>
              <w:numPr>
                <w:ilvl w:val="0"/>
                <w:numId w:val="11"/>
              </w:numPr>
              <w:tabs>
                <w:tab w:pos="297" w:val="left" w:leader="none"/>
              </w:tabs>
              <w:spacing w:line="240" w:lineRule="auto" w:before="0" w:after="0"/>
              <w:ind w:left="296" w:right="187" w:hanging="192"/>
              <w:jc w:val="left"/>
              <w:rPr>
                <w:sz w:val="14"/>
              </w:rPr>
            </w:pPr>
            <w:r>
              <w:rPr>
                <w:sz w:val="14"/>
              </w:rPr>
              <w:t>Se faculta de toma de decisiones a los niveles inferiores del sector</w:t>
            </w:r>
            <w:r>
              <w:rPr>
                <w:spacing w:val="-13"/>
                <w:sz w:val="14"/>
              </w:rPr>
              <w:t> </w:t>
            </w:r>
            <w:r>
              <w:rPr>
                <w:sz w:val="14"/>
              </w:rPr>
              <w:t>público y a los clientes de las organizaciones.</w:t>
            </w:r>
          </w:p>
          <w:p>
            <w:pPr>
              <w:pStyle w:val="TableParagraph"/>
              <w:numPr>
                <w:ilvl w:val="0"/>
                <w:numId w:val="11"/>
              </w:numPr>
              <w:tabs>
                <w:tab w:pos="337" w:val="left" w:leader="none"/>
              </w:tabs>
              <w:spacing w:line="244" w:lineRule="auto" w:before="0" w:after="0"/>
              <w:ind w:left="296" w:right="183" w:hanging="192"/>
              <w:jc w:val="left"/>
              <w:rPr>
                <w:sz w:val="14"/>
              </w:rPr>
            </w:pPr>
            <w:r>
              <w:rPr>
                <w:sz w:val="14"/>
              </w:rPr>
              <w:t>Las decisiones </w:t>
            </w:r>
            <w:r>
              <w:rPr>
                <w:spacing w:val="2"/>
                <w:sz w:val="14"/>
              </w:rPr>
              <w:t>se</w:t>
            </w:r>
            <w:r>
              <w:rPr>
                <w:spacing w:val="-22"/>
                <w:sz w:val="14"/>
              </w:rPr>
              <w:t> </w:t>
            </w:r>
            <w:r>
              <w:rPr>
                <w:sz w:val="14"/>
              </w:rPr>
              <w:t>discuten y negocian</w:t>
            </w:r>
            <w:r>
              <w:rPr>
                <w:spacing w:val="-17"/>
                <w:sz w:val="14"/>
              </w:rPr>
              <w:t> </w:t>
            </w:r>
            <w:r>
              <w:rPr>
                <w:sz w:val="14"/>
              </w:rPr>
              <w:t>previamente.</w:t>
            </w:r>
          </w:p>
        </w:tc>
      </w:tr>
      <w:tr>
        <w:trPr>
          <w:trHeight w:val="4377" w:hRule="exact"/>
        </w:trPr>
        <w:tc>
          <w:tcPr>
            <w:tcW w:w="892"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3"/>
              </w:rPr>
            </w:pPr>
          </w:p>
          <w:p>
            <w:pPr>
              <w:pStyle w:val="TableParagraph"/>
              <w:ind w:left="123"/>
              <w:rPr>
                <w:b/>
                <w:sz w:val="14"/>
              </w:rPr>
            </w:pPr>
            <w:r>
              <w:rPr>
                <w:b/>
                <w:sz w:val="14"/>
              </w:rPr>
              <w:t>Estado</w:t>
            </w:r>
          </w:p>
        </w:tc>
        <w:tc>
          <w:tcPr>
            <w:tcW w:w="2657" w:type="dxa"/>
            <w:tcBorders>
              <w:left w:val="single" w:sz="3" w:space="0" w:color="000000"/>
              <w:right w:val="single" w:sz="3" w:space="0" w:color="000000"/>
            </w:tcBorders>
          </w:tcPr>
          <w:p>
            <w:pPr>
              <w:pStyle w:val="TableParagraph"/>
              <w:numPr>
                <w:ilvl w:val="0"/>
                <w:numId w:val="12"/>
              </w:numPr>
              <w:tabs>
                <w:tab w:pos="420" w:val="left" w:leader="none"/>
              </w:tabs>
              <w:spacing w:line="240" w:lineRule="auto" w:before="0" w:after="0"/>
              <w:ind w:left="420" w:right="191" w:hanging="316"/>
              <w:jc w:val="left"/>
              <w:rPr>
                <w:sz w:val="14"/>
              </w:rPr>
            </w:pPr>
            <w:r>
              <w:rPr>
                <w:sz w:val="14"/>
              </w:rPr>
              <w:t>Gestión de programas y toma</w:t>
            </w:r>
            <w:r>
              <w:rPr>
                <w:spacing w:val="-14"/>
                <w:sz w:val="14"/>
              </w:rPr>
              <w:t> </w:t>
            </w:r>
            <w:r>
              <w:rPr>
                <w:sz w:val="14"/>
              </w:rPr>
              <w:t>de decisiones.</w:t>
            </w:r>
          </w:p>
          <w:p>
            <w:pPr>
              <w:pStyle w:val="TableParagraph"/>
              <w:numPr>
                <w:ilvl w:val="0"/>
                <w:numId w:val="12"/>
              </w:numPr>
              <w:tabs>
                <w:tab w:pos="420" w:val="left" w:leader="none"/>
              </w:tabs>
              <w:spacing w:line="240" w:lineRule="auto" w:before="3" w:after="0"/>
              <w:ind w:left="420" w:right="162" w:hanging="316"/>
              <w:jc w:val="left"/>
              <w:rPr>
                <w:sz w:val="14"/>
              </w:rPr>
            </w:pPr>
            <w:r>
              <w:rPr>
                <w:sz w:val="14"/>
              </w:rPr>
              <w:t>Administración basada en</w:t>
            </w:r>
            <w:r>
              <w:rPr>
                <w:spacing w:val="-19"/>
                <w:sz w:val="14"/>
              </w:rPr>
              <w:t> </w:t>
            </w:r>
            <w:r>
              <w:rPr>
                <w:sz w:val="14"/>
              </w:rPr>
              <w:t>reglas, no en el</w:t>
            </w:r>
            <w:r>
              <w:rPr>
                <w:spacing w:val="-13"/>
                <w:sz w:val="14"/>
              </w:rPr>
              <w:t> </w:t>
            </w:r>
            <w:r>
              <w:rPr>
                <w:sz w:val="14"/>
              </w:rPr>
              <w:t>mercado.</w:t>
            </w:r>
          </w:p>
          <w:p>
            <w:pPr>
              <w:pStyle w:val="TableParagraph"/>
              <w:numPr>
                <w:ilvl w:val="0"/>
                <w:numId w:val="12"/>
              </w:numPr>
              <w:tabs>
                <w:tab w:pos="420" w:val="left" w:leader="none"/>
              </w:tabs>
              <w:spacing w:line="242" w:lineRule="auto" w:before="0" w:after="0"/>
              <w:ind w:left="420" w:right="207" w:hanging="316"/>
              <w:jc w:val="left"/>
              <w:rPr>
                <w:sz w:val="14"/>
              </w:rPr>
            </w:pPr>
            <w:r>
              <w:rPr>
                <w:sz w:val="14"/>
              </w:rPr>
              <w:t>El Estado no </w:t>
            </w:r>
            <w:r>
              <w:rPr>
                <w:spacing w:val="-3"/>
                <w:sz w:val="14"/>
              </w:rPr>
              <w:t>es </w:t>
            </w:r>
            <w:r>
              <w:rPr>
                <w:sz w:val="14"/>
              </w:rPr>
              <w:t>un actor autosuficiente para el manejo</w:t>
            </w:r>
            <w:r>
              <w:rPr>
                <w:spacing w:val="-17"/>
                <w:sz w:val="14"/>
              </w:rPr>
              <w:t> </w:t>
            </w:r>
            <w:r>
              <w:rPr>
                <w:sz w:val="14"/>
              </w:rPr>
              <w:t>de la economía y la</w:t>
            </w:r>
            <w:r>
              <w:rPr>
                <w:spacing w:val="-15"/>
                <w:sz w:val="14"/>
              </w:rPr>
              <w:t> </w:t>
            </w:r>
            <w:r>
              <w:rPr>
                <w:sz w:val="14"/>
              </w:rPr>
              <w:t>sociedad.</w:t>
            </w:r>
          </w:p>
          <w:p>
            <w:pPr>
              <w:pStyle w:val="TableParagraph"/>
              <w:numPr>
                <w:ilvl w:val="0"/>
                <w:numId w:val="12"/>
              </w:numPr>
              <w:tabs>
                <w:tab w:pos="420" w:val="left" w:leader="none"/>
              </w:tabs>
              <w:spacing w:line="160" w:lineRule="exact" w:before="0" w:after="0"/>
              <w:ind w:left="420" w:right="347" w:hanging="316"/>
              <w:jc w:val="left"/>
              <w:rPr>
                <w:sz w:val="14"/>
              </w:rPr>
            </w:pPr>
            <w:r>
              <w:rPr>
                <w:sz w:val="14"/>
              </w:rPr>
              <w:t>Gobierno estructurado jerárquicamente</w:t>
            </w:r>
            <w:r>
              <w:rPr>
                <w:spacing w:val="-14"/>
                <w:sz w:val="14"/>
              </w:rPr>
              <w:t> </w:t>
            </w:r>
            <w:r>
              <w:rPr>
                <w:sz w:val="14"/>
              </w:rPr>
              <w:t>(organización piramidal).</w:t>
            </w:r>
          </w:p>
          <w:p>
            <w:pPr>
              <w:pStyle w:val="TableParagraph"/>
              <w:numPr>
                <w:ilvl w:val="0"/>
                <w:numId w:val="12"/>
              </w:numPr>
              <w:tabs>
                <w:tab w:pos="420" w:val="left" w:leader="none"/>
              </w:tabs>
              <w:spacing w:line="240" w:lineRule="auto" w:before="0" w:after="0"/>
              <w:ind w:left="420" w:right="215" w:hanging="316"/>
              <w:jc w:val="left"/>
              <w:rPr>
                <w:sz w:val="14"/>
              </w:rPr>
            </w:pPr>
            <w:r>
              <w:rPr>
                <w:sz w:val="14"/>
              </w:rPr>
              <w:t>La evaluación legal y del desempeño de la</w:t>
            </w:r>
            <w:r>
              <w:rPr>
                <w:spacing w:val="-17"/>
                <w:sz w:val="14"/>
              </w:rPr>
              <w:t> </w:t>
            </w:r>
            <w:r>
              <w:rPr>
                <w:sz w:val="14"/>
              </w:rPr>
              <w:t>administración pública.</w:t>
            </w:r>
          </w:p>
          <w:p>
            <w:pPr>
              <w:pStyle w:val="TableParagraph"/>
              <w:numPr>
                <w:ilvl w:val="0"/>
                <w:numId w:val="12"/>
              </w:numPr>
              <w:tabs>
                <w:tab w:pos="420" w:val="left" w:leader="none"/>
              </w:tabs>
              <w:spacing w:line="160" w:lineRule="exact" w:before="0" w:after="0"/>
              <w:ind w:left="420" w:right="0" w:hanging="316"/>
              <w:jc w:val="left"/>
              <w:rPr>
                <w:sz w:val="14"/>
              </w:rPr>
            </w:pPr>
            <w:r>
              <w:rPr>
                <w:sz w:val="14"/>
              </w:rPr>
              <w:t>Equidad en el trato</w:t>
            </w:r>
            <w:r>
              <w:rPr>
                <w:spacing w:val="-21"/>
                <w:sz w:val="14"/>
              </w:rPr>
              <w:t> </w:t>
            </w:r>
            <w:r>
              <w:rPr>
                <w:sz w:val="14"/>
              </w:rPr>
              <w:t>ciudadano.</w:t>
            </w:r>
          </w:p>
          <w:p>
            <w:pPr>
              <w:pStyle w:val="TableParagraph"/>
              <w:numPr>
                <w:ilvl w:val="0"/>
                <w:numId w:val="12"/>
              </w:numPr>
              <w:tabs>
                <w:tab w:pos="420" w:val="left" w:leader="none"/>
              </w:tabs>
              <w:spacing w:line="240" w:lineRule="auto" w:before="27" w:after="0"/>
              <w:ind w:left="420" w:right="359" w:hanging="316"/>
              <w:jc w:val="left"/>
              <w:rPr>
                <w:sz w:val="14"/>
              </w:rPr>
            </w:pPr>
            <w:r>
              <w:rPr>
                <w:sz w:val="14"/>
              </w:rPr>
              <w:t>Democracia acotada: la ciudadanía sólo </w:t>
            </w:r>
            <w:r>
              <w:rPr>
                <w:spacing w:val="-3"/>
                <w:sz w:val="14"/>
              </w:rPr>
              <w:t>es </w:t>
            </w:r>
            <w:r>
              <w:rPr>
                <w:sz w:val="14"/>
              </w:rPr>
              <w:t>importante durante el proceso</w:t>
            </w:r>
            <w:r>
              <w:rPr>
                <w:spacing w:val="-16"/>
                <w:sz w:val="14"/>
              </w:rPr>
              <w:t> </w:t>
            </w:r>
            <w:r>
              <w:rPr>
                <w:sz w:val="14"/>
              </w:rPr>
              <w:t>electoral.</w:t>
            </w:r>
          </w:p>
          <w:p>
            <w:pPr>
              <w:pStyle w:val="TableParagraph"/>
              <w:numPr>
                <w:ilvl w:val="0"/>
                <w:numId w:val="12"/>
              </w:numPr>
              <w:tabs>
                <w:tab w:pos="420" w:val="left" w:leader="none"/>
              </w:tabs>
              <w:spacing w:line="242" w:lineRule="auto" w:before="0" w:after="0"/>
              <w:ind w:left="420" w:right="235" w:hanging="316"/>
              <w:jc w:val="left"/>
              <w:rPr>
                <w:sz w:val="14"/>
              </w:rPr>
            </w:pPr>
            <w:r>
              <w:rPr>
                <w:sz w:val="14"/>
              </w:rPr>
              <w:t>Escasa participación de los servidores públicos </w:t>
            </w:r>
            <w:r>
              <w:rPr>
                <w:spacing w:val="-3"/>
                <w:sz w:val="14"/>
              </w:rPr>
              <w:t>en </w:t>
            </w:r>
            <w:r>
              <w:rPr>
                <w:sz w:val="14"/>
              </w:rPr>
              <w:t>el diseño de las políticas</w:t>
            </w:r>
            <w:r>
              <w:rPr>
                <w:spacing w:val="-20"/>
                <w:sz w:val="14"/>
              </w:rPr>
              <w:t> </w:t>
            </w:r>
            <w:r>
              <w:rPr>
                <w:sz w:val="14"/>
              </w:rPr>
              <w:t>públicas.</w:t>
            </w:r>
          </w:p>
          <w:p>
            <w:pPr>
              <w:pStyle w:val="TableParagraph"/>
              <w:numPr>
                <w:ilvl w:val="0"/>
                <w:numId w:val="12"/>
              </w:numPr>
              <w:tabs>
                <w:tab w:pos="420" w:val="left" w:leader="none"/>
              </w:tabs>
              <w:spacing w:line="160" w:lineRule="exact" w:before="0" w:after="0"/>
              <w:ind w:left="420" w:right="509" w:hanging="316"/>
              <w:jc w:val="left"/>
              <w:rPr>
                <w:sz w:val="14"/>
              </w:rPr>
            </w:pPr>
            <w:r>
              <w:rPr>
                <w:sz w:val="14"/>
              </w:rPr>
              <w:t>Autoridad jerárquica para</w:t>
            </w:r>
            <w:r>
              <w:rPr>
                <w:spacing w:val="-13"/>
                <w:sz w:val="14"/>
              </w:rPr>
              <w:t> </w:t>
            </w:r>
            <w:r>
              <w:rPr>
                <w:sz w:val="14"/>
              </w:rPr>
              <w:t>el control de</w:t>
            </w:r>
            <w:r>
              <w:rPr>
                <w:spacing w:val="-13"/>
                <w:sz w:val="14"/>
              </w:rPr>
              <w:t> </w:t>
            </w:r>
            <w:r>
              <w:rPr>
                <w:sz w:val="14"/>
              </w:rPr>
              <w:t>empleados.</w:t>
            </w:r>
          </w:p>
        </w:tc>
        <w:tc>
          <w:tcPr>
            <w:tcW w:w="2761" w:type="dxa"/>
            <w:tcBorders>
              <w:left w:val="single" w:sz="3" w:space="0" w:color="000000"/>
              <w:right w:val="single" w:sz="3" w:space="0" w:color="000000"/>
            </w:tcBorders>
          </w:tcPr>
          <w:p>
            <w:pPr>
              <w:pStyle w:val="TableParagraph"/>
              <w:numPr>
                <w:ilvl w:val="0"/>
                <w:numId w:val="13"/>
              </w:numPr>
              <w:tabs>
                <w:tab w:pos="397" w:val="left" w:leader="none"/>
              </w:tabs>
              <w:spacing w:line="242" w:lineRule="auto" w:before="0" w:after="0"/>
              <w:ind w:left="396" w:right="131" w:hanging="284"/>
              <w:jc w:val="left"/>
              <w:rPr>
                <w:sz w:val="14"/>
              </w:rPr>
            </w:pPr>
            <w:r>
              <w:rPr>
                <w:sz w:val="14"/>
              </w:rPr>
              <w:t>La administración del sector</w:t>
            </w:r>
            <w:r>
              <w:rPr>
                <w:spacing w:val="-20"/>
                <w:sz w:val="14"/>
              </w:rPr>
              <w:t> </w:t>
            </w:r>
            <w:r>
              <w:rPr>
                <w:sz w:val="14"/>
              </w:rPr>
              <w:t>público se maneja de igual forma que la administración del sector</w:t>
            </w:r>
            <w:r>
              <w:rPr>
                <w:spacing w:val="-27"/>
                <w:sz w:val="14"/>
              </w:rPr>
              <w:t> </w:t>
            </w:r>
            <w:r>
              <w:rPr>
                <w:sz w:val="14"/>
              </w:rPr>
              <w:t>privado.</w:t>
            </w:r>
          </w:p>
          <w:p>
            <w:pPr>
              <w:pStyle w:val="TableParagraph"/>
              <w:numPr>
                <w:ilvl w:val="0"/>
                <w:numId w:val="13"/>
              </w:numPr>
              <w:tabs>
                <w:tab w:pos="397" w:val="left" w:leader="none"/>
              </w:tabs>
              <w:spacing w:line="160" w:lineRule="exact" w:before="0" w:after="0"/>
              <w:ind w:left="396" w:right="270" w:hanging="292"/>
              <w:jc w:val="both"/>
              <w:rPr>
                <w:sz w:val="14"/>
              </w:rPr>
            </w:pPr>
            <w:r>
              <w:rPr>
                <w:sz w:val="14"/>
              </w:rPr>
              <w:t>El sector público establece</w:t>
            </w:r>
            <w:r>
              <w:rPr>
                <w:spacing w:val="-24"/>
                <w:sz w:val="14"/>
              </w:rPr>
              <w:t> </w:t>
            </w:r>
            <w:r>
              <w:rPr>
                <w:sz w:val="14"/>
              </w:rPr>
              <w:t>mayor relación con los contratistas y los proveedores del sector</w:t>
            </w:r>
            <w:r>
              <w:rPr>
                <w:spacing w:val="-22"/>
                <w:sz w:val="14"/>
              </w:rPr>
              <w:t> </w:t>
            </w:r>
            <w:r>
              <w:rPr>
                <w:sz w:val="14"/>
              </w:rPr>
              <w:t>privado.</w:t>
            </w:r>
          </w:p>
          <w:p>
            <w:pPr>
              <w:pStyle w:val="TableParagraph"/>
              <w:numPr>
                <w:ilvl w:val="0"/>
                <w:numId w:val="13"/>
              </w:numPr>
              <w:tabs>
                <w:tab w:pos="397" w:val="left" w:leader="none"/>
              </w:tabs>
              <w:spacing w:line="240" w:lineRule="auto" w:before="1" w:after="0"/>
              <w:ind w:left="396" w:right="239" w:hanging="292"/>
              <w:jc w:val="left"/>
              <w:rPr>
                <w:sz w:val="14"/>
              </w:rPr>
            </w:pPr>
            <w:r>
              <w:rPr>
                <w:sz w:val="14"/>
              </w:rPr>
              <w:t>La operación del sector público</w:t>
            </w:r>
            <w:r>
              <w:rPr>
                <w:spacing w:val="-17"/>
                <w:sz w:val="14"/>
              </w:rPr>
              <w:t> </w:t>
            </w:r>
            <w:r>
              <w:rPr>
                <w:spacing w:val="-3"/>
                <w:sz w:val="14"/>
              </w:rPr>
              <w:t>es </w:t>
            </w:r>
            <w:r>
              <w:rPr>
                <w:sz w:val="14"/>
              </w:rPr>
              <w:t>empresarial.</w:t>
            </w:r>
          </w:p>
          <w:p>
            <w:pPr>
              <w:pStyle w:val="TableParagraph"/>
              <w:numPr>
                <w:ilvl w:val="0"/>
                <w:numId w:val="13"/>
              </w:numPr>
              <w:tabs>
                <w:tab w:pos="397" w:val="left" w:leader="none"/>
              </w:tabs>
              <w:spacing w:line="242" w:lineRule="auto" w:before="0" w:after="0"/>
              <w:ind w:left="396" w:right="158" w:hanging="292"/>
              <w:jc w:val="left"/>
              <w:rPr>
                <w:sz w:val="14"/>
              </w:rPr>
            </w:pPr>
            <w:r>
              <w:rPr>
                <w:sz w:val="14"/>
              </w:rPr>
              <w:t>Control de empleados mediante</w:t>
            </w:r>
            <w:r>
              <w:rPr>
                <w:spacing w:val="-19"/>
                <w:sz w:val="14"/>
              </w:rPr>
              <w:t> </w:t>
            </w:r>
            <w:r>
              <w:rPr>
                <w:sz w:val="14"/>
              </w:rPr>
              <w:t>los incentivos financieros y la cultura organizacional.</w:t>
            </w:r>
          </w:p>
          <w:p>
            <w:pPr>
              <w:pStyle w:val="TableParagraph"/>
              <w:numPr>
                <w:ilvl w:val="0"/>
                <w:numId w:val="13"/>
              </w:numPr>
              <w:tabs>
                <w:tab w:pos="397" w:val="left" w:leader="none"/>
              </w:tabs>
              <w:spacing w:line="240" w:lineRule="auto" w:before="0" w:after="0"/>
              <w:ind w:left="396" w:right="347" w:hanging="292"/>
              <w:jc w:val="left"/>
              <w:rPr>
                <w:sz w:val="14"/>
              </w:rPr>
            </w:pPr>
            <w:r>
              <w:rPr>
                <w:sz w:val="14"/>
              </w:rPr>
              <w:t>Existe la libre elección de los clientes del sector público de</w:t>
            </w:r>
            <w:r>
              <w:rPr>
                <w:spacing w:val="-24"/>
                <w:sz w:val="14"/>
              </w:rPr>
              <w:t> </w:t>
            </w:r>
            <w:r>
              <w:rPr>
                <w:sz w:val="14"/>
              </w:rPr>
              <w:t>los bienes y servicios públicos que requieren (como educación y salud).</w:t>
            </w:r>
          </w:p>
        </w:tc>
        <w:tc>
          <w:tcPr>
            <w:tcW w:w="2197" w:type="dxa"/>
            <w:tcBorders>
              <w:left w:val="single" w:sz="3" w:space="0" w:color="000000"/>
              <w:right w:val="single" w:sz="3" w:space="0" w:color="000000"/>
            </w:tcBorders>
          </w:tcPr>
          <w:p>
            <w:pPr>
              <w:pStyle w:val="TableParagraph"/>
              <w:numPr>
                <w:ilvl w:val="0"/>
                <w:numId w:val="14"/>
              </w:numPr>
              <w:tabs>
                <w:tab w:pos="352" w:val="left" w:leader="none"/>
              </w:tabs>
              <w:spacing w:line="240" w:lineRule="auto" w:before="0" w:after="0"/>
              <w:ind w:left="352" w:right="171" w:hanging="248"/>
              <w:jc w:val="left"/>
              <w:rPr>
                <w:sz w:val="14"/>
              </w:rPr>
            </w:pPr>
            <w:r>
              <w:rPr>
                <w:sz w:val="14"/>
              </w:rPr>
              <w:t>El Estado comparte sus actividades con actores no estatales y emplea a los servidores públicos para</w:t>
            </w:r>
            <w:r>
              <w:rPr>
                <w:spacing w:val="-13"/>
                <w:sz w:val="14"/>
              </w:rPr>
              <w:t> </w:t>
            </w:r>
            <w:r>
              <w:rPr>
                <w:sz w:val="14"/>
              </w:rPr>
              <w:t>la implementación de programas.</w:t>
            </w:r>
          </w:p>
          <w:p>
            <w:pPr>
              <w:pStyle w:val="TableParagraph"/>
              <w:numPr>
                <w:ilvl w:val="0"/>
                <w:numId w:val="14"/>
              </w:numPr>
              <w:tabs>
                <w:tab w:pos="352" w:val="left" w:leader="none"/>
              </w:tabs>
              <w:spacing w:line="240" w:lineRule="auto" w:before="3" w:after="0"/>
              <w:ind w:left="352" w:right="130" w:hanging="248"/>
              <w:jc w:val="left"/>
              <w:rPr>
                <w:sz w:val="14"/>
              </w:rPr>
            </w:pPr>
            <w:r>
              <w:rPr>
                <w:sz w:val="14"/>
              </w:rPr>
              <w:t>En la gestión de</w:t>
            </w:r>
            <w:r>
              <w:rPr>
                <w:spacing w:val="-16"/>
                <w:sz w:val="14"/>
              </w:rPr>
              <w:t> </w:t>
            </w:r>
            <w:r>
              <w:rPr>
                <w:sz w:val="14"/>
              </w:rPr>
              <w:t>programas y </w:t>
            </w:r>
            <w:r>
              <w:rPr>
                <w:spacing w:val="-3"/>
                <w:sz w:val="14"/>
              </w:rPr>
              <w:t>en </w:t>
            </w:r>
            <w:r>
              <w:rPr>
                <w:sz w:val="14"/>
              </w:rPr>
              <w:t>toma de decisiones </w:t>
            </w:r>
            <w:r>
              <w:rPr>
                <w:spacing w:val="2"/>
                <w:sz w:val="14"/>
              </w:rPr>
              <w:t>se </w:t>
            </w:r>
            <w:r>
              <w:rPr>
                <w:sz w:val="14"/>
              </w:rPr>
              <w:t>considera la inclusión e interacción de actores del sector público y del privado (redes).</w:t>
            </w:r>
          </w:p>
          <w:p>
            <w:pPr>
              <w:pStyle w:val="TableParagraph"/>
              <w:numPr>
                <w:ilvl w:val="0"/>
                <w:numId w:val="14"/>
              </w:numPr>
              <w:tabs>
                <w:tab w:pos="352" w:val="left" w:leader="none"/>
              </w:tabs>
              <w:spacing w:line="240" w:lineRule="auto" w:before="0" w:after="0"/>
              <w:ind w:left="352" w:right="178" w:hanging="248"/>
              <w:jc w:val="left"/>
              <w:rPr>
                <w:sz w:val="14"/>
              </w:rPr>
            </w:pPr>
            <w:r>
              <w:rPr>
                <w:sz w:val="14"/>
              </w:rPr>
              <w:t>El acto de gobernar consiste en timonear la economía y la sociedad,</w:t>
            </w:r>
            <w:r>
              <w:rPr>
                <w:spacing w:val="-11"/>
                <w:sz w:val="14"/>
              </w:rPr>
              <w:t> </w:t>
            </w:r>
            <w:r>
              <w:rPr>
                <w:sz w:val="14"/>
              </w:rPr>
              <w:t>lo que implica analizar distintos</w:t>
            </w:r>
            <w:r>
              <w:rPr>
                <w:spacing w:val="-19"/>
                <w:sz w:val="14"/>
              </w:rPr>
              <w:t> </w:t>
            </w:r>
            <w:r>
              <w:rPr>
                <w:sz w:val="14"/>
              </w:rPr>
              <w:t>escenarios.</w:t>
            </w:r>
          </w:p>
          <w:p>
            <w:pPr>
              <w:pStyle w:val="TableParagraph"/>
              <w:numPr>
                <w:ilvl w:val="0"/>
                <w:numId w:val="14"/>
              </w:numPr>
              <w:tabs>
                <w:tab w:pos="352" w:val="left" w:leader="none"/>
              </w:tabs>
              <w:spacing w:line="242" w:lineRule="auto" w:before="0" w:after="0"/>
              <w:ind w:left="352" w:right="220" w:hanging="248"/>
              <w:jc w:val="left"/>
              <w:rPr>
                <w:sz w:val="14"/>
              </w:rPr>
            </w:pPr>
            <w:r>
              <w:rPr>
                <w:sz w:val="14"/>
              </w:rPr>
              <w:t>Estado no jerárquico,</w:t>
            </w:r>
            <w:r>
              <w:rPr>
                <w:spacing w:val="-15"/>
                <w:sz w:val="14"/>
              </w:rPr>
              <w:t> </w:t>
            </w:r>
            <w:r>
              <w:rPr>
                <w:sz w:val="14"/>
              </w:rPr>
              <w:t>sino facilitador del manejo de las políticas</w:t>
            </w:r>
            <w:r>
              <w:rPr>
                <w:spacing w:val="-15"/>
                <w:sz w:val="14"/>
              </w:rPr>
              <w:t> </w:t>
            </w:r>
            <w:r>
              <w:rPr>
                <w:sz w:val="14"/>
              </w:rPr>
              <w:t>sociales.</w:t>
            </w:r>
          </w:p>
          <w:p>
            <w:pPr>
              <w:pStyle w:val="TableParagraph"/>
              <w:numPr>
                <w:ilvl w:val="0"/>
                <w:numId w:val="14"/>
              </w:numPr>
              <w:tabs>
                <w:tab w:pos="352" w:val="left" w:leader="none"/>
              </w:tabs>
              <w:spacing w:line="240" w:lineRule="auto" w:before="0" w:after="0"/>
              <w:ind w:left="352" w:right="123" w:hanging="248"/>
              <w:jc w:val="left"/>
              <w:rPr>
                <w:sz w:val="14"/>
              </w:rPr>
            </w:pPr>
            <w:r>
              <w:rPr>
                <w:sz w:val="14"/>
              </w:rPr>
              <w:t>El vínculo entre el sector público y privado </w:t>
            </w:r>
            <w:r>
              <w:rPr>
                <w:spacing w:val="2"/>
                <w:sz w:val="14"/>
              </w:rPr>
              <w:t>se </w:t>
            </w:r>
            <w:r>
              <w:rPr>
                <w:sz w:val="14"/>
              </w:rPr>
              <w:t>realiza para brindar más y mejores bienes y servicios, lo que</w:t>
            </w:r>
            <w:r>
              <w:rPr>
                <w:spacing w:val="-13"/>
                <w:sz w:val="14"/>
              </w:rPr>
              <w:t> </w:t>
            </w:r>
            <w:r>
              <w:rPr>
                <w:sz w:val="14"/>
              </w:rPr>
              <w:t>le brinda al Estado mayor legitimidad.</w:t>
            </w:r>
          </w:p>
        </w:tc>
      </w:tr>
    </w:tbl>
    <w:p>
      <w:pPr>
        <w:spacing w:after="0" w:line="240" w:lineRule="auto"/>
        <w:jc w:val="left"/>
        <w:rPr>
          <w:sz w:val="14"/>
        </w:rPr>
        <w:sectPr>
          <w:pgSz w:w="12240" w:h="15840"/>
          <w:pgMar w:header="0" w:footer="998" w:top="1360" w:bottom="1180" w:left="1600" w:right="1600"/>
        </w:sectPr>
      </w:pPr>
    </w:p>
    <w:tbl>
      <w:tblPr>
        <w:tblW w:w="0" w:type="auto"/>
        <w:jc w:val="left"/>
        <w:tblInd w:w="24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92"/>
        <w:gridCol w:w="2657"/>
        <w:gridCol w:w="2761"/>
        <w:gridCol w:w="2197"/>
      </w:tblGrid>
      <w:tr>
        <w:trPr>
          <w:trHeight w:val="2513" w:hRule="exact"/>
        </w:trPr>
        <w:tc>
          <w:tcPr>
            <w:tcW w:w="892" w:type="dxa"/>
            <w:tcBorders>
              <w:top w:val="single" w:sz="11" w:space="0" w:color="808080"/>
              <w:bottom w:val="single" w:sz="11" w:space="0" w:color="808080"/>
            </w:tcBorders>
          </w:tcPr>
          <w:p>
            <w:pPr>
              <w:pStyle w:val="TableParagraph"/>
              <w:spacing w:before="3"/>
              <w:rPr>
                <w:sz w:val="13"/>
              </w:rPr>
            </w:pPr>
          </w:p>
          <w:p>
            <w:pPr>
              <w:pStyle w:val="TableParagraph"/>
              <w:ind w:left="103" w:right="101"/>
              <w:jc w:val="center"/>
              <w:rPr>
                <w:b/>
                <w:sz w:val="14"/>
              </w:rPr>
            </w:pPr>
            <w:r>
              <w:rPr>
                <w:b/>
                <w:sz w:val="14"/>
              </w:rPr>
              <w:t>Rendición de   Cuentas</w:t>
            </w:r>
          </w:p>
        </w:tc>
        <w:tc>
          <w:tcPr>
            <w:tcW w:w="2657" w:type="dxa"/>
            <w:tcBorders>
              <w:top w:val="single" w:sz="11" w:space="0" w:color="808080"/>
              <w:bottom w:val="single" w:sz="11" w:space="0" w:color="808080"/>
            </w:tcBorders>
          </w:tcPr>
          <w:p>
            <w:pPr>
              <w:pStyle w:val="TableParagraph"/>
              <w:numPr>
                <w:ilvl w:val="0"/>
                <w:numId w:val="15"/>
              </w:numPr>
              <w:tabs>
                <w:tab w:pos="420" w:val="left" w:leader="none"/>
              </w:tabs>
              <w:spacing w:line="160" w:lineRule="exact" w:before="0" w:after="0"/>
              <w:ind w:left="420" w:right="119" w:hanging="316"/>
              <w:jc w:val="left"/>
              <w:rPr>
                <w:sz w:val="14"/>
              </w:rPr>
            </w:pPr>
            <w:r>
              <w:rPr>
                <w:sz w:val="14"/>
              </w:rPr>
              <w:t>Rendición de cuentas</w:t>
            </w:r>
            <w:r>
              <w:rPr>
                <w:spacing w:val="-16"/>
                <w:sz w:val="14"/>
              </w:rPr>
              <w:t> </w:t>
            </w:r>
            <w:r>
              <w:rPr>
                <w:sz w:val="14"/>
              </w:rPr>
              <w:t>ascendente (de abajo hacia arriba, </w:t>
            </w:r>
            <w:r>
              <w:rPr>
                <w:spacing w:val="-3"/>
                <w:sz w:val="14"/>
              </w:rPr>
              <w:t>es </w:t>
            </w:r>
            <w:r>
              <w:rPr>
                <w:sz w:val="14"/>
              </w:rPr>
              <w:t>decir, de funcionarios hacia las legislaturas).</w:t>
            </w:r>
          </w:p>
          <w:p>
            <w:pPr>
              <w:pStyle w:val="TableParagraph"/>
              <w:numPr>
                <w:ilvl w:val="0"/>
                <w:numId w:val="15"/>
              </w:numPr>
              <w:tabs>
                <w:tab w:pos="420" w:val="left" w:leader="none"/>
              </w:tabs>
              <w:spacing w:line="240" w:lineRule="auto" w:before="0" w:after="0"/>
              <w:ind w:left="420" w:right="202" w:hanging="316"/>
              <w:jc w:val="left"/>
              <w:rPr>
                <w:sz w:val="14"/>
              </w:rPr>
            </w:pPr>
            <w:r>
              <w:rPr>
                <w:sz w:val="14"/>
              </w:rPr>
              <w:t>Escasa rendición de cuentas</w:t>
            </w:r>
            <w:r>
              <w:rPr>
                <w:spacing w:val="-21"/>
                <w:sz w:val="14"/>
              </w:rPr>
              <w:t> </w:t>
            </w:r>
            <w:r>
              <w:rPr>
                <w:sz w:val="14"/>
              </w:rPr>
              <w:t>por el excesivo control gubernamental.</w:t>
            </w:r>
          </w:p>
        </w:tc>
        <w:tc>
          <w:tcPr>
            <w:tcW w:w="2761" w:type="dxa"/>
            <w:tcBorders>
              <w:top w:val="single" w:sz="11" w:space="0" w:color="808080"/>
              <w:bottom w:val="single" w:sz="11" w:space="0" w:color="808080"/>
            </w:tcBorders>
          </w:tcPr>
          <w:p>
            <w:pPr>
              <w:pStyle w:val="TableParagraph"/>
              <w:numPr>
                <w:ilvl w:val="0"/>
                <w:numId w:val="16"/>
              </w:numPr>
              <w:tabs>
                <w:tab w:pos="501" w:val="left" w:leader="none"/>
              </w:tabs>
              <w:spacing w:line="240" w:lineRule="auto" w:before="0" w:after="0"/>
              <w:ind w:left="500" w:right="103" w:hanging="425"/>
              <w:jc w:val="both"/>
              <w:rPr>
                <w:sz w:val="14"/>
              </w:rPr>
            </w:pPr>
            <w:r>
              <w:rPr>
                <w:sz w:val="14"/>
              </w:rPr>
              <w:t>La rendición de cuentas está basada</w:t>
            </w:r>
            <w:r>
              <w:rPr>
                <w:spacing w:val="-8"/>
                <w:sz w:val="14"/>
              </w:rPr>
              <w:t> </w:t>
            </w:r>
            <w:r>
              <w:rPr>
                <w:sz w:val="14"/>
              </w:rPr>
              <w:t>en</w:t>
            </w:r>
            <w:r>
              <w:rPr>
                <w:spacing w:val="-8"/>
                <w:sz w:val="14"/>
              </w:rPr>
              <w:t> </w:t>
            </w:r>
            <w:r>
              <w:rPr>
                <w:sz w:val="14"/>
              </w:rPr>
              <w:t>metas,</w:t>
            </w:r>
            <w:r>
              <w:rPr>
                <w:spacing w:val="-2"/>
                <w:sz w:val="14"/>
              </w:rPr>
              <w:t> </w:t>
            </w:r>
            <w:r>
              <w:rPr>
                <w:spacing w:val="-3"/>
                <w:sz w:val="14"/>
              </w:rPr>
              <w:t>en</w:t>
            </w:r>
            <w:r>
              <w:rPr>
                <w:spacing w:val="-8"/>
                <w:sz w:val="14"/>
              </w:rPr>
              <w:t> </w:t>
            </w:r>
            <w:r>
              <w:rPr>
                <w:sz w:val="14"/>
              </w:rPr>
              <w:t>la</w:t>
            </w:r>
            <w:r>
              <w:rPr>
                <w:spacing w:val="-8"/>
                <w:sz w:val="14"/>
              </w:rPr>
              <w:t> </w:t>
            </w:r>
            <w:r>
              <w:rPr>
                <w:sz w:val="14"/>
              </w:rPr>
              <w:t>planeación estratégica y en la consecución</w:t>
            </w:r>
            <w:r>
              <w:rPr>
                <w:spacing w:val="-21"/>
                <w:sz w:val="14"/>
              </w:rPr>
              <w:t> </w:t>
            </w:r>
            <w:r>
              <w:rPr>
                <w:spacing w:val="3"/>
                <w:sz w:val="14"/>
              </w:rPr>
              <w:t>de </w:t>
            </w:r>
            <w:r>
              <w:rPr>
                <w:sz w:val="14"/>
              </w:rPr>
              <w:t>objetivos, </w:t>
            </w:r>
            <w:r>
              <w:rPr>
                <w:spacing w:val="-3"/>
                <w:sz w:val="14"/>
              </w:rPr>
              <w:t>el </w:t>
            </w:r>
            <w:r>
              <w:rPr>
                <w:sz w:val="14"/>
              </w:rPr>
              <w:t>papel del administrador </w:t>
            </w:r>
            <w:r>
              <w:rPr>
                <w:spacing w:val="2"/>
                <w:sz w:val="14"/>
              </w:rPr>
              <w:t>se </w:t>
            </w:r>
            <w:r>
              <w:rPr>
                <w:sz w:val="14"/>
              </w:rPr>
              <w:t>vuelve más político.</w:t>
            </w:r>
          </w:p>
          <w:p>
            <w:pPr>
              <w:pStyle w:val="TableParagraph"/>
              <w:numPr>
                <w:ilvl w:val="0"/>
                <w:numId w:val="16"/>
              </w:numPr>
              <w:tabs>
                <w:tab w:pos="465" w:val="left" w:leader="none"/>
              </w:tabs>
              <w:spacing w:line="240" w:lineRule="auto" w:before="0" w:after="0"/>
              <w:ind w:left="464" w:right="386" w:hanging="360"/>
              <w:jc w:val="left"/>
              <w:rPr>
                <w:sz w:val="14"/>
              </w:rPr>
            </w:pPr>
            <w:r>
              <w:rPr>
                <w:sz w:val="14"/>
              </w:rPr>
              <w:t>La rendición de cuentas está enfocada al desempeño del Estado y al uso de</w:t>
            </w:r>
            <w:r>
              <w:rPr>
                <w:spacing w:val="-20"/>
                <w:sz w:val="14"/>
              </w:rPr>
              <w:t> </w:t>
            </w:r>
            <w:r>
              <w:rPr>
                <w:sz w:val="14"/>
              </w:rPr>
              <w:t>indicadores cuantitativos para medir el desempeño.</w:t>
            </w:r>
          </w:p>
        </w:tc>
        <w:tc>
          <w:tcPr>
            <w:tcW w:w="2197" w:type="dxa"/>
            <w:tcBorders>
              <w:top w:val="single" w:sz="11" w:space="0" w:color="808080"/>
              <w:bottom w:val="single" w:sz="11" w:space="0" w:color="808080"/>
            </w:tcBorders>
          </w:tcPr>
          <w:p>
            <w:pPr>
              <w:pStyle w:val="TableParagraph"/>
              <w:spacing w:line="160" w:lineRule="exact"/>
              <w:ind w:left="340" w:right="194" w:hanging="272"/>
              <w:rPr>
                <w:sz w:val="14"/>
              </w:rPr>
            </w:pPr>
            <w:r>
              <w:rPr>
                <w:sz w:val="14"/>
              </w:rPr>
              <w:t>9) El sistema de rendición de cuentas se debilita y se fortalece al mismo tiempo:</w:t>
            </w:r>
          </w:p>
          <w:p>
            <w:pPr>
              <w:pStyle w:val="TableParagraph"/>
              <w:spacing w:before="11"/>
              <w:rPr>
                <w:sz w:val="13"/>
              </w:rPr>
            </w:pPr>
          </w:p>
          <w:p>
            <w:pPr>
              <w:pStyle w:val="TableParagraph"/>
              <w:ind w:left="340" w:right="202"/>
              <w:rPr>
                <w:sz w:val="14"/>
              </w:rPr>
            </w:pPr>
            <w:r>
              <w:rPr>
                <w:sz w:val="14"/>
              </w:rPr>
              <w:t>Se debilita por la inclusión de actores no gubernamentales.</w:t>
            </w:r>
          </w:p>
          <w:p>
            <w:pPr>
              <w:pStyle w:val="TableParagraph"/>
              <w:spacing w:before="1"/>
              <w:rPr>
                <w:sz w:val="14"/>
              </w:rPr>
            </w:pPr>
          </w:p>
          <w:p>
            <w:pPr>
              <w:pStyle w:val="TableParagraph"/>
              <w:spacing w:before="1"/>
              <w:ind w:left="340"/>
              <w:rPr>
                <w:sz w:val="14"/>
              </w:rPr>
            </w:pPr>
            <w:r>
              <w:rPr>
                <w:sz w:val="14"/>
              </w:rPr>
              <w:t>Se fortalece por la colaboración de los mismos actores, lo que hace necesario un esquema de tribunal de cuentas.</w:t>
            </w:r>
          </w:p>
        </w:tc>
      </w:tr>
    </w:tbl>
    <w:p>
      <w:pPr>
        <w:pStyle w:val="BodyText"/>
        <w:rPr>
          <w:sz w:val="29"/>
        </w:rPr>
      </w:pPr>
    </w:p>
    <w:p>
      <w:pPr>
        <w:pStyle w:val="Heading2"/>
        <w:numPr>
          <w:ilvl w:val="1"/>
          <w:numId w:val="7"/>
        </w:numPr>
        <w:tabs>
          <w:tab w:pos="553" w:val="left" w:leader="none"/>
        </w:tabs>
        <w:spacing w:line="240" w:lineRule="auto" w:before="67" w:after="0"/>
        <w:ind w:left="552" w:right="0" w:hanging="432"/>
        <w:jc w:val="both"/>
      </w:pPr>
      <w:bookmarkStart w:name="_bookmark6" w:id="8"/>
      <w:bookmarkEnd w:id="8"/>
      <w:r>
        <w:rPr>
          <w:b w:val="0"/>
        </w:rPr>
      </w:r>
      <w:bookmarkStart w:name="_bookmark6" w:id="9"/>
      <w:bookmarkEnd w:id="9"/>
      <w:r>
        <w:rPr/>
        <w:t>L</w:t>
      </w:r>
      <w:r>
        <w:rPr/>
        <w:t>a gobernanza en países avanzados y</w:t>
      </w:r>
      <w:r>
        <w:rPr>
          <w:spacing w:val="-16"/>
        </w:rPr>
        <w:t> </w:t>
      </w:r>
      <w:r>
        <w:rPr/>
        <w:t>emergentes</w:t>
      </w:r>
    </w:p>
    <w:p>
      <w:pPr>
        <w:pStyle w:val="BodyText"/>
        <w:rPr>
          <w:b/>
          <w:sz w:val="26"/>
        </w:rPr>
      </w:pPr>
    </w:p>
    <w:p>
      <w:pPr>
        <w:pStyle w:val="BodyText"/>
        <w:rPr>
          <w:b/>
          <w:sz w:val="26"/>
        </w:rPr>
      </w:pPr>
    </w:p>
    <w:p>
      <w:pPr>
        <w:pStyle w:val="BodyText"/>
        <w:spacing w:before="5"/>
        <w:rPr>
          <w:b/>
          <w:sz w:val="23"/>
        </w:rPr>
      </w:pPr>
    </w:p>
    <w:p>
      <w:pPr>
        <w:pStyle w:val="BodyText"/>
        <w:spacing w:line="360" w:lineRule="auto"/>
        <w:ind w:left="120" w:right="102"/>
        <w:jc w:val="both"/>
      </w:pPr>
      <w:r>
        <w:rPr/>
        <w:t>¿Por qué se hizo necesario cambiar la forma de gobernar? Porque las características del mercado, de la sociedad y del entorno internacional de crisis financiera y económica hicieron necesario que el Estado incluyera la participación del</w:t>
      </w:r>
      <w:r>
        <w:rPr>
          <w:spacing w:val="-5"/>
        </w:rPr>
        <w:t> </w:t>
      </w:r>
      <w:r>
        <w:rPr/>
        <w:t>sector</w:t>
      </w:r>
      <w:r>
        <w:rPr>
          <w:spacing w:val="-3"/>
        </w:rPr>
        <w:t> </w:t>
      </w:r>
      <w:r>
        <w:rPr/>
        <w:t>privado</w:t>
      </w:r>
      <w:r>
        <w:rPr>
          <w:spacing w:val="-5"/>
        </w:rPr>
        <w:t> </w:t>
      </w:r>
      <w:r>
        <w:rPr/>
        <w:t>en</w:t>
      </w:r>
      <w:r>
        <w:rPr>
          <w:spacing w:val="-5"/>
        </w:rPr>
        <w:t> </w:t>
      </w:r>
      <w:r>
        <w:rPr/>
        <w:t>el</w:t>
      </w:r>
      <w:r>
        <w:rPr>
          <w:spacing w:val="-5"/>
        </w:rPr>
        <w:t> </w:t>
      </w:r>
      <w:r>
        <w:rPr/>
        <w:t>diseño</w:t>
      </w:r>
      <w:r>
        <w:rPr>
          <w:spacing w:val="-5"/>
        </w:rPr>
        <w:t> </w:t>
      </w:r>
      <w:r>
        <w:rPr/>
        <w:t>e</w:t>
      </w:r>
      <w:r>
        <w:rPr>
          <w:spacing w:val="-5"/>
        </w:rPr>
        <w:t> </w:t>
      </w:r>
      <w:r>
        <w:rPr/>
        <w:t>instrumentación</w:t>
      </w:r>
      <w:r>
        <w:rPr>
          <w:spacing w:val="-5"/>
        </w:rPr>
        <w:t> </w:t>
      </w:r>
      <w:r>
        <w:rPr/>
        <w:t>de</w:t>
      </w:r>
      <w:r>
        <w:rPr>
          <w:spacing w:val="-5"/>
        </w:rPr>
        <w:t> </w:t>
      </w:r>
      <w:r>
        <w:rPr/>
        <w:t>las</w:t>
      </w:r>
      <w:r>
        <w:rPr>
          <w:spacing w:val="-3"/>
        </w:rPr>
        <w:t> </w:t>
      </w:r>
      <w:r>
        <w:rPr/>
        <w:t>políticas</w:t>
      </w:r>
      <w:r>
        <w:rPr>
          <w:spacing w:val="-3"/>
        </w:rPr>
        <w:t> </w:t>
      </w:r>
      <w:r>
        <w:rPr/>
        <w:t>para</w:t>
      </w:r>
      <w:r>
        <w:rPr>
          <w:spacing w:val="-5"/>
        </w:rPr>
        <w:t> </w:t>
      </w:r>
      <w:r>
        <w:rPr/>
        <w:t>conservar</w:t>
      </w:r>
      <w:r>
        <w:rPr>
          <w:spacing w:val="-3"/>
        </w:rPr>
        <w:t> </w:t>
      </w:r>
      <w:r>
        <w:rPr/>
        <w:t>su legitimidad, fue necesario que el Estado compartiera el poder para no</w:t>
      </w:r>
      <w:r>
        <w:rPr>
          <w:spacing w:val="-44"/>
        </w:rPr>
        <w:t> </w:t>
      </w:r>
      <w:r>
        <w:rPr/>
        <w:t>perderlo.</w:t>
      </w:r>
    </w:p>
    <w:p>
      <w:pPr>
        <w:pStyle w:val="BodyText"/>
        <w:spacing w:line="360" w:lineRule="auto" w:before="2"/>
        <w:ind w:left="120" w:right="98" w:firstLine="427"/>
        <w:jc w:val="both"/>
      </w:pPr>
      <w:r>
        <w:rPr/>
        <w:t>Desde</w:t>
      </w:r>
      <w:r>
        <w:rPr>
          <w:spacing w:val="-16"/>
        </w:rPr>
        <w:t> </w:t>
      </w:r>
      <w:r>
        <w:rPr/>
        <w:t>la</w:t>
      </w:r>
      <w:r>
        <w:rPr>
          <w:spacing w:val="-20"/>
        </w:rPr>
        <w:t> </w:t>
      </w:r>
      <w:r>
        <w:rPr/>
        <w:t>crisis</w:t>
      </w:r>
      <w:r>
        <w:rPr>
          <w:spacing w:val="-18"/>
        </w:rPr>
        <w:t> </w:t>
      </w:r>
      <w:r>
        <w:rPr/>
        <w:t>financiera</w:t>
      </w:r>
      <w:r>
        <w:rPr>
          <w:spacing w:val="-20"/>
        </w:rPr>
        <w:t> </w:t>
      </w:r>
      <w:r>
        <w:rPr/>
        <w:t>de</w:t>
      </w:r>
      <w:r>
        <w:rPr>
          <w:spacing w:val="-16"/>
        </w:rPr>
        <w:t> </w:t>
      </w:r>
      <w:r>
        <w:rPr/>
        <w:t>1929</w:t>
      </w:r>
      <w:r>
        <w:rPr>
          <w:spacing w:val="-20"/>
        </w:rPr>
        <w:t> </w:t>
      </w:r>
      <w:r>
        <w:rPr/>
        <w:t>se</w:t>
      </w:r>
      <w:r>
        <w:rPr>
          <w:spacing w:val="-20"/>
        </w:rPr>
        <w:t> </w:t>
      </w:r>
      <w:r>
        <w:rPr/>
        <w:t>hizo</w:t>
      </w:r>
      <w:r>
        <w:rPr>
          <w:spacing w:val="-16"/>
        </w:rPr>
        <w:t> </w:t>
      </w:r>
      <w:r>
        <w:rPr/>
        <w:t>permanente</w:t>
      </w:r>
      <w:r>
        <w:rPr>
          <w:spacing w:val="-20"/>
        </w:rPr>
        <w:t> </w:t>
      </w:r>
      <w:r>
        <w:rPr/>
        <w:t>la</w:t>
      </w:r>
      <w:r>
        <w:rPr>
          <w:spacing w:val="-20"/>
        </w:rPr>
        <w:t> </w:t>
      </w:r>
      <w:r>
        <w:rPr/>
        <w:t>intervención</w:t>
      </w:r>
      <w:r>
        <w:rPr>
          <w:spacing w:val="-20"/>
        </w:rPr>
        <w:t> </w:t>
      </w:r>
      <w:r>
        <w:rPr/>
        <w:t>del</w:t>
      </w:r>
      <w:r>
        <w:rPr>
          <w:spacing w:val="-19"/>
        </w:rPr>
        <w:t> </w:t>
      </w:r>
      <w:r>
        <w:rPr/>
        <w:t>Estado en el mercado y tiempo después, en la década de los setenta, el agotamiento del modelo neoliberal y la globalización impulsaron a los Estados a orientar sus esfuerzos a atender las prioridades políticas y la macroeconomía;</w:t>
      </w:r>
      <w:r>
        <w:rPr>
          <w:position w:val="8"/>
          <w:sz w:val="16"/>
        </w:rPr>
        <w:t>9</w:t>
      </w:r>
      <w:r>
        <w:rPr/>
        <w:t>así cada Estado determinó sus prioridades de acuerdo con su grado de</w:t>
      </w:r>
      <w:r>
        <w:rPr>
          <w:spacing w:val="-35"/>
        </w:rPr>
        <w:t> </w:t>
      </w:r>
      <w:r>
        <w:rPr/>
        <w:t>desarrollo.</w:t>
      </w:r>
    </w:p>
    <w:p>
      <w:pPr>
        <w:pStyle w:val="BodyText"/>
      </w:pPr>
    </w:p>
    <w:p>
      <w:pPr>
        <w:pStyle w:val="BodyText"/>
      </w:pPr>
    </w:p>
    <w:p>
      <w:pPr>
        <w:pStyle w:val="BodyText"/>
      </w:pPr>
    </w:p>
    <w:p>
      <w:pPr>
        <w:pStyle w:val="BodyText"/>
        <w:spacing w:before="7"/>
        <w:rPr>
          <w:sz w:val="32"/>
        </w:rPr>
      </w:pPr>
    </w:p>
    <w:p>
      <w:pPr>
        <w:spacing w:line="451" w:lineRule="auto" w:before="0" w:after="5"/>
        <w:ind w:left="2877" w:right="1835" w:hanging="1009"/>
        <w:jc w:val="left"/>
        <w:rPr>
          <w:sz w:val="20"/>
        </w:rPr>
      </w:pPr>
      <w:bookmarkStart w:name="_bookmark7" w:id="10"/>
      <w:bookmarkEnd w:id="10"/>
      <w:r>
        <w:rPr/>
      </w:r>
      <w:r>
        <w:rPr>
          <w:sz w:val="20"/>
        </w:rPr>
        <w:t>Cuadro 1.3. Algunos problemas y soluciones de los Estados Avanzados y emergentes, 1970-1990</w:t>
      </w:r>
    </w:p>
    <w:tbl>
      <w:tblPr>
        <w:tblW w:w="0" w:type="auto"/>
        <w:jc w:val="left"/>
        <w:tblInd w:w="228" w:type="dxa"/>
        <w:tblBorders>
          <w:top w:val="single" w:sz="11" w:space="0" w:color="808080"/>
          <w:left w:val="single" w:sz="11" w:space="0" w:color="808080"/>
          <w:bottom w:val="single" w:sz="11" w:space="0" w:color="808080"/>
          <w:right w:val="single" w:sz="11" w:space="0" w:color="808080"/>
          <w:insideH w:val="single" w:sz="11" w:space="0" w:color="808080"/>
          <w:insideV w:val="single" w:sz="11" w:space="0" w:color="808080"/>
        </w:tblBorders>
        <w:tblLayout w:type="fixed"/>
        <w:tblCellMar>
          <w:top w:w="0" w:type="dxa"/>
          <w:left w:w="0" w:type="dxa"/>
          <w:bottom w:w="0" w:type="dxa"/>
          <w:right w:w="0" w:type="dxa"/>
        </w:tblCellMar>
        <w:tblLook w:val="01E0"/>
      </w:tblPr>
      <w:tblGrid>
        <w:gridCol w:w="1845"/>
        <w:gridCol w:w="3117"/>
        <w:gridCol w:w="3545"/>
      </w:tblGrid>
      <w:tr>
        <w:trPr>
          <w:trHeight w:val="584" w:hRule="exact"/>
        </w:trPr>
        <w:tc>
          <w:tcPr>
            <w:tcW w:w="1845" w:type="dxa"/>
          </w:tcPr>
          <w:p>
            <w:pPr/>
          </w:p>
        </w:tc>
        <w:tc>
          <w:tcPr>
            <w:tcW w:w="3117" w:type="dxa"/>
          </w:tcPr>
          <w:p>
            <w:pPr>
              <w:pStyle w:val="TableParagraph"/>
              <w:spacing w:before="9"/>
              <w:rPr>
                <w:sz w:val="15"/>
              </w:rPr>
            </w:pPr>
          </w:p>
          <w:p>
            <w:pPr>
              <w:pStyle w:val="TableParagraph"/>
              <w:ind w:left="1057" w:right="1057"/>
              <w:jc w:val="center"/>
              <w:rPr>
                <w:b/>
                <w:sz w:val="16"/>
              </w:rPr>
            </w:pPr>
            <w:r>
              <w:rPr>
                <w:b/>
                <w:sz w:val="16"/>
              </w:rPr>
              <w:t>Avanzados</w:t>
            </w:r>
          </w:p>
        </w:tc>
        <w:tc>
          <w:tcPr>
            <w:tcW w:w="3545" w:type="dxa"/>
          </w:tcPr>
          <w:p>
            <w:pPr>
              <w:pStyle w:val="TableParagraph"/>
              <w:spacing w:before="2"/>
              <w:rPr>
                <w:sz w:val="18"/>
              </w:rPr>
            </w:pPr>
          </w:p>
          <w:p>
            <w:pPr>
              <w:pStyle w:val="TableParagraph"/>
              <w:spacing w:before="1"/>
              <w:ind w:left="1280" w:right="1281"/>
              <w:jc w:val="center"/>
              <w:rPr>
                <w:b/>
                <w:sz w:val="16"/>
              </w:rPr>
            </w:pPr>
            <w:r>
              <w:rPr>
                <w:b/>
                <w:sz w:val="16"/>
              </w:rPr>
              <w:t>Emergentes</w:t>
            </w:r>
          </w:p>
        </w:tc>
      </w:tr>
      <w:tr>
        <w:trPr>
          <w:trHeight w:val="796" w:hRule="exact"/>
        </w:trPr>
        <w:tc>
          <w:tcPr>
            <w:tcW w:w="1845" w:type="dxa"/>
            <w:tcBorders>
              <w:left w:val="single" w:sz="3" w:space="0" w:color="000000"/>
              <w:right w:val="single" w:sz="3" w:space="0" w:color="000000"/>
            </w:tcBorders>
          </w:tcPr>
          <w:p>
            <w:pPr>
              <w:pStyle w:val="TableParagraph"/>
              <w:rPr>
                <w:sz w:val="16"/>
              </w:rPr>
            </w:pPr>
          </w:p>
          <w:p>
            <w:pPr>
              <w:pStyle w:val="TableParagraph"/>
              <w:spacing w:before="102"/>
              <w:ind w:left="137"/>
              <w:rPr>
                <w:b/>
                <w:sz w:val="16"/>
              </w:rPr>
            </w:pPr>
            <w:r>
              <w:rPr>
                <w:b/>
                <w:sz w:val="16"/>
              </w:rPr>
              <w:t>Problemas comunes</w:t>
            </w:r>
          </w:p>
        </w:tc>
        <w:tc>
          <w:tcPr>
            <w:tcW w:w="6662" w:type="dxa"/>
            <w:gridSpan w:val="2"/>
            <w:tcBorders>
              <w:left w:val="single" w:sz="3" w:space="0" w:color="000000"/>
              <w:right w:val="single" w:sz="3" w:space="0" w:color="000000"/>
            </w:tcBorders>
          </w:tcPr>
          <w:p>
            <w:pPr>
              <w:pStyle w:val="TableParagraph"/>
              <w:spacing w:before="10"/>
              <w:ind w:left="850" w:right="1341"/>
              <w:rPr>
                <w:sz w:val="16"/>
              </w:rPr>
            </w:pPr>
            <w:r>
              <w:rPr>
                <w:sz w:val="16"/>
              </w:rPr>
              <w:t>Crisis fiscal y financiera que originó la crisis política. Disminución de la capacidad del Estado para gobernar. Pérdida de legitimidad del Estado.</w:t>
            </w:r>
          </w:p>
          <w:p>
            <w:pPr>
              <w:pStyle w:val="TableParagraph"/>
              <w:ind w:left="850" w:right="1341"/>
              <w:rPr>
                <w:sz w:val="16"/>
              </w:rPr>
            </w:pPr>
            <w:r>
              <w:rPr>
                <w:sz w:val="16"/>
              </w:rPr>
              <w:t>Estado en crisis.</w:t>
            </w:r>
          </w:p>
        </w:tc>
      </w:tr>
    </w:tbl>
    <w:p>
      <w:pPr>
        <w:pStyle w:val="BodyText"/>
        <w:rPr>
          <w:sz w:val="20"/>
        </w:rPr>
      </w:pPr>
    </w:p>
    <w:p>
      <w:pPr>
        <w:pStyle w:val="BodyText"/>
        <w:rPr>
          <w:sz w:val="20"/>
        </w:rPr>
      </w:pPr>
    </w:p>
    <w:p>
      <w:pPr>
        <w:pStyle w:val="BodyText"/>
        <w:spacing w:before="4"/>
        <w:rPr>
          <w:sz w:val="22"/>
        </w:rPr>
      </w:pPr>
      <w:r>
        <w:rPr/>
        <w:pict>
          <v:line style="position:absolute;mso-position-horizontal-relative:page;mso-position-vertical-relative:paragraph;z-index:2104;mso-wrap-distance-left:0;mso-wrap-distance-right:0" from="85.025002pt,15.226958pt" to="229.075002pt,15.226958pt" stroked="true" strokeweight=".79999pt" strokecolor="#000000">
            <w10:wrap type="topAndBottom"/>
          </v:line>
        </w:pict>
      </w:r>
    </w:p>
    <w:p>
      <w:pPr>
        <w:spacing w:line="256" w:lineRule="auto" w:before="59"/>
        <w:ind w:left="120" w:right="132" w:firstLine="0"/>
        <w:jc w:val="left"/>
        <w:rPr>
          <w:sz w:val="16"/>
        </w:rPr>
      </w:pPr>
      <w:r>
        <w:rPr>
          <w:rFonts w:ascii="Times New Roman" w:hAnsi="Times New Roman"/>
          <w:position w:val="7"/>
          <w:sz w:val="13"/>
        </w:rPr>
        <w:t>9</w:t>
      </w:r>
      <w:r>
        <w:rPr>
          <w:sz w:val="16"/>
        </w:rPr>
        <w:t>Son políticas económicas que incluyen la política fiscal (ingreso, gasto y deuda) y la política monetaria (control monetario, tasa de interés y tipo de cambio).</w:t>
      </w:r>
    </w:p>
    <w:p>
      <w:pPr>
        <w:spacing w:after="0" w:line="256" w:lineRule="auto"/>
        <w:jc w:val="left"/>
        <w:rPr>
          <w:sz w:val="16"/>
        </w:rPr>
        <w:sectPr>
          <w:pgSz w:w="12240" w:h="15840"/>
          <w:pgMar w:header="0" w:footer="998" w:top="1420" w:bottom="1180" w:left="1580" w:right="1600"/>
        </w:sectPr>
      </w:pPr>
    </w:p>
    <w:tbl>
      <w:tblPr>
        <w:tblW w:w="0" w:type="auto"/>
        <w:jc w:val="left"/>
        <w:tblInd w:w="2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45"/>
        <w:gridCol w:w="3117"/>
        <w:gridCol w:w="3545"/>
      </w:tblGrid>
      <w:tr>
        <w:trPr>
          <w:trHeight w:val="1504" w:hRule="exact"/>
        </w:trPr>
        <w:tc>
          <w:tcPr>
            <w:tcW w:w="1845" w:type="dxa"/>
            <w:tcBorders>
              <w:top w:val="single" w:sz="11" w:space="0" w:color="808080"/>
              <w:bottom w:val="single" w:sz="11" w:space="0" w:color="808080"/>
            </w:tcBorders>
          </w:tcPr>
          <w:p>
            <w:pPr>
              <w:pStyle w:val="TableParagraph"/>
              <w:rPr>
                <w:sz w:val="16"/>
              </w:rPr>
            </w:pPr>
          </w:p>
          <w:p>
            <w:pPr>
              <w:pStyle w:val="TableParagraph"/>
              <w:rPr>
                <w:sz w:val="16"/>
              </w:rPr>
            </w:pPr>
          </w:p>
          <w:p>
            <w:pPr>
              <w:pStyle w:val="TableParagraph"/>
              <w:spacing w:before="5"/>
              <w:rPr>
                <w:sz w:val="15"/>
              </w:rPr>
            </w:pPr>
          </w:p>
          <w:p>
            <w:pPr>
              <w:pStyle w:val="TableParagraph"/>
              <w:spacing w:before="1"/>
              <w:ind w:left="479" w:right="465" w:firstLine="28"/>
              <w:rPr>
                <w:b/>
                <w:sz w:val="16"/>
              </w:rPr>
            </w:pPr>
            <w:r>
              <w:rPr>
                <w:b/>
                <w:sz w:val="16"/>
              </w:rPr>
              <w:t>Problemas específicos</w:t>
            </w:r>
          </w:p>
        </w:tc>
        <w:tc>
          <w:tcPr>
            <w:tcW w:w="3117" w:type="dxa"/>
            <w:tcBorders>
              <w:top w:val="single" w:sz="11" w:space="0" w:color="808080"/>
              <w:bottom w:val="single" w:sz="11" w:space="0" w:color="808080"/>
            </w:tcBorders>
          </w:tcPr>
          <w:p>
            <w:pPr>
              <w:pStyle w:val="TableParagraph"/>
              <w:rPr>
                <w:sz w:val="16"/>
              </w:rPr>
            </w:pPr>
          </w:p>
          <w:p>
            <w:pPr>
              <w:pStyle w:val="TableParagraph"/>
              <w:spacing w:before="5"/>
              <w:rPr>
                <w:sz w:val="23"/>
              </w:rPr>
            </w:pPr>
          </w:p>
          <w:p>
            <w:pPr>
              <w:pStyle w:val="TableParagraph"/>
              <w:spacing w:before="1"/>
              <w:ind w:left="139" w:right="28" w:hanging="4"/>
              <w:rPr>
                <w:sz w:val="16"/>
              </w:rPr>
            </w:pPr>
            <w:r>
              <w:rPr>
                <w:sz w:val="16"/>
              </w:rPr>
              <w:t>El crecimiento de la producción, el aumento del empleo y la estabilidad de precios.</w:t>
            </w:r>
          </w:p>
        </w:tc>
        <w:tc>
          <w:tcPr>
            <w:tcW w:w="3545" w:type="dxa"/>
            <w:tcBorders>
              <w:top w:val="single" w:sz="11" w:space="0" w:color="808080"/>
              <w:bottom w:val="single" w:sz="11" w:space="0" w:color="808080"/>
            </w:tcBorders>
          </w:tcPr>
          <w:p>
            <w:pPr>
              <w:pStyle w:val="TableParagraph"/>
              <w:ind w:left="104" w:right="260"/>
              <w:rPr>
                <w:sz w:val="16"/>
              </w:rPr>
            </w:pPr>
            <w:r>
              <w:rPr>
                <w:sz w:val="16"/>
              </w:rPr>
              <w:t>El crecimiento de la producción. Desequilibrio fiscal y de balanza de pagos. Escaso o nulo crecimiento del producto y persistentes aumentos de precios (estanflación).</w:t>
            </w:r>
          </w:p>
          <w:p>
            <w:pPr>
              <w:pStyle w:val="TableParagraph"/>
              <w:ind w:left="104" w:right="260"/>
              <w:rPr>
                <w:sz w:val="16"/>
              </w:rPr>
            </w:pPr>
            <w:r>
              <w:rPr>
                <w:sz w:val="16"/>
              </w:rPr>
              <w:t>Bajo desarrollo institucional.</w:t>
            </w:r>
          </w:p>
          <w:p>
            <w:pPr>
              <w:pStyle w:val="TableParagraph"/>
              <w:ind w:left="104" w:right="260"/>
              <w:rPr>
                <w:sz w:val="16"/>
              </w:rPr>
            </w:pPr>
            <w:r>
              <w:rPr>
                <w:sz w:val="16"/>
              </w:rPr>
              <w:t>Prevalencia del Poder Ejecutivo sobre los otros poderes.</w:t>
            </w:r>
          </w:p>
        </w:tc>
      </w:tr>
      <w:tr>
        <w:trPr>
          <w:trHeight w:val="1504" w:hRule="exact"/>
        </w:trPr>
        <w:tc>
          <w:tcPr>
            <w:tcW w:w="1845" w:type="dxa"/>
            <w:tcBorders>
              <w:top w:val="single" w:sz="11" w:space="0" w:color="808080"/>
              <w:bottom w:val="single" w:sz="11" w:space="0" w:color="808080"/>
            </w:tcBorders>
          </w:tcPr>
          <w:p>
            <w:pPr>
              <w:pStyle w:val="TableParagraph"/>
              <w:rPr>
                <w:sz w:val="16"/>
              </w:rPr>
            </w:pPr>
          </w:p>
          <w:p>
            <w:pPr>
              <w:pStyle w:val="TableParagraph"/>
              <w:rPr>
                <w:sz w:val="16"/>
              </w:rPr>
            </w:pPr>
          </w:p>
          <w:p>
            <w:pPr>
              <w:pStyle w:val="TableParagraph"/>
              <w:spacing w:before="2"/>
              <w:rPr>
                <w:sz w:val="15"/>
              </w:rPr>
            </w:pPr>
          </w:p>
          <w:p>
            <w:pPr>
              <w:pStyle w:val="TableParagraph"/>
              <w:ind w:left="483" w:right="470" w:firstLine="8"/>
              <w:rPr>
                <w:b/>
                <w:sz w:val="16"/>
              </w:rPr>
            </w:pPr>
            <w:r>
              <w:rPr>
                <w:b/>
                <w:sz w:val="16"/>
              </w:rPr>
              <w:t>Soluciones específicas</w:t>
            </w:r>
          </w:p>
        </w:tc>
        <w:tc>
          <w:tcPr>
            <w:tcW w:w="3117" w:type="dxa"/>
            <w:tcBorders>
              <w:top w:val="single" w:sz="11" w:space="0" w:color="808080"/>
              <w:bottom w:val="single" w:sz="11" w:space="0" w:color="808080"/>
            </w:tcBorders>
          </w:tcPr>
          <w:p>
            <w:pPr>
              <w:pStyle w:val="TableParagraph"/>
              <w:spacing w:before="2"/>
              <w:rPr>
                <w:sz w:val="15"/>
              </w:rPr>
            </w:pPr>
          </w:p>
          <w:p>
            <w:pPr>
              <w:pStyle w:val="TableParagraph"/>
              <w:ind w:left="103" w:right="28"/>
              <w:rPr>
                <w:sz w:val="16"/>
              </w:rPr>
            </w:pPr>
            <w:r>
              <w:rPr>
                <w:sz w:val="16"/>
              </w:rPr>
              <w:t>UE: Gobernanza.</w:t>
            </w:r>
          </w:p>
          <w:p>
            <w:pPr>
              <w:pStyle w:val="TableParagraph"/>
              <w:ind w:left="103" w:right="28"/>
              <w:rPr>
                <w:sz w:val="16"/>
              </w:rPr>
            </w:pPr>
            <w:r>
              <w:rPr>
                <w:sz w:val="16"/>
              </w:rPr>
              <w:t>Reducción del tamaño del Estado Políticas de ajuste (política económica), cambios institucionales.</w:t>
            </w:r>
          </w:p>
          <w:p>
            <w:pPr>
              <w:pStyle w:val="TableParagraph"/>
              <w:ind w:left="103" w:right="28"/>
              <w:rPr>
                <w:sz w:val="16"/>
              </w:rPr>
            </w:pPr>
            <w:r>
              <w:rPr>
                <w:sz w:val="16"/>
              </w:rPr>
              <w:t>Profesionalización del servicio público.</w:t>
            </w:r>
          </w:p>
        </w:tc>
        <w:tc>
          <w:tcPr>
            <w:tcW w:w="3545" w:type="dxa"/>
            <w:tcBorders>
              <w:top w:val="single" w:sz="11" w:space="0" w:color="808080"/>
              <w:bottom w:val="single" w:sz="11" w:space="0" w:color="808080"/>
            </w:tcBorders>
          </w:tcPr>
          <w:p>
            <w:pPr>
              <w:pStyle w:val="TableParagraph"/>
              <w:spacing w:line="174" w:lineRule="exact"/>
              <w:ind w:left="104" w:right="260"/>
              <w:rPr>
                <w:sz w:val="16"/>
              </w:rPr>
            </w:pPr>
            <w:r>
              <w:rPr>
                <w:sz w:val="16"/>
              </w:rPr>
              <w:t>Nueva Administración Pública.</w:t>
            </w:r>
          </w:p>
          <w:p>
            <w:pPr>
              <w:pStyle w:val="TableParagraph"/>
              <w:ind w:left="104" w:right="260"/>
              <w:rPr>
                <w:sz w:val="16"/>
              </w:rPr>
            </w:pPr>
            <w:r>
              <w:rPr>
                <w:sz w:val="16"/>
              </w:rPr>
              <w:t>Políticas de ajuste (política económica). Reconstrucción del Estado.</w:t>
            </w:r>
          </w:p>
          <w:p>
            <w:pPr>
              <w:pStyle w:val="TableParagraph"/>
              <w:ind w:left="104" w:right="260"/>
              <w:rPr>
                <w:sz w:val="16"/>
              </w:rPr>
            </w:pPr>
            <w:r>
              <w:rPr>
                <w:sz w:val="16"/>
              </w:rPr>
              <w:t>Disminución de las políticas proteccionistas. Cambios institucionales.</w:t>
            </w:r>
          </w:p>
          <w:p>
            <w:pPr>
              <w:pStyle w:val="TableParagraph"/>
              <w:ind w:left="104" w:right="1692"/>
              <w:rPr>
                <w:sz w:val="16"/>
              </w:rPr>
            </w:pPr>
            <w:r>
              <w:rPr>
                <w:sz w:val="16"/>
              </w:rPr>
              <w:t>Control social. Legitimidad. Democracia.</w:t>
            </w:r>
          </w:p>
        </w:tc>
      </w:tr>
    </w:tbl>
    <w:p>
      <w:pPr>
        <w:pStyle w:val="BodyText"/>
        <w:spacing w:before="9"/>
        <w:rPr>
          <w:sz w:val="12"/>
        </w:rPr>
      </w:pPr>
    </w:p>
    <w:p>
      <w:pPr>
        <w:spacing w:before="1"/>
        <w:ind w:left="100" w:right="0" w:firstLine="0"/>
        <w:jc w:val="both"/>
        <w:rPr>
          <w:sz w:val="12"/>
        </w:rPr>
      </w:pPr>
      <w:r>
        <w:rPr>
          <w:sz w:val="12"/>
        </w:rPr>
        <w:t>FUENTE:  Aguilar (2004).</w:t>
      </w:r>
    </w:p>
    <w:p>
      <w:pPr>
        <w:pStyle w:val="BodyText"/>
        <w:spacing w:line="360" w:lineRule="auto" w:before="25"/>
        <w:ind w:left="100" w:right="115" w:firstLine="427"/>
        <w:jc w:val="both"/>
      </w:pPr>
      <w:r>
        <w:rPr/>
        <w:t>Al</w:t>
      </w:r>
      <w:r>
        <w:rPr>
          <w:spacing w:val="-9"/>
        </w:rPr>
        <w:t> </w:t>
      </w:r>
      <w:r>
        <w:rPr/>
        <w:t>concluir</w:t>
      </w:r>
      <w:r>
        <w:rPr>
          <w:spacing w:val="-7"/>
        </w:rPr>
        <w:t> </w:t>
      </w:r>
      <w:r>
        <w:rPr/>
        <w:t>la</w:t>
      </w:r>
      <w:r>
        <w:rPr>
          <w:spacing w:val="-9"/>
        </w:rPr>
        <w:t> </w:t>
      </w:r>
      <w:r>
        <w:rPr/>
        <w:t>década</w:t>
      </w:r>
      <w:r>
        <w:rPr>
          <w:spacing w:val="-9"/>
        </w:rPr>
        <w:t> </w:t>
      </w:r>
      <w:r>
        <w:rPr/>
        <w:t>de</w:t>
      </w:r>
      <w:r>
        <w:rPr>
          <w:spacing w:val="-9"/>
        </w:rPr>
        <w:t> </w:t>
      </w:r>
      <w:r>
        <w:rPr/>
        <w:t>los</w:t>
      </w:r>
      <w:r>
        <w:rPr>
          <w:spacing w:val="-7"/>
        </w:rPr>
        <w:t> </w:t>
      </w:r>
      <w:r>
        <w:rPr/>
        <w:t>años</w:t>
      </w:r>
      <w:r>
        <w:rPr>
          <w:spacing w:val="-7"/>
        </w:rPr>
        <w:t> </w:t>
      </w:r>
      <w:r>
        <w:rPr/>
        <w:t>ochenta</w:t>
      </w:r>
      <w:r>
        <w:rPr>
          <w:spacing w:val="-6"/>
        </w:rPr>
        <w:t> </w:t>
      </w:r>
      <w:r>
        <w:rPr/>
        <w:t>varios</w:t>
      </w:r>
      <w:r>
        <w:rPr>
          <w:spacing w:val="-6"/>
        </w:rPr>
        <w:t> </w:t>
      </w:r>
      <w:r>
        <w:rPr/>
        <w:t>Estados</w:t>
      </w:r>
      <w:r>
        <w:rPr>
          <w:spacing w:val="-7"/>
        </w:rPr>
        <w:t> </w:t>
      </w:r>
      <w:r>
        <w:rPr/>
        <w:t>se</w:t>
      </w:r>
      <w:r>
        <w:rPr>
          <w:spacing w:val="-9"/>
        </w:rPr>
        <w:t> </w:t>
      </w:r>
      <w:r>
        <w:rPr/>
        <w:t>orientaron</w:t>
      </w:r>
      <w:r>
        <w:rPr>
          <w:spacing w:val="-8"/>
        </w:rPr>
        <w:t> </w:t>
      </w:r>
      <w:r>
        <w:rPr/>
        <w:t>a</w:t>
      </w:r>
      <w:r>
        <w:rPr>
          <w:spacing w:val="-9"/>
        </w:rPr>
        <w:t> </w:t>
      </w:r>
      <w:r>
        <w:rPr/>
        <w:t>liberar el mercado mediante la privatización de empresas públicas, lo que causó que el Estado</w:t>
      </w:r>
      <w:r>
        <w:rPr>
          <w:spacing w:val="-18"/>
        </w:rPr>
        <w:t> </w:t>
      </w:r>
      <w:r>
        <w:rPr/>
        <w:t>perdiera</w:t>
      </w:r>
      <w:r>
        <w:rPr>
          <w:spacing w:val="-18"/>
        </w:rPr>
        <w:t> </w:t>
      </w:r>
      <w:r>
        <w:rPr/>
        <w:t>parte</w:t>
      </w:r>
      <w:r>
        <w:rPr>
          <w:spacing w:val="-18"/>
        </w:rPr>
        <w:t> </w:t>
      </w:r>
      <w:r>
        <w:rPr/>
        <w:t>de</w:t>
      </w:r>
      <w:r>
        <w:rPr>
          <w:spacing w:val="-18"/>
        </w:rPr>
        <w:t> </w:t>
      </w:r>
      <w:r>
        <w:rPr/>
        <w:t>su</w:t>
      </w:r>
      <w:r>
        <w:rPr>
          <w:spacing w:val="-18"/>
        </w:rPr>
        <w:t> </w:t>
      </w:r>
      <w:r>
        <w:rPr/>
        <w:t>poder</w:t>
      </w:r>
      <w:r>
        <w:rPr>
          <w:spacing w:val="-12"/>
        </w:rPr>
        <w:t> </w:t>
      </w:r>
      <w:r>
        <w:rPr/>
        <w:t>y</w:t>
      </w:r>
      <w:r>
        <w:rPr>
          <w:spacing w:val="-20"/>
        </w:rPr>
        <w:t> </w:t>
      </w:r>
      <w:r>
        <w:rPr/>
        <w:t>limitó</w:t>
      </w:r>
      <w:r>
        <w:rPr>
          <w:spacing w:val="-18"/>
        </w:rPr>
        <w:t> </w:t>
      </w:r>
      <w:r>
        <w:rPr/>
        <w:t>la</w:t>
      </w:r>
      <w:r>
        <w:rPr>
          <w:spacing w:val="-18"/>
        </w:rPr>
        <w:t> </w:t>
      </w:r>
      <w:r>
        <w:rPr/>
        <w:t>actividad</w:t>
      </w:r>
      <w:r>
        <w:rPr>
          <w:spacing w:val="-18"/>
        </w:rPr>
        <w:t> </w:t>
      </w:r>
      <w:r>
        <w:rPr/>
        <w:t>directiva</w:t>
      </w:r>
      <w:r>
        <w:rPr>
          <w:spacing w:val="-18"/>
        </w:rPr>
        <w:t> </w:t>
      </w:r>
      <w:r>
        <w:rPr/>
        <w:t>del</w:t>
      </w:r>
      <w:r>
        <w:rPr>
          <w:spacing w:val="-17"/>
        </w:rPr>
        <w:t> </w:t>
      </w:r>
      <w:r>
        <w:rPr/>
        <w:t>mismo.</w:t>
      </w:r>
      <w:r>
        <w:rPr>
          <w:spacing w:val="-15"/>
        </w:rPr>
        <w:t> </w:t>
      </w:r>
      <w:r>
        <w:rPr/>
        <w:t>El</w:t>
      </w:r>
      <w:r>
        <w:rPr>
          <w:spacing w:val="-18"/>
        </w:rPr>
        <w:t> </w:t>
      </w:r>
      <w:r>
        <w:rPr/>
        <w:t>cambio de régimen de algunos estados, al pasar de autoritarios a democráticos hizo que éstos redujeran su participación, pero a la vez algunos ganaron</w:t>
      </w:r>
      <w:r>
        <w:rPr>
          <w:spacing w:val="-37"/>
        </w:rPr>
        <w:t> </w:t>
      </w:r>
      <w:r>
        <w:rPr/>
        <w:t>legitimación.</w:t>
      </w:r>
    </w:p>
    <w:p>
      <w:pPr>
        <w:pStyle w:val="BodyText"/>
        <w:spacing w:line="360" w:lineRule="auto" w:before="2"/>
        <w:ind w:left="100" w:right="127" w:firstLine="427"/>
        <w:jc w:val="both"/>
      </w:pPr>
      <w:r>
        <w:rPr/>
        <w:t>Cuando un sistema político logra una democracia, pero sin construir las condiciones</w:t>
      </w:r>
      <w:r>
        <w:rPr>
          <w:spacing w:val="-7"/>
        </w:rPr>
        <w:t> </w:t>
      </w:r>
      <w:r>
        <w:rPr/>
        <w:t>institucionales</w:t>
      </w:r>
      <w:r>
        <w:rPr>
          <w:spacing w:val="-4"/>
        </w:rPr>
        <w:t> </w:t>
      </w:r>
      <w:r>
        <w:rPr/>
        <w:t>y</w:t>
      </w:r>
      <w:r>
        <w:rPr>
          <w:spacing w:val="-11"/>
        </w:rPr>
        <w:t> </w:t>
      </w:r>
      <w:r>
        <w:rPr/>
        <w:t>técnicas</w:t>
      </w:r>
      <w:r>
        <w:rPr>
          <w:spacing w:val="-7"/>
        </w:rPr>
        <w:t> </w:t>
      </w:r>
      <w:r>
        <w:rPr/>
        <w:t>de</w:t>
      </w:r>
      <w:r>
        <w:rPr>
          <w:spacing w:val="-9"/>
        </w:rPr>
        <w:t> </w:t>
      </w:r>
      <w:r>
        <w:rPr/>
        <w:t>la</w:t>
      </w:r>
      <w:r>
        <w:rPr>
          <w:spacing w:val="-5"/>
        </w:rPr>
        <w:t> </w:t>
      </w:r>
      <w:r>
        <w:rPr/>
        <w:t>eficacia</w:t>
      </w:r>
      <w:r>
        <w:rPr>
          <w:spacing w:val="-9"/>
        </w:rPr>
        <w:t> </w:t>
      </w:r>
      <w:r>
        <w:rPr/>
        <w:t>política</w:t>
      </w:r>
      <w:r>
        <w:rPr>
          <w:spacing w:val="-5"/>
        </w:rPr>
        <w:t> </w:t>
      </w:r>
      <w:r>
        <w:rPr/>
        <w:t>y</w:t>
      </w:r>
      <w:r>
        <w:rPr>
          <w:spacing w:val="-11"/>
        </w:rPr>
        <w:t> </w:t>
      </w:r>
      <w:r>
        <w:rPr/>
        <w:t>técnica,</w:t>
      </w:r>
      <w:r>
        <w:rPr>
          <w:spacing w:val="-6"/>
        </w:rPr>
        <w:t> </w:t>
      </w:r>
      <w:r>
        <w:rPr/>
        <w:t>también</w:t>
      </w:r>
      <w:r>
        <w:rPr>
          <w:spacing w:val="-9"/>
        </w:rPr>
        <w:t> </w:t>
      </w:r>
      <w:r>
        <w:rPr/>
        <w:t>gana legitimidad, pero no la capacidad de conducción y</w:t>
      </w:r>
      <w:r>
        <w:rPr>
          <w:spacing w:val="-36"/>
        </w:rPr>
        <w:t> </w:t>
      </w:r>
      <w:r>
        <w:rPr/>
        <w:t>administración.</w:t>
      </w:r>
    </w:p>
    <w:p>
      <w:pPr>
        <w:pStyle w:val="BodyText"/>
        <w:spacing w:line="360" w:lineRule="auto" w:before="6"/>
        <w:ind w:left="100" w:right="121" w:firstLine="427"/>
        <w:jc w:val="both"/>
      </w:pPr>
      <w:r>
        <w:rPr/>
        <w:t>Es importante considerar que la gobernanza surgió de la UE, en países caracterizados por un Estado estable, altos índices de desarrollo humano y una amplia participación ciudadana en los procesos electorales, por mencionar sólo algunas características, por lo que algunos autores consideran que las propuestas de</w:t>
      </w:r>
      <w:r>
        <w:rPr>
          <w:spacing w:val="-13"/>
        </w:rPr>
        <w:t> </w:t>
      </w:r>
      <w:r>
        <w:rPr/>
        <w:t>la</w:t>
      </w:r>
      <w:r>
        <w:rPr>
          <w:spacing w:val="-9"/>
        </w:rPr>
        <w:t> </w:t>
      </w:r>
      <w:r>
        <w:rPr/>
        <w:t>gobernanza</w:t>
      </w:r>
      <w:r>
        <w:rPr>
          <w:spacing w:val="-13"/>
        </w:rPr>
        <w:t> </w:t>
      </w:r>
      <w:r>
        <w:rPr/>
        <w:t>son</w:t>
      </w:r>
      <w:r>
        <w:rPr>
          <w:spacing w:val="-9"/>
        </w:rPr>
        <w:t> </w:t>
      </w:r>
      <w:r>
        <w:rPr>
          <w:spacing w:val="-2"/>
        </w:rPr>
        <w:t>más</w:t>
      </w:r>
      <w:r>
        <w:rPr>
          <w:spacing w:val="-11"/>
        </w:rPr>
        <w:t> </w:t>
      </w:r>
      <w:r>
        <w:rPr/>
        <w:t>fácilmente</w:t>
      </w:r>
      <w:r>
        <w:rPr>
          <w:spacing w:val="-9"/>
        </w:rPr>
        <w:t> </w:t>
      </w:r>
      <w:r>
        <w:rPr/>
        <w:t>aplicables</w:t>
      </w:r>
      <w:r>
        <w:rPr>
          <w:spacing w:val="-11"/>
        </w:rPr>
        <w:t> </w:t>
      </w:r>
      <w:r>
        <w:rPr/>
        <w:t>en</w:t>
      </w:r>
      <w:r>
        <w:rPr>
          <w:spacing w:val="-13"/>
        </w:rPr>
        <w:t> </w:t>
      </w:r>
      <w:r>
        <w:rPr/>
        <w:t>países</w:t>
      </w:r>
      <w:r>
        <w:rPr>
          <w:spacing w:val="-7"/>
        </w:rPr>
        <w:t> </w:t>
      </w:r>
      <w:r>
        <w:rPr/>
        <w:t>avanzados,</w:t>
      </w:r>
      <w:r>
        <w:rPr>
          <w:spacing w:val="-6"/>
        </w:rPr>
        <w:t> </w:t>
      </w:r>
      <w:r>
        <w:rPr/>
        <w:t>que</w:t>
      </w:r>
      <w:r>
        <w:rPr>
          <w:spacing w:val="-13"/>
        </w:rPr>
        <w:t> </w:t>
      </w:r>
      <w:r>
        <w:rPr/>
        <w:t>cuentan con sistemas políticos altamente</w:t>
      </w:r>
      <w:r>
        <w:rPr>
          <w:spacing w:val="-29"/>
        </w:rPr>
        <w:t> </w:t>
      </w:r>
      <w:r>
        <w:rPr/>
        <w:t>funcionales.</w:t>
      </w:r>
    </w:p>
    <w:p>
      <w:pPr>
        <w:pStyle w:val="BodyText"/>
      </w:pPr>
    </w:p>
    <w:p>
      <w:pPr>
        <w:pStyle w:val="BodyText"/>
      </w:pPr>
    </w:p>
    <w:p>
      <w:pPr>
        <w:pStyle w:val="BodyText"/>
      </w:pPr>
    </w:p>
    <w:p>
      <w:pPr>
        <w:pStyle w:val="BodyText"/>
        <w:spacing w:before="10"/>
        <w:rPr>
          <w:sz w:val="25"/>
        </w:rPr>
      </w:pPr>
    </w:p>
    <w:p>
      <w:pPr>
        <w:pStyle w:val="Heading3"/>
        <w:numPr>
          <w:ilvl w:val="2"/>
          <w:numId w:val="7"/>
        </w:numPr>
        <w:tabs>
          <w:tab w:pos="700" w:val="left" w:leader="none"/>
        </w:tabs>
        <w:spacing w:line="240" w:lineRule="auto" w:before="1" w:after="0"/>
        <w:ind w:left="699" w:right="0" w:hanging="599"/>
        <w:jc w:val="both"/>
      </w:pPr>
      <w:bookmarkStart w:name="_bookmark8" w:id="11"/>
      <w:bookmarkEnd w:id="11"/>
      <w:r>
        <w:rPr>
          <w:b w:val="0"/>
        </w:rPr>
      </w:r>
      <w:bookmarkStart w:name="_bookmark8" w:id="12"/>
      <w:bookmarkEnd w:id="12"/>
      <w:r>
        <w:rPr/>
        <w:t>L</w:t>
      </w:r>
      <w:r>
        <w:rPr/>
        <w:t>a despolitización de la política en la</w:t>
      </w:r>
      <w:r>
        <w:rPr>
          <w:spacing w:val="-30"/>
        </w:rPr>
        <w:t> </w:t>
      </w:r>
      <w:r>
        <w:rPr/>
        <w:t>democracia</w:t>
      </w:r>
    </w:p>
    <w:p>
      <w:pPr>
        <w:pStyle w:val="BodyText"/>
        <w:rPr>
          <w:b/>
        </w:rPr>
      </w:pPr>
    </w:p>
    <w:p>
      <w:pPr>
        <w:pStyle w:val="BodyText"/>
        <w:spacing w:before="4"/>
        <w:rPr>
          <w:b/>
        </w:rPr>
      </w:pPr>
    </w:p>
    <w:p>
      <w:pPr>
        <w:spacing w:line="357" w:lineRule="auto" w:before="0"/>
        <w:ind w:left="100" w:right="121" w:firstLine="0"/>
        <w:jc w:val="both"/>
        <w:rPr>
          <w:sz w:val="24"/>
        </w:rPr>
      </w:pPr>
      <w:r>
        <w:rPr>
          <w:sz w:val="24"/>
        </w:rPr>
        <w:t>El</w:t>
      </w:r>
      <w:r>
        <w:rPr>
          <w:spacing w:val="-12"/>
          <w:sz w:val="24"/>
        </w:rPr>
        <w:t> </w:t>
      </w:r>
      <w:r>
        <w:rPr>
          <w:sz w:val="24"/>
        </w:rPr>
        <w:t>estudio</w:t>
      </w:r>
      <w:r>
        <w:rPr>
          <w:spacing w:val="-12"/>
          <w:sz w:val="24"/>
        </w:rPr>
        <w:t> </w:t>
      </w:r>
      <w:r>
        <w:rPr>
          <w:sz w:val="24"/>
        </w:rPr>
        <w:t>de</w:t>
      </w:r>
      <w:r>
        <w:rPr>
          <w:spacing w:val="-9"/>
          <w:sz w:val="24"/>
        </w:rPr>
        <w:t> </w:t>
      </w:r>
      <w:r>
        <w:rPr>
          <w:sz w:val="24"/>
        </w:rPr>
        <w:t>las</w:t>
      </w:r>
      <w:r>
        <w:rPr>
          <w:spacing w:val="-11"/>
          <w:sz w:val="24"/>
        </w:rPr>
        <w:t> </w:t>
      </w:r>
      <w:r>
        <w:rPr>
          <w:sz w:val="24"/>
        </w:rPr>
        <w:t>formas</w:t>
      </w:r>
      <w:r>
        <w:rPr>
          <w:spacing w:val="-11"/>
          <w:sz w:val="24"/>
        </w:rPr>
        <w:t> </w:t>
      </w:r>
      <w:r>
        <w:rPr>
          <w:sz w:val="24"/>
        </w:rPr>
        <w:t>de</w:t>
      </w:r>
      <w:r>
        <w:rPr>
          <w:spacing w:val="-12"/>
          <w:sz w:val="24"/>
        </w:rPr>
        <w:t> </w:t>
      </w:r>
      <w:r>
        <w:rPr>
          <w:sz w:val="24"/>
        </w:rPr>
        <w:t>gobierno</w:t>
      </w:r>
      <w:r>
        <w:rPr>
          <w:spacing w:val="-12"/>
          <w:sz w:val="24"/>
        </w:rPr>
        <w:t> </w:t>
      </w:r>
      <w:r>
        <w:rPr>
          <w:spacing w:val="2"/>
          <w:sz w:val="24"/>
        </w:rPr>
        <w:t>tuvo</w:t>
      </w:r>
      <w:r>
        <w:rPr>
          <w:spacing w:val="-12"/>
          <w:sz w:val="24"/>
        </w:rPr>
        <w:t> </w:t>
      </w:r>
      <w:r>
        <w:rPr>
          <w:sz w:val="24"/>
        </w:rPr>
        <w:t>un</w:t>
      </w:r>
      <w:r>
        <w:rPr>
          <w:spacing w:val="-12"/>
          <w:sz w:val="24"/>
        </w:rPr>
        <w:t> </w:t>
      </w:r>
      <w:r>
        <w:rPr>
          <w:sz w:val="24"/>
        </w:rPr>
        <w:t>inicio</w:t>
      </w:r>
      <w:r>
        <w:rPr>
          <w:spacing w:val="-12"/>
          <w:sz w:val="24"/>
        </w:rPr>
        <w:t> </w:t>
      </w:r>
      <w:r>
        <w:rPr>
          <w:sz w:val="24"/>
        </w:rPr>
        <w:t>filosófico;</w:t>
      </w:r>
      <w:r>
        <w:rPr>
          <w:spacing w:val="-10"/>
          <w:sz w:val="24"/>
        </w:rPr>
        <w:t> </w:t>
      </w:r>
      <w:r>
        <w:rPr>
          <w:sz w:val="24"/>
        </w:rPr>
        <w:t>el</w:t>
      </w:r>
      <w:r>
        <w:rPr>
          <w:spacing w:val="-11"/>
          <w:sz w:val="24"/>
        </w:rPr>
        <w:t> </w:t>
      </w:r>
      <w:r>
        <w:rPr>
          <w:sz w:val="24"/>
        </w:rPr>
        <w:t>primer</w:t>
      </w:r>
      <w:r>
        <w:rPr>
          <w:spacing w:val="-7"/>
          <w:sz w:val="24"/>
        </w:rPr>
        <w:t> </w:t>
      </w:r>
      <w:r>
        <w:rPr>
          <w:sz w:val="24"/>
        </w:rPr>
        <w:t>estudio</w:t>
      </w:r>
      <w:r>
        <w:rPr>
          <w:spacing w:val="-12"/>
          <w:sz w:val="24"/>
        </w:rPr>
        <w:t> </w:t>
      </w:r>
      <w:r>
        <w:rPr>
          <w:sz w:val="24"/>
        </w:rPr>
        <w:t>sobre la</w:t>
      </w:r>
      <w:r>
        <w:rPr>
          <w:spacing w:val="-8"/>
          <w:sz w:val="24"/>
        </w:rPr>
        <w:t> </w:t>
      </w:r>
      <w:r>
        <w:rPr>
          <w:sz w:val="24"/>
        </w:rPr>
        <w:t>forma</w:t>
      </w:r>
      <w:r>
        <w:rPr>
          <w:spacing w:val="-4"/>
          <w:sz w:val="24"/>
        </w:rPr>
        <w:t> </w:t>
      </w:r>
      <w:r>
        <w:rPr>
          <w:sz w:val="24"/>
        </w:rPr>
        <w:t>de</w:t>
      </w:r>
      <w:r>
        <w:rPr>
          <w:spacing w:val="-4"/>
          <w:sz w:val="24"/>
        </w:rPr>
        <w:t> </w:t>
      </w:r>
      <w:r>
        <w:rPr>
          <w:sz w:val="24"/>
        </w:rPr>
        <w:t>gobierno</w:t>
      </w:r>
      <w:r>
        <w:rPr>
          <w:spacing w:val="-8"/>
          <w:sz w:val="24"/>
        </w:rPr>
        <w:t> </w:t>
      </w:r>
      <w:r>
        <w:rPr>
          <w:sz w:val="24"/>
        </w:rPr>
        <w:t>se</w:t>
      </w:r>
      <w:r>
        <w:rPr>
          <w:spacing w:val="-4"/>
          <w:sz w:val="24"/>
        </w:rPr>
        <w:t> </w:t>
      </w:r>
      <w:r>
        <w:rPr>
          <w:sz w:val="24"/>
        </w:rPr>
        <w:t>presentó</w:t>
      </w:r>
      <w:r>
        <w:rPr>
          <w:spacing w:val="-4"/>
          <w:sz w:val="24"/>
        </w:rPr>
        <w:t> </w:t>
      </w:r>
      <w:r>
        <w:rPr>
          <w:sz w:val="24"/>
        </w:rPr>
        <w:t>en</w:t>
      </w:r>
      <w:r>
        <w:rPr>
          <w:spacing w:val="-7"/>
          <w:sz w:val="24"/>
        </w:rPr>
        <w:t> </w:t>
      </w:r>
      <w:r>
        <w:rPr>
          <w:i/>
          <w:sz w:val="24"/>
        </w:rPr>
        <w:t>Los</w:t>
      </w:r>
      <w:r>
        <w:rPr>
          <w:i/>
          <w:spacing w:val="-6"/>
          <w:sz w:val="24"/>
        </w:rPr>
        <w:t> </w:t>
      </w:r>
      <w:r>
        <w:rPr>
          <w:i/>
          <w:sz w:val="24"/>
        </w:rPr>
        <w:t>nueve</w:t>
      </w:r>
      <w:r>
        <w:rPr>
          <w:i/>
          <w:spacing w:val="-8"/>
          <w:sz w:val="24"/>
        </w:rPr>
        <w:t> </w:t>
      </w:r>
      <w:r>
        <w:rPr>
          <w:i/>
          <w:sz w:val="24"/>
        </w:rPr>
        <w:t>libros</w:t>
      </w:r>
      <w:r>
        <w:rPr>
          <w:i/>
          <w:spacing w:val="-2"/>
          <w:sz w:val="24"/>
        </w:rPr>
        <w:t> </w:t>
      </w:r>
      <w:r>
        <w:rPr>
          <w:i/>
          <w:sz w:val="24"/>
        </w:rPr>
        <w:t>de</w:t>
      </w:r>
      <w:r>
        <w:rPr>
          <w:i/>
          <w:spacing w:val="-4"/>
          <w:sz w:val="24"/>
        </w:rPr>
        <w:t> </w:t>
      </w:r>
      <w:r>
        <w:rPr>
          <w:i/>
          <w:sz w:val="24"/>
        </w:rPr>
        <w:t>la</w:t>
      </w:r>
      <w:r>
        <w:rPr>
          <w:i/>
          <w:spacing w:val="-4"/>
          <w:sz w:val="24"/>
        </w:rPr>
        <w:t> </w:t>
      </w:r>
      <w:r>
        <w:rPr>
          <w:i/>
          <w:sz w:val="24"/>
        </w:rPr>
        <w:t>Historia</w:t>
      </w:r>
      <w:r>
        <w:rPr>
          <w:i/>
          <w:spacing w:val="-5"/>
          <w:sz w:val="24"/>
        </w:rPr>
        <w:t> </w:t>
      </w:r>
      <w:r>
        <w:rPr>
          <w:sz w:val="24"/>
        </w:rPr>
        <w:t>(Herodoto)</w:t>
      </w:r>
      <w:r>
        <w:rPr>
          <w:spacing w:val="-6"/>
          <w:sz w:val="24"/>
        </w:rPr>
        <w:t> </w:t>
      </w:r>
      <w:r>
        <w:rPr>
          <w:sz w:val="24"/>
        </w:rPr>
        <w:t>y</w:t>
      </w:r>
      <w:r>
        <w:rPr>
          <w:spacing w:val="-6"/>
          <w:sz w:val="24"/>
        </w:rPr>
        <w:t> </w:t>
      </w:r>
      <w:r>
        <w:rPr>
          <w:i/>
          <w:sz w:val="24"/>
        </w:rPr>
        <w:t>La </w:t>
      </w:r>
      <w:r>
        <w:rPr>
          <w:i/>
          <w:sz w:val="24"/>
        </w:rPr>
        <w:t>Republica</w:t>
      </w:r>
      <w:r>
        <w:rPr>
          <w:i/>
          <w:spacing w:val="-12"/>
          <w:sz w:val="24"/>
        </w:rPr>
        <w:t> </w:t>
      </w:r>
      <w:r>
        <w:rPr>
          <w:sz w:val="24"/>
        </w:rPr>
        <w:t>(Platón).</w:t>
      </w:r>
    </w:p>
    <w:p>
      <w:pPr>
        <w:spacing w:after="0" w:line="357" w:lineRule="auto"/>
        <w:jc w:val="both"/>
        <w:rPr>
          <w:sz w:val="24"/>
        </w:rPr>
        <w:sectPr>
          <w:pgSz w:w="12240" w:h="15840"/>
          <w:pgMar w:header="0" w:footer="998" w:top="1420" w:bottom="1180" w:left="1600" w:right="1580"/>
        </w:sectPr>
      </w:pPr>
    </w:p>
    <w:p>
      <w:pPr>
        <w:pStyle w:val="BodyText"/>
        <w:spacing w:line="362" w:lineRule="auto" w:before="51"/>
        <w:ind w:left="120" w:right="117" w:firstLine="427"/>
        <w:jc w:val="both"/>
      </w:pPr>
      <w:r>
        <w:rPr/>
        <w:t>En </w:t>
      </w:r>
      <w:r>
        <w:rPr>
          <w:i/>
        </w:rPr>
        <w:t>La Republica </w:t>
      </w:r>
      <w:r>
        <w:rPr/>
        <w:t>se consideró a la aristocracia la forma más perfecta de gobierno sobre aquellas formas de gobierno como la timocracia, la oligarquía (que surge cuando los propietarios asumen el poder político) y la democracia (gobierno de las masas), hasta la tiranía.</w:t>
      </w:r>
    </w:p>
    <w:p>
      <w:pPr>
        <w:pStyle w:val="BodyText"/>
        <w:spacing w:line="362" w:lineRule="auto"/>
        <w:ind w:left="120" w:right="120" w:firstLine="427"/>
        <w:jc w:val="both"/>
      </w:pPr>
      <w:r>
        <w:rPr/>
        <w:t>La</w:t>
      </w:r>
      <w:r>
        <w:rPr>
          <w:spacing w:val="-9"/>
        </w:rPr>
        <w:t> </w:t>
      </w:r>
      <w:r>
        <w:rPr/>
        <w:t>obra</w:t>
      </w:r>
      <w:r>
        <w:rPr>
          <w:spacing w:val="-8"/>
        </w:rPr>
        <w:t> </w:t>
      </w:r>
      <w:r>
        <w:rPr>
          <w:i/>
        </w:rPr>
        <w:t>La</w:t>
      </w:r>
      <w:r>
        <w:rPr>
          <w:i/>
          <w:spacing w:val="-9"/>
        </w:rPr>
        <w:t> </w:t>
      </w:r>
      <w:r>
        <w:rPr>
          <w:i/>
        </w:rPr>
        <w:t>política</w:t>
      </w:r>
      <w:r>
        <w:rPr>
          <w:i/>
          <w:spacing w:val="-7"/>
        </w:rPr>
        <w:t> </w:t>
      </w:r>
      <w:r>
        <w:rPr/>
        <w:t>de</w:t>
      </w:r>
      <w:r>
        <w:rPr>
          <w:spacing w:val="-9"/>
        </w:rPr>
        <w:t> </w:t>
      </w:r>
      <w:r>
        <w:rPr/>
        <w:t>Aristóteles</w:t>
      </w:r>
      <w:r>
        <w:rPr>
          <w:spacing w:val="-7"/>
        </w:rPr>
        <w:t> </w:t>
      </w:r>
      <w:r>
        <w:rPr/>
        <w:t>consideró</w:t>
      </w:r>
      <w:r>
        <w:rPr>
          <w:spacing w:val="-5"/>
        </w:rPr>
        <w:t> </w:t>
      </w:r>
      <w:r>
        <w:rPr/>
        <w:t>las</w:t>
      </w:r>
      <w:r>
        <w:rPr>
          <w:spacing w:val="-7"/>
        </w:rPr>
        <w:t> </w:t>
      </w:r>
      <w:r>
        <w:rPr/>
        <w:t>formas</w:t>
      </w:r>
      <w:r>
        <w:rPr>
          <w:spacing w:val="-3"/>
        </w:rPr>
        <w:t> </w:t>
      </w:r>
      <w:r>
        <w:rPr/>
        <w:t>de</w:t>
      </w:r>
      <w:r>
        <w:rPr>
          <w:spacing w:val="-5"/>
        </w:rPr>
        <w:t> </w:t>
      </w:r>
      <w:r>
        <w:rPr/>
        <w:t>gobierno</w:t>
      </w:r>
      <w:r>
        <w:rPr>
          <w:spacing w:val="-9"/>
        </w:rPr>
        <w:t> </w:t>
      </w:r>
      <w:r>
        <w:rPr/>
        <w:t>divididas</w:t>
      </w:r>
      <w:r>
        <w:rPr>
          <w:spacing w:val="-3"/>
        </w:rPr>
        <w:t> </w:t>
      </w:r>
      <w:r>
        <w:rPr/>
        <w:t>en dos grupos: puras (destinadas a realizar el bien de la comunidad) e impuras (que solo toman en cuenta el interés de los gobernantes y desvirtúan su</w:t>
      </w:r>
      <w:r>
        <w:rPr>
          <w:spacing w:val="-39"/>
        </w:rPr>
        <w:t> </w:t>
      </w:r>
      <w:r>
        <w:rPr/>
        <w:t>finalidad):</w:t>
      </w:r>
    </w:p>
    <w:p>
      <w:pPr>
        <w:pStyle w:val="BodyText"/>
      </w:pPr>
    </w:p>
    <w:p>
      <w:pPr>
        <w:spacing w:before="153"/>
        <w:ind w:left="3074" w:right="3074" w:firstLine="0"/>
        <w:jc w:val="center"/>
        <w:rPr>
          <w:sz w:val="20"/>
        </w:rPr>
      </w:pPr>
      <w:bookmarkStart w:name="_bookmark9" w:id="13"/>
      <w:bookmarkEnd w:id="13"/>
      <w:r>
        <w:rPr/>
      </w:r>
      <w:r>
        <w:rPr>
          <w:sz w:val="20"/>
        </w:rPr>
        <w:t>Cuadro 1.4. Formas de gobierno</w:t>
      </w:r>
    </w:p>
    <w:p>
      <w:pPr>
        <w:pStyle w:val="BodyText"/>
        <w:spacing w:before="10"/>
        <w:rPr>
          <w:sz w:val="17"/>
        </w:rPr>
      </w:pPr>
    </w:p>
    <w:tbl>
      <w:tblPr>
        <w:tblW w:w="0" w:type="auto"/>
        <w:jc w:val="left"/>
        <w:tblInd w:w="34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254"/>
        <w:gridCol w:w="4113"/>
      </w:tblGrid>
      <w:tr>
        <w:trPr>
          <w:trHeight w:val="241" w:hRule="exact"/>
        </w:trPr>
        <w:tc>
          <w:tcPr>
            <w:tcW w:w="4254" w:type="dxa"/>
            <w:tcBorders>
              <w:top w:val="single" w:sz="11" w:space="0" w:color="808080"/>
              <w:left w:val="single" w:sz="11" w:space="0" w:color="808080"/>
              <w:bottom w:val="single" w:sz="11" w:space="0" w:color="808080"/>
              <w:right w:val="single" w:sz="11" w:space="0" w:color="808080"/>
            </w:tcBorders>
          </w:tcPr>
          <w:p>
            <w:pPr>
              <w:pStyle w:val="TableParagraph"/>
              <w:spacing w:line="178" w:lineRule="exact"/>
              <w:ind w:left="1865" w:right="1874"/>
              <w:jc w:val="center"/>
              <w:rPr>
                <w:b/>
                <w:sz w:val="16"/>
              </w:rPr>
            </w:pPr>
            <w:r>
              <w:rPr>
                <w:b/>
                <w:sz w:val="16"/>
              </w:rPr>
              <w:t>Puras</w:t>
            </w:r>
          </w:p>
        </w:tc>
        <w:tc>
          <w:tcPr>
            <w:tcW w:w="4113" w:type="dxa"/>
            <w:tcBorders>
              <w:top w:val="single" w:sz="11" w:space="0" w:color="808080"/>
              <w:left w:val="single" w:sz="11" w:space="0" w:color="808080"/>
              <w:bottom w:val="single" w:sz="11" w:space="0" w:color="808080"/>
              <w:right w:val="single" w:sz="11" w:space="0" w:color="808080"/>
            </w:tcBorders>
          </w:tcPr>
          <w:p>
            <w:pPr>
              <w:pStyle w:val="TableParagraph"/>
              <w:spacing w:line="178" w:lineRule="exact"/>
              <w:ind w:left="1710" w:right="1711"/>
              <w:jc w:val="center"/>
              <w:rPr>
                <w:b/>
                <w:sz w:val="16"/>
              </w:rPr>
            </w:pPr>
            <w:r>
              <w:rPr>
                <w:b/>
                <w:sz w:val="16"/>
              </w:rPr>
              <w:t>Impuras</w:t>
            </w:r>
          </w:p>
        </w:tc>
      </w:tr>
      <w:tr>
        <w:trPr>
          <w:trHeight w:val="796" w:hRule="exact"/>
        </w:trPr>
        <w:tc>
          <w:tcPr>
            <w:tcW w:w="4254" w:type="dxa"/>
            <w:tcBorders>
              <w:top w:val="single" w:sz="11" w:space="0" w:color="808080"/>
              <w:bottom w:val="single" w:sz="11" w:space="0" w:color="808080"/>
            </w:tcBorders>
          </w:tcPr>
          <w:p>
            <w:pPr>
              <w:pStyle w:val="TableParagraph"/>
              <w:spacing w:before="9"/>
              <w:ind w:left="415" w:right="61"/>
              <w:rPr>
                <w:sz w:val="16"/>
              </w:rPr>
            </w:pPr>
            <w:r>
              <w:rPr>
                <w:sz w:val="16"/>
              </w:rPr>
              <w:t>La monarquía, que es el gobierno ejercido por una sola persona (aquel Estado en que el poder dirigido al interés común no corresponde más que a uno solo).</w:t>
            </w:r>
          </w:p>
        </w:tc>
        <w:tc>
          <w:tcPr>
            <w:tcW w:w="4113" w:type="dxa"/>
            <w:tcBorders>
              <w:top w:val="single" w:sz="11" w:space="0" w:color="808080"/>
              <w:bottom w:val="single" w:sz="11" w:space="0" w:color="808080"/>
            </w:tcBorders>
          </w:tcPr>
          <w:p>
            <w:pPr>
              <w:pStyle w:val="TableParagraph"/>
              <w:spacing w:before="117"/>
              <w:ind w:left="104"/>
              <w:rPr>
                <w:sz w:val="16"/>
              </w:rPr>
            </w:pPr>
            <w:r>
              <w:rPr>
                <w:i/>
                <w:sz w:val="16"/>
              </w:rPr>
              <w:t>La tiranía </w:t>
            </w:r>
            <w:r>
              <w:rPr>
                <w:sz w:val="16"/>
              </w:rPr>
              <w:t>o degeneración de la monarquía.</w:t>
            </w:r>
          </w:p>
        </w:tc>
      </w:tr>
      <w:tr>
        <w:trPr>
          <w:trHeight w:val="636" w:hRule="exact"/>
        </w:trPr>
        <w:tc>
          <w:tcPr>
            <w:tcW w:w="4254" w:type="dxa"/>
            <w:tcBorders>
              <w:top w:val="single" w:sz="11" w:space="0" w:color="808080"/>
              <w:bottom w:val="single" w:sz="11" w:space="0" w:color="808080"/>
            </w:tcBorders>
          </w:tcPr>
          <w:p>
            <w:pPr>
              <w:pStyle w:val="TableParagraph"/>
              <w:spacing w:before="21"/>
              <w:ind w:left="415" w:right="61"/>
              <w:rPr>
                <w:sz w:val="16"/>
              </w:rPr>
            </w:pPr>
            <w:r>
              <w:rPr>
                <w:sz w:val="16"/>
              </w:rPr>
              <w:t>La aristocracia, que es el gobierno ejercido por una minoría selecta (aquel Estado en que el poder se confía a más de uno).</w:t>
            </w:r>
          </w:p>
        </w:tc>
        <w:tc>
          <w:tcPr>
            <w:tcW w:w="4113" w:type="dxa"/>
            <w:tcBorders>
              <w:top w:val="single" w:sz="11" w:space="0" w:color="808080"/>
              <w:bottom w:val="single" w:sz="11" w:space="0" w:color="808080"/>
            </w:tcBorders>
          </w:tcPr>
          <w:p>
            <w:pPr>
              <w:pStyle w:val="TableParagraph"/>
              <w:spacing w:before="113"/>
              <w:ind w:left="104"/>
              <w:rPr>
                <w:sz w:val="16"/>
              </w:rPr>
            </w:pPr>
            <w:r>
              <w:rPr>
                <w:i/>
                <w:sz w:val="16"/>
              </w:rPr>
              <w:t>La oligarquía </w:t>
            </w:r>
            <w:r>
              <w:rPr>
                <w:sz w:val="16"/>
              </w:rPr>
              <w:t>o forma corrompida de la aristocracia.</w:t>
            </w:r>
          </w:p>
        </w:tc>
      </w:tr>
      <w:tr>
        <w:trPr>
          <w:trHeight w:val="641" w:hRule="exact"/>
        </w:trPr>
        <w:tc>
          <w:tcPr>
            <w:tcW w:w="4254" w:type="dxa"/>
            <w:tcBorders>
              <w:top w:val="single" w:sz="11" w:space="0" w:color="808080"/>
              <w:bottom w:val="single" w:sz="11" w:space="0" w:color="808080"/>
            </w:tcBorders>
          </w:tcPr>
          <w:p>
            <w:pPr>
              <w:pStyle w:val="TableParagraph"/>
              <w:spacing w:before="26"/>
              <w:ind w:left="415" w:right="128"/>
              <w:rPr>
                <w:sz w:val="16"/>
              </w:rPr>
            </w:pPr>
            <w:r>
              <w:rPr>
                <w:sz w:val="16"/>
              </w:rPr>
              <w:t>La democracia, que es el gobierno ejercido por la multitud o mayoría de los ciudadanos (aquel Estado en que la multitud gobierna para la utilidad pública).</w:t>
            </w:r>
          </w:p>
        </w:tc>
        <w:tc>
          <w:tcPr>
            <w:tcW w:w="4113" w:type="dxa"/>
            <w:tcBorders>
              <w:top w:val="single" w:sz="11" w:space="0" w:color="808080"/>
              <w:bottom w:val="single" w:sz="11" w:space="0" w:color="808080"/>
            </w:tcBorders>
          </w:tcPr>
          <w:p>
            <w:pPr>
              <w:pStyle w:val="TableParagraph"/>
              <w:spacing w:before="118"/>
              <w:ind w:left="104"/>
              <w:rPr>
                <w:sz w:val="16"/>
              </w:rPr>
            </w:pPr>
            <w:r>
              <w:rPr>
                <w:i/>
                <w:sz w:val="16"/>
              </w:rPr>
              <w:t>La demagogia </w:t>
            </w:r>
            <w:r>
              <w:rPr>
                <w:sz w:val="16"/>
              </w:rPr>
              <w:t>que también se llama la oclocracia, que es una degeneración de la democracia.</w:t>
            </w:r>
          </w:p>
        </w:tc>
      </w:tr>
    </w:tbl>
    <w:p>
      <w:pPr>
        <w:pStyle w:val="BodyText"/>
        <w:spacing w:before="8"/>
        <w:rPr>
          <w:sz w:val="11"/>
        </w:rPr>
      </w:pPr>
    </w:p>
    <w:p>
      <w:pPr>
        <w:spacing w:before="1"/>
        <w:ind w:left="829" w:right="0" w:firstLine="0"/>
        <w:jc w:val="left"/>
        <w:rPr>
          <w:sz w:val="12"/>
        </w:rPr>
      </w:pPr>
      <w:r>
        <w:rPr>
          <w:sz w:val="12"/>
        </w:rPr>
        <w:t>FUENTE:      Aristóteles. La política.</w:t>
      </w:r>
    </w:p>
    <w:p>
      <w:pPr>
        <w:pStyle w:val="BodyText"/>
        <w:spacing w:before="3"/>
        <w:rPr>
          <w:sz w:val="12"/>
        </w:rPr>
      </w:pPr>
    </w:p>
    <w:p>
      <w:pPr>
        <w:pStyle w:val="BodyText"/>
        <w:spacing w:line="360" w:lineRule="auto"/>
        <w:ind w:left="120" w:right="120" w:firstLine="424"/>
        <w:jc w:val="both"/>
      </w:pPr>
      <w:r>
        <w:rPr/>
        <w:t>A la clasificación de Aristóteles se le han hecho numerosas críticas y contribuciones, señalando otras formas de gobierno. La democracia es la forma de gobierno</w:t>
      </w:r>
      <w:r>
        <w:rPr>
          <w:spacing w:val="-8"/>
        </w:rPr>
        <w:t> </w:t>
      </w:r>
      <w:r>
        <w:rPr/>
        <w:t>que</w:t>
      </w:r>
      <w:r>
        <w:rPr>
          <w:spacing w:val="-8"/>
        </w:rPr>
        <w:t> </w:t>
      </w:r>
      <w:r>
        <w:rPr/>
        <w:t>la</w:t>
      </w:r>
      <w:r>
        <w:rPr>
          <w:spacing w:val="-8"/>
        </w:rPr>
        <w:t> </w:t>
      </w:r>
      <w:r>
        <w:rPr/>
        <w:t>ciencia</w:t>
      </w:r>
      <w:r>
        <w:rPr>
          <w:spacing w:val="-8"/>
        </w:rPr>
        <w:t> </w:t>
      </w:r>
      <w:r>
        <w:rPr/>
        <w:t>política</w:t>
      </w:r>
      <w:r>
        <w:rPr>
          <w:spacing w:val="-8"/>
        </w:rPr>
        <w:t> </w:t>
      </w:r>
      <w:r>
        <w:rPr/>
        <w:t>considera</w:t>
      </w:r>
      <w:r>
        <w:rPr>
          <w:spacing w:val="-8"/>
        </w:rPr>
        <w:t> </w:t>
      </w:r>
      <w:r>
        <w:rPr/>
        <w:t>como</w:t>
      </w:r>
      <w:r>
        <w:rPr>
          <w:spacing w:val="-8"/>
        </w:rPr>
        <w:t> </w:t>
      </w:r>
      <w:r>
        <w:rPr/>
        <w:t>la</w:t>
      </w:r>
      <w:r>
        <w:rPr>
          <w:spacing w:val="-8"/>
        </w:rPr>
        <w:t> </w:t>
      </w:r>
      <w:r>
        <w:rPr/>
        <w:t>más</w:t>
      </w:r>
      <w:r>
        <w:rPr>
          <w:spacing w:val="-6"/>
        </w:rPr>
        <w:t> </w:t>
      </w:r>
      <w:r>
        <w:rPr/>
        <w:t>conveniente</w:t>
      </w:r>
      <w:r>
        <w:rPr>
          <w:spacing w:val="-8"/>
        </w:rPr>
        <w:t> </w:t>
      </w:r>
      <w:r>
        <w:rPr/>
        <w:t>para</w:t>
      </w:r>
      <w:r>
        <w:rPr>
          <w:spacing w:val="-8"/>
        </w:rPr>
        <w:t> </w:t>
      </w:r>
      <w:r>
        <w:rPr/>
        <w:t>generar</w:t>
      </w:r>
      <w:r>
        <w:rPr>
          <w:spacing w:val="-6"/>
        </w:rPr>
        <w:t> </w:t>
      </w:r>
      <w:r>
        <w:rPr/>
        <w:t>la armonía política y</w:t>
      </w:r>
      <w:r>
        <w:rPr>
          <w:spacing w:val="-17"/>
        </w:rPr>
        <w:t> </w:t>
      </w:r>
      <w:r>
        <w:rPr/>
        <w:t>social.</w:t>
      </w:r>
    </w:p>
    <w:p>
      <w:pPr>
        <w:pStyle w:val="BodyText"/>
        <w:spacing w:line="357" w:lineRule="auto" w:before="6"/>
        <w:ind w:left="120" w:right="123" w:firstLine="424"/>
        <w:jc w:val="both"/>
        <w:rPr>
          <w:sz w:val="16"/>
        </w:rPr>
      </w:pPr>
      <w:r>
        <w:rPr/>
        <w:t>Al</w:t>
      </w:r>
      <w:r>
        <w:rPr>
          <w:spacing w:val="-17"/>
        </w:rPr>
        <w:t> </w:t>
      </w:r>
      <w:r>
        <w:rPr/>
        <w:t>respecto</w:t>
      </w:r>
      <w:r>
        <w:rPr>
          <w:spacing w:val="-17"/>
        </w:rPr>
        <w:t> </w:t>
      </w:r>
      <w:r>
        <w:rPr/>
        <w:t>Robert</w:t>
      </w:r>
      <w:r>
        <w:rPr>
          <w:spacing w:val="-14"/>
        </w:rPr>
        <w:t> </w:t>
      </w:r>
      <w:r>
        <w:rPr/>
        <w:t>Dahl</w:t>
      </w:r>
      <w:r>
        <w:rPr>
          <w:spacing w:val="-16"/>
        </w:rPr>
        <w:t> </w:t>
      </w:r>
      <w:r>
        <w:rPr/>
        <w:t>consideró</w:t>
      </w:r>
      <w:r>
        <w:rPr>
          <w:spacing w:val="-17"/>
        </w:rPr>
        <w:t> </w:t>
      </w:r>
      <w:r>
        <w:rPr/>
        <w:t>que</w:t>
      </w:r>
      <w:r>
        <w:rPr>
          <w:spacing w:val="-13"/>
        </w:rPr>
        <w:t> </w:t>
      </w:r>
      <w:r>
        <w:rPr/>
        <w:t>la</w:t>
      </w:r>
      <w:r>
        <w:rPr>
          <w:spacing w:val="-17"/>
        </w:rPr>
        <w:t> </w:t>
      </w:r>
      <w:r>
        <w:rPr/>
        <w:t>democracia</w:t>
      </w:r>
      <w:r>
        <w:rPr>
          <w:spacing w:val="-17"/>
        </w:rPr>
        <w:t> </w:t>
      </w:r>
      <w:r>
        <w:rPr/>
        <w:t>no</w:t>
      </w:r>
      <w:r>
        <w:rPr>
          <w:spacing w:val="-17"/>
        </w:rPr>
        <w:t> </w:t>
      </w:r>
      <w:r>
        <w:rPr/>
        <w:t>necesariamente</w:t>
      </w:r>
      <w:r>
        <w:rPr>
          <w:spacing w:val="-17"/>
        </w:rPr>
        <w:t> </w:t>
      </w:r>
      <w:r>
        <w:rPr/>
        <w:t>ocurre en la realidad, ni ha ocurrido y es posible que no lo ocurra; pero que sí existen estructuras democráticas llamadas </w:t>
      </w:r>
      <w:r>
        <w:rPr>
          <w:i/>
        </w:rPr>
        <w:t>poliarquía</w:t>
      </w:r>
      <w:r>
        <w:rPr/>
        <w:t>, que en un régimen de apertura elevada</w:t>
      </w:r>
      <w:r>
        <w:rPr>
          <w:spacing w:val="-5"/>
        </w:rPr>
        <w:t> </w:t>
      </w:r>
      <w:r>
        <w:rPr/>
        <w:t>con</w:t>
      </w:r>
      <w:r>
        <w:rPr>
          <w:spacing w:val="-5"/>
        </w:rPr>
        <w:t> </w:t>
      </w:r>
      <w:r>
        <w:rPr/>
        <w:t>debate</w:t>
      </w:r>
      <w:r>
        <w:rPr>
          <w:spacing w:val="-5"/>
        </w:rPr>
        <w:t> </w:t>
      </w:r>
      <w:r>
        <w:rPr/>
        <w:t>público;</w:t>
      </w:r>
      <w:r>
        <w:rPr>
          <w:spacing w:val="-3"/>
        </w:rPr>
        <w:t> </w:t>
      </w:r>
      <w:r>
        <w:rPr/>
        <w:t>la</w:t>
      </w:r>
      <w:r>
        <w:rPr>
          <w:spacing w:val="-5"/>
        </w:rPr>
        <w:t> </w:t>
      </w:r>
      <w:r>
        <w:rPr/>
        <w:t>poliarquía</w:t>
      </w:r>
      <w:r>
        <w:rPr>
          <w:spacing w:val="-5"/>
        </w:rPr>
        <w:t> </w:t>
      </w:r>
      <w:r>
        <w:rPr/>
        <w:t>permite</w:t>
      </w:r>
      <w:r>
        <w:rPr>
          <w:spacing w:val="-5"/>
        </w:rPr>
        <w:t> </w:t>
      </w:r>
      <w:r>
        <w:rPr/>
        <w:t>la</w:t>
      </w:r>
      <w:r>
        <w:rPr>
          <w:spacing w:val="-5"/>
        </w:rPr>
        <w:t> </w:t>
      </w:r>
      <w:r>
        <w:rPr/>
        <w:t>participación</w:t>
      </w:r>
      <w:r>
        <w:rPr>
          <w:spacing w:val="-5"/>
        </w:rPr>
        <w:t> </w:t>
      </w:r>
      <w:r>
        <w:rPr/>
        <w:t>de</w:t>
      </w:r>
      <w:r>
        <w:rPr>
          <w:spacing w:val="-5"/>
        </w:rPr>
        <w:t> </w:t>
      </w:r>
      <w:r>
        <w:rPr/>
        <w:t>la</w:t>
      </w:r>
      <w:r>
        <w:rPr>
          <w:spacing w:val="-5"/>
        </w:rPr>
        <w:t> </w:t>
      </w:r>
      <w:r>
        <w:rPr/>
        <w:t>sociedad</w:t>
      </w:r>
      <w:r>
        <w:rPr>
          <w:spacing w:val="-5"/>
        </w:rPr>
        <w:t> </w:t>
      </w:r>
      <w:r>
        <w:rPr/>
        <w:t>en los aspectos</w:t>
      </w:r>
      <w:r>
        <w:rPr>
          <w:spacing w:val="-11"/>
        </w:rPr>
        <w:t> </w:t>
      </w:r>
      <w:r>
        <w:rPr/>
        <w:t>políticos.</w:t>
      </w:r>
      <w:r>
        <w:rPr>
          <w:position w:val="8"/>
          <w:sz w:val="16"/>
        </w:rPr>
        <w:t>10</w:t>
      </w:r>
    </w:p>
    <w:p>
      <w:pPr>
        <w:pStyle w:val="BodyText"/>
        <w:spacing w:line="357" w:lineRule="auto" w:before="5"/>
        <w:ind w:left="120" w:right="121" w:firstLine="427"/>
        <w:jc w:val="both"/>
      </w:pPr>
      <w:r>
        <w:rPr/>
        <w:t>Robert</w:t>
      </w:r>
      <w:r>
        <w:rPr>
          <w:spacing w:val="-9"/>
        </w:rPr>
        <w:t> </w:t>
      </w:r>
      <w:r>
        <w:rPr/>
        <w:t>Dahl</w:t>
      </w:r>
      <w:r>
        <w:rPr>
          <w:spacing w:val="-15"/>
        </w:rPr>
        <w:t> </w:t>
      </w:r>
      <w:r>
        <w:rPr/>
        <w:t>(1992)</w:t>
      </w:r>
      <w:r>
        <w:rPr>
          <w:spacing w:val="-10"/>
        </w:rPr>
        <w:t> </w:t>
      </w:r>
      <w:r>
        <w:rPr/>
        <w:t>mencionó</w:t>
      </w:r>
      <w:r>
        <w:rPr>
          <w:spacing w:val="-12"/>
        </w:rPr>
        <w:t> </w:t>
      </w:r>
      <w:r>
        <w:rPr/>
        <w:t>que</w:t>
      </w:r>
      <w:r>
        <w:rPr>
          <w:spacing w:val="-13"/>
        </w:rPr>
        <w:t> </w:t>
      </w:r>
      <w:r>
        <w:rPr/>
        <w:t>una</w:t>
      </w:r>
      <w:r>
        <w:rPr>
          <w:spacing w:val="-12"/>
        </w:rPr>
        <w:t> </w:t>
      </w:r>
      <w:r>
        <w:rPr/>
        <w:t>poliarquía</w:t>
      </w:r>
      <w:r>
        <w:rPr>
          <w:spacing w:val="-16"/>
        </w:rPr>
        <w:t> </w:t>
      </w:r>
      <w:r>
        <w:rPr/>
        <w:t>considera</w:t>
      </w:r>
      <w:r>
        <w:rPr>
          <w:spacing w:val="-16"/>
        </w:rPr>
        <w:t> </w:t>
      </w:r>
      <w:r>
        <w:rPr/>
        <w:t>que</w:t>
      </w:r>
      <w:r>
        <w:rPr>
          <w:spacing w:val="-16"/>
        </w:rPr>
        <w:t> </w:t>
      </w:r>
      <w:r>
        <w:rPr/>
        <w:t>tanto</w:t>
      </w:r>
      <w:r>
        <w:rPr>
          <w:spacing w:val="-16"/>
        </w:rPr>
        <w:t> </w:t>
      </w:r>
      <w:r>
        <w:rPr/>
        <w:t>el</w:t>
      </w:r>
      <w:r>
        <w:rPr>
          <w:spacing w:val="-15"/>
        </w:rPr>
        <w:t> </w:t>
      </w:r>
      <w:r>
        <w:rPr/>
        <w:t>sistema político como el Estado deben contar con los siguientes</w:t>
      </w:r>
      <w:r>
        <w:rPr>
          <w:spacing w:val="-38"/>
        </w:rPr>
        <w:t> </w:t>
      </w:r>
      <w:r>
        <w:rPr/>
        <w:t>elementos: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2128;mso-wrap-distance-left:0;mso-wrap-distance-right:0" from="85.025002pt,11.518833pt" to="229.075002pt,11.518833pt" stroked="true" strokeweight=".79999pt" strokecolor="#000000">
            <w10:wrap type="topAndBottom"/>
          </v:line>
        </w:pict>
      </w:r>
    </w:p>
    <w:p>
      <w:pPr>
        <w:spacing w:before="59"/>
        <w:ind w:left="120" w:right="0" w:firstLine="0"/>
        <w:jc w:val="left"/>
        <w:rPr>
          <w:sz w:val="16"/>
        </w:rPr>
      </w:pPr>
      <w:r>
        <w:rPr>
          <w:rFonts w:ascii="Times New Roman" w:hAnsi="Times New Roman"/>
          <w:position w:val="7"/>
          <w:sz w:val="13"/>
        </w:rPr>
        <w:t>10</w:t>
      </w:r>
      <w:r>
        <w:rPr>
          <w:sz w:val="16"/>
        </w:rPr>
        <w:t>La existencia de un interés común puede hacer crecer la voluntad política de los gobiernos y gobernados.</w:t>
      </w:r>
    </w:p>
    <w:p>
      <w:pPr>
        <w:spacing w:after="0"/>
        <w:jc w:val="left"/>
        <w:rPr>
          <w:sz w:val="16"/>
        </w:rPr>
        <w:sectPr>
          <w:pgSz w:w="12240" w:h="15840"/>
          <w:pgMar w:header="0" w:footer="998" w:top="1360" w:bottom="1180" w:left="1580" w:right="1580"/>
        </w:sectPr>
      </w:pPr>
    </w:p>
    <w:p>
      <w:pPr>
        <w:pStyle w:val="ListParagraph"/>
        <w:numPr>
          <w:ilvl w:val="0"/>
          <w:numId w:val="17"/>
        </w:numPr>
        <w:tabs>
          <w:tab w:pos="721" w:val="left" w:leader="none"/>
        </w:tabs>
        <w:spacing w:line="360" w:lineRule="auto" w:before="55" w:after="0"/>
        <w:ind w:left="688" w:right="123" w:hanging="284"/>
        <w:jc w:val="both"/>
        <w:rPr>
          <w:sz w:val="24"/>
        </w:rPr>
      </w:pPr>
      <w:r>
        <w:rPr>
          <w:sz w:val="24"/>
        </w:rPr>
        <w:t>Para que el </w:t>
      </w:r>
      <w:hyperlink r:id="rId25">
        <w:r>
          <w:rPr>
            <w:sz w:val="24"/>
          </w:rPr>
          <w:t>sistema político</w:t>
        </w:r>
      </w:hyperlink>
      <w:r>
        <w:rPr>
          <w:sz w:val="24"/>
        </w:rPr>
        <w:t> funcione correctamente los ciudadanos deben poder formular sus preferencias mediante la acción individual o colectiva y lograr</w:t>
      </w:r>
      <w:r>
        <w:rPr>
          <w:spacing w:val="-17"/>
          <w:sz w:val="24"/>
        </w:rPr>
        <w:t> </w:t>
      </w:r>
      <w:r>
        <w:rPr>
          <w:sz w:val="24"/>
        </w:rPr>
        <w:t>que</w:t>
      </w:r>
      <w:r>
        <w:rPr>
          <w:spacing w:val="-19"/>
          <w:sz w:val="24"/>
        </w:rPr>
        <w:t> </w:t>
      </w:r>
      <w:r>
        <w:rPr>
          <w:sz w:val="24"/>
        </w:rPr>
        <w:t>sus</w:t>
      </w:r>
      <w:r>
        <w:rPr>
          <w:spacing w:val="-17"/>
          <w:sz w:val="24"/>
        </w:rPr>
        <w:t> </w:t>
      </w:r>
      <w:r>
        <w:rPr>
          <w:sz w:val="24"/>
        </w:rPr>
        <w:t>preferencias</w:t>
      </w:r>
      <w:r>
        <w:rPr>
          <w:spacing w:val="-17"/>
          <w:sz w:val="24"/>
        </w:rPr>
        <w:t> </w:t>
      </w:r>
      <w:r>
        <w:rPr>
          <w:sz w:val="24"/>
        </w:rPr>
        <w:t>tengan</w:t>
      </w:r>
      <w:r>
        <w:rPr>
          <w:spacing w:val="-19"/>
          <w:sz w:val="24"/>
        </w:rPr>
        <w:t> </w:t>
      </w:r>
      <w:r>
        <w:rPr>
          <w:sz w:val="24"/>
        </w:rPr>
        <w:t>la</w:t>
      </w:r>
      <w:r>
        <w:rPr>
          <w:spacing w:val="-19"/>
          <w:sz w:val="24"/>
        </w:rPr>
        <w:t> </w:t>
      </w:r>
      <w:r>
        <w:rPr>
          <w:sz w:val="24"/>
        </w:rPr>
        <w:t>misma</w:t>
      </w:r>
      <w:r>
        <w:rPr>
          <w:spacing w:val="-19"/>
          <w:sz w:val="24"/>
        </w:rPr>
        <w:t> </w:t>
      </w:r>
      <w:r>
        <w:rPr>
          <w:sz w:val="24"/>
        </w:rPr>
        <w:t>probabilidad</w:t>
      </w:r>
      <w:r>
        <w:rPr>
          <w:spacing w:val="-19"/>
          <w:sz w:val="24"/>
        </w:rPr>
        <w:t> </w:t>
      </w:r>
      <w:r>
        <w:rPr>
          <w:sz w:val="24"/>
        </w:rPr>
        <w:t>de</w:t>
      </w:r>
      <w:r>
        <w:rPr>
          <w:spacing w:val="-19"/>
          <w:sz w:val="24"/>
        </w:rPr>
        <w:t> </w:t>
      </w:r>
      <w:r>
        <w:rPr>
          <w:sz w:val="24"/>
        </w:rPr>
        <w:t>ser</w:t>
      </w:r>
      <w:r>
        <w:rPr>
          <w:spacing w:val="-17"/>
          <w:sz w:val="24"/>
        </w:rPr>
        <w:t> </w:t>
      </w:r>
      <w:r>
        <w:rPr>
          <w:sz w:val="24"/>
        </w:rPr>
        <w:t>consideradas.</w:t>
      </w:r>
    </w:p>
    <w:p>
      <w:pPr>
        <w:pStyle w:val="ListParagraph"/>
        <w:numPr>
          <w:ilvl w:val="0"/>
          <w:numId w:val="17"/>
        </w:numPr>
        <w:tabs>
          <w:tab w:pos="681" w:val="left" w:leader="none"/>
        </w:tabs>
        <w:spacing w:line="360" w:lineRule="auto" w:before="6" w:after="0"/>
        <w:ind w:left="688" w:right="115" w:hanging="284"/>
        <w:jc w:val="both"/>
        <w:rPr>
          <w:sz w:val="24"/>
        </w:rPr>
      </w:pPr>
      <w:r>
        <w:rPr>
          <w:sz w:val="24"/>
        </w:rPr>
        <w:t>El</w:t>
      </w:r>
      <w:r>
        <w:rPr>
          <w:spacing w:val="-9"/>
          <w:sz w:val="24"/>
        </w:rPr>
        <w:t> </w:t>
      </w:r>
      <w:hyperlink r:id="rId26">
        <w:r>
          <w:rPr>
            <w:sz w:val="24"/>
          </w:rPr>
          <w:t>Estado</w:t>
        </w:r>
      </w:hyperlink>
      <w:r>
        <w:rPr>
          <w:spacing w:val="-9"/>
          <w:sz w:val="24"/>
        </w:rPr>
        <w:t> </w:t>
      </w:r>
      <w:r>
        <w:rPr>
          <w:sz w:val="24"/>
        </w:rPr>
        <w:t>debe</w:t>
      </w:r>
      <w:r>
        <w:rPr>
          <w:spacing w:val="-10"/>
          <w:sz w:val="24"/>
        </w:rPr>
        <w:t> </w:t>
      </w:r>
      <w:r>
        <w:rPr>
          <w:sz w:val="24"/>
        </w:rPr>
        <w:t>permitir</w:t>
      </w:r>
      <w:r>
        <w:rPr>
          <w:spacing w:val="-8"/>
          <w:sz w:val="24"/>
        </w:rPr>
        <w:t> </w:t>
      </w:r>
      <w:r>
        <w:rPr>
          <w:sz w:val="24"/>
        </w:rPr>
        <w:t>la</w:t>
      </w:r>
      <w:r>
        <w:rPr>
          <w:spacing w:val="-10"/>
          <w:sz w:val="24"/>
        </w:rPr>
        <w:t> </w:t>
      </w:r>
      <w:r>
        <w:rPr>
          <w:sz w:val="24"/>
        </w:rPr>
        <w:t>libertad</w:t>
      </w:r>
      <w:r>
        <w:rPr>
          <w:spacing w:val="-10"/>
          <w:sz w:val="24"/>
        </w:rPr>
        <w:t> </w:t>
      </w:r>
      <w:r>
        <w:rPr>
          <w:sz w:val="24"/>
        </w:rPr>
        <w:t>de</w:t>
      </w:r>
      <w:r>
        <w:rPr>
          <w:spacing w:val="-10"/>
          <w:sz w:val="24"/>
        </w:rPr>
        <w:t> </w:t>
      </w:r>
      <w:r>
        <w:rPr>
          <w:sz w:val="24"/>
        </w:rPr>
        <w:t>asociación,</w:t>
      </w:r>
      <w:r>
        <w:rPr>
          <w:spacing w:val="-7"/>
          <w:sz w:val="24"/>
        </w:rPr>
        <w:t> </w:t>
      </w:r>
      <w:r>
        <w:rPr>
          <w:sz w:val="24"/>
        </w:rPr>
        <w:t>organización,</w:t>
      </w:r>
      <w:r>
        <w:rPr>
          <w:spacing w:val="-7"/>
          <w:sz w:val="24"/>
        </w:rPr>
        <w:t> </w:t>
      </w:r>
      <w:r>
        <w:rPr>
          <w:sz w:val="24"/>
        </w:rPr>
        <w:t>pensamiento</w:t>
      </w:r>
      <w:r>
        <w:rPr>
          <w:spacing w:val="-10"/>
          <w:sz w:val="24"/>
        </w:rPr>
        <w:t> </w:t>
      </w:r>
      <w:r>
        <w:rPr>
          <w:sz w:val="24"/>
        </w:rPr>
        <w:t>y expresión, el derecho de </w:t>
      </w:r>
      <w:hyperlink r:id="rId27">
        <w:r>
          <w:rPr>
            <w:sz w:val="24"/>
          </w:rPr>
          <w:t>sufragio</w:t>
        </w:r>
      </w:hyperlink>
      <w:r>
        <w:rPr>
          <w:sz w:val="24"/>
        </w:rPr>
        <w:t>, el derecho de competir por el apoyo electoral y de contar con fuentes alternativas de </w:t>
      </w:r>
      <w:hyperlink r:id="rId28">
        <w:r>
          <w:rPr>
            <w:sz w:val="24"/>
          </w:rPr>
          <w:t>información</w:t>
        </w:r>
      </w:hyperlink>
      <w:r>
        <w:rPr>
          <w:sz w:val="24"/>
        </w:rPr>
        <w:t> accesibles, entre otros</w:t>
      </w:r>
      <w:r>
        <w:rPr>
          <w:spacing w:val="-12"/>
          <w:sz w:val="24"/>
        </w:rPr>
        <w:t> </w:t>
      </w:r>
      <w:r>
        <w:rPr>
          <w:sz w:val="24"/>
        </w:rPr>
        <w:t>aspectos.</w:t>
      </w:r>
    </w:p>
    <w:p>
      <w:pPr>
        <w:pStyle w:val="BodyText"/>
      </w:pPr>
    </w:p>
    <w:p>
      <w:pPr>
        <w:pStyle w:val="BodyText"/>
        <w:spacing w:line="360" w:lineRule="auto" w:before="142"/>
        <w:ind w:left="120" w:right="118" w:firstLine="427"/>
        <w:jc w:val="both"/>
      </w:pPr>
      <w:r>
        <w:rPr/>
        <w:t>La antítesis de la propuesta de Dahl la presentó Noam Chomsky, quien consideró que, aunque la democracia significa poder popular, en la realidad la democracia está basada en una distribución altamente asimétrica de los recursos, lo</w:t>
      </w:r>
      <w:r>
        <w:rPr>
          <w:spacing w:val="-9"/>
        </w:rPr>
        <w:t> </w:t>
      </w:r>
      <w:r>
        <w:rPr/>
        <w:t>que</w:t>
      </w:r>
      <w:r>
        <w:rPr>
          <w:spacing w:val="-9"/>
        </w:rPr>
        <w:t> </w:t>
      </w:r>
      <w:r>
        <w:rPr/>
        <w:t>significa</w:t>
      </w:r>
      <w:r>
        <w:rPr>
          <w:spacing w:val="-9"/>
        </w:rPr>
        <w:t> </w:t>
      </w:r>
      <w:r>
        <w:rPr/>
        <w:t>poder,</w:t>
      </w:r>
      <w:r>
        <w:rPr>
          <w:spacing w:val="-6"/>
        </w:rPr>
        <w:t> </w:t>
      </w:r>
      <w:r>
        <w:rPr/>
        <w:t>mas</w:t>
      </w:r>
      <w:r>
        <w:rPr>
          <w:spacing w:val="-7"/>
        </w:rPr>
        <w:t> </w:t>
      </w:r>
      <w:r>
        <w:rPr/>
        <w:t>no</w:t>
      </w:r>
      <w:r>
        <w:rPr>
          <w:spacing w:val="-9"/>
        </w:rPr>
        <w:t> </w:t>
      </w:r>
      <w:r>
        <w:rPr/>
        <w:t>democracia.</w:t>
      </w:r>
      <w:r>
        <w:rPr>
          <w:spacing w:val="-6"/>
        </w:rPr>
        <w:t> </w:t>
      </w:r>
      <w:r>
        <w:rPr/>
        <w:t>Chomsky</w:t>
      </w:r>
      <w:r>
        <w:rPr>
          <w:spacing w:val="-11"/>
        </w:rPr>
        <w:t> </w:t>
      </w:r>
      <w:r>
        <w:rPr/>
        <w:t>consideró</w:t>
      </w:r>
      <w:r>
        <w:rPr>
          <w:spacing w:val="-9"/>
        </w:rPr>
        <w:t> </w:t>
      </w:r>
      <w:r>
        <w:rPr/>
        <w:t>que</w:t>
      </w:r>
      <w:r>
        <w:rPr>
          <w:spacing w:val="-9"/>
        </w:rPr>
        <w:t> </w:t>
      </w:r>
      <w:r>
        <w:rPr/>
        <w:t>la</w:t>
      </w:r>
      <w:r>
        <w:rPr>
          <w:spacing w:val="-9"/>
        </w:rPr>
        <w:t> </w:t>
      </w:r>
      <w:r>
        <w:rPr/>
        <w:t>poliarquía</w:t>
      </w:r>
      <w:r>
        <w:rPr>
          <w:spacing w:val="-9"/>
        </w:rPr>
        <w:t> </w:t>
      </w:r>
      <w:r>
        <w:rPr/>
        <w:t>es un sistema donde solo los gobernantes toman las decisiones y es así como funcionan las sociedades avanzadas, pero no considera que eso pueda denominarse</w:t>
      </w:r>
      <w:r>
        <w:rPr>
          <w:spacing w:val="-12"/>
        </w:rPr>
        <w:t> </w:t>
      </w:r>
      <w:r>
        <w:rPr/>
        <w:t>democracia.</w:t>
      </w:r>
    </w:p>
    <w:p>
      <w:pPr>
        <w:pStyle w:val="BodyText"/>
        <w:spacing w:line="360" w:lineRule="auto" w:before="6"/>
        <w:ind w:left="120" w:right="117" w:firstLine="427"/>
        <w:jc w:val="both"/>
        <w:rPr>
          <w:sz w:val="16"/>
        </w:rPr>
      </w:pPr>
      <w:r>
        <w:rPr/>
        <w:t>Chomsky a la vez, se apoyó en la propuesta de John Dewey, quien afirmó que no puede existir democracia a menos que la industria, el comercio y los medios de comunicación</w:t>
      </w:r>
      <w:r>
        <w:rPr>
          <w:spacing w:val="-22"/>
        </w:rPr>
        <w:t> </w:t>
      </w:r>
      <w:r>
        <w:rPr/>
        <w:t>cambien</w:t>
      </w:r>
      <w:r>
        <w:rPr>
          <w:spacing w:val="-22"/>
        </w:rPr>
        <w:t> </w:t>
      </w:r>
      <w:r>
        <w:rPr/>
        <w:t>radicalmente,</w:t>
      </w:r>
      <w:r>
        <w:rPr>
          <w:spacing w:val="-15"/>
        </w:rPr>
        <w:t> </w:t>
      </w:r>
      <w:r>
        <w:rPr/>
        <w:t>y</w:t>
      </w:r>
      <w:r>
        <w:rPr>
          <w:spacing w:val="-20"/>
        </w:rPr>
        <w:t> </w:t>
      </w:r>
      <w:r>
        <w:rPr/>
        <w:t>en</w:t>
      </w:r>
      <w:r>
        <w:rPr>
          <w:spacing w:val="-22"/>
        </w:rPr>
        <w:t> </w:t>
      </w:r>
      <w:r>
        <w:rPr/>
        <w:t>lugar</w:t>
      </w:r>
      <w:r>
        <w:rPr>
          <w:spacing w:val="-20"/>
        </w:rPr>
        <w:t> </w:t>
      </w:r>
      <w:r>
        <w:rPr/>
        <w:t>de</w:t>
      </w:r>
      <w:r>
        <w:rPr>
          <w:spacing w:val="-22"/>
        </w:rPr>
        <w:t> </w:t>
      </w:r>
      <w:r>
        <w:rPr/>
        <w:t>responder</w:t>
      </w:r>
      <w:r>
        <w:rPr>
          <w:spacing w:val="-20"/>
        </w:rPr>
        <w:t> </w:t>
      </w:r>
      <w:r>
        <w:rPr/>
        <w:t>a</w:t>
      </w:r>
      <w:r>
        <w:rPr>
          <w:spacing w:val="-22"/>
        </w:rPr>
        <w:t> </w:t>
      </w:r>
      <w:r>
        <w:rPr/>
        <w:t>estructuras</w:t>
      </w:r>
      <w:r>
        <w:rPr>
          <w:spacing w:val="-20"/>
        </w:rPr>
        <w:t> </w:t>
      </w:r>
      <w:r>
        <w:rPr/>
        <w:t>de</w:t>
      </w:r>
      <w:r>
        <w:rPr>
          <w:spacing w:val="-18"/>
        </w:rPr>
        <w:t> </w:t>
      </w:r>
      <w:r>
        <w:rPr/>
        <w:t>poder centralizado, respondan al control democrático. Chomsky mencionó que, en la poliarquía, los medios de comunicación venden un candidato, y que en países emergentes la ciudadanía no tiene la capacidad de discernir si el candidato que le presentan los medios de comunicación es el idóneo para</w:t>
      </w:r>
      <w:r>
        <w:rPr>
          <w:spacing w:val="-25"/>
        </w:rPr>
        <w:t> </w:t>
      </w:r>
      <w:r>
        <w:rPr/>
        <w:t>gobernarlos.</w:t>
      </w:r>
      <w:r>
        <w:rPr>
          <w:position w:val="8"/>
          <w:sz w:val="16"/>
        </w:rPr>
        <w:t>11</w:t>
      </w:r>
    </w:p>
    <w:p>
      <w:pPr>
        <w:pStyle w:val="BodyText"/>
        <w:spacing w:line="362" w:lineRule="auto"/>
        <w:ind w:left="120" w:right="120" w:firstLine="427"/>
        <w:jc w:val="both"/>
      </w:pPr>
      <w:r>
        <w:rPr/>
        <w:t>En los países emergentes se prioriza la economía en detrimento de la política por</w:t>
      </w:r>
      <w:r>
        <w:rPr>
          <w:spacing w:val="-11"/>
        </w:rPr>
        <w:t> </w:t>
      </w:r>
      <w:r>
        <w:rPr/>
        <w:t>falta</w:t>
      </w:r>
      <w:r>
        <w:rPr>
          <w:spacing w:val="-13"/>
        </w:rPr>
        <w:t> </w:t>
      </w:r>
      <w:r>
        <w:rPr/>
        <w:t>de</w:t>
      </w:r>
      <w:r>
        <w:rPr>
          <w:spacing w:val="-13"/>
        </w:rPr>
        <w:t> </w:t>
      </w:r>
      <w:r>
        <w:rPr/>
        <w:t>un</w:t>
      </w:r>
      <w:r>
        <w:rPr>
          <w:spacing w:val="-13"/>
        </w:rPr>
        <w:t> </w:t>
      </w:r>
      <w:r>
        <w:rPr/>
        <w:t>sistema</w:t>
      </w:r>
      <w:r>
        <w:rPr>
          <w:spacing w:val="-9"/>
        </w:rPr>
        <w:t> </w:t>
      </w:r>
      <w:r>
        <w:rPr/>
        <w:t>político</w:t>
      </w:r>
      <w:r>
        <w:rPr>
          <w:spacing w:val="-13"/>
        </w:rPr>
        <w:t> </w:t>
      </w:r>
      <w:r>
        <w:rPr/>
        <w:t>sólido,</w:t>
      </w:r>
      <w:r>
        <w:rPr>
          <w:spacing w:val="-6"/>
        </w:rPr>
        <w:t> </w:t>
      </w:r>
      <w:r>
        <w:rPr/>
        <w:t>mientras</w:t>
      </w:r>
      <w:r>
        <w:rPr>
          <w:spacing w:val="-11"/>
        </w:rPr>
        <w:t> </w:t>
      </w:r>
      <w:r>
        <w:rPr/>
        <w:t>que</w:t>
      </w:r>
      <w:r>
        <w:rPr>
          <w:spacing w:val="-9"/>
        </w:rPr>
        <w:t> </w:t>
      </w:r>
      <w:r>
        <w:rPr/>
        <w:t>en</w:t>
      </w:r>
      <w:r>
        <w:rPr>
          <w:spacing w:val="-13"/>
        </w:rPr>
        <w:t> </w:t>
      </w:r>
      <w:r>
        <w:rPr/>
        <w:t>los</w:t>
      </w:r>
      <w:r>
        <w:rPr>
          <w:spacing w:val="-11"/>
        </w:rPr>
        <w:t> </w:t>
      </w:r>
      <w:r>
        <w:rPr/>
        <w:t>países</w:t>
      </w:r>
      <w:r>
        <w:rPr>
          <w:spacing w:val="-7"/>
        </w:rPr>
        <w:t> </w:t>
      </w:r>
      <w:r>
        <w:rPr/>
        <w:t>avanzados</w:t>
      </w:r>
      <w:r>
        <w:rPr>
          <w:spacing w:val="-7"/>
        </w:rPr>
        <w:t> </w:t>
      </w:r>
      <w:r>
        <w:rPr/>
        <w:t>ocurre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2152;mso-wrap-distance-left:0;mso-wrap-distance-right:0" from="85.025002pt,12.474612pt" to="229.075002pt,12.474612pt" stroked="true" strokeweight=".79999pt" strokecolor="#000000">
            <w10:wrap type="topAndBottom"/>
          </v:line>
        </w:pict>
      </w:r>
    </w:p>
    <w:p>
      <w:pPr>
        <w:spacing w:line="256" w:lineRule="auto" w:before="59"/>
        <w:ind w:left="120" w:right="343" w:firstLine="0"/>
        <w:jc w:val="left"/>
        <w:rPr>
          <w:sz w:val="16"/>
        </w:rPr>
      </w:pPr>
      <w:r>
        <w:rPr>
          <w:rFonts w:ascii="Times New Roman"/>
          <w:position w:val="7"/>
          <w:sz w:val="13"/>
        </w:rPr>
        <w:t>11</w:t>
      </w:r>
      <w:r>
        <w:rPr>
          <w:sz w:val="16"/>
        </w:rPr>
        <w:t>Disponible en: </w:t>
      </w:r>
      <w:hyperlink r:id="rId29">
        <w:r>
          <w:rPr>
            <w:sz w:val="16"/>
          </w:rPr>
          <w:t>http://www.cgt.es/descargas/SalaLectura/chomsky-medios-comunicacion.html</w:t>
        </w:r>
      </w:hyperlink>
      <w:r>
        <w:rPr>
          <w:sz w:val="16"/>
        </w:rPr>
        <w:t> [Fecha de consulta: 21 de marzo, 2015]</w:t>
      </w:r>
    </w:p>
    <w:p>
      <w:pPr>
        <w:spacing w:after="0" w:line="256" w:lineRule="auto"/>
        <w:jc w:val="left"/>
        <w:rPr>
          <w:sz w:val="16"/>
        </w:rPr>
        <w:sectPr>
          <w:pgSz w:w="12240" w:h="15840"/>
          <w:pgMar w:header="0" w:footer="998" w:top="1360" w:bottom="1180" w:left="1580" w:right="1580"/>
        </w:sectPr>
      </w:pPr>
    </w:p>
    <w:p>
      <w:pPr>
        <w:pStyle w:val="BodyText"/>
        <w:spacing w:line="357" w:lineRule="auto" w:before="50"/>
        <w:ind w:left="120"/>
      </w:pPr>
      <w:r>
        <w:rPr/>
        <w:t>lo contrario. ¿Cómo se puede evaluar la eficacia, la eficiencia y la economía</w:t>
      </w:r>
      <w:r>
        <w:rPr>
          <w:position w:val="8"/>
          <w:sz w:val="16"/>
        </w:rPr>
        <w:t>12 </w:t>
      </w:r>
      <w:r>
        <w:rPr/>
        <w:t>de la política de un Estado (desempeño del Estado),</w:t>
      </w:r>
      <w:r>
        <w:rPr>
          <w:position w:val="8"/>
          <w:sz w:val="16"/>
        </w:rPr>
        <w:t>13</w:t>
      </w:r>
      <w:r>
        <w:rPr/>
        <w:t>ya sea avanzado o emergente?</w:t>
      </w:r>
    </w:p>
    <w:p>
      <w:pPr>
        <w:pStyle w:val="BodyText"/>
        <w:spacing w:before="2"/>
        <w:rPr>
          <w:sz w:val="36"/>
        </w:rPr>
      </w:pPr>
    </w:p>
    <w:p>
      <w:pPr>
        <w:pStyle w:val="BodyText"/>
        <w:spacing w:line="360" w:lineRule="auto"/>
        <w:ind w:left="120" w:right="119" w:firstLine="427"/>
        <w:jc w:val="both"/>
      </w:pPr>
      <w:r>
        <w:rPr/>
        <w:t>El</w:t>
      </w:r>
      <w:r>
        <w:rPr>
          <w:spacing w:val="-12"/>
        </w:rPr>
        <w:t> </w:t>
      </w:r>
      <w:r>
        <w:rPr/>
        <w:t>incumplimiento</w:t>
      </w:r>
      <w:r>
        <w:rPr>
          <w:spacing w:val="-12"/>
        </w:rPr>
        <w:t> </w:t>
      </w:r>
      <w:r>
        <w:rPr/>
        <w:t>de</w:t>
      </w:r>
      <w:r>
        <w:rPr>
          <w:spacing w:val="-8"/>
        </w:rPr>
        <w:t> </w:t>
      </w:r>
      <w:r>
        <w:rPr/>
        <w:t>un</w:t>
      </w:r>
      <w:r>
        <w:rPr>
          <w:spacing w:val="-12"/>
        </w:rPr>
        <w:t> </w:t>
      </w:r>
      <w:r>
        <w:rPr/>
        <w:t>programa</w:t>
      </w:r>
      <w:r>
        <w:rPr>
          <w:spacing w:val="-12"/>
        </w:rPr>
        <w:t> </w:t>
      </w:r>
      <w:r>
        <w:rPr/>
        <w:t>económico</w:t>
      </w:r>
      <w:r>
        <w:rPr>
          <w:spacing w:val="-8"/>
        </w:rPr>
        <w:t> </w:t>
      </w:r>
      <w:r>
        <w:rPr/>
        <w:t>puede</w:t>
      </w:r>
      <w:r>
        <w:rPr>
          <w:spacing w:val="-12"/>
        </w:rPr>
        <w:t> </w:t>
      </w:r>
      <w:r>
        <w:rPr/>
        <w:t>ser</w:t>
      </w:r>
      <w:r>
        <w:rPr>
          <w:spacing w:val="-10"/>
        </w:rPr>
        <w:t> </w:t>
      </w:r>
      <w:r>
        <w:rPr/>
        <w:t>benéfico</w:t>
      </w:r>
      <w:r>
        <w:rPr>
          <w:spacing w:val="-12"/>
        </w:rPr>
        <w:t> </w:t>
      </w:r>
      <w:r>
        <w:rPr/>
        <w:t>políticamente sólo si ello genera estabilidad política (al menos en el corto plazo). En los países avanzados generalmente tienen sistemas políticos sólidos y la economía les sirve de base para afianzar el poder político, no así en los</w:t>
      </w:r>
      <w:r>
        <w:rPr>
          <w:spacing w:val="-36"/>
        </w:rPr>
        <w:t> </w:t>
      </w:r>
      <w:r>
        <w:rPr/>
        <w:t>emergentes.</w:t>
      </w:r>
    </w:p>
    <w:p>
      <w:pPr>
        <w:pStyle w:val="BodyText"/>
        <w:spacing w:line="360" w:lineRule="auto" w:before="6"/>
        <w:ind w:left="120" w:right="122" w:firstLine="427"/>
        <w:jc w:val="both"/>
      </w:pPr>
      <w:r>
        <w:rPr/>
        <w:t>La gobernanza implica que el Estado debe ser incluyente, compartir el poder con otros actores, por lo que el Estado ya no es el único con poder, pero sí el que lo concentra. Tanto en países avanzados como en los emergentes, el Estado debe conservar su poder coercitivo y su facultad de generar leyes e instituciones.</w:t>
      </w:r>
    </w:p>
    <w:p>
      <w:pPr>
        <w:pStyle w:val="BodyText"/>
        <w:spacing w:line="360" w:lineRule="auto" w:before="5"/>
        <w:ind w:left="120" w:right="118" w:firstLine="427"/>
        <w:jc w:val="both"/>
        <w:rPr>
          <w:sz w:val="16"/>
        </w:rPr>
      </w:pPr>
      <w:r>
        <w:rPr/>
        <w:t>La globalización transforma la política, </w:t>
      </w:r>
      <w:r>
        <w:rPr>
          <w:spacing w:val="-3"/>
        </w:rPr>
        <w:t>ya </w:t>
      </w:r>
      <w:r>
        <w:rPr/>
        <w:t>que el déficit democrático y el descrédito</w:t>
      </w:r>
      <w:r>
        <w:rPr>
          <w:spacing w:val="-11"/>
        </w:rPr>
        <w:t> </w:t>
      </w:r>
      <w:r>
        <w:rPr/>
        <w:t>de</w:t>
      </w:r>
      <w:r>
        <w:rPr>
          <w:spacing w:val="-11"/>
        </w:rPr>
        <w:t> </w:t>
      </w:r>
      <w:r>
        <w:rPr/>
        <w:t>la</w:t>
      </w:r>
      <w:r>
        <w:rPr>
          <w:spacing w:val="-11"/>
        </w:rPr>
        <w:t> </w:t>
      </w:r>
      <w:r>
        <w:rPr/>
        <w:t>política</w:t>
      </w:r>
      <w:r>
        <w:rPr>
          <w:spacing w:val="-11"/>
        </w:rPr>
        <w:t> </w:t>
      </w:r>
      <w:r>
        <w:rPr/>
        <w:t>se</w:t>
      </w:r>
      <w:r>
        <w:rPr>
          <w:spacing w:val="-7"/>
        </w:rPr>
        <w:t> </w:t>
      </w:r>
      <w:r>
        <w:rPr/>
        <w:t>hacen</w:t>
      </w:r>
      <w:r>
        <w:rPr>
          <w:spacing w:val="-7"/>
        </w:rPr>
        <w:t> </w:t>
      </w:r>
      <w:r>
        <w:rPr>
          <w:spacing w:val="-2"/>
        </w:rPr>
        <w:t>más</w:t>
      </w:r>
      <w:r>
        <w:rPr>
          <w:spacing w:val="-5"/>
        </w:rPr>
        <w:t> </w:t>
      </w:r>
      <w:r>
        <w:rPr/>
        <w:t>evidentes</w:t>
      </w:r>
      <w:r>
        <w:rPr>
          <w:spacing w:val="-6"/>
        </w:rPr>
        <w:t> </w:t>
      </w:r>
      <w:r>
        <w:rPr/>
        <w:t>a</w:t>
      </w:r>
      <w:r>
        <w:rPr>
          <w:spacing w:val="-7"/>
        </w:rPr>
        <w:t> </w:t>
      </w:r>
      <w:r>
        <w:rPr/>
        <w:t>la</w:t>
      </w:r>
      <w:r>
        <w:rPr>
          <w:spacing w:val="-11"/>
        </w:rPr>
        <w:t> </w:t>
      </w:r>
      <w:r>
        <w:rPr/>
        <w:t>comunidad</w:t>
      </w:r>
      <w:r>
        <w:rPr>
          <w:spacing w:val="-11"/>
        </w:rPr>
        <w:t> </w:t>
      </w:r>
      <w:r>
        <w:rPr/>
        <w:t>internacional.</w:t>
      </w:r>
      <w:r>
        <w:rPr>
          <w:spacing w:val="-8"/>
        </w:rPr>
        <w:t> </w:t>
      </w:r>
      <w:r>
        <w:rPr/>
        <w:t>Esto hace necesario que la política sea más incluyente y que las instituciones políticas se</w:t>
      </w:r>
      <w:r>
        <w:rPr>
          <w:spacing w:val="-5"/>
        </w:rPr>
        <w:t> </w:t>
      </w:r>
      <w:r>
        <w:rPr>
          <w:i/>
        </w:rPr>
        <w:t>politicen</w:t>
      </w:r>
      <w:r>
        <w:rPr/>
        <w:t>,</w:t>
      </w:r>
      <w:r>
        <w:rPr>
          <w:spacing w:val="-3"/>
        </w:rPr>
        <w:t> </w:t>
      </w:r>
      <w:r>
        <w:rPr/>
        <w:t>es</w:t>
      </w:r>
      <w:r>
        <w:rPr>
          <w:spacing w:val="-3"/>
        </w:rPr>
        <w:t> </w:t>
      </w:r>
      <w:r>
        <w:rPr/>
        <w:t>decir,</w:t>
      </w:r>
      <w:r>
        <w:rPr>
          <w:spacing w:val="-2"/>
        </w:rPr>
        <w:t> </w:t>
      </w:r>
      <w:r>
        <w:rPr/>
        <w:t>que</w:t>
      </w:r>
      <w:r>
        <w:rPr>
          <w:spacing w:val="-5"/>
        </w:rPr>
        <w:t> </w:t>
      </w:r>
      <w:r>
        <w:rPr/>
        <w:t>cumplan</w:t>
      </w:r>
      <w:r>
        <w:rPr>
          <w:spacing w:val="-5"/>
        </w:rPr>
        <w:t> </w:t>
      </w:r>
      <w:r>
        <w:rPr/>
        <w:t>con</w:t>
      </w:r>
      <w:r>
        <w:rPr>
          <w:spacing w:val="-5"/>
        </w:rPr>
        <w:t> </w:t>
      </w:r>
      <w:r>
        <w:rPr/>
        <w:t>su</w:t>
      </w:r>
      <w:r>
        <w:rPr>
          <w:spacing w:val="-5"/>
        </w:rPr>
        <w:t> </w:t>
      </w:r>
      <w:r>
        <w:rPr/>
        <w:t>función</w:t>
      </w:r>
      <w:r>
        <w:rPr>
          <w:spacing w:val="-5"/>
        </w:rPr>
        <w:t> </w:t>
      </w:r>
      <w:r>
        <w:rPr/>
        <w:t>esencial</w:t>
      </w:r>
      <w:r>
        <w:rPr>
          <w:spacing w:val="-5"/>
        </w:rPr>
        <w:t> </w:t>
      </w:r>
      <w:r>
        <w:rPr/>
        <w:t>conferida</w:t>
      </w:r>
      <w:r>
        <w:rPr>
          <w:spacing w:val="-5"/>
        </w:rPr>
        <w:t> </w:t>
      </w:r>
      <w:r>
        <w:rPr/>
        <w:t>por</w:t>
      </w:r>
      <w:r>
        <w:rPr>
          <w:spacing w:val="-3"/>
        </w:rPr>
        <w:t> </w:t>
      </w:r>
      <w:r>
        <w:rPr/>
        <w:t>el</w:t>
      </w:r>
      <w:r>
        <w:rPr>
          <w:spacing w:val="-5"/>
        </w:rPr>
        <w:t> </w:t>
      </w:r>
      <w:r>
        <w:rPr/>
        <w:t>Estado, pero a la vez que se </w:t>
      </w:r>
      <w:r>
        <w:rPr>
          <w:i/>
        </w:rPr>
        <w:t>despoliticen</w:t>
      </w:r>
      <w:r>
        <w:rPr/>
        <w:t>, es decir, que sus acciones no se orienten por las decisiones personales de sus</w:t>
      </w:r>
      <w:r>
        <w:rPr>
          <w:spacing w:val="-13"/>
        </w:rPr>
        <w:t> </w:t>
      </w:r>
      <w:r>
        <w:rPr/>
        <w:t>dirigentes.</w:t>
      </w:r>
      <w:r>
        <w:rPr>
          <w:position w:val="8"/>
          <w:sz w:val="16"/>
        </w:rPr>
        <w:t>14</w:t>
      </w:r>
    </w:p>
    <w:p>
      <w:pPr>
        <w:pStyle w:val="BodyText"/>
        <w:rPr>
          <w:sz w:val="20"/>
        </w:rPr>
      </w:pPr>
    </w:p>
    <w:p>
      <w:pPr>
        <w:pStyle w:val="BodyText"/>
        <w:spacing w:before="11"/>
        <w:rPr>
          <w:sz w:val="18"/>
        </w:rPr>
      </w:pPr>
      <w:r>
        <w:rPr/>
        <w:pict>
          <v:line style="position:absolute;mso-position-horizontal-relative:page;mso-position-vertical-relative:paragraph;z-index:2176;mso-wrap-distance-left:0;mso-wrap-distance-right:0" from="85.025002pt,13.265447pt" to="229.075002pt,13.265447pt" stroked="true" strokeweight=".79999pt" strokecolor="#000000">
            <w10:wrap type="topAndBottom"/>
          </v:line>
        </w:pict>
      </w:r>
    </w:p>
    <w:p>
      <w:pPr>
        <w:spacing w:line="237" w:lineRule="auto" w:before="67"/>
        <w:ind w:left="120" w:right="119" w:firstLine="0"/>
        <w:jc w:val="both"/>
        <w:rPr>
          <w:sz w:val="16"/>
        </w:rPr>
      </w:pPr>
      <w:r>
        <w:rPr>
          <w:rFonts w:ascii="Calibri" w:hAnsi="Calibri"/>
          <w:position w:val="8"/>
          <w:sz w:val="14"/>
        </w:rPr>
        <w:t>12 </w:t>
      </w:r>
      <w:r>
        <w:rPr>
          <w:rFonts w:ascii="Calibri" w:hAnsi="Calibri"/>
          <w:sz w:val="22"/>
        </w:rPr>
        <w:t>“</w:t>
      </w:r>
      <w:r>
        <w:rPr>
          <w:sz w:val="16"/>
        </w:rPr>
        <w:t>La eficacia es un concepto ligado esencialmente al logro de objetivos. Hace referencia a la relación existente entre los objetivos propuestos, los productos o recursos aportados y los objetivos alcanzados. La eficacia consta de dos partes, una relativa a si se han logrado los objetivos de la política; y, otra, sobre si los acontecimientos deseados efectivamente han ocurrido, y si pueden atribuirse a la política aplicada. Para juzgar en qué medida los acontecimientos observados corresponden a la política se requiere efectuar una comparación. Se mide con indicadores estratégicos.</w:t>
      </w:r>
    </w:p>
    <w:p>
      <w:pPr>
        <w:spacing w:before="0"/>
        <w:ind w:left="120" w:right="118" w:firstLine="0"/>
        <w:jc w:val="both"/>
        <w:rPr>
          <w:sz w:val="16"/>
        </w:rPr>
      </w:pPr>
      <w:r>
        <w:rPr>
          <w:sz w:val="16"/>
        </w:rPr>
        <w:t>La</w:t>
      </w:r>
      <w:r>
        <w:rPr>
          <w:spacing w:val="-12"/>
          <w:sz w:val="16"/>
        </w:rPr>
        <w:t> </w:t>
      </w:r>
      <w:r>
        <w:rPr>
          <w:sz w:val="16"/>
        </w:rPr>
        <w:t>eficiencia</w:t>
      </w:r>
      <w:r>
        <w:rPr>
          <w:spacing w:val="-12"/>
          <w:sz w:val="16"/>
        </w:rPr>
        <w:t> </w:t>
      </w:r>
      <w:r>
        <w:rPr>
          <w:sz w:val="16"/>
        </w:rPr>
        <w:t>mide</w:t>
      </w:r>
      <w:r>
        <w:rPr>
          <w:spacing w:val="-8"/>
          <w:sz w:val="16"/>
        </w:rPr>
        <w:t> </w:t>
      </w:r>
      <w:r>
        <w:rPr>
          <w:sz w:val="16"/>
        </w:rPr>
        <w:t>y</w:t>
      </w:r>
      <w:r>
        <w:rPr>
          <w:spacing w:val="-11"/>
          <w:sz w:val="16"/>
        </w:rPr>
        <w:t> </w:t>
      </w:r>
      <w:r>
        <w:rPr>
          <w:sz w:val="16"/>
        </w:rPr>
        <w:t>califica</w:t>
      </w:r>
      <w:r>
        <w:rPr>
          <w:spacing w:val="-8"/>
          <w:sz w:val="16"/>
        </w:rPr>
        <w:t> </w:t>
      </w:r>
      <w:r>
        <w:rPr>
          <w:sz w:val="16"/>
        </w:rPr>
        <w:t>el</w:t>
      </w:r>
      <w:r>
        <w:rPr>
          <w:spacing w:val="-11"/>
          <w:sz w:val="16"/>
        </w:rPr>
        <w:t> </w:t>
      </w:r>
      <w:r>
        <w:rPr>
          <w:sz w:val="16"/>
        </w:rPr>
        <w:t>recorrido</w:t>
      </w:r>
      <w:r>
        <w:rPr>
          <w:spacing w:val="-12"/>
          <w:sz w:val="16"/>
        </w:rPr>
        <w:t> </w:t>
      </w:r>
      <w:r>
        <w:rPr>
          <w:sz w:val="16"/>
        </w:rPr>
        <w:t>entre</w:t>
      </w:r>
      <w:r>
        <w:rPr>
          <w:spacing w:val="-8"/>
          <w:sz w:val="16"/>
        </w:rPr>
        <w:t> </w:t>
      </w:r>
      <w:r>
        <w:rPr>
          <w:sz w:val="16"/>
        </w:rPr>
        <w:t>medios</w:t>
      </w:r>
      <w:r>
        <w:rPr>
          <w:spacing w:val="-11"/>
          <w:sz w:val="16"/>
        </w:rPr>
        <w:t> </w:t>
      </w:r>
      <w:r>
        <w:rPr>
          <w:sz w:val="16"/>
        </w:rPr>
        <w:t>y</w:t>
      </w:r>
      <w:r>
        <w:rPr>
          <w:spacing w:val="-11"/>
          <w:sz w:val="16"/>
        </w:rPr>
        <w:t> </w:t>
      </w:r>
      <w:r>
        <w:rPr>
          <w:sz w:val="16"/>
        </w:rPr>
        <w:t>fines;</w:t>
      </w:r>
      <w:r>
        <w:rPr>
          <w:spacing w:val="-8"/>
          <w:sz w:val="16"/>
        </w:rPr>
        <w:t> </w:t>
      </w:r>
      <w:r>
        <w:rPr>
          <w:sz w:val="16"/>
        </w:rPr>
        <w:t>es</w:t>
      </w:r>
      <w:r>
        <w:rPr>
          <w:spacing w:val="-11"/>
          <w:sz w:val="16"/>
        </w:rPr>
        <w:t> </w:t>
      </w:r>
      <w:r>
        <w:rPr>
          <w:sz w:val="16"/>
        </w:rPr>
        <w:t>la</w:t>
      </w:r>
      <w:r>
        <w:rPr>
          <w:spacing w:val="-7"/>
          <w:sz w:val="16"/>
        </w:rPr>
        <w:t> </w:t>
      </w:r>
      <w:r>
        <w:rPr>
          <w:sz w:val="16"/>
        </w:rPr>
        <w:t>proporción</w:t>
      </w:r>
      <w:r>
        <w:rPr>
          <w:spacing w:val="-12"/>
          <w:sz w:val="16"/>
        </w:rPr>
        <w:t> </w:t>
      </w:r>
      <w:r>
        <w:rPr>
          <w:sz w:val="16"/>
        </w:rPr>
        <w:t>entre</w:t>
      </w:r>
      <w:r>
        <w:rPr>
          <w:spacing w:val="-8"/>
          <w:sz w:val="16"/>
        </w:rPr>
        <w:t> </w:t>
      </w:r>
      <w:r>
        <w:rPr>
          <w:sz w:val="16"/>
        </w:rPr>
        <w:t>la</w:t>
      </w:r>
      <w:r>
        <w:rPr>
          <w:spacing w:val="-4"/>
          <w:sz w:val="16"/>
        </w:rPr>
        <w:t> </w:t>
      </w:r>
      <w:r>
        <w:rPr>
          <w:sz w:val="16"/>
        </w:rPr>
        <w:t>utilización</w:t>
      </w:r>
      <w:r>
        <w:rPr>
          <w:spacing w:val="-12"/>
          <w:sz w:val="16"/>
        </w:rPr>
        <w:t> </w:t>
      </w:r>
      <w:r>
        <w:rPr>
          <w:sz w:val="16"/>
        </w:rPr>
        <w:t>de</w:t>
      </w:r>
      <w:r>
        <w:rPr>
          <w:spacing w:val="-8"/>
          <w:sz w:val="16"/>
        </w:rPr>
        <w:t> </w:t>
      </w:r>
      <w:r>
        <w:rPr>
          <w:sz w:val="16"/>
        </w:rPr>
        <w:t>insumos,</w:t>
      </w:r>
      <w:r>
        <w:rPr>
          <w:spacing w:val="-11"/>
          <w:sz w:val="16"/>
        </w:rPr>
        <w:t> </w:t>
      </w:r>
      <w:r>
        <w:rPr>
          <w:sz w:val="16"/>
        </w:rPr>
        <w:t>recursos,</w:t>
      </w:r>
      <w:r>
        <w:rPr>
          <w:spacing w:val="-8"/>
          <w:sz w:val="16"/>
        </w:rPr>
        <w:t> </w:t>
      </w:r>
      <w:r>
        <w:rPr>
          <w:sz w:val="16"/>
        </w:rPr>
        <w:t>costos, tiempo y forma en la que se relacionan los fines con los medios. A mayor eficiencia más racionalidad y optimización. La eficiencia se mide con indicadores de</w:t>
      </w:r>
      <w:r>
        <w:rPr>
          <w:spacing w:val="-21"/>
          <w:sz w:val="16"/>
        </w:rPr>
        <w:t> </w:t>
      </w:r>
      <w:r>
        <w:rPr>
          <w:sz w:val="16"/>
        </w:rPr>
        <w:t>gestión.</w:t>
      </w:r>
    </w:p>
    <w:p>
      <w:pPr>
        <w:spacing w:before="0"/>
        <w:ind w:left="120" w:right="118" w:firstLine="0"/>
        <w:jc w:val="both"/>
        <w:rPr>
          <w:sz w:val="16"/>
        </w:rPr>
      </w:pPr>
      <w:r>
        <w:rPr>
          <w:sz w:val="16"/>
        </w:rPr>
        <w:t>La economía mide el costo o los recursos aplicados para lograr los objetivos de un programa o política pública contra los resultados obtenidos implica racionalidad, es decir, elegir entre varias opciones la alternativa que conduzca al máximo cumplimiento de los objetivos con el menor gasto presupuestal posible. La principal interrogante es saber si –dentro del contexto</w:t>
      </w:r>
      <w:r>
        <w:rPr>
          <w:spacing w:val="-4"/>
          <w:sz w:val="16"/>
        </w:rPr>
        <w:t> </w:t>
      </w:r>
      <w:r>
        <w:rPr>
          <w:sz w:val="16"/>
        </w:rPr>
        <w:t>político</w:t>
      </w:r>
      <w:r>
        <w:rPr>
          <w:spacing w:val="-1"/>
          <w:sz w:val="16"/>
        </w:rPr>
        <w:t> </w:t>
      </w:r>
      <w:r>
        <w:rPr>
          <w:sz w:val="16"/>
        </w:rPr>
        <w:t>y</w:t>
      </w:r>
      <w:r>
        <w:rPr>
          <w:spacing w:val="-6"/>
          <w:sz w:val="16"/>
        </w:rPr>
        <w:t> </w:t>
      </w:r>
      <w:r>
        <w:rPr>
          <w:sz w:val="16"/>
        </w:rPr>
        <w:t>social</w:t>
      </w:r>
      <w:r>
        <w:rPr>
          <w:spacing w:val="-6"/>
          <w:sz w:val="16"/>
        </w:rPr>
        <w:t> </w:t>
      </w:r>
      <w:r>
        <w:rPr>
          <w:sz w:val="16"/>
        </w:rPr>
        <w:t>específico−</w:t>
      </w:r>
      <w:r>
        <w:rPr>
          <w:spacing w:val="-1"/>
          <w:sz w:val="16"/>
        </w:rPr>
        <w:t> </w:t>
      </w:r>
      <w:r>
        <w:rPr>
          <w:sz w:val="16"/>
        </w:rPr>
        <w:t>los</w:t>
      </w:r>
      <w:r>
        <w:rPr>
          <w:spacing w:val="-6"/>
          <w:sz w:val="16"/>
        </w:rPr>
        <w:t> </w:t>
      </w:r>
      <w:r>
        <w:rPr>
          <w:sz w:val="16"/>
        </w:rPr>
        <w:t>recursos</w:t>
      </w:r>
      <w:r>
        <w:rPr>
          <w:spacing w:val="-3"/>
          <w:sz w:val="16"/>
        </w:rPr>
        <w:t> </w:t>
      </w:r>
      <w:r>
        <w:rPr>
          <w:sz w:val="16"/>
        </w:rPr>
        <w:t>han</w:t>
      </w:r>
      <w:r>
        <w:rPr>
          <w:spacing w:val="-4"/>
          <w:sz w:val="16"/>
        </w:rPr>
        <w:t> </w:t>
      </w:r>
      <w:r>
        <w:rPr>
          <w:sz w:val="16"/>
        </w:rPr>
        <w:t>sido</w:t>
      </w:r>
      <w:r>
        <w:rPr>
          <w:spacing w:val="-3"/>
          <w:sz w:val="16"/>
        </w:rPr>
        <w:t> </w:t>
      </w:r>
      <w:r>
        <w:rPr>
          <w:sz w:val="16"/>
        </w:rPr>
        <w:t>aplicados</w:t>
      </w:r>
      <w:r>
        <w:rPr>
          <w:spacing w:val="1"/>
          <w:sz w:val="16"/>
        </w:rPr>
        <w:t> </w:t>
      </w:r>
      <w:r>
        <w:rPr>
          <w:sz w:val="16"/>
        </w:rPr>
        <w:t>y</w:t>
      </w:r>
      <w:r>
        <w:rPr>
          <w:spacing w:val="-3"/>
          <w:sz w:val="16"/>
        </w:rPr>
        <w:t> </w:t>
      </w:r>
      <w:r>
        <w:rPr>
          <w:sz w:val="16"/>
        </w:rPr>
        <w:t>utilizados</w:t>
      </w:r>
      <w:r>
        <w:rPr>
          <w:spacing w:val="-6"/>
          <w:sz w:val="16"/>
        </w:rPr>
        <w:t> </w:t>
      </w:r>
      <w:r>
        <w:rPr>
          <w:sz w:val="16"/>
        </w:rPr>
        <w:t>de</w:t>
      </w:r>
      <w:r>
        <w:rPr>
          <w:spacing w:val="-1"/>
          <w:sz w:val="16"/>
        </w:rPr>
        <w:t> </w:t>
      </w:r>
      <w:r>
        <w:rPr>
          <w:sz w:val="16"/>
        </w:rPr>
        <w:t>un</w:t>
      </w:r>
      <w:r>
        <w:rPr>
          <w:spacing w:val="-7"/>
          <w:sz w:val="16"/>
        </w:rPr>
        <w:t> </w:t>
      </w:r>
      <w:r>
        <w:rPr>
          <w:sz w:val="16"/>
        </w:rPr>
        <w:t>modo</w:t>
      </w:r>
      <w:r>
        <w:rPr>
          <w:spacing w:val="-3"/>
          <w:sz w:val="16"/>
        </w:rPr>
        <w:t> </w:t>
      </w:r>
      <w:r>
        <w:rPr>
          <w:sz w:val="16"/>
        </w:rPr>
        <w:t>económico</w:t>
      </w:r>
      <w:r>
        <w:rPr>
          <w:spacing w:val="-3"/>
          <w:sz w:val="16"/>
        </w:rPr>
        <w:t> </w:t>
      </w:r>
      <w:r>
        <w:rPr>
          <w:sz w:val="16"/>
        </w:rPr>
        <w:t>para</w:t>
      </w:r>
      <w:r>
        <w:rPr>
          <w:spacing w:val="-1"/>
          <w:sz w:val="16"/>
        </w:rPr>
        <w:t> </w:t>
      </w:r>
      <w:r>
        <w:rPr>
          <w:sz w:val="16"/>
        </w:rPr>
        <w:t>lograr</w:t>
      </w:r>
      <w:r>
        <w:rPr>
          <w:spacing w:val="-4"/>
          <w:sz w:val="16"/>
        </w:rPr>
        <w:t> </w:t>
      </w:r>
      <w:r>
        <w:rPr>
          <w:sz w:val="16"/>
        </w:rPr>
        <w:t>los</w:t>
      </w:r>
      <w:r>
        <w:rPr>
          <w:spacing w:val="-6"/>
          <w:sz w:val="16"/>
        </w:rPr>
        <w:t> </w:t>
      </w:r>
      <w:r>
        <w:rPr>
          <w:sz w:val="16"/>
        </w:rPr>
        <w:t>fines previstos. También se le conoce como valor por dinero o</w:t>
      </w:r>
      <w:r>
        <w:rPr>
          <w:spacing w:val="-18"/>
          <w:sz w:val="16"/>
        </w:rPr>
        <w:t> </w:t>
      </w:r>
      <w:r>
        <w:rPr>
          <w:i/>
          <w:sz w:val="16"/>
        </w:rPr>
        <w:t>valueformoney</w:t>
      </w:r>
      <w:r>
        <w:rPr>
          <w:sz w:val="16"/>
        </w:rPr>
        <w:t>.”</w:t>
      </w:r>
    </w:p>
    <w:p>
      <w:pPr>
        <w:spacing w:before="0"/>
        <w:ind w:left="120" w:right="0" w:firstLine="0"/>
        <w:jc w:val="both"/>
        <w:rPr>
          <w:sz w:val="16"/>
        </w:rPr>
      </w:pPr>
      <w:r>
        <w:rPr>
          <w:sz w:val="16"/>
        </w:rPr>
        <w:t>ASF/AED. </w:t>
      </w:r>
      <w:r>
        <w:rPr>
          <w:i/>
          <w:sz w:val="16"/>
        </w:rPr>
        <w:t>Marco operativo </w:t>
      </w:r>
      <w:r>
        <w:rPr>
          <w:sz w:val="16"/>
        </w:rPr>
        <w:t>(2009: 158-161)</w:t>
      </w:r>
    </w:p>
    <w:p>
      <w:pPr>
        <w:spacing w:line="244" w:lineRule="auto" w:before="0"/>
        <w:ind w:left="120" w:right="118" w:firstLine="0"/>
        <w:jc w:val="both"/>
        <w:rPr>
          <w:sz w:val="16"/>
        </w:rPr>
      </w:pPr>
      <w:r>
        <w:rPr>
          <w:rFonts w:ascii="Calibri" w:hAnsi="Calibri"/>
          <w:position w:val="8"/>
          <w:sz w:val="14"/>
        </w:rPr>
        <w:t>13</w:t>
      </w:r>
      <w:r>
        <w:rPr>
          <w:sz w:val="16"/>
        </w:rPr>
        <w:t>“Todo</w:t>
      </w:r>
      <w:r>
        <w:rPr>
          <w:spacing w:val="-8"/>
          <w:sz w:val="16"/>
        </w:rPr>
        <w:t> </w:t>
      </w:r>
      <w:r>
        <w:rPr>
          <w:sz w:val="16"/>
        </w:rPr>
        <w:t>desempeño</w:t>
      </w:r>
      <w:r>
        <w:rPr>
          <w:spacing w:val="-8"/>
          <w:sz w:val="16"/>
        </w:rPr>
        <w:t> </w:t>
      </w:r>
      <w:r>
        <w:rPr>
          <w:sz w:val="16"/>
        </w:rPr>
        <w:t>se</w:t>
      </w:r>
      <w:r>
        <w:rPr>
          <w:spacing w:val="-12"/>
          <w:sz w:val="16"/>
        </w:rPr>
        <w:t> </w:t>
      </w:r>
      <w:r>
        <w:rPr>
          <w:sz w:val="16"/>
        </w:rPr>
        <w:t>mide</w:t>
      </w:r>
      <w:r>
        <w:rPr>
          <w:spacing w:val="-8"/>
          <w:sz w:val="16"/>
        </w:rPr>
        <w:t> </w:t>
      </w:r>
      <w:r>
        <w:rPr>
          <w:sz w:val="16"/>
        </w:rPr>
        <w:t>por</w:t>
      </w:r>
      <w:r>
        <w:rPr>
          <w:spacing w:val="-8"/>
          <w:sz w:val="16"/>
        </w:rPr>
        <w:t> </w:t>
      </w:r>
      <w:r>
        <w:rPr>
          <w:sz w:val="16"/>
        </w:rPr>
        <w:t>el</w:t>
      </w:r>
      <w:r>
        <w:rPr>
          <w:spacing w:val="-11"/>
          <w:sz w:val="16"/>
        </w:rPr>
        <w:t> </w:t>
      </w:r>
      <w:r>
        <w:rPr>
          <w:sz w:val="16"/>
        </w:rPr>
        <w:t>resultado</w:t>
      </w:r>
      <w:r>
        <w:rPr>
          <w:spacing w:val="-8"/>
          <w:sz w:val="16"/>
        </w:rPr>
        <w:t> </w:t>
      </w:r>
      <w:r>
        <w:rPr>
          <w:sz w:val="16"/>
        </w:rPr>
        <w:t>obtenido</w:t>
      </w:r>
      <w:r>
        <w:rPr>
          <w:spacing w:val="-8"/>
          <w:sz w:val="16"/>
        </w:rPr>
        <w:t> </w:t>
      </w:r>
      <w:r>
        <w:rPr>
          <w:sz w:val="16"/>
        </w:rPr>
        <w:t>y</w:t>
      </w:r>
      <w:r>
        <w:rPr>
          <w:spacing w:val="-11"/>
          <w:sz w:val="16"/>
        </w:rPr>
        <w:t> </w:t>
      </w:r>
      <w:r>
        <w:rPr>
          <w:sz w:val="16"/>
        </w:rPr>
        <w:t>se</w:t>
      </w:r>
      <w:r>
        <w:rPr>
          <w:spacing w:val="-8"/>
          <w:sz w:val="16"/>
        </w:rPr>
        <w:t> </w:t>
      </w:r>
      <w:r>
        <w:rPr>
          <w:sz w:val="16"/>
        </w:rPr>
        <w:t>compara</w:t>
      </w:r>
      <w:r>
        <w:rPr>
          <w:spacing w:val="-12"/>
          <w:sz w:val="16"/>
        </w:rPr>
        <w:t> </w:t>
      </w:r>
      <w:r>
        <w:rPr>
          <w:sz w:val="16"/>
        </w:rPr>
        <w:t>con</w:t>
      </w:r>
      <w:r>
        <w:rPr>
          <w:spacing w:val="-12"/>
          <w:sz w:val="16"/>
        </w:rPr>
        <w:t> </w:t>
      </w:r>
      <w:r>
        <w:rPr>
          <w:sz w:val="16"/>
        </w:rPr>
        <w:t>los</w:t>
      </w:r>
      <w:r>
        <w:rPr>
          <w:spacing w:val="-15"/>
          <w:sz w:val="16"/>
        </w:rPr>
        <w:t> </w:t>
      </w:r>
      <w:r>
        <w:rPr>
          <w:sz w:val="16"/>
        </w:rPr>
        <w:t>costos</w:t>
      </w:r>
      <w:r>
        <w:rPr>
          <w:spacing w:val="-7"/>
          <w:sz w:val="16"/>
        </w:rPr>
        <w:t> </w:t>
      </w:r>
      <w:r>
        <w:rPr>
          <w:sz w:val="16"/>
        </w:rPr>
        <w:t>y</w:t>
      </w:r>
      <w:r>
        <w:rPr>
          <w:spacing w:val="-15"/>
          <w:sz w:val="16"/>
        </w:rPr>
        <w:t> </w:t>
      </w:r>
      <w:r>
        <w:rPr>
          <w:sz w:val="16"/>
        </w:rPr>
        <w:t>otras</w:t>
      </w:r>
      <w:r>
        <w:rPr>
          <w:spacing w:val="-15"/>
          <w:sz w:val="16"/>
        </w:rPr>
        <w:t> </w:t>
      </w:r>
      <w:r>
        <w:rPr>
          <w:sz w:val="16"/>
        </w:rPr>
        <w:t>circunstancias</w:t>
      </w:r>
      <w:r>
        <w:rPr>
          <w:spacing w:val="-15"/>
          <w:sz w:val="16"/>
        </w:rPr>
        <w:t> </w:t>
      </w:r>
      <w:r>
        <w:rPr>
          <w:sz w:val="16"/>
        </w:rPr>
        <w:t>adversas</w:t>
      </w:r>
      <w:r>
        <w:rPr>
          <w:spacing w:val="-8"/>
          <w:sz w:val="16"/>
        </w:rPr>
        <w:t> </w:t>
      </w:r>
      <w:r>
        <w:rPr>
          <w:sz w:val="16"/>
        </w:rPr>
        <w:t>que</w:t>
      </w:r>
      <w:r>
        <w:rPr>
          <w:spacing w:val="-4"/>
          <w:sz w:val="16"/>
        </w:rPr>
        <w:t> </w:t>
      </w:r>
      <w:r>
        <w:rPr>
          <w:sz w:val="16"/>
        </w:rPr>
        <w:t>hacen improbable su realización. </w:t>
      </w:r>
      <w:r>
        <w:rPr>
          <w:spacing w:val="2"/>
          <w:sz w:val="16"/>
        </w:rPr>
        <w:t>En </w:t>
      </w:r>
      <w:r>
        <w:rPr>
          <w:sz w:val="16"/>
        </w:rPr>
        <w:t>virtud del desempeño se logran objetivos y metas que </w:t>
      </w:r>
      <w:r>
        <w:rPr>
          <w:spacing w:val="-3"/>
          <w:sz w:val="16"/>
        </w:rPr>
        <w:t>no </w:t>
      </w:r>
      <w:r>
        <w:rPr>
          <w:sz w:val="16"/>
        </w:rPr>
        <w:t>se obtendrían mediante la inacción. De</w:t>
      </w:r>
      <w:r>
        <w:rPr>
          <w:spacing w:val="-3"/>
          <w:sz w:val="16"/>
        </w:rPr>
        <w:t> ahí </w:t>
      </w:r>
      <w:r>
        <w:rPr>
          <w:sz w:val="16"/>
        </w:rPr>
        <w:t>que haya nacido una</w:t>
      </w:r>
      <w:r>
        <w:rPr>
          <w:spacing w:val="-3"/>
          <w:sz w:val="16"/>
        </w:rPr>
        <w:t> </w:t>
      </w:r>
      <w:r>
        <w:rPr>
          <w:sz w:val="16"/>
        </w:rPr>
        <w:t>corriente</w:t>
      </w:r>
      <w:r>
        <w:rPr>
          <w:spacing w:val="-4"/>
          <w:sz w:val="16"/>
        </w:rPr>
        <w:t> </w:t>
      </w:r>
      <w:r>
        <w:rPr>
          <w:sz w:val="16"/>
        </w:rPr>
        <w:t>académica, hoy</w:t>
      </w:r>
      <w:r>
        <w:rPr>
          <w:spacing w:val="-6"/>
          <w:sz w:val="16"/>
        </w:rPr>
        <w:t> </w:t>
      </w:r>
      <w:r>
        <w:rPr>
          <w:sz w:val="16"/>
        </w:rPr>
        <w:t>predominante</w:t>
      </w:r>
      <w:r>
        <w:rPr>
          <w:spacing w:val="-4"/>
          <w:sz w:val="16"/>
        </w:rPr>
        <w:t> </w:t>
      </w:r>
      <w:r>
        <w:rPr>
          <w:sz w:val="16"/>
        </w:rPr>
        <w:t>en</w:t>
      </w:r>
      <w:r>
        <w:rPr>
          <w:spacing w:val="-4"/>
          <w:sz w:val="16"/>
        </w:rPr>
        <w:t> </w:t>
      </w:r>
      <w:r>
        <w:rPr>
          <w:sz w:val="16"/>
        </w:rPr>
        <w:t>los</w:t>
      </w:r>
      <w:r>
        <w:rPr>
          <w:spacing w:val="-6"/>
          <w:sz w:val="16"/>
        </w:rPr>
        <w:t> </w:t>
      </w:r>
      <w:r>
        <w:rPr>
          <w:sz w:val="16"/>
        </w:rPr>
        <w:t>círculos</w:t>
      </w:r>
      <w:r>
        <w:rPr>
          <w:spacing w:val="-6"/>
          <w:sz w:val="16"/>
        </w:rPr>
        <w:t> </w:t>
      </w:r>
      <w:r>
        <w:rPr>
          <w:sz w:val="16"/>
        </w:rPr>
        <w:t>especializados</w:t>
      </w:r>
      <w:r>
        <w:rPr>
          <w:spacing w:val="-6"/>
          <w:sz w:val="16"/>
        </w:rPr>
        <w:t> </w:t>
      </w:r>
      <w:r>
        <w:rPr>
          <w:sz w:val="16"/>
        </w:rPr>
        <w:t>en</w:t>
      </w:r>
      <w:r>
        <w:rPr>
          <w:spacing w:val="-7"/>
          <w:sz w:val="16"/>
        </w:rPr>
        <w:t> </w:t>
      </w:r>
      <w:r>
        <w:rPr>
          <w:sz w:val="16"/>
        </w:rPr>
        <w:t>el</w:t>
      </w:r>
      <w:r>
        <w:rPr>
          <w:spacing w:val="-6"/>
          <w:sz w:val="16"/>
        </w:rPr>
        <w:t> </w:t>
      </w:r>
      <w:r>
        <w:rPr>
          <w:sz w:val="16"/>
        </w:rPr>
        <w:t>estudio</w:t>
      </w:r>
      <w:r>
        <w:rPr>
          <w:spacing w:val="-3"/>
          <w:sz w:val="16"/>
        </w:rPr>
        <w:t> </w:t>
      </w:r>
      <w:r>
        <w:rPr>
          <w:sz w:val="16"/>
        </w:rPr>
        <w:t>de</w:t>
      </w:r>
      <w:r>
        <w:rPr>
          <w:spacing w:val="-3"/>
          <w:sz w:val="16"/>
        </w:rPr>
        <w:t> </w:t>
      </w:r>
      <w:r>
        <w:rPr>
          <w:sz w:val="16"/>
        </w:rPr>
        <w:t>la</w:t>
      </w:r>
      <w:r>
        <w:rPr>
          <w:spacing w:val="-3"/>
          <w:sz w:val="16"/>
        </w:rPr>
        <w:t> </w:t>
      </w:r>
      <w:r>
        <w:rPr>
          <w:sz w:val="16"/>
        </w:rPr>
        <w:t>acción gubernamental que se le denomina behaviorismo o conductismo que estudia el comportamiento de grupos, instituciones, procesos</w:t>
      </w:r>
      <w:r>
        <w:rPr>
          <w:spacing w:val="-7"/>
          <w:sz w:val="16"/>
        </w:rPr>
        <w:t> </w:t>
      </w:r>
      <w:r>
        <w:rPr>
          <w:sz w:val="16"/>
        </w:rPr>
        <w:t>o</w:t>
      </w:r>
      <w:r>
        <w:rPr>
          <w:spacing w:val="-2"/>
          <w:sz w:val="16"/>
        </w:rPr>
        <w:t> </w:t>
      </w:r>
      <w:r>
        <w:rPr>
          <w:sz w:val="16"/>
        </w:rPr>
        <w:t>sistemas.</w:t>
      </w:r>
      <w:r>
        <w:rPr>
          <w:spacing w:val="-4"/>
          <w:sz w:val="16"/>
        </w:rPr>
        <w:t> </w:t>
      </w:r>
      <w:r>
        <w:rPr>
          <w:sz w:val="16"/>
        </w:rPr>
        <w:t>El</w:t>
      </w:r>
      <w:r>
        <w:rPr>
          <w:spacing w:val="-7"/>
          <w:sz w:val="16"/>
        </w:rPr>
        <w:t> </w:t>
      </w:r>
      <w:r>
        <w:rPr>
          <w:sz w:val="16"/>
        </w:rPr>
        <w:t>desempeño</w:t>
      </w:r>
      <w:r>
        <w:rPr>
          <w:spacing w:val="-4"/>
          <w:sz w:val="16"/>
        </w:rPr>
        <w:t> </w:t>
      </w:r>
      <w:r>
        <w:rPr>
          <w:sz w:val="16"/>
        </w:rPr>
        <w:t>del</w:t>
      </w:r>
      <w:r>
        <w:rPr>
          <w:spacing w:val="-7"/>
          <w:sz w:val="16"/>
        </w:rPr>
        <w:t> </w:t>
      </w:r>
      <w:r>
        <w:rPr>
          <w:sz w:val="16"/>
        </w:rPr>
        <w:t>gobierno</w:t>
      </w:r>
      <w:r>
        <w:rPr>
          <w:spacing w:val="-1"/>
          <w:sz w:val="16"/>
        </w:rPr>
        <w:t> </w:t>
      </w:r>
      <w:r>
        <w:rPr>
          <w:sz w:val="16"/>
        </w:rPr>
        <w:t>se</w:t>
      </w:r>
      <w:r>
        <w:rPr>
          <w:spacing w:val="-4"/>
          <w:sz w:val="16"/>
        </w:rPr>
        <w:t> </w:t>
      </w:r>
      <w:r>
        <w:rPr>
          <w:sz w:val="16"/>
        </w:rPr>
        <w:t>relaciona</w:t>
      </w:r>
      <w:r>
        <w:rPr>
          <w:spacing w:val="-4"/>
          <w:sz w:val="16"/>
        </w:rPr>
        <w:t> </w:t>
      </w:r>
      <w:r>
        <w:rPr>
          <w:sz w:val="16"/>
        </w:rPr>
        <w:t>con</w:t>
      </w:r>
      <w:r>
        <w:rPr>
          <w:spacing w:val="-8"/>
          <w:sz w:val="16"/>
        </w:rPr>
        <w:t> </w:t>
      </w:r>
      <w:r>
        <w:rPr>
          <w:sz w:val="16"/>
        </w:rPr>
        <w:t>los</w:t>
      </w:r>
      <w:r>
        <w:rPr>
          <w:spacing w:val="-7"/>
          <w:sz w:val="16"/>
        </w:rPr>
        <w:t> </w:t>
      </w:r>
      <w:r>
        <w:rPr>
          <w:sz w:val="16"/>
        </w:rPr>
        <w:t>tres</w:t>
      </w:r>
      <w:r>
        <w:rPr>
          <w:spacing w:val="-7"/>
          <w:sz w:val="16"/>
        </w:rPr>
        <w:t> </w:t>
      </w:r>
      <w:r>
        <w:rPr>
          <w:sz w:val="16"/>
        </w:rPr>
        <w:t>tiempos</w:t>
      </w:r>
      <w:r>
        <w:rPr>
          <w:spacing w:val="-7"/>
          <w:sz w:val="16"/>
        </w:rPr>
        <w:t> </w:t>
      </w:r>
      <w:r>
        <w:rPr>
          <w:sz w:val="16"/>
        </w:rPr>
        <w:t>simples:</w:t>
      </w:r>
      <w:r>
        <w:rPr>
          <w:spacing w:val="-4"/>
          <w:sz w:val="16"/>
        </w:rPr>
        <w:t> </w:t>
      </w:r>
      <w:r>
        <w:rPr>
          <w:sz w:val="16"/>
        </w:rPr>
        <w:t>con</w:t>
      </w:r>
      <w:r>
        <w:rPr>
          <w:spacing w:val="-8"/>
          <w:sz w:val="16"/>
        </w:rPr>
        <w:t> </w:t>
      </w:r>
      <w:r>
        <w:rPr>
          <w:sz w:val="16"/>
        </w:rPr>
        <w:t>el</w:t>
      </w:r>
      <w:r>
        <w:rPr>
          <w:spacing w:val="-7"/>
          <w:sz w:val="16"/>
        </w:rPr>
        <w:t> </w:t>
      </w:r>
      <w:r>
        <w:rPr>
          <w:sz w:val="16"/>
        </w:rPr>
        <w:t>pasado</w:t>
      </w:r>
      <w:r>
        <w:rPr>
          <w:spacing w:val="-4"/>
          <w:sz w:val="16"/>
        </w:rPr>
        <w:t> </w:t>
      </w:r>
      <w:r>
        <w:rPr>
          <w:sz w:val="16"/>
        </w:rPr>
        <w:t>para</w:t>
      </w:r>
      <w:r>
        <w:rPr>
          <w:spacing w:val="-1"/>
          <w:sz w:val="16"/>
        </w:rPr>
        <w:t> </w:t>
      </w:r>
      <w:r>
        <w:rPr>
          <w:sz w:val="16"/>
        </w:rPr>
        <w:t>saber</w:t>
      </w:r>
      <w:r>
        <w:rPr>
          <w:spacing w:val="-5"/>
          <w:sz w:val="16"/>
        </w:rPr>
        <w:t> </w:t>
      </w:r>
      <w:r>
        <w:rPr>
          <w:sz w:val="16"/>
        </w:rPr>
        <w:t>qué</w:t>
      </w:r>
      <w:r>
        <w:rPr>
          <w:spacing w:val="-1"/>
          <w:sz w:val="16"/>
        </w:rPr>
        <w:t> </w:t>
      </w:r>
      <w:r>
        <w:rPr>
          <w:sz w:val="16"/>
        </w:rPr>
        <w:t>se pudo hacer y qué experiencias proporciona la historia; con el presente para hacer el máximo posible “aquí y ahora”; y con el futuro para preparar el camino de lo que falta por hacer. Por lo tanto, el desempeño del gobierno se relaciona con: Primero, alcanzar la mayor</w:t>
      </w:r>
      <w:r>
        <w:rPr>
          <w:spacing w:val="-4"/>
          <w:sz w:val="16"/>
        </w:rPr>
        <w:t> </w:t>
      </w:r>
      <w:r>
        <w:rPr>
          <w:sz w:val="16"/>
        </w:rPr>
        <w:t>cantidad</w:t>
      </w:r>
      <w:r>
        <w:rPr>
          <w:spacing w:val="-3"/>
          <w:sz w:val="16"/>
        </w:rPr>
        <w:t> </w:t>
      </w:r>
      <w:r>
        <w:rPr>
          <w:sz w:val="16"/>
        </w:rPr>
        <w:t>posible</w:t>
      </w:r>
      <w:r>
        <w:rPr>
          <w:spacing w:val="-3"/>
          <w:sz w:val="16"/>
        </w:rPr>
        <w:t> </w:t>
      </w:r>
      <w:r>
        <w:rPr>
          <w:sz w:val="16"/>
        </w:rPr>
        <w:t>de</w:t>
      </w:r>
      <w:r>
        <w:rPr>
          <w:spacing w:val="-3"/>
          <w:sz w:val="16"/>
        </w:rPr>
        <w:t> </w:t>
      </w:r>
      <w:r>
        <w:rPr>
          <w:sz w:val="16"/>
        </w:rPr>
        <w:t>cada uno de los</w:t>
      </w:r>
      <w:r>
        <w:rPr>
          <w:spacing w:val="-6"/>
          <w:sz w:val="16"/>
        </w:rPr>
        <w:t> </w:t>
      </w:r>
      <w:r>
        <w:rPr>
          <w:sz w:val="16"/>
        </w:rPr>
        <w:t>múltiples</w:t>
      </w:r>
      <w:r>
        <w:rPr>
          <w:spacing w:val="-3"/>
          <w:sz w:val="16"/>
        </w:rPr>
        <w:t> </w:t>
      </w:r>
      <w:r>
        <w:rPr>
          <w:sz w:val="16"/>
        </w:rPr>
        <w:t>valores</w:t>
      </w:r>
      <w:r>
        <w:rPr>
          <w:spacing w:val="-6"/>
          <w:sz w:val="16"/>
        </w:rPr>
        <w:t> </w:t>
      </w:r>
      <w:r>
        <w:rPr>
          <w:sz w:val="16"/>
        </w:rPr>
        <w:t>que el</w:t>
      </w:r>
      <w:r>
        <w:rPr>
          <w:spacing w:val="-6"/>
          <w:sz w:val="16"/>
        </w:rPr>
        <w:t> </w:t>
      </w:r>
      <w:r>
        <w:rPr>
          <w:sz w:val="16"/>
        </w:rPr>
        <w:t>pueblo</w:t>
      </w:r>
      <w:r>
        <w:rPr>
          <w:spacing w:val="-3"/>
          <w:sz w:val="16"/>
        </w:rPr>
        <w:t> </w:t>
      </w:r>
      <w:r>
        <w:rPr>
          <w:sz w:val="16"/>
        </w:rPr>
        <w:t>desea</w:t>
      </w:r>
      <w:r>
        <w:rPr>
          <w:spacing w:val="-3"/>
          <w:sz w:val="16"/>
        </w:rPr>
        <w:t> </w:t>
      </w:r>
      <w:r>
        <w:rPr>
          <w:sz w:val="16"/>
        </w:rPr>
        <w:t>ahora.</w:t>
      </w:r>
    </w:p>
    <w:p>
      <w:pPr>
        <w:spacing w:line="240" w:lineRule="auto" w:before="0"/>
        <w:ind w:left="120" w:right="119" w:firstLine="0"/>
        <w:jc w:val="both"/>
        <w:rPr>
          <w:sz w:val="16"/>
        </w:rPr>
      </w:pPr>
      <w:r>
        <w:rPr>
          <w:sz w:val="16"/>
        </w:rPr>
        <w:t>Segundo, mantener la búsqueda de estos valores lo más compatible con el futuro inmediato. Tercero, preservar y aumentar la capacidad para buscar nuevos valores y alcanzarlos. ”ASF/AED. </w:t>
      </w:r>
      <w:r>
        <w:rPr>
          <w:i/>
          <w:sz w:val="16"/>
        </w:rPr>
        <w:t>Marco operativo </w:t>
      </w:r>
      <w:r>
        <w:rPr>
          <w:sz w:val="16"/>
        </w:rPr>
        <w:t>(2009: 157)</w:t>
      </w:r>
    </w:p>
    <w:p>
      <w:pPr>
        <w:spacing w:line="247" w:lineRule="auto" w:before="0"/>
        <w:ind w:left="120" w:right="114" w:firstLine="0"/>
        <w:jc w:val="both"/>
        <w:rPr>
          <w:sz w:val="16"/>
        </w:rPr>
      </w:pPr>
      <w:r>
        <w:rPr>
          <w:rFonts w:ascii="Times New Roman" w:hAnsi="Times New Roman"/>
          <w:position w:val="7"/>
          <w:sz w:val="13"/>
        </w:rPr>
        <w:t>14</w:t>
      </w:r>
      <w:r>
        <w:rPr>
          <w:sz w:val="16"/>
        </w:rPr>
        <w:t>Otro significado de politizar se refiere a dar una dimensión política a acontecimientos no políticos o para crear un ambiente de opinión triunfalista, mientras que despolitizar es despojar de significado político (o de pasiones políticas) a temas y cuestiones no políticas y que se manejen de manera más técnica y objetiva.</w:t>
      </w:r>
    </w:p>
    <w:p>
      <w:pPr>
        <w:spacing w:line="179" w:lineRule="exact" w:before="0"/>
        <w:ind w:left="120" w:right="0" w:firstLine="0"/>
        <w:jc w:val="both"/>
        <w:rPr>
          <w:sz w:val="16"/>
        </w:rPr>
      </w:pPr>
      <w:r>
        <w:rPr>
          <w:sz w:val="16"/>
        </w:rPr>
        <w:t>Disponible en: </w:t>
      </w:r>
      <w:hyperlink r:id="rId30">
        <w:r>
          <w:rPr>
            <w:sz w:val="16"/>
          </w:rPr>
          <w:t>http://diccionario.inep.org/index.html</w:t>
        </w:r>
      </w:hyperlink>
    </w:p>
    <w:p>
      <w:pPr>
        <w:spacing w:after="0" w:line="179" w:lineRule="exact"/>
        <w:jc w:val="both"/>
        <w:rPr>
          <w:sz w:val="16"/>
        </w:rPr>
        <w:sectPr>
          <w:pgSz w:w="12240" w:h="15840"/>
          <w:pgMar w:header="0" w:footer="998" w:top="1360" w:bottom="1180" w:left="1580" w:right="1580"/>
        </w:sectPr>
      </w:pPr>
    </w:p>
    <w:p>
      <w:pPr>
        <w:pStyle w:val="BodyText"/>
        <w:spacing w:line="362" w:lineRule="auto" w:before="55"/>
        <w:ind w:left="120" w:right="125" w:firstLine="427"/>
        <w:jc w:val="both"/>
      </w:pPr>
      <w:r>
        <w:rPr/>
        <w:t>Joan Prats Catalá (Prats, 2005: 146) mencionó que los procesos que contribuyen en la crisis y cambio de la política actual son los siguientes:</w:t>
      </w:r>
    </w:p>
    <w:p>
      <w:pPr>
        <w:pStyle w:val="BodyText"/>
      </w:pPr>
    </w:p>
    <w:p>
      <w:pPr>
        <w:pStyle w:val="ListParagraph"/>
        <w:numPr>
          <w:ilvl w:val="0"/>
          <w:numId w:val="18"/>
        </w:numPr>
        <w:tabs>
          <w:tab w:pos="841" w:val="left" w:leader="none"/>
        </w:tabs>
        <w:spacing w:line="360" w:lineRule="auto" w:before="139" w:after="0"/>
        <w:ind w:left="841" w:right="120" w:hanging="361"/>
        <w:jc w:val="both"/>
        <w:rPr>
          <w:sz w:val="24"/>
        </w:rPr>
      </w:pPr>
      <w:r>
        <w:rPr>
          <w:sz w:val="24"/>
        </w:rPr>
        <w:t>La política se redescubre y revaloriza al percibirse los límites de la tecnocracia. Ahora hay </w:t>
      </w:r>
      <w:r>
        <w:rPr>
          <w:spacing w:val="-2"/>
          <w:sz w:val="24"/>
        </w:rPr>
        <w:t>más </w:t>
      </w:r>
      <w:r>
        <w:rPr>
          <w:sz w:val="24"/>
        </w:rPr>
        <w:t>conciencia de nuestros límites. Las decisiones públicas </w:t>
      </w:r>
      <w:r>
        <w:rPr>
          <w:spacing w:val="-3"/>
          <w:sz w:val="24"/>
        </w:rPr>
        <w:t>ya </w:t>
      </w:r>
      <w:r>
        <w:rPr>
          <w:sz w:val="24"/>
        </w:rPr>
        <w:t>no se legitiman sólo en la técnica, por lo que se hace necesario el</w:t>
      </w:r>
      <w:r>
        <w:rPr>
          <w:spacing w:val="-10"/>
          <w:sz w:val="24"/>
        </w:rPr>
        <w:t> </w:t>
      </w:r>
      <w:r>
        <w:rPr>
          <w:sz w:val="24"/>
        </w:rPr>
        <w:t>consenso.</w:t>
      </w:r>
    </w:p>
    <w:p>
      <w:pPr>
        <w:pStyle w:val="ListParagraph"/>
        <w:numPr>
          <w:ilvl w:val="0"/>
          <w:numId w:val="18"/>
        </w:numPr>
        <w:tabs>
          <w:tab w:pos="841" w:val="left" w:leader="none"/>
        </w:tabs>
        <w:spacing w:line="360" w:lineRule="auto" w:before="6" w:after="0"/>
        <w:ind w:left="841" w:right="122" w:hanging="361"/>
        <w:jc w:val="both"/>
        <w:rPr>
          <w:sz w:val="24"/>
        </w:rPr>
      </w:pPr>
      <w:r>
        <w:rPr>
          <w:sz w:val="24"/>
        </w:rPr>
        <w:t>La política entra en descrédito por la inadecuación de las instituciones políticas</w:t>
      </w:r>
      <w:r>
        <w:rPr>
          <w:spacing w:val="-15"/>
          <w:sz w:val="24"/>
        </w:rPr>
        <w:t> </w:t>
      </w:r>
      <w:r>
        <w:rPr>
          <w:sz w:val="24"/>
        </w:rPr>
        <w:t>y</w:t>
      </w:r>
      <w:r>
        <w:rPr>
          <w:spacing w:val="-22"/>
          <w:sz w:val="24"/>
        </w:rPr>
        <w:t> </w:t>
      </w:r>
      <w:r>
        <w:rPr>
          <w:sz w:val="24"/>
        </w:rPr>
        <w:t>administrativas,</w:t>
      </w:r>
      <w:r>
        <w:rPr>
          <w:spacing w:val="-18"/>
          <w:sz w:val="24"/>
        </w:rPr>
        <w:t> </w:t>
      </w:r>
      <w:r>
        <w:rPr>
          <w:sz w:val="24"/>
        </w:rPr>
        <w:t>que</w:t>
      </w:r>
      <w:r>
        <w:rPr>
          <w:spacing w:val="-20"/>
          <w:sz w:val="24"/>
        </w:rPr>
        <w:t> </w:t>
      </w:r>
      <w:r>
        <w:rPr>
          <w:sz w:val="24"/>
        </w:rPr>
        <w:t>propician</w:t>
      </w:r>
      <w:r>
        <w:rPr>
          <w:spacing w:val="-20"/>
          <w:sz w:val="24"/>
        </w:rPr>
        <w:t> </w:t>
      </w:r>
      <w:r>
        <w:rPr>
          <w:sz w:val="24"/>
        </w:rPr>
        <w:t>un</w:t>
      </w:r>
      <w:r>
        <w:rPr>
          <w:spacing w:val="-17"/>
          <w:sz w:val="24"/>
        </w:rPr>
        <w:t> </w:t>
      </w:r>
      <w:r>
        <w:rPr>
          <w:sz w:val="24"/>
        </w:rPr>
        <w:t>marco</w:t>
      </w:r>
      <w:r>
        <w:rPr>
          <w:spacing w:val="-20"/>
          <w:sz w:val="24"/>
        </w:rPr>
        <w:t> </w:t>
      </w:r>
      <w:r>
        <w:rPr>
          <w:sz w:val="24"/>
        </w:rPr>
        <w:t>que</w:t>
      </w:r>
      <w:r>
        <w:rPr>
          <w:spacing w:val="-20"/>
          <w:sz w:val="24"/>
        </w:rPr>
        <w:t> </w:t>
      </w:r>
      <w:r>
        <w:rPr>
          <w:sz w:val="24"/>
        </w:rPr>
        <w:t>favorece</w:t>
      </w:r>
      <w:r>
        <w:rPr>
          <w:spacing w:val="-20"/>
          <w:sz w:val="24"/>
        </w:rPr>
        <w:t> </w:t>
      </w:r>
      <w:r>
        <w:rPr>
          <w:sz w:val="24"/>
        </w:rPr>
        <w:t>la</w:t>
      </w:r>
      <w:r>
        <w:rPr>
          <w:spacing w:val="-20"/>
          <w:sz w:val="24"/>
        </w:rPr>
        <w:t> </w:t>
      </w:r>
      <w:r>
        <w:rPr>
          <w:sz w:val="24"/>
        </w:rPr>
        <w:t>corrupción político-empresarial y la mala</w:t>
      </w:r>
      <w:r>
        <w:rPr>
          <w:spacing w:val="-26"/>
          <w:sz w:val="24"/>
        </w:rPr>
        <w:t> </w:t>
      </w:r>
      <w:r>
        <w:rPr>
          <w:sz w:val="24"/>
        </w:rPr>
        <w:t>política.</w:t>
      </w:r>
    </w:p>
    <w:p>
      <w:pPr>
        <w:pStyle w:val="ListParagraph"/>
        <w:numPr>
          <w:ilvl w:val="0"/>
          <w:numId w:val="18"/>
        </w:numPr>
        <w:tabs>
          <w:tab w:pos="841" w:val="left" w:leader="none"/>
        </w:tabs>
        <w:spacing w:line="360" w:lineRule="auto" w:before="0" w:after="0"/>
        <w:ind w:left="841" w:right="125" w:hanging="361"/>
        <w:jc w:val="both"/>
        <w:rPr>
          <w:sz w:val="24"/>
        </w:rPr>
      </w:pPr>
      <w:r>
        <w:rPr>
          <w:sz w:val="24"/>
        </w:rPr>
        <w:t>Los partidos políticos</w:t>
      </w:r>
      <w:r>
        <w:rPr>
          <w:position w:val="8"/>
          <w:sz w:val="16"/>
        </w:rPr>
        <w:t>15 </w:t>
      </w:r>
      <w:r>
        <w:rPr>
          <w:sz w:val="24"/>
        </w:rPr>
        <w:t>aunque están circunscritos al juego electoral, son poco relevantes a los desafíos de la gobernabilidad global y pierden el monopolio de la praxis</w:t>
      </w:r>
      <w:r>
        <w:rPr>
          <w:spacing w:val="-21"/>
          <w:sz w:val="24"/>
        </w:rPr>
        <w:t> </w:t>
      </w:r>
      <w:r>
        <w:rPr>
          <w:sz w:val="24"/>
        </w:rPr>
        <w:t>política.</w:t>
      </w:r>
    </w:p>
    <w:p>
      <w:pPr>
        <w:pStyle w:val="ListParagraph"/>
        <w:numPr>
          <w:ilvl w:val="0"/>
          <w:numId w:val="18"/>
        </w:numPr>
        <w:tabs>
          <w:tab w:pos="841" w:val="left" w:leader="none"/>
        </w:tabs>
        <w:spacing w:line="360" w:lineRule="auto" w:before="5" w:after="0"/>
        <w:ind w:left="841" w:right="117" w:hanging="361"/>
        <w:jc w:val="both"/>
        <w:rPr>
          <w:sz w:val="24"/>
        </w:rPr>
      </w:pPr>
      <w:r>
        <w:rPr>
          <w:sz w:val="24"/>
        </w:rPr>
        <w:t>La política es cada vez menos dirección política de organizaciones técnicas y cada vez </w:t>
      </w:r>
      <w:r>
        <w:rPr>
          <w:spacing w:val="-2"/>
          <w:sz w:val="24"/>
        </w:rPr>
        <w:t>más </w:t>
      </w:r>
      <w:r>
        <w:rPr>
          <w:sz w:val="24"/>
        </w:rPr>
        <w:t>articulación de asociaciones entre diversos niveles de gobiernos (gobierno multinivel). Esto requiere grandes capacidades de iniciativa, liderazgo, concertación, prevención y gestión de conflictos, comunicación, creación de equipos y redes,</w:t>
      </w:r>
      <w:r>
        <w:rPr>
          <w:spacing w:val="-30"/>
          <w:sz w:val="24"/>
        </w:rPr>
        <w:t> </w:t>
      </w:r>
      <w:r>
        <w:rPr>
          <w:sz w:val="24"/>
        </w:rPr>
        <w:t>etcétera.</w:t>
      </w:r>
    </w:p>
    <w:p>
      <w:pPr>
        <w:pStyle w:val="BodyText"/>
      </w:pPr>
    </w:p>
    <w:p>
      <w:pPr>
        <w:pStyle w:val="BodyText"/>
        <w:spacing w:line="360" w:lineRule="auto" w:before="142"/>
        <w:ind w:left="120" w:right="125" w:firstLine="427"/>
        <w:jc w:val="both"/>
      </w:pPr>
      <w:r>
        <w:rPr/>
        <w:t>En la UE las políticas adoptadas no se cuestionan seriamente, aunque sus procedimientos</w:t>
      </w:r>
      <w:r>
        <w:rPr>
          <w:spacing w:val="-17"/>
        </w:rPr>
        <w:t> </w:t>
      </w:r>
      <w:r>
        <w:rPr/>
        <w:t>no</w:t>
      </w:r>
      <w:r>
        <w:rPr>
          <w:spacing w:val="-19"/>
        </w:rPr>
        <w:t> </w:t>
      </w:r>
      <w:r>
        <w:rPr/>
        <w:t>conformen</w:t>
      </w:r>
      <w:r>
        <w:rPr>
          <w:spacing w:val="-19"/>
        </w:rPr>
        <w:t> </w:t>
      </w:r>
      <w:r>
        <w:rPr/>
        <w:t>los</w:t>
      </w:r>
      <w:r>
        <w:rPr>
          <w:spacing w:val="-13"/>
        </w:rPr>
        <w:t> </w:t>
      </w:r>
      <w:r>
        <w:rPr/>
        <w:t>modelos</w:t>
      </w:r>
      <w:r>
        <w:rPr>
          <w:spacing w:val="-17"/>
        </w:rPr>
        <w:t> </w:t>
      </w:r>
      <w:r>
        <w:rPr/>
        <w:t>estándar</w:t>
      </w:r>
      <w:r>
        <w:rPr>
          <w:spacing w:val="-17"/>
        </w:rPr>
        <w:t> </w:t>
      </w:r>
      <w:r>
        <w:rPr/>
        <w:t>de</w:t>
      </w:r>
      <w:r>
        <w:rPr>
          <w:spacing w:val="-19"/>
        </w:rPr>
        <w:t> </w:t>
      </w:r>
      <w:r>
        <w:rPr/>
        <w:t>rendición</w:t>
      </w:r>
      <w:r>
        <w:rPr>
          <w:spacing w:val="-19"/>
        </w:rPr>
        <w:t> </w:t>
      </w:r>
      <w:r>
        <w:rPr/>
        <w:t>de</w:t>
      </w:r>
      <w:r>
        <w:rPr>
          <w:spacing w:val="-19"/>
        </w:rPr>
        <w:t> </w:t>
      </w:r>
      <w:r>
        <w:rPr/>
        <w:t>cuentas.</w:t>
      </w:r>
      <w:r>
        <w:rPr>
          <w:spacing w:val="-13"/>
        </w:rPr>
        <w:t> </w:t>
      </w:r>
      <w:r>
        <w:rPr/>
        <w:t>Donde no hay consenso, la acción europea se bloquea y las decisiones se toman desde los gobiernos nacionales, como se hace en otros países (entre ellos los emergentes); sin embargo, esto implica también que sus instituciones no pueden mantener políticas que violen el</w:t>
      </w:r>
      <w:r>
        <w:rPr>
          <w:spacing w:val="-24"/>
        </w:rPr>
        <w:t> </w:t>
      </w:r>
      <w:r>
        <w:rPr/>
        <w:t>consenso.</w:t>
      </w:r>
    </w:p>
    <w:p>
      <w:pPr>
        <w:pStyle w:val="BodyText"/>
        <w:spacing w:line="360" w:lineRule="auto" w:before="6"/>
        <w:ind w:left="120" w:right="121" w:firstLine="427"/>
        <w:jc w:val="both"/>
      </w:pPr>
      <w:r>
        <w:rPr/>
        <w:t>Desafortunadamente en los países emergentes este proceso es muy cuestionado debido a que durante mucho tiempo sus sistemas autoritarios impidieron</w:t>
      </w:r>
      <w:r>
        <w:rPr>
          <w:spacing w:val="-20"/>
        </w:rPr>
        <w:t> </w:t>
      </w:r>
      <w:r>
        <w:rPr/>
        <w:t>la</w:t>
      </w:r>
      <w:r>
        <w:rPr>
          <w:spacing w:val="-16"/>
        </w:rPr>
        <w:t> </w:t>
      </w:r>
      <w:r>
        <w:rPr/>
        <w:t>participación</w:t>
      </w:r>
      <w:r>
        <w:rPr>
          <w:spacing w:val="-20"/>
        </w:rPr>
        <w:t> </w:t>
      </w:r>
      <w:r>
        <w:rPr/>
        <w:t>ciudadana,</w:t>
      </w:r>
      <w:r>
        <w:rPr>
          <w:spacing w:val="-17"/>
        </w:rPr>
        <w:t> </w:t>
      </w:r>
      <w:r>
        <w:rPr/>
        <w:t>la</w:t>
      </w:r>
      <w:r>
        <w:rPr>
          <w:spacing w:val="-20"/>
        </w:rPr>
        <w:t> </w:t>
      </w:r>
      <w:r>
        <w:rPr/>
        <w:t>rendición</w:t>
      </w:r>
      <w:r>
        <w:rPr>
          <w:spacing w:val="-20"/>
        </w:rPr>
        <w:t> </w:t>
      </w:r>
      <w:r>
        <w:rPr/>
        <w:t>de</w:t>
      </w:r>
      <w:r>
        <w:rPr>
          <w:spacing w:val="-20"/>
        </w:rPr>
        <w:t> </w:t>
      </w:r>
      <w:r>
        <w:rPr/>
        <w:t>cuentas</w:t>
      </w:r>
      <w:r>
        <w:rPr>
          <w:spacing w:val="-14"/>
        </w:rPr>
        <w:t> </w:t>
      </w:r>
      <w:r>
        <w:rPr>
          <w:spacing w:val="-3"/>
        </w:rPr>
        <w:t>y,</w:t>
      </w:r>
      <w:r>
        <w:rPr>
          <w:spacing w:val="-17"/>
        </w:rPr>
        <w:t> </w:t>
      </w:r>
      <w:r>
        <w:rPr/>
        <w:t>sobre</w:t>
      </w:r>
      <w:r>
        <w:rPr>
          <w:spacing w:val="-20"/>
        </w:rPr>
        <w:t> </w:t>
      </w:r>
      <w:r>
        <w:rPr/>
        <w:t>todo,</w:t>
      </w:r>
      <w:r>
        <w:rPr>
          <w:spacing w:val="-17"/>
        </w:rPr>
        <w:t> </w:t>
      </w:r>
      <w:r>
        <w:rPr/>
        <w:t>el</w:t>
      </w:r>
      <w:r>
        <w:rPr>
          <w:spacing w:val="-16"/>
        </w:rPr>
        <w:t> </w:t>
      </w:r>
      <w:r>
        <w:rPr/>
        <w:t>eficaz funcionamiento de las instituciones</w:t>
      </w:r>
      <w:r>
        <w:rPr>
          <w:spacing w:val="-29"/>
        </w:rPr>
        <w:t> </w:t>
      </w:r>
      <w:r>
        <w:rPr/>
        <w:t>públicas.</w:t>
      </w:r>
    </w:p>
    <w:p>
      <w:pPr>
        <w:pStyle w:val="BodyText"/>
        <w:spacing w:before="11"/>
        <w:rPr>
          <w:sz w:val="21"/>
        </w:rPr>
      </w:pPr>
      <w:r>
        <w:rPr/>
        <w:pict>
          <v:line style="position:absolute;mso-position-horizontal-relative:page;mso-position-vertical-relative:paragraph;z-index:2200;mso-wrap-distance-left:0;mso-wrap-distance-right:0" from="85.025002pt,14.983912pt" to="229.075002pt,14.983912pt" stroked="true" strokeweight=".79999pt" strokecolor="#000000">
            <w10:wrap type="topAndBottom"/>
          </v:line>
        </w:pict>
      </w:r>
    </w:p>
    <w:p>
      <w:pPr>
        <w:spacing w:line="247" w:lineRule="auto" w:before="59"/>
        <w:ind w:left="120" w:right="112" w:firstLine="0"/>
        <w:jc w:val="both"/>
        <w:rPr>
          <w:sz w:val="16"/>
        </w:rPr>
      </w:pPr>
      <w:r>
        <w:rPr>
          <w:rFonts w:ascii="Times New Roman" w:hAnsi="Times New Roman"/>
          <w:position w:val="7"/>
          <w:sz w:val="13"/>
        </w:rPr>
        <w:t>15</w:t>
      </w:r>
      <w:r>
        <w:rPr>
          <w:sz w:val="16"/>
        </w:rPr>
        <w:t>Alexis de Tocqueville consideró que “Norteamérica es la tierra de la democracia”, por lo que el estudio que realizó a los partidos políticos de Estados Unidos fue importante para destacar que los grandes partidos políticos estadounidenses se basan en principios, no en consecuencias.</w:t>
      </w:r>
    </w:p>
    <w:p>
      <w:pPr>
        <w:spacing w:after="0" w:line="247" w:lineRule="auto"/>
        <w:jc w:val="both"/>
        <w:rPr>
          <w:sz w:val="16"/>
        </w:rPr>
        <w:sectPr>
          <w:pgSz w:w="12240" w:h="15840"/>
          <w:pgMar w:header="0" w:footer="998" w:top="1360" w:bottom="1180" w:left="1580" w:right="1580"/>
        </w:sectPr>
      </w:pPr>
    </w:p>
    <w:p>
      <w:pPr>
        <w:pStyle w:val="BodyText"/>
        <w:spacing w:line="360" w:lineRule="auto" w:before="55"/>
        <w:ind w:left="100" w:right="104" w:firstLine="427"/>
        <w:jc w:val="both"/>
      </w:pPr>
      <w:r>
        <w:rPr/>
        <w:t>Una consecuencia no deseada de la democratización ha sido el debilitamiento de la capacidad directiva de los gobiernos democráticos de América Latina, poniendo énfasis en el descontento electoral, más que gobernativo. Una forma de atender este problema es sustituir a los viejos gobernantes por nuevos políticos y crear el orden institucional, político, financiero y administrativo que requiere un gobierno democrático para acreditar eficacia directiva y un diseño institucional idóneo.</w:t>
      </w:r>
    </w:p>
    <w:p>
      <w:pPr>
        <w:pStyle w:val="BodyText"/>
      </w:pPr>
    </w:p>
    <w:p>
      <w:pPr>
        <w:pStyle w:val="BodyText"/>
      </w:pPr>
    </w:p>
    <w:p>
      <w:pPr>
        <w:pStyle w:val="BodyText"/>
        <w:spacing w:before="9"/>
        <w:rPr>
          <w:sz w:val="22"/>
        </w:rPr>
      </w:pPr>
    </w:p>
    <w:p>
      <w:pPr>
        <w:pStyle w:val="Heading3"/>
        <w:numPr>
          <w:ilvl w:val="2"/>
          <w:numId w:val="7"/>
        </w:numPr>
        <w:tabs>
          <w:tab w:pos="700" w:val="left" w:leader="none"/>
        </w:tabs>
        <w:spacing w:line="240" w:lineRule="auto" w:before="0" w:after="0"/>
        <w:ind w:left="699" w:right="0" w:hanging="599"/>
        <w:jc w:val="both"/>
      </w:pPr>
      <w:bookmarkStart w:name="_bookmark10" w:id="14"/>
      <w:bookmarkEnd w:id="14"/>
      <w:r>
        <w:rPr>
          <w:b w:val="0"/>
        </w:rPr>
      </w:r>
      <w:bookmarkStart w:name="_bookmark10" w:id="15"/>
      <w:bookmarkEnd w:id="15"/>
      <w:r>
        <w:rPr/>
        <w:t>E</w:t>
      </w:r>
      <w:r>
        <w:rPr/>
        <w:t>stado: Democracia y legitimidad en la</w:t>
      </w:r>
      <w:r>
        <w:rPr>
          <w:spacing w:val="-20"/>
        </w:rPr>
        <w:t> </w:t>
      </w:r>
      <w:r>
        <w:rPr/>
        <w:t>gobernanza</w:t>
      </w:r>
    </w:p>
    <w:p>
      <w:pPr>
        <w:pStyle w:val="BodyText"/>
        <w:rPr>
          <w:b/>
        </w:rPr>
      </w:pPr>
    </w:p>
    <w:p>
      <w:pPr>
        <w:pStyle w:val="BodyText"/>
        <w:spacing w:before="4"/>
        <w:rPr>
          <w:b/>
        </w:rPr>
      </w:pPr>
    </w:p>
    <w:p>
      <w:pPr>
        <w:pStyle w:val="BodyText"/>
        <w:spacing w:line="360" w:lineRule="auto"/>
        <w:ind w:left="100" w:right="100"/>
        <w:jc w:val="both"/>
      </w:pPr>
      <w:r>
        <w:rPr/>
        <w:t>Podría considerarse en un primer momento que la inclusión del sector privado en las actividades estatales mediante las redes, implica un menor poder y capacidad del Estado para gobernar (Cerrillo, 2005: 15); sin embargo, el recurso de poder coercitivo que tiene el Estado prevalece en la gobernanza.</w:t>
      </w:r>
    </w:p>
    <w:p>
      <w:pPr>
        <w:pStyle w:val="BodyText"/>
        <w:spacing w:line="360" w:lineRule="auto" w:before="2"/>
        <w:ind w:left="42" w:right="100" w:firstLine="427"/>
        <w:jc w:val="right"/>
      </w:pPr>
      <w:r>
        <w:rPr/>
        <w:t>El hecho de que en países emergentes el Estado tenga una escasa legitimidad</w:t>
      </w:r>
      <w:r>
        <w:rPr>
          <w:w w:val="99"/>
        </w:rPr>
        <w:t> </w:t>
      </w:r>
      <w:r>
        <w:rPr/>
        <w:t>y un ambiente de procesos políticos cuestionados, puede dar lugar a concluir que</w:t>
      </w:r>
      <w:r>
        <w:rPr>
          <w:w w:val="99"/>
        </w:rPr>
        <w:t> </w:t>
      </w:r>
      <w:r>
        <w:rPr/>
        <w:t>el papel del Estado se reduce a ser simplemente un actor más. Hay estudios y aportaciones que consideran que la relación del Estado con el sector privado no</w:t>
      </w:r>
      <w:r>
        <w:rPr>
          <w:w w:val="99"/>
        </w:rPr>
        <w:t> </w:t>
      </w:r>
      <w:r>
        <w:rPr/>
        <w:t>implica una pérdida del poder estatal, sino nuevos mecanismos y oportunidades mediante los cuales el Estado puede adquirir más elementos para una mejor toma</w:t>
      </w:r>
      <w:r>
        <w:rPr>
          <w:w w:val="99"/>
        </w:rPr>
        <w:t> </w:t>
      </w:r>
      <w:r>
        <w:rPr/>
        <w:t>de decisiones, todo depende del sistema político y de la forma de implementación.</w:t>
      </w:r>
      <w:r>
        <w:rPr>
          <w:w w:val="100"/>
        </w:rPr>
        <w:t> </w:t>
      </w:r>
      <w:r>
        <w:rPr/>
        <w:t>Las diversas definiciones (y seudo-definiciones) de gobernanza</w:t>
      </w:r>
      <w:r>
        <w:rPr>
          <w:spacing w:val="51"/>
        </w:rPr>
        <w:t> </w:t>
      </w:r>
      <w:r>
        <w:rPr/>
        <w:t>consideran</w:t>
      </w:r>
      <w:r>
        <w:rPr>
          <w:w w:val="99"/>
        </w:rPr>
        <w:t> </w:t>
      </w:r>
      <w:r>
        <w:rPr/>
        <w:t>predominante el papel del Estado en la atención de las demandas sociales, por lo</w:t>
      </w:r>
      <w:r>
        <w:rPr>
          <w:w w:val="99"/>
        </w:rPr>
        <w:t> </w:t>
      </w:r>
      <w:r>
        <w:rPr/>
        <w:t>que implícitamente se sigue considerando irremplazable el papel del Estado en la</w:t>
      </w:r>
      <w:r>
        <w:rPr>
          <w:w w:val="99"/>
        </w:rPr>
        <w:t> </w:t>
      </w:r>
      <w:r>
        <w:rPr/>
        <w:t>determinación de objetivos y su consecución </w:t>
      </w:r>
      <w:r>
        <w:rPr>
          <w:spacing w:val="-3"/>
        </w:rPr>
        <w:t>y, </w:t>
      </w:r>
      <w:r>
        <w:rPr/>
        <w:t>sobre todo, su papel indelegable de</w:t>
      </w:r>
    </w:p>
    <w:p>
      <w:pPr>
        <w:pStyle w:val="BodyText"/>
        <w:spacing w:before="6"/>
        <w:ind w:left="100"/>
        <w:jc w:val="both"/>
      </w:pPr>
      <w:r>
        <w:rPr/>
        <w:t>cohesión para hacer cumplir sus objetivos.</w:t>
      </w:r>
    </w:p>
    <w:p>
      <w:pPr>
        <w:pStyle w:val="BodyText"/>
        <w:spacing w:line="360" w:lineRule="auto" w:before="136"/>
        <w:ind w:left="100" w:right="98" w:firstLine="427"/>
        <w:jc w:val="both"/>
      </w:pPr>
      <w:r>
        <w:rPr/>
        <w:t>La sociedad es la principal receptora de los efectos de las decisiones del Estado,</w:t>
      </w:r>
      <w:r>
        <w:rPr>
          <w:spacing w:val="-14"/>
        </w:rPr>
        <w:t> </w:t>
      </w:r>
      <w:r>
        <w:rPr>
          <w:spacing w:val="-3"/>
        </w:rPr>
        <w:t>ya</w:t>
      </w:r>
      <w:r>
        <w:rPr>
          <w:spacing w:val="-17"/>
        </w:rPr>
        <w:t> </w:t>
      </w:r>
      <w:r>
        <w:rPr/>
        <w:t>que</w:t>
      </w:r>
      <w:r>
        <w:rPr>
          <w:spacing w:val="-17"/>
        </w:rPr>
        <w:t> </w:t>
      </w:r>
      <w:r>
        <w:rPr/>
        <w:t>en</w:t>
      </w:r>
      <w:r>
        <w:rPr>
          <w:spacing w:val="-17"/>
        </w:rPr>
        <w:t> </w:t>
      </w:r>
      <w:r>
        <w:rPr/>
        <w:t>forma</w:t>
      </w:r>
      <w:r>
        <w:rPr>
          <w:spacing w:val="-16"/>
        </w:rPr>
        <w:t> </w:t>
      </w:r>
      <w:r>
        <w:rPr/>
        <w:t>personal</w:t>
      </w:r>
      <w:r>
        <w:rPr>
          <w:spacing w:val="-16"/>
        </w:rPr>
        <w:t> </w:t>
      </w:r>
      <w:r>
        <w:rPr/>
        <w:t>y</w:t>
      </w:r>
      <w:r>
        <w:rPr>
          <w:spacing w:val="-18"/>
        </w:rPr>
        <w:t> </w:t>
      </w:r>
      <w:r>
        <w:rPr/>
        <w:t>organizacional</w:t>
      </w:r>
      <w:r>
        <w:rPr>
          <w:spacing w:val="-16"/>
        </w:rPr>
        <w:t> </w:t>
      </w:r>
      <w:r>
        <w:rPr/>
        <w:t>perciben</w:t>
      </w:r>
      <w:r>
        <w:rPr>
          <w:spacing w:val="-17"/>
        </w:rPr>
        <w:t> </w:t>
      </w:r>
      <w:r>
        <w:rPr/>
        <w:t>el</w:t>
      </w:r>
      <w:r>
        <w:rPr>
          <w:spacing w:val="-16"/>
        </w:rPr>
        <w:t> </w:t>
      </w:r>
      <w:r>
        <w:rPr/>
        <w:t>efecto</w:t>
      </w:r>
      <w:r>
        <w:rPr>
          <w:spacing w:val="-17"/>
        </w:rPr>
        <w:t> </w:t>
      </w:r>
      <w:r>
        <w:rPr/>
        <w:t>de</w:t>
      </w:r>
      <w:r>
        <w:rPr>
          <w:spacing w:val="-17"/>
        </w:rPr>
        <w:t> </w:t>
      </w:r>
      <w:r>
        <w:rPr/>
        <w:t>las</w:t>
      </w:r>
      <w:r>
        <w:rPr>
          <w:spacing w:val="-19"/>
        </w:rPr>
        <w:t> </w:t>
      </w:r>
      <w:r>
        <w:rPr/>
        <w:t>políticas del Estado, por lo que el hecho de que el Estado tenga un papel </w:t>
      </w:r>
      <w:r>
        <w:rPr>
          <w:spacing w:val="-2"/>
        </w:rPr>
        <w:t>más </w:t>
      </w:r>
      <w:r>
        <w:rPr/>
        <w:t>incluyente en la </w:t>
      </w:r>
      <w:r>
        <w:rPr>
          <w:spacing w:val="40"/>
        </w:rPr>
        <w:t> </w:t>
      </w:r>
      <w:r>
        <w:rPr/>
        <w:t>sociedad </w:t>
      </w:r>
      <w:r>
        <w:rPr>
          <w:spacing w:val="44"/>
        </w:rPr>
        <w:t> </w:t>
      </w:r>
      <w:r>
        <w:rPr/>
        <w:t>mediante </w:t>
      </w:r>
      <w:r>
        <w:rPr>
          <w:spacing w:val="44"/>
        </w:rPr>
        <w:t> </w:t>
      </w:r>
      <w:r>
        <w:rPr/>
        <w:t>las </w:t>
      </w:r>
      <w:r>
        <w:rPr>
          <w:spacing w:val="41"/>
        </w:rPr>
        <w:t> </w:t>
      </w:r>
      <w:r>
        <w:rPr/>
        <w:t>redes, </w:t>
      </w:r>
      <w:r>
        <w:rPr>
          <w:spacing w:val="46"/>
        </w:rPr>
        <w:t> </w:t>
      </w:r>
      <w:r>
        <w:rPr/>
        <w:t>otorga </w:t>
      </w:r>
      <w:r>
        <w:rPr>
          <w:spacing w:val="40"/>
        </w:rPr>
        <w:t> </w:t>
      </w:r>
      <w:r>
        <w:rPr/>
        <w:t>a </w:t>
      </w:r>
      <w:r>
        <w:rPr>
          <w:spacing w:val="44"/>
        </w:rPr>
        <w:t> </w:t>
      </w:r>
      <w:r>
        <w:rPr/>
        <w:t>los </w:t>
      </w:r>
      <w:r>
        <w:rPr>
          <w:spacing w:val="45"/>
        </w:rPr>
        <w:t> </w:t>
      </w:r>
      <w:r>
        <w:rPr/>
        <w:t>mismos </w:t>
      </w:r>
      <w:r>
        <w:rPr>
          <w:spacing w:val="41"/>
        </w:rPr>
        <w:t> </w:t>
      </w:r>
      <w:r>
        <w:rPr/>
        <w:t>individuos </w:t>
      </w:r>
      <w:r>
        <w:rPr>
          <w:spacing w:val="45"/>
        </w:rPr>
        <w:t> </w:t>
      </w:r>
      <w:r>
        <w:rPr/>
        <w:t>y </w:t>
      </w:r>
      <w:r>
        <w:rPr>
          <w:spacing w:val="41"/>
        </w:rPr>
        <w:t> </w:t>
      </w:r>
      <w:r>
        <w:rPr/>
        <w:t>a </w:t>
      </w:r>
      <w:r>
        <w:rPr>
          <w:spacing w:val="40"/>
        </w:rPr>
        <w:t> </w:t>
      </w:r>
      <w:r>
        <w:rPr/>
        <w:t>las</w:t>
      </w:r>
    </w:p>
    <w:p>
      <w:pPr>
        <w:spacing w:after="0" w:line="360" w:lineRule="auto"/>
        <w:jc w:val="both"/>
        <w:sectPr>
          <w:footerReference w:type="default" r:id="rId31"/>
          <w:pgSz w:w="12240" w:h="15840"/>
          <w:pgMar w:footer="998" w:header="0" w:top="1360" w:bottom="1180" w:left="1600" w:right="1600"/>
        </w:sectPr>
      </w:pPr>
    </w:p>
    <w:p>
      <w:pPr>
        <w:pStyle w:val="BodyText"/>
        <w:spacing w:line="360" w:lineRule="auto" w:before="55"/>
        <w:ind w:left="120" w:right="119"/>
        <w:jc w:val="both"/>
      </w:pPr>
      <w:r>
        <w:rPr/>
        <w:t>organizaciones una mayor conciencia sobre su papel. Cuando el sector privado percibe que sus opiniones y sugerencias son consideradas en el diseño de las políticas, la participación en aspectos sociales es más activa y el Estado se fortalece.</w:t>
      </w:r>
    </w:p>
    <w:p>
      <w:pPr>
        <w:pStyle w:val="BodyText"/>
        <w:spacing w:line="360" w:lineRule="auto" w:before="2"/>
        <w:ind w:left="120" w:right="114" w:firstLine="427"/>
        <w:jc w:val="both"/>
      </w:pPr>
      <w:r>
        <w:rPr/>
        <w:t>Si bien las redes han estado adquiriendo mayor participación en la</w:t>
      </w:r>
      <w:r>
        <w:rPr>
          <w:spacing w:val="-45"/>
        </w:rPr>
        <w:t> </w:t>
      </w:r>
      <w:r>
        <w:rPr/>
        <w:t>sociedad, la decisión última sobre la aplicación de las políticas sigue siendo del Estado, lo que hace importante considerar el papel del Congreso en la gobernanza. Los aspectos intertemporales que existen entre las iniciativas y propuestas y el tiempo en que éstas son evaluadas para su aplicación o desecho, hacen que la efectividad de la política se</w:t>
      </w:r>
      <w:r>
        <w:rPr>
          <w:spacing w:val="-16"/>
        </w:rPr>
        <w:t> </w:t>
      </w:r>
      <w:r>
        <w:rPr/>
        <w:t>reduzca.</w:t>
      </w:r>
    </w:p>
    <w:p>
      <w:pPr>
        <w:pStyle w:val="BodyText"/>
        <w:spacing w:line="360" w:lineRule="auto"/>
        <w:ind w:left="120" w:right="119" w:firstLine="427"/>
        <w:jc w:val="both"/>
      </w:pPr>
      <w:r>
        <w:rPr/>
        <w:t>La OCDE</w:t>
      </w:r>
      <w:r>
        <w:rPr>
          <w:position w:val="8"/>
          <w:sz w:val="16"/>
        </w:rPr>
        <w:t>16 </w:t>
      </w:r>
      <w:r>
        <w:rPr/>
        <w:t>ha recomendado al Estado efectuar mejores prácticas en transparencia presupuestaria; por ejemplo, la organización considera que el proyecto de presupuesto del Ejecutivo debe ser presentado con suficiente antelación al congreso para permitir su adecuada revisión, debate y las propuestas de reformas correspondientes. En </w:t>
      </w:r>
      <w:r>
        <w:rPr>
          <w:i/>
        </w:rPr>
        <w:t>Governament at a Glance 2011 </w:t>
      </w:r>
      <w:r>
        <w:rPr/>
        <w:t>la OCDE sugirió que</w:t>
      </w:r>
      <w:r>
        <w:rPr>
          <w:spacing w:val="-12"/>
        </w:rPr>
        <w:t> </w:t>
      </w:r>
      <w:r>
        <w:rPr/>
        <w:t>la</w:t>
      </w:r>
      <w:r>
        <w:rPr>
          <w:spacing w:val="-12"/>
        </w:rPr>
        <w:t> </w:t>
      </w:r>
      <w:r>
        <w:rPr/>
        <w:t>presentación</w:t>
      </w:r>
      <w:r>
        <w:rPr>
          <w:spacing w:val="-12"/>
        </w:rPr>
        <w:t> </w:t>
      </w:r>
      <w:r>
        <w:rPr/>
        <w:t>del</w:t>
      </w:r>
      <w:r>
        <w:rPr>
          <w:spacing w:val="-11"/>
        </w:rPr>
        <w:t> </w:t>
      </w:r>
      <w:r>
        <w:rPr/>
        <w:t>proyecto</w:t>
      </w:r>
      <w:r>
        <w:rPr>
          <w:spacing w:val="-12"/>
        </w:rPr>
        <w:t> </w:t>
      </w:r>
      <w:r>
        <w:rPr/>
        <w:t>presupuestario</w:t>
      </w:r>
      <w:r>
        <w:rPr>
          <w:spacing w:val="-12"/>
        </w:rPr>
        <w:t> </w:t>
      </w:r>
      <w:r>
        <w:rPr/>
        <w:t>no</w:t>
      </w:r>
      <w:r>
        <w:rPr>
          <w:spacing w:val="-12"/>
        </w:rPr>
        <w:t> </w:t>
      </w:r>
      <w:r>
        <w:rPr/>
        <w:t>debería</w:t>
      </w:r>
      <w:r>
        <w:rPr>
          <w:spacing w:val="-12"/>
        </w:rPr>
        <w:t> </w:t>
      </w:r>
      <w:r>
        <w:rPr/>
        <w:t>ser</w:t>
      </w:r>
      <w:r>
        <w:rPr>
          <w:spacing w:val="-6"/>
        </w:rPr>
        <w:t> </w:t>
      </w:r>
      <w:r>
        <w:rPr/>
        <w:t>menor</w:t>
      </w:r>
      <w:r>
        <w:rPr>
          <w:spacing w:val="-10"/>
        </w:rPr>
        <w:t> </w:t>
      </w:r>
      <w:r>
        <w:rPr/>
        <w:t>a</w:t>
      </w:r>
      <w:r>
        <w:rPr>
          <w:spacing w:val="-12"/>
        </w:rPr>
        <w:t> </w:t>
      </w:r>
      <w:r>
        <w:rPr/>
        <w:t>tres</w:t>
      </w:r>
      <w:r>
        <w:rPr>
          <w:spacing w:val="-10"/>
        </w:rPr>
        <w:t> </w:t>
      </w:r>
      <w:r>
        <w:rPr/>
        <w:t>meses antes de iniciar el año fiscal y el presupuesto debe ser aprobado por la legislatura previo al ejercicio</w:t>
      </w:r>
      <w:r>
        <w:rPr>
          <w:spacing w:val="-17"/>
        </w:rPr>
        <w:t> </w:t>
      </w:r>
      <w:r>
        <w:rPr/>
        <w:t>fiscal.</w:t>
      </w:r>
    </w:p>
    <w:p>
      <w:pPr>
        <w:pStyle w:val="BodyText"/>
        <w:spacing w:line="360" w:lineRule="auto" w:before="2"/>
        <w:ind w:left="120" w:right="119" w:firstLine="427"/>
        <w:jc w:val="both"/>
      </w:pPr>
      <w:r>
        <w:rPr/>
        <w:t>Los estudios orientados </w:t>
      </w:r>
      <w:r>
        <w:rPr>
          <w:spacing w:val="2"/>
        </w:rPr>
        <w:t>al </w:t>
      </w:r>
      <w:r>
        <w:rPr/>
        <w:t>apoyo de la idea que la gobernanza contribuye a la legitimidad del Estado, necesariamente implican que éste goza de una democracia participativa; sin embargo, hay otros estudios que consideran que hay una fisura entre</w:t>
      </w:r>
      <w:r>
        <w:rPr>
          <w:spacing w:val="-13"/>
        </w:rPr>
        <w:t> </w:t>
      </w:r>
      <w:r>
        <w:rPr/>
        <w:t>gobernanza</w:t>
      </w:r>
      <w:r>
        <w:rPr>
          <w:spacing w:val="-9"/>
        </w:rPr>
        <w:t> </w:t>
      </w:r>
      <w:r>
        <w:rPr/>
        <w:t>y</w:t>
      </w:r>
      <w:r>
        <w:rPr>
          <w:spacing w:val="-15"/>
        </w:rPr>
        <w:t> </w:t>
      </w:r>
      <w:r>
        <w:rPr/>
        <w:t>democracia,</w:t>
      </w:r>
      <w:r>
        <w:rPr>
          <w:spacing w:val="-10"/>
        </w:rPr>
        <w:t> </w:t>
      </w:r>
      <w:r>
        <w:rPr/>
        <w:t>al</w:t>
      </w:r>
      <w:r>
        <w:rPr>
          <w:spacing w:val="-12"/>
        </w:rPr>
        <w:t> </w:t>
      </w:r>
      <w:r>
        <w:rPr/>
        <w:t>considerar</w:t>
      </w:r>
      <w:r>
        <w:rPr>
          <w:spacing w:val="-11"/>
        </w:rPr>
        <w:t> </w:t>
      </w:r>
      <w:r>
        <w:rPr/>
        <w:t>que</w:t>
      </w:r>
      <w:r>
        <w:rPr>
          <w:spacing w:val="-13"/>
        </w:rPr>
        <w:t> </w:t>
      </w:r>
      <w:r>
        <w:rPr/>
        <w:t>los</w:t>
      </w:r>
      <w:r>
        <w:rPr>
          <w:spacing w:val="-11"/>
        </w:rPr>
        <w:t> </w:t>
      </w:r>
      <w:r>
        <w:rPr/>
        <w:t>agentes</w:t>
      </w:r>
      <w:r>
        <w:rPr>
          <w:spacing w:val="-11"/>
        </w:rPr>
        <w:t> </w:t>
      </w:r>
      <w:r>
        <w:rPr/>
        <w:t>del</w:t>
      </w:r>
      <w:r>
        <w:rPr>
          <w:spacing w:val="-12"/>
        </w:rPr>
        <w:t> </w:t>
      </w:r>
      <w:r>
        <w:rPr/>
        <w:t>sector</w:t>
      </w:r>
      <w:r>
        <w:rPr>
          <w:spacing w:val="-11"/>
        </w:rPr>
        <w:t> </w:t>
      </w:r>
      <w:r>
        <w:rPr/>
        <w:t>privado</w:t>
      </w:r>
      <w:r>
        <w:rPr>
          <w:spacing w:val="-13"/>
        </w:rPr>
        <w:t> </w:t>
      </w:r>
      <w:r>
        <w:rPr/>
        <w:t>no cuentan con legitimidad democrática (Cerrillo, 2005: 17).Es necesario considerar que la singularidad de cada sistema político puede apoyar a los primeros estudios </w:t>
      </w:r>
      <w:r>
        <w:rPr>
          <w:spacing w:val="-3"/>
        </w:rPr>
        <w:t>y, </w:t>
      </w:r>
      <w:r>
        <w:rPr/>
        <w:t>en otro momento, a los segundos (o viceversa). Todo depende de la efectividad del</w:t>
      </w:r>
      <w:r>
        <w:rPr>
          <w:spacing w:val="-7"/>
        </w:rPr>
        <w:t> </w:t>
      </w:r>
      <w:r>
        <w:rPr/>
        <w:t>poder</w:t>
      </w:r>
      <w:r>
        <w:rPr>
          <w:spacing w:val="-6"/>
        </w:rPr>
        <w:t> </w:t>
      </w:r>
      <w:r>
        <w:rPr/>
        <w:t>del</w:t>
      </w:r>
      <w:r>
        <w:rPr>
          <w:spacing w:val="-7"/>
        </w:rPr>
        <w:t> </w:t>
      </w:r>
      <w:r>
        <w:rPr/>
        <w:t>Estado</w:t>
      </w:r>
      <w:r>
        <w:rPr>
          <w:spacing w:val="-8"/>
        </w:rPr>
        <w:t> </w:t>
      </w:r>
      <w:r>
        <w:rPr/>
        <w:t>para</w:t>
      </w:r>
      <w:r>
        <w:rPr>
          <w:spacing w:val="-8"/>
        </w:rPr>
        <w:t> </w:t>
      </w:r>
      <w:r>
        <w:rPr/>
        <w:t>moderar</w:t>
      </w:r>
      <w:r>
        <w:rPr>
          <w:spacing w:val="-6"/>
        </w:rPr>
        <w:t> </w:t>
      </w:r>
      <w:r>
        <w:rPr/>
        <w:t>políticamente</w:t>
      </w:r>
      <w:r>
        <w:rPr>
          <w:spacing w:val="-8"/>
        </w:rPr>
        <w:t> </w:t>
      </w:r>
      <w:r>
        <w:rPr/>
        <w:t>su</w:t>
      </w:r>
      <w:r>
        <w:rPr>
          <w:spacing w:val="-8"/>
        </w:rPr>
        <w:t> </w:t>
      </w:r>
      <w:r>
        <w:rPr/>
        <w:t>relación</w:t>
      </w:r>
      <w:r>
        <w:rPr>
          <w:spacing w:val="-8"/>
        </w:rPr>
        <w:t> </w:t>
      </w:r>
      <w:r>
        <w:rPr/>
        <w:t>con</w:t>
      </w:r>
      <w:r>
        <w:rPr>
          <w:spacing w:val="-8"/>
        </w:rPr>
        <w:t> </w:t>
      </w:r>
      <w:r>
        <w:rPr/>
        <w:t>el</w:t>
      </w:r>
      <w:r>
        <w:rPr>
          <w:spacing w:val="-7"/>
        </w:rPr>
        <w:t> </w:t>
      </w:r>
      <w:r>
        <w:rPr/>
        <w:t>sector</w:t>
      </w:r>
      <w:r>
        <w:rPr>
          <w:spacing w:val="-6"/>
        </w:rPr>
        <w:t> </w:t>
      </w:r>
      <w:r>
        <w:rPr/>
        <w:t>privado</w:t>
      </w:r>
      <w:r>
        <w:rPr>
          <w:spacing w:val="-8"/>
        </w:rPr>
        <w:t> </w:t>
      </w:r>
      <w:r>
        <w:rPr/>
        <w:t>y de los aspectos intertemporales de la economía y la</w:t>
      </w:r>
      <w:r>
        <w:rPr>
          <w:spacing w:val="-35"/>
        </w:rPr>
        <w:t> </w:t>
      </w:r>
      <w:r>
        <w:rPr/>
        <w:t>política.</w:t>
      </w:r>
    </w:p>
    <w:p>
      <w:pPr>
        <w:pStyle w:val="BodyText"/>
        <w:rPr>
          <w:sz w:val="20"/>
        </w:rPr>
      </w:pP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2224;mso-wrap-distance-left:0;mso-wrap-distance-right:0" from="85.025002pt,12.656835pt" to="229.075002pt,12.656835pt" stroked="true" strokeweight=".79999pt" strokecolor="#000000">
            <w10:wrap type="topAndBottom"/>
          </v:line>
        </w:pict>
      </w:r>
    </w:p>
    <w:p>
      <w:pPr>
        <w:spacing w:line="244" w:lineRule="auto" w:before="60"/>
        <w:ind w:left="120" w:right="118" w:firstLine="0"/>
        <w:jc w:val="both"/>
        <w:rPr>
          <w:sz w:val="16"/>
        </w:rPr>
      </w:pPr>
      <w:r>
        <w:rPr>
          <w:rFonts w:ascii="Times New Roman" w:hAnsi="Times New Roman"/>
          <w:position w:val="7"/>
          <w:sz w:val="13"/>
        </w:rPr>
        <w:t>16</w:t>
      </w:r>
      <w:r>
        <w:rPr>
          <w:sz w:val="16"/>
        </w:rPr>
        <w:t>Los 34 países que integran la OCDE son Australia, Alemania, Austria, Bélgica, Canadá, Chile, Corea, Dinamarca, Eslovaquia, Eslovenia, Estonia, España, Estados Unidos, Francia, Finlandia, Grecia, Holanda, Hungría, Irlanda, Islandia, Israel, Italia, Japón, Luxemburgo, México, Noruega, Nueva Zelanda, Polonia, Portugal, Reino Unido, República Checa, Suecia, Suiza y Turquía.</w:t>
      </w:r>
    </w:p>
    <w:p>
      <w:pPr>
        <w:spacing w:after="0" w:line="244" w:lineRule="auto"/>
        <w:jc w:val="both"/>
        <w:rPr>
          <w:sz w:val="16"/>
        </w:rPr>
        <w:sectPr>
          <w:footerReference w:type="default" r:id="rId32"/>
          <w:pgSz w:w="12240" w:h="15840"/>
          <w:pgMar w:footer="998" w:header="0" w:top="1360" w:bottom="1180" w:left="1580" w:right="1580"/>
          <w:pgNumType w:start="21"/>
        </w:sectPr>
      </w:pPr>
    </w:p>
    <w:p>
      <w:pPr>
        <w:pStyle w:val="BodyText"/>
        <w:spacing w:line="360" w:lineRule="auto" w:before="55"/>
        <w:ind w:left="100" w:right="120" w:firstLine="427"/>
        <w:jc w:val="both"/>
      </w:pPr>
      <w:r>
        <w:rPr/>
        <w:t>El Estado dispone de mecanismos que coadyuvan a lograr, preservar o incrementar su legitimidad, entre ellas: la gobernabilidad (buen gobierno), </w:t>
      </w:r>
      <w:r>
        <w:rPr>
          <w:spacing w:val="3"/>
        </w:rPr>
        <w:t>la </w:t>
      </w:r>
      <w:r>
        <w:rPr/>
        <w:t>efectividad</w:t>
      </w:r>
      <w:r>
        <w:rPr>
          <w:spacing w:val="-13"/>
        </w:rPr>
        <w:t> </w:t>
      </w:r>
      <w:r>
        <w:rPr/>
        <w:t>del</w:t>
      </w:r>
      <w:r>
        <w:rPr>
          <w:spacing w:val="-13"/>
        </w:rPr>
        <w:t> </w:t>
      </w:r>
      <w:r>
        <w:rPr/>
        <w:t>Estado</w:t>
      </w:r>
      <w:r>
        <w:rPr>
          <w:spacing w:val="-13"/>
        </w:rPr>
        <w:t> </w:t>
      </w:r>
      <w:r>
        <w:rPr/>
        <w:t>de</w:t>
      </w:r>
      <w:r>
        <w:rPr>
          <w:spacing w:val="-13"/>
        </w:rPr>
        <w:t> </w:t>
      </w:r>
      <w:r>
        <w:rPr/>
        <w:t>Derecho,</w:t>
      </w:r>
      <w:r>
        <w:rPr>
          <w:spacing w:val="-11"/>
        </w:rPr>
        <w:t> </w:t>
      </w:r>
      <w:r>
        <w:rPr/>
        <w:t>la</w:t>
      </w:r>
      <w:r>
        <w:rPr>
          <w:spacing w:val="-10"/>
        </w:rPr>
        <w:t> </w:t>
      </w:r>
      <w:r>
        <w:rPr/>
        <w:t>seguridad</w:t>
      </w:r>
      <w:r>
        <w:rPr>
          <w:spacing w:val="-13"/>
        </w:rPr>
        <w:t> </w:t>
      </w:r>
      <w:r>
        <w:rPr/>
        <w:t>nacional,</w:t>
      </w:r>
      <w:r>
        <w:rPr>
          <w:spacing w:val="-11"/>
        </w:rPr>
        <w:t> </w:t>
      </w:r>
      <w:r>
        <w:rPr/>
        <w:t>una</w:t>
      </w:r>
      <w:r>
        <w:rPr>
          <w:spacing w:val="-13"/>
        </w:rPr>
        <w:t> </w:t>
      </w:r>
      <w:r>
        <w:rPr/>
        <w:t>eficiente</w:t>
      </w:r>
      <w:r>
        <w:rPr>
          <w:spacing w:val="-13"/>
        </w:rPr>
        <w:t> </w:t>
      </w:r>
      <w:r>
        <w:rPr/>
        <w:t>rendición</w:t>
      </w:r>
      <w:r>
        <w:rPr>
          <w:spacing w:val="-13"/>
        </w:rPr>
        <w:t> </w:t>
      </w:r>
      <w:r>
        <w:rPr/>
        <w:t>de cuentas y la participación ciudadana. Estos elementos pueden resumirse en uno solo: una gobernanza</w:t>
      </w:r>
      <w:r>
        <w:rPr>
          <w:spacing w:val="-20"/>
        </w:rPr>
        <w:t> </w:t>
      </w:r>
      <w:r>
        <w:rPr/>
        <w:t>efectiva.</w:t>
      </w:r>
    </w:p>
    <w:p>
      <w:pPr>
        <w:pStyle w:val="BodyText"/>
        <w:spacing w:line="360" w:lineRule="auto" w:before="6"/>
        <w:ind w:left="100" w:right="116" w:firstLine="427"/>
        <w:jc w:val="both"/>
      </w:pPr>
      <w:r>
        <w:rPr/>
        <w:t>En América Latina los cambios estructurales que emprendieron los estados en la década de los años setenta para salir de la crisis fiscal, fueron la consolidación y redemocratización</w:t>
      </w:r>
      <w:r>
        <w:rPr>
          <w:spacing w:val="-11"/>
        </w:rPr>
        <w:t> </w:t>
      </w:r>
      <w:r>
        <w:rPr/>
        <w:t>del</w:t>
      </w:r>
      <w:r>
        <w:rPr>
          <w:spacing w:val="-10"/>
        </w:rPr>
        <w:t> </w:t>
      </w:r>
      <w:r>
        <w:rPr/>
        <w:t>Estado.</w:t>
      </w:r>
      <w:r>
        <w:rPr>
          <w:spacing w:val="-8"/>
        </w:rPr>
        <w:t> </w:t>
      </w:r>
      <w:r>
        <w:rPr/>
        <w:t>Los</w:t>
      </w:r>
      <w:r>
        <w:rPr>
          <w:spacing w:val="-9"/>
        </w:rPr>
        <w:t> </w:t>
      </w:r>
      <w:r>
        <w:rPr/>
        <w:t>regímenes</w:t>
      </w:r>
      <w:r>
        <w:rPr>
          <w:spacing w:val="-9"/>
        </w:rPr>
        <w:t> </w:t>
      </w:r>
      <w:r>
        <w:rPr/>
        <w:t>autoritarios</w:t>
      </w:r>
      <w:r>
        <w:rPr>
          <w:spacing w:val="-9"/>
        </w:rPr>
        <w:t> </w:t>
      </w:r>
      <w:r>
        <w:rPr/>
        <w:t>dificultaron</w:t>
      </w:r>
      <w:r>
        <w:rPr>
          <w:spacing w:val="-11"/>
        </w:rPr>
        <w:t> </w:t>
      </w:r>
      <w:r>
        <w:rPr/>
        <w:t>la</w:t>
      </w:r>
      <w:r>
        <w:rPr>
          <w:spacing w:val="-11"/>
        </w:rPr>
        <w:t> </w:t>
      </w:r>
      <w:r>
        <w:rPr/>
        <w:t>aprobación de las reformas del Estado, lo que retrasó la democracia en la región. La situación política</w:t>
      </w:r>
      <w:r>
        <w:rPr>
          <w:spacing w:val="-8"/>
        </w:rPr>
        <w:t> </w:t>
      </w:r>
      <w:r>
        <w:rPr/>
        <w:t>ocasionó</w:t>
      </w:r>
      <w:r>
        <w:rPr>
          <w:spacing w:val="-8"/>
        </w:rPr>
        <w:t> </w:t>
      </w:r>
      <w:r>
        <w:rPr/>
        <w:t>la</w:t>
      </w:r>
      <w:r>
        <w:rPr>
          <w:spacing w:val="-8"/>
        </w:rPr>
        <w:t> </w:t>
      </w:r>
      <w:r>
        <w:rPr/>
        <w:t>pérdida</w:t>
      </w:r>
      <w:r>
        <w:rPr>
          <w:spacing w:val="-8"/>
        </w:rPr>
        <w:t> </w:t>
      </w:r>
      <w:r>
        <w:rPr/>
        <w:t>de</w:t>
      </w:r>
      <w:r>
        <w:rPr>
          <w:spacing w:val="-8"/>
        </w:rPr>
        <w:t> </w:t>
      </w:r>
      <w:r>
        <w:rPr/>
        <w:t>legitimidad</w:t>
      </w:r>
      <w:r>
        <w:rPr>
          <w:spacing w:val="-5"/>
        </w:rPr>
        <w:t> </w:t>
      </w:r>
      <w:r>
        <w:rPr/>
        <w:t>y</w:t>
      </w:r>
      <w:r>
        <w:rPr>
          <w:spacing w:val="-10"/>
        </w:rPr>
        <w:t> </w:t>
      </w:r>
      <w:r>
        <w:rPr/>
        <w:t>sólo</w:t>
      </w:r>
      <w:r>
        <w:rPr>
          <w:spacing w:val="-8"/>
        </w:rPr>
        <w:t> </w:t>
      </w:r>
      <w:r>
        <w:rPr/>
        <w:t>se</w:t>
      </w:r>
      <w:r>
        <w:rPr>
          <w:spacing w:val="-8"/>
        </w:rPr>
        <w:t> </w:t>
      </w:r>
      <w:r>
        <w:rPr/>
        <w:t>logró</w:t>
      </w:r>
      <w:r>
        <w:rPr>
          <w:spacing w:val="-8"/>
        </w:rPr>
        <w:t> </w:t>
      </w:r>
      <w:r>
        <w:rPr/>
        <w:t>una</w:t>
      </w:r>
      <w:r>
        <w:rPr>
          <w:spacing w:val="-8"/>
        </w:rPr>
        <w:t> </w:t>
      </w:r>
      <w:r>
        <w:rPr/>
        <w:t>relativa</w:t>
      </w:r>
      <w:r>
        <w:rPr>
          <w:spacing w:val="-8"/>
        </w:rPr>
        <w:t> </w:t>
      </w:r>
      <w:r>
        <w:rPr/>
        <w:t>estabilización de las finanzas</w:t>
      </w:r>
      <w:r>
        <w:rPr>
          <w:spacing w:val="-17"/>
        </w:rPr>
        <w:t> </w:t>
      </w:r>
      <w:r>
        <w:rPr/>
        <w:t>públicas.</w:t>
      </w:r>
    </w:p>
    <w:p>
      <w:pPr>
        <w:pStyle w:val="BodyText"/>
        <w:spacing w:line="360" w:lineRule="auto" w:before="5"/>
        <w:ind w:left="100" w:right="120" w:firstLine="427"/>
        <w:jc w:val="both"/>
      </w:pPr>
      <w:r>
        <w:rPr/>
        <w:t>Los países de América Latina a diferencia de los europeos, emprendieron estrategias</w:t>
      </w:r>
      <w:r>
        <w:rPr>
          <w:spacing w:val="-9"/>
        </w:rPr>
        <w:t> </w:t>
      </w:r>
      <w:r>
        <w:rPr/>
        <w:t>empresariales</w:t>
      </w:r>
      <w:r>
        <w:rPr>
          <w:spacing w:val="-5"/>
        </w:rPr>
        <w:t> </w:t>
      </w:r>
      <w:r>
        <w:rPr/>
        <w:t>y</w:t>
      </w:r>
      <w:r>
        <w:rPr>
          <w:spacing w:val="-13"/>
        </w:rPr>
        <w:t> </w:t>
      </w:r>
      <w:r>
        <w:rPr/>
        <w:t>tomaron</w:t>
      </w:r>
      <w:r>
        <w:rPr>
          <w:spacing w:val="-11"/>
        </w:rPr>
        <w:t> </w:t>
      </w:r>
      <w:r>
        <w:rPr/>
        <w:t>decisiones</w:t>
      </w:r>
      <w:r>
        <w:rPr>
          <w:spacing w:val="-9"/>
        </w:rPr>
        <w:t> </w:t>
      </w:r>
      <w:r>
        <w:rPr/>
        <w:t>basadas</w:t>
      </w:r>
      <w:r>
        <w:rPr>
          <w:spacing w:val="-5"/>
        </w:rPr>
        <w:t> </w:t>
      </w:r>
      <w:r>
        <w:rPr/>
        <w:t>en</w:t>
      </w:r>
      <w:r>
        <w:rPr>
          <w:spacing w:val="-11"/>
        </w:rPr>
        <w:t> </w:t>
      </w:r>
      <w:r>
        <w:rPr/>
        <w:t>esquemas</w:t>
      </w:r>
      <w:r>
        <w:rPr>
          <w:spacing w:val="-9"/>
        </w:rPr>
        <w:t> </w:t>
      </w:r>
      <w:r>
        <w:rPr/>
        <w:t>jerárquicos, característicos</w:t>
      </w:r>
      <w:r>
        <w:rPr>
          <w:spacing w:val="-7"/>
        </w:rPr>
        <w:t> </w:t>
      </w:r>
      <w:r>
        <w:rPr/>
        <w:t>de</w:t>
      </w:r>
      <w:r>
        <w:rPr>
          <w:spacing w:val="-5"/>
        </w:rPr>
        <w:t> </w:t>
      </w:r>
      <w:r>
        <w:rPr/>
        <w:t>la</w:t>
      </w:r>
      <w:r>
        <w:rPr>
          <w:spacing w:val="-9"/>
        </w:rPr>
        <w:t> </w:t>
      </w:r>
      <w:r>
        <w:rPr/>
        <w:t>Nueva</w:t>
      </w:r>
      <w:r>
        <w:rPr>
          <w:spacing w:val="-9"/>
        </w:rPr>
        <w:t> </w:t>
      </w:r>
      <w:r>
        <w:rPr/>
        <w:t>Administración</w:t>
      </w:r>
      <w:r>
        <w:rPr>
          <w:spacing w:val="-9"/>
        </w:rPr>
        <w:t> </w:t>
      </w:r>
      <w:r>
        <w:rPr/>
        <w:t>Pública.</w:t>
      </w:r>
      <w:r>
        <w:rPr>
          <w:spacing w:val="-6"/>
        </w:rPr>
        <w:t> </w:t>
      </w:r>
      <w:r>
        <w:rPr/>
        <w:t>Sin</w:t>
      </w:r>
      <w:r>
        <w:rPr>
          <w:spacing w:val="-9"/>
        </w:rPr>
        <w:t> </w:t>
      </w:r>
      <w:r>
        <w:rPr/>
        <w:t>embargo,</w:t>
      </w:r>
      <w:r>
        <w:rPr>
          <w:spacing w:val="-6"/>
        </w:rPr>
        <w:t> </w:t>
      </w:r>
      <w:r>
        <w:rPr/>
        <w:t>la</w:t>
      </w:r>
      <w:r>
        <w:rPr>
          <w:spacing w:val="-9"/>
        </w:rPr>
        <w:t> </w:t>
      </w:r>
      <w:r>
        <w:rPr/>
        <w:t>conducción</w:t>
      </w:r>
      <w:r>
        <w:rPr>
          <w:spacing w:val="-9"/>
        </w:rPr>
        <w:t> </w:t>
      </w:r>
      <w:r>
        <w:rPr/>
        <w:t>del Estado</w:t>
      </w:r>
      <w:r>
        <w:rPr>
          <w:spacing w:val="-6"/>
        </w:rPr>
        <w:t> </w:t>
      </w:r>
      <w:r>
        <w:rPr/>
        <w:t>bajo</w:t>
      </w:r>
      <w:r>
        <w:rPr>
          <w:spacing w:val="-6"/>
        </w:rPr>
        <w:t> </w:t>
      </w:r>
      <w:r>
        <w:rPr/>
        <w:t>estándares</w:t>
      </w:r>
      <w:r>
        <w:rPr>
          <w:spacing w:val="-4"/>
        </w:rPr>
        <w:t> </w:t>
      </w:r>
      <w:r>
        <w:rPr/>
        <w:t>empresariales</w:t>
      </w:r>
      <w:r>
        <w:rPr>
          <w:spacing w:val="-2"/>
        </w:rPr>
        <w:t> </w:t>
      </w:r>
      <w:r>
        <w:rPr/>
        <w:t>tiene</w:t>
      </w:r>
      <w:r>
        <w:rPr>
          <w:spacing w:val="-6"/>
        </w:rPr>
        <w:t> </w:t>
      </w:r>
      <w:r>
        <w:rPr/>
        <w:t>el</w:t>
      </w:r>
      <w:r>
        <w:rPr>
          <w:spacing w:val="-6"/>
        </w:rPr>
        <w:t> </w:t>
      </w:r>
      <w:r>
        <w:rPr/>
        <w:t>inconveniente</w:t>
      </w:r>
      <w:r>
        <w:rPr>
          <w:spacing w:val="-6"/>
        </w:rPr>
        <w:t> </w:t>
      </w:r>
      <w:r>
        <w:rPr/>
        <w:t>de</w:t>
      </w:r>
      <w:r>
        <w:rPr>
          <w:spacing w:val="-6"/>
        </w:rPr>
        <w:t> </w:t>
      </w:r>
      <w:r>
        <w:rPr/>
        <w:t>orientarse</w:t>
      </w:r>
      <w:r>
        <w:rPr>
          <w:spacing w:val="-6"/>
        </w:rPr>
        <w:t> </w:t>
      </w:r>
      <w:r>
        <w:rPr/>
        <w:t>hacia</w:t>
      </w:r>
      <w:r>
        <w:rPr>
          <w:spacing w:val="-6"/>
        </w:rPr>
        <w:t> </w:t>
      </w:r>
      <w:r>
        <w:rPr/>
        <w:t>la permanencia en el mercado y no hacia lograr la</w:t>
      </w:r>
      <w:r>
        <w:rPr>
          <w:spacing w:val="-35"/>
        </w:rPr>
        <w:t> </w:t>
      </w:r>
      <w:r>
        <w:rPr/>
        <w:t>gobernabilidad.</w:t>
      </w:r>
    </w:p>
    <w:p>
      <w:pPr>
        <w:pStyle w:val="BodyText"/>
        <w:spacing w:line="360" w:lineRule="auto" w:before="2"/>
        <w:ind w:left="100" w:right="125" w:firstLine="427"/>
        <w:jc w:val="both"/>
      </w:pPr>
      <w:r>
        <w:rPr/>
        <w:t>La profesionalización del servicio público, como originalmente lo propuso Max Weber, es una medida que ha sido adoptada por los países avanzados, pero en economías con otras características, la profesionalización es más difícil por la herencia de la cultura autoritaria que aún prevalece.</w:t>
      </w:r>
    </w:p>
    <w:p>
      <w:pPr>
        <w:pStyle w:val="BodyText"/>
        <w:spacing w:line="360" w:lineRule="auto" w:before="1"/>
        <w:ind w:left="100" w:right="127" w:firstLine="427"/>
        <w:jc w:val="both"/>
      </w:pPr>
      <w:r>
        <w:rPr/>
        <w:t>El equilibrio fiscal y de balanza de pagos es imprescindible para las naciones emergentes; sin embargo, es más importante que el Estado mantenga un poder efectivo en la sociedad mediante la democracia.</w:t>
      </w:r>
    </w:p>
    <w:p>
      <w:pPr>
        <w:pStyle w:val="BodyText"/>
        <w:spacing w:line="360" w:lineRule="auto" w:before="6"/>
        <w:ind w:left="100" w:right="123" w:firstLine="427"/>
        <w:jc w:val="both"/>
      </w:pPr>
      <w:r>
        <w:rPr/>
        <w:t>Se considera que los gobiernos autoritarios están </w:t>
      </w:r>
      <w:r>
        <w:rPr>
          <w:spacing w:val="-2"/>
        </w:rPr>
        <w:t>más </w:t>
      </w:r>
      <w:r>
        <w:rPr/>
        <w:t>expuestos a cometer errores de decisión en sus políticas y programas, debido a que no están sujetos a controles y contrapesos de otros poderes públicos y son gobiernos que politizan (despartidizan)</w:t>
      </w:r>
      <w:r>
        <w:rPr>
          <w:spacing w:val="-19"/>
        </w:rPr>
        <w:t> </w:t>
      </w:r>
      <w:r>
        <w:rPr/>
        <w:t>el</w:t>
      </w:r>
      <w:r>
        <w:rPr>
          <w:spacing w:val="-17"/>
        </w:rPr>
        <w:t> </w:t>
      </w:r>
      <w:r>
        <w:rPr/>
        <w:t>gasto</w:t>
      </w:r>
      <w:r>
        <w:rPr>
          <w:spacing w:val="-21"/>
        </w:rPr>
        <w:t> </w:t>
      </w:r>
      <w:r>
        <w:rPr/>
        <w:t>para</w:t>
      </w:r>
      <w:r>
        <w:rPr>
          <w:spacing w:val="-21"/>
        </w:rPr>
        <w:t> </w:t>
      </w:r>
      <w:r>
        <w:rPr/>
        <w:t>legitimarse,</w:t>
      </w:r>
      <w:r>
        <w:rPr>
          <w:spacing w:val="-19"/>
        </w:rPr>
        <w:t> </w:t>
      </w:r>
      <w:r>
        <w:rPr/>
        <w:t>realizan</w:t>
      </w:r>
      <w:r>
        <w:rPr>
          <w:spacing w:val="-21"/>
        </w:rPr>
        <w:t> </w:t>
      </w:r>
      <w:r>
        <w:rPr/>
        <w:t>políticas</w:t>
      </w:r>
      <w:r>
        <w:rPr>
          <w:spacing w:val="-20"/>
        </w:rPr>
        <w:t> </w:t>
      </w:r>
      <w:r>
        <w:rPr/>
        <w:t>expansivas</w:t>
      </w:r>
      <w:r>
        <w:rPr>
          <w:spacing w:val="-20"/>
        </w:rPr>
        <w:t> </w:t>
      </w:r>
      <w:r>
        <w:rPr/>
        <w:t>de</w:t>
      </w:r>
      <w:r>
        <w:rPr>
          <w:spacing w:val="-21"/>
        </w:rPr>
        <w:t> </w:t>
      </w:r>
      <w:r>
        <w:rPr/>
        <w:t>gasto</w:t>
      </w:r>
      <w:r>
        <w:rPr>
          <w:spacing w:val="-21"/>
        </w:rPr>
        <w:t> </w:t>
      </w:r>
      <w:r>
        <w:rPr/>
        <w:t>para satisfacer las demandas de las masas pobres. Los regímenes autoritarios cuando tienen crisis fiscales no pueden reconstruir su capacidad directiva, a menos que se sujeten a una reforma política de fondo y no sólo a la reconstrucción de su economía.</w:t>
      </w:r>
    </w:p>
    <w:p>
      <w:pPr>
        <w:spacing w:after="0" w:line="360" w:lineRule="auto"/>
        <w:jc w:val="both"/>
        <w:sectPr>
          <w:pgSz w:w="12240" w:h="15840"/>
          <w:pgMar w:header="0" w:footer="998" w:top="1360" w:bottom="1180" w:left="1600" w:right="1580"/>
        </w:sectPr>
      </w:pPr>
    </w:p>
    <w:p>
      <w:pPr>
        <w:pStyle w:val="Heading3"/>
        <w:numPr>
          <w:ilvl w:val="2"/>
          <w:numId w:val="7"/>
        </w:numPr>
        <w:tabs>
          <w:tab w:pos="720" w:val="left" w:leader="none"/>
        </w:tabs>
        <w:spacing w:line="240" w:lineRule="auto" w:before="51" w:after="0"/>
        <w:ind w:left="719" w:right="0" w:hanging="599"/>
        <w:jc w:val="both"/>
      </w:pPr>
      <w:bookmarkStart w:name="_bookmark11" w:id="16"/>
      <w:bookmarkEnd w:id="16"/>
      <w:r>
        <w:rPr>
          <w:b w:val="0"/>
        </w:rPr>
      </w:r>
      <w:bookmarkStart w:name="_bookmark11" w:id="17"/>
      <w:bookmarkEnd w:id="17"/>
      <w:r>
        <w:rPr/>
        <w:t>L</w:t>
      </w:r>
      <w:r>
        <w:rPr/>
        <w:t>as instituciones de rendición de</w:t>
      </w:r>
      <w:r>
        <w:rPr>
          <w:spacing w:val="-17"/>
        </w:rPr>
        <w:t> </w:t>
      </w:r>
      <w:r>
        <w:rPr/>
        <w:t>cuentas</w:t>
      </w:r>
    </w:p>
    <w:p>
      <w:pPr>
        <w:pStyle w:val="BodyText"/>
        <w:rPr>
          <w:b/>
        </w:rPr>
      </w:pPr>
    </w:p>
    <w:p>
      <w:pPr>
        <w:pStyle w:val="BodyText"/>
        <w:spacing w:before="3"/>
        <w:rPr>
          <w:b/>
        </w:rPr>
      </w:pPr>
    </w:p>
    <w:p>
      <w:pPr>
        <w:pStyle w:val="BodyText"/>
        <w:spacing w:line="360" w:lineRule="auto" w:before="1"/>
        <w:ind w:left="120" w:right="98"/>
        <w:jc w:val="both"/>
      </w:pPr>
      <w:r>
        <w:rPr/>
        <w:t>La gobernanza se orienta a establecer mayores controles al poder del Estado, y el uso de las tecnologías de la información en los medios de comunicación, ha impulsado a algunos Estados a establecer mecanismos de información (</w:t>
      </w:r>
      <w:r>
        <w:rPr>
          <w:i/>
        </w:rPr>
        <w:t>accountability</w:t>
      </w:r>
      <w:r>
        <w:rPr/>
        <w:t>), justificación (</w:t>
      </w:r>
      <w:r>
        <w:rPr>
          <w:i/>
        </w:rPr>
        <w:t>answerability</w:t>
      </w:r>
      <w:r>
        <w:rPr/>
        <w:t>) y sanciones (</w:t>
      </w:r>
      <w:r>
        <w:rPr>
          <w:i/>
        </w:rPr>
        <w:t>enforcement</w:t>
      </w:r>
      <w:r>
        <w:rPr/>
        <w:t>) </w:t>
      </w:r>
      <w:r>
        <w:rPr>
          <w:spacing w:val="-2"/>
        </w:rPr>
        <w:t>más </w:t>
      </w:r>
      <w:r>
        <w:rPr/>
        <w:t>efectivos.</w:t>
      </w:r>
      <w:r>
        <w:rPr>
          <w:spacing w:val="-19"/>
        </w:rPr>
        <w:t> </w:t>
      </w:r>
      <w:r>
        <w:rPr/>
        <w:t>Sin</w:t>
      </w:r>
      <w:r>
        <w:rPr>
          <w:spacing w:val="-22"/>
        </w:rPr>
        <w:t> </w:t>
      </w:r>
      <w:r>
        <w:rPr/>
        <w:t>embargo,</w:t>
      </w:r>
      <w:r>
        <w:rPr>
          <w:spacing w:val="-19"/>
        </w:rPr>
        <w:t> </w:t>
      </w:r>
      <w:r>
        <w:rPr/>
        <w:t>la</w:t>
      </w:r>
      <w:r>
        <w:rPr>
          <w:spacing w:val="-22"/>
        </w:rPr>
        <w:t> </w:t>
      </w:r>
      <w:r>
        <w:rPr/>
        <w:t>participación</w:t>
      </w:r>
      <w:r>
        <w:rPr>
          <w:spacing w:val="-22"/>
        </w:rPr>
        <w:t> </w:t>
      </w:r>
      <w:r>
        <w:rPr/>
        <w:t>ciudadana</w:t>
      </w:r>
      <w:r>
        <w:rPr>
          <w:spacing w:val="-22"/>
        </w:rPr>
        <w:t> </w:t>
      </w:r>
      <w:r>
        <w:rPr/>
        <w:t>que</w:t>
      </w:r>
      <w:r>
        <w:rPr>
          <w:spacing w:val="-22"/>
        </w:rPr>
        <w:t> </w:t>
      </w:r>
      <w:r>
        <w:rPr/>
        <w:t>demanda</w:t>
      </w:r>
      <w:r>
        <w:rPr>
          <w:spacing w:val="-18"/>
        </w:rPr>
        <w:t> </w:t>
      </w:r>
      <w:r>
        <w:rPr/>
        <w:t>mejores</w:t>
      </w:r>
      <w:r>
        <w:rPr>
          <w:spacing w:val="-20"/>
        </w:rPr>
        <w:t> </w:t>
      </w:r>
      <w:r>
        <w:rPr/>
        <w:t>resultados de las políticas es </w:t>
      </w:r>
      <w:r>
        <w:rPr>
          <w:spacing w:val="-2"/>
        </w:rPr>
        <w:t>más </w:t>
      </w:r>
      <w:r>
        <w:rPr/>
        <w:t>importante que cualquier</w:t>
      </w:r>
      <w:r>
        <w:rPr>
          <w:spacing w:val="-26"/>
        </w:rPr>
        <w:t> </w:t>
      </w:r>
      <w:r>
        <w:rPr/>
        <w:t>tecnología.</w:t>
      </w:r>
    </w:p>
    <w:p>
      <w:pPr>
        <w:pStyle w:val="BodyText"/>
      </w:pPr>
    </w:p>
    <w:p>
      <w:pPr>
        <w:pStyle w:val="BodyText"/>
        <w:spacing w:line="360" w:lineRule="auto" w:before="142"/>
        <w:ind w:left="120" w:right="101" w:firstLine="427"/>
        <w:jc w:val="both"/>
      </w:pPr>
      <w:r>
        <w:rPr/>
        <w:t>Tanto</w:t>
      </w:r>
      <w:r>
        <w:rPr>
          <w:spacing w:val="-9"/>
        </w:rPr>
        <w:t> </w:t>
      </w:r>
      <w:r>
        <w:rPr/>
        <w:t>los</w:t>
      </w:r>
      <w:r>
        <w:rPr>
          <w:spacing w:val="-7"/>
        </w:rPr>
        <w:t> </w:t>
      </w:r>
      <w:r>
        <w:rPr/>
        <w:t>países</w:t>
      </w:r>
      <w:r>
        <w:rPr>
          <w:spacing w:val="-7"/>
        </w:rPr>
        <w:t> </w:t>
      </w:r>
      <w:r>
        <w:rPr/>
        <w:t>avanzados</w:t>
      </w:r>
      <w:r>
        <w:rPr>
          <w:spacing w:val="-7"/>
        </w:rPr>
        <w:t> </w:t>
      </w:r>
      <w:r>
        <w:rPr/>
        <w:t>como</w:t>
      </w:r>
      <w:r>
        <w:rPr>
          <w:spacing w:val="-9"/>
        </w:rPr>
        <w:t> </w:t>
      </w:r>
      <w:r>
        <w:rPr/>
        <w:t>los</w:t>
      </w:r>
      <w:r>
        <w:rPr>
          <w:spacing w:val="-3"/>
        </w:rPr>
        <w:t> </w:t>
      </w:r>
      <w:r>
        <w:rPr/>
        <w:t>emergentes</w:t>
      </w:r>
      <w:r>
        <w:rPr>
          <w:spacing w:val="-7"/>
        </w:rPr>
        <w:t> </w:t>
      </w:r>
      <w:r>
        <w:rPr/>
        <w:t>cuentan</w:t>
      </w:r>
      <w:r>
        <w:rPr>
          <w:spacing w:val="-9"/>
        </w:rPr>
        <w:t> </w:t>
      </w:r>
      <w:r>
        <w:rPr/>
        <w:t>con</w:t>
      </w:r>
      <w:r>
        <w:rPr>
          <w:spacing w:val="-9"/>
        </w:rPr>
        <w:t> </w:t>
      </w:r>
      <w:r>
        <w:rPr/>
        <w:t>instituciones</w:t>
      </w:r>
      <w:r>
        <w:rPr>
          <w:spacing w:val="-3"/>
        </w:rPr>
        <w:t> </w:t>
      </w:r>
      <w:r>
        <w:rPr/>
        <w:t>de rendición de cuentas, las cuales tienen la misma función sustantiva, pero obtienen resultados distintos. Esto puede explicarse en parte, por los diferentes sistemas políticos, distintos intereses políticos, la relación Estado-sociedad, la forma de implementación de los instrumentos de rendición de cuentas y principalmente, la cultura política</w:t>
      </w:r>
      <w:r>
        <w:rPr>
          <w:spacing w:val="-21"/>
        </w:rPr>
        <w:t> </w:t>
      </w:r>
      <w:r>
        <w:rPr/>
        <w:t>ciudadana.</w:t>
      </w:r>
    </w:p>
    <w:p>
      <w:pPr>
        <w:pStyle w:val="BodyText"/>
        <w:spacing w:line="360" w:lineRule="auto" w:before="6"/>
        <w:ind w:left="120" w:right="98" w:firstLine="427"/>
        <w:jc w:val="both"/>
      </w:pPr>
      <w:r>
        <w:rPr/>
        <w:t>La implementación de políticas efectivas de rendición de cuentas depende, entre otros aspectos, de la dicotomía politización-despolitización,</w:t>
      </w:r>
      <w:r>
        <w:rPr>
          <w:position w:val="8"/>
          <w:sz w:val="16"/>
        </w:rPr>
        <w:t>17 </w:t>
      </w:r>
      <w:r>
        <w:rPr/>
        <w:t>ya que se requiere que las instituciones de rendición de cuentas cumplan con su función política de informar a la sociedad y presentar al congreso la evaluación de los resultados de las políticas públicas y hacerlo del conocimiento público, tanto nacional como de la comunidad internacional.</w:t>
      </w:r>
    </w:p>
    <w:p>
      <w:pPr>
        <w:pStyle w:val="BodyText"/>
        <w:spacing w:line="360" w:lineRule="auto" w:before="6"/>
        <w:ind w:left="120" w:right="101" w:firstLine="427"/>
        <w:jc w:val="both"/>
      </w:pPr>
      <w:r>
        <w:rPr/>
        <w:t>La gobernanza puede orientarse hacia la creación de nuevos canales de rendición de cuentas en el Estado donde haya más participación ciudadana mediante redes, pero los ciudadanos no les pueden exigir a las organizaciones privadas responsabilidad sobre las políticas públicas.</w:t>
      </w:r>
    </w:p>
    <w:p>
      <w:pPr>
        <w:pStyle w:val="BodyText"/>
        <w:spacing w:line="357" w:lineRule="auto" w:before="6"/>
        <w:ind w:left="120" w:right="105" w:firstLine="427"/>
        <w:jc w:val="both"/>
      </w:pPr>
      <w:r>
        <w:rPr/>
        <w:t>Una de las aportaciones de la gobernanza a la rendición de cuentas es que puede realizarse una mejor rendición si se hace una distinción entre política y</w:t>
      </w:r>
    </w:p>
    <w:p>
      <w:pPr>
        <w:pStyle w:val="BodyText"/>
        <w:rPr>
          <w:sz w:val="20"/>
        </w:rPr>
      </w:pPr>
    </w:p>
    <w:p>
      <w:pPr>
        <w:pStyle w:val="BodyText"/>
        <w:spacing w:before="1"/>
        <w:rPr>
          <w:sz w:val="10"/>
        </w:rPr>
      </w:pPr>
      <w:r>
        <w:rPr/>
        <w:pict>
          <v:line style="position:absolute;mso-position-horizontal-relative:page;mso-position-vertical-relative:paragraph;z-index:2248;mso-wrap-distance-left:0;mso-wrap-distance-right:0" from="85.025002pt,8.188944pt" to="229.075002pt,8.188944pt" stroked="true" strokeweight=".79999pt" strokecolor="#000000">
            <w10:wrap type="topAndBottom"/>
          </v:line>
        </w:pict>
      </w:r>
    </w:p>
    <w:p>
      <w:pPr>
        <w:spacing w:line="244" w:lineRule="auto" w:before="59"/>
        <w:ind w:left="120" w:right="104" w:firstLine="0"/>
        <w:jc w:val="both"/>
        <w:rPr>
          <w:sz w:val="16"/>
        </w:rPr>
      </w:pPr>
      <w:r>
        <w:rPr>
          <w:rFonts w:ascii="Times New Roman" w:hAnsi="Times New Roman"/>
          <w:position w:val="7"/>
          <w:sz w:val="13"/>
        </w:rPr>
        <w:t>17</w:t>
      </w:r>
      <w:r>
        <w:rPr>
          <w:sz w:val="16"/>
        </w:rPr>
        <w:t>De acuerdo con estudios jurídicos realizados sobre la pertinencia de la autonomía constitucional de las entidades de rendición</w:t>
      </w:r>
      <w:r>
        <w:rPr>
          <w:spacing w:val="-8"/>
          <w:sz w:val="16"/>
        </w:rPr>
        <w:t> </w:t>
      </w:r>
      <w:r>
        <w:rPr>
          <w:sz w:val="16"/>
        </w:rPr>
        <w:t>de</w:t>
      </w:r>
      <w:r>
        <w:rPr>
          <w:spacing w:val="-4"/>
          <w:sz w:val="16"/>
        </w:rPr>
        <w:t> </w:t>
      </w:r>
      <w:r>
        <w:rPr>
          <w:sz w:val="16"/>
        </w:rPr>
        <w:t>cuentas,</w:t>
      </w:r>
      <w:r>
        <w:rPr>
          <w:spacing w:val="-3"/>
          <w:sz w:val="16"/>
        </w:rPr>
        <w:t> </w:t>
      </w:r>
      <w:r>
        <w:rPr>
          <w:sz w:val="16"/>
        </w:rPr>
        <w:t>se</w:t>
      </w:r>
      <w:r>
        <w:rPr>
          <w:spacing w:val="-8"/>
          <w:sz w:val="16"/>
        </w:rPr>
        <w:t> </w:t>
      </w:r>
      <w:r>
        <w:rPr>
          <w:sz w:val="16"/>
        </w:rPr>
        <w:t>considera</w:t>
      </w:r>
      <w:r>
        <w:rPr>
          <w:spacing w:val="-4"/>
          <w:sz w:val="16"/>
        </w:rPr>
        <w:t> </w:t>
      </w:r>
      <w:r>
        <w:rPr>
          <w:sz w:val="16"/>
        </w:rPr>
        <w:t>que</w:t>
      </w:r>
      <w:r>
        <w:rPr>
          <w:spacing w:val="-8"/>
          <w:sz w:val="16"/>
        </w:rPr>
        <w:t> </w:t>
      </w:r>
      <w:r>
        <w:rPr>
          <w:sz w:val="16"/>
        </w:rPr>
        <w:t>éstas</w:t>
      </w:r>
      <w:r>
        <w:rPr>
          <w:spacing w:val="-11"/>
          <w:sz w:val="16"/>
        </w:rPr>
        <w:t> </w:t>
      </w:r>
      <w:r>
        <w:rPr>
          <w:sz w:val="16"/>
        </w:rPr>
        <w:t>deben</w:t>
      </w:r>
      <w:r>
        <w:rPr>
          <w:spacing w:val="-3"/>
          <w:sz w:val="16"/>
        </w:rPr>
        <w:t> </w:t>
      </w:r>
      <w:r>
        <w:rPr>
          <w:sz w:val="16"/>
        </w:rPr>
        <w:t>ser</w:t>
      </w:r>
      <w:r>
        <w:rPr>
          <w:spacing w:val="-4"/>
          <w:sz w:val="16"/>
        </w:rPr>
        <w:t> </w:t>
      </w:r>
      <w:r>
        <w:rPr>
          <w:sz w:val="16"/>
        </w:rPr>
        <w:t>“ajenas</w:t>
      </w:r>
      <w:r>
        <w:rPr>
          <w:spacing w:val="-6"/>
          <w:sz w:val="16"/>
        </w:rPr>
        <w:t> </w:t>
      </w:r>
      <w:r>
        <w:rPr>
          <w:sz w:val="16"/>
        </w:rPr>
        <w:t>al</w:t>
      </w:r>
      <w:r>
        <w:rPr>
          <w:spacing w:val="-7"/>
          <w:sz w:val="16"/>
        </w:rPr>
        <w:t> </w:t>
      </w:r>
      <w:r>
        <w:rPr>
          <w:sz w:val="16"/>
        </w:rPr>
        <w:t>ámbito</w:t>
      </w:r>
      <w:r>
        <w:rPr>
          <w:spacing w:val="-4"/>
          <w:sz w:val="16"/>
        </w:rPr>
        <w:t> </w:t>
      </w:r>
      <w:r>
        <w:rPr>
          <w:sz w:val="16"/>
        </w:rPr>
        <w:t>de</w:t>
      </w:r>
      <w:r>
        <w:rPr>
          <w:spacing w:val="-3"/>
          <w:sz w:val="16"/>
        </w:rPr>
        <w:t> </w:t>
      </w:r>
      <w:r>
        <w:rPr>
          <w:sz w:val="16"/>
        </w:rPr>
        <w:t>la</w:t>
      </w:r>
      <w:r>
        <w:rPr>
          <w:spacing w:val="-4"/>
          <w:sz w:val="16"/>
        </w:rPr>
        <w:t> </w:t>
      </w:r>
      <w:r>
        <w:rPr>
          <w:sz w:val="16"/>
        </w:rPr>
        <w:t>política,</w:t>
      </w:r>
      <w:r>
        <w:rPr>
          <w:spacing w:val="-7"/>
          <w:sz w:val="16"/>
        </w:rPr>
        <w:t> </w:t>
      </w:r>
      <w:r>
        <w:rPr>
          <w:sz w:val="16"/>
        </w:rPr>
        <w:t>al ámbito</w:t>
      </w:r>
      <w:r>
        <w:rPr>
          <w:spacing w:val="-8"/>
          <w:sz w:val="16"/>
        </w:rPr>
        <w:t> </w:t>
      </w:r>
      <w:r>
        <w:rPr>
          <w:sz w:val="16"/>
        </w:rPr>
        <w:t>de</w:t>
      </w:r>
      <w:r>
        <w:rPr>
          <w:spacing w:val="-3"/>
          <w:sz w:val="16"/>
        </w:rPr>
        <w:t> </w:t>
      </w:r>
      <w:r>
        <w:rPr>
          <w:sz w:val="16"/>
        </w:rPr>
        <w:t>los</w:t>
      </w:r>
      <w:r>
        <w:rPr>
          <w:spacing w:val="-6"/>
          <w:sz w:val="16"/>
        </w:rPr>
        <w:t> </w:t>
      </w:r>
      <w:r>
        <w:rPr>
          <w:sz w:val="16"/>
        </w:rPr>
        <w:t>intereses</w:t>
      </w:r>
      <w:r>
        <w:rPr>
          <w:spacing w:val="-6"/>
          <w:sz w:val="16"/>
        </w:rPr>
        <w:t> </w:t>
      </w:r>
      <w:r>
        <w:rPr>
          <w:sz w:val="16"/>
        </w:rPr>
        <w:t>partidistas, deben</w:t>
      </w:r>
      <w:r>
        <w:rPr>
          <w:spacing w:val="-7"/>
          <w:sz w:val="16"/>
        </w:rPr>
        <w:t> </w:t>
      </w:r>
      <w:r>
        <w:rPr>
          <w:sz w:val="16"/>
        </w:rPr>
        <w:t>ser,</w:t>
      </w:r>
      <w:r>
        <w:rPr>
          <w:spacing w:val="-7"/>
          <w:sz w:val="16"/>
        </w:rPr>
        <w:t> </w:t>
      </w:r>
      <w:r>
        <w:rPr>
          <w:sz w:val="16"/>
        </w:rPr>
        <w:t>pues,</w:t>
      </w:r>
      <w:r>
        <w:rPr>
          <w:spacing w:val="-4"/>
          <w:sz w:val="16"/>
        </w:rPr>
        <w:t> </w:t>
      </w:r>
      <w:r>
        <w:rPr>
          <w:sz w:val="16"/>
        </w:rPr>
        <w:t>instituciones</w:t>
      </w:r>
      <w:r>
        <w:rPr>
          <w:spacing w:val="-7"/>
          <w:sz w:val="16"/>
        </w:rPr>
        <w:t> </w:t>
      </w:r>
      <w:r>
        <w:rPr>
          <w:sz w:val="16"/>
        </w:rPr>
        <w:t>neutras,</w:t>
      </w:r>
      <w:r>
        <w:rPr>
          <w:spacing w:val="-7"/>
          <w:sz w:val="16"/>
        </w:rPr>
        <w:t> </w:t>
      </w:r>
      <w:r>
        <w:rPr>
          <w:sz w:val="16"/>
        </w:rPr>
        <w:t>política</w:t>
      </w:r>
      <w:r>
        <w:rPr>
          <w:spacing w:val="-4"/>
          <w:sz w:val="16"/>
        </w:rPr>
        <w:t> </w:t>
      </w:r>
      <w:r>
        <w:rPr>
          <w:sz w:val="16"/>
        </w:rPr>
        <w:t>y</w:t>
      </w:r>
      <w:r>
        <w:rPr>
          <w:spacing w:val="-11"/>
          <w:sz w:val="16"/>
        </w:rPr>
        <w:t> </w:t>
      </w:r>
      <w:r>
        <w:rPr>
          <w:sz w:val="16"/>
        </w:rPr>
        <w:t>partidistamente</w:t>
      </w:r>
      <w:r>
        <w:rPr>
          <w:spacing w:val="-5"/>
          <w:sz w:val="16"/>
        </w:rPr>
        <w:t> </w:t>
      </w:r>
      <w:r>
        <w:rPr>
          <w:sz w:val="16"/>
        </w:rPr>
        <w:t>hablando</w:t>
      </w:r>
      <w:r>
        <w:rPr>
          <w:spacing w:val="-8"/>
          <w:sz w:val="16"/>
        </w:rPr>
        <w:t> </w:t>
      </w:r>
      <w:r>
        <w:rPr>
          <w:sz w:val="16"/>
        </w:rPr>
        <w:t>para</w:t>
      </w:r>
      <w:r>
        <w:rPr>
          <w:spacing w:val="-8"/>
          <w:sz w:val="16"/>
        </w:rPr>
        <w:t> </w:t>
      </w:r>
      <w:r>
        <w:rPr>
          <w:sz w:val="16"/>
        </w:rPr>
        <w:t>que</w:t>
      </w:r>
      <w:r>
        <w:rPr>
          <w:spacing w:val="-8"/>
          <w:sz w:val="16"/>
        </w:rPr>
        <w:t> </w:t>
      </w:r>
      <w:r>
        <w:rPr>
          <w:sz w:val="16"/>
        </w:rPr>
        <w:t>puedan</w:t>
      </w:r>
      <w:r>
        <w:rPr>
          <w:spacing w:val="-8"/>
          <w:sz w:val="16"/>
        </w:rPr>
        <w:t> </w:t>
      </w:r>
      <w:r>
        <w:rPr>
          <w:sz w:val="16"/>
        </w:rPr>
        <w:t>actuar</w:t>
      </w:r>
      <w:r>
        <w:rPr>
          <w:spacing w:val="-8"/>
          <w:sz w:val="16"/>
        </w:rPr>
        <w:t> </w:t>
      </w:r>
      <w:r>
        <w:rPr>
          <w:sz w:val="16"/>
        </w:rPr>
        <w:t>con</w:t>
      </w:r>
      <w:r>
        <w:rPr>
          <w:spacing w:val="-7"/>
          <w:sz w:val="16"/>
        </w:rPr>
        <w:t> </w:t>
      </w:r>
      <w:r>
        <w:rPr>
          <w:sz w:val="16"/>
        </w:rPr>
        <w:t>imparcialidad</w:t>
      </w:r>
      <w:r>
        <w:rPr>
          <w:spacing w:val="-8"/>
          <w:sz w:val="16"/>
        </w:rPr>
        <w:t> </w:t>
      </w:r>
      <w:r>
        <w:rPr>
          <w:sz w:val="16"/>
        </w:rPr>
        <w:t>y</w:t>
      </w:r>
      <w:r>
        <w:rPr>
          <w:spacing w:val="-7"/>
          <w:sz w:val="16"/>
        </w:rPr>
        <w:t> </w:t>
      </w:r>
      <w:r>
        <w:rPr>
          <w:sz w:val="16"/>
        </w:rPr>
        <w:t>deben ser, además autónomas para que puedan actuar con entera</w:t>
      </w:r>
      <w:r>
        <w:rPr>
          <w:spacing w:val="-19"/>
          <w:sz w:val="16"/>
        </w:rPr>
        <w:t> </w:t>
      </w:r>
      <w:r>
        <w:rPr>
          <w:sz w:val="16"/>
        </w:rPr>
        <w:t>libertad.”</w:t>
      </w:r>
    </w:p>
    <w:p>
      <w:pPr>
        <w:spacing w:line="180" w:lineRule="exact" w:before="0"/>
        <w:ind w:left="120" w:right="0" w:firstLine="0"/>
        <w:jc w:val="both"/>
        <w:rPr>
          <w:sz w:val="16"/>
        </w:rPr>
      </w:pPr>
      <w:r>
        <w:rPr>
          <w:sz w:val="16"/>
        </w:rPr>
        <w:t>Autonomía de la Auditoría Superior de la Federación y de la Procuraduría General de la República, p. 130.</w:t>
      </w:r>
    </w:p>
    <w:p>
      <w:pPr>
        <w:spacing w:before="0"/>
        <w:ind w:left="120" w:right="4157" w:firstLine="0"/>
        <w:jc w:val="left"/>
        <w:rPr>
          <w:sz w:val="16"/>
        </w:rPr>
      </w:pPr>
      <w:r>
        <w:rPr>
          <w:sz w:val="16"/>
        </w:rPr>
        <w:t>Disponible en: </w:t>
      </w:r>
      <w:hyperlink r:id="rId33">
        <w:r>
          <w:rPr>
            <w:sz w:val="16"/>
          </w:rPr>
          <w:t>http://www.bibliojuridica.org/libros/6/2739/11.pdf</w:t>
        </w:r>
      </w:hyperlink>
      <w:r>
        <w:rPr>
          <w:sz w:val="16"/>
        </w:rPr>
        <w:t> [Fecha de consulta: 20 de abril, 2015]</w:t>
      </w:r>
    </w:p>
    <w:p>
      <w:pPr>
        <w:spacing w:after="0"/>
        <w:jc w:val="left"/>
        <w:rPr>
          <w:sz w:val="16"/>
        </w:rPr>
        <w:sectPr>
          <w:pgSz w:w="12240" w:h="15840"/>
          <w:pgMar w:header="0" w:footer="998" w:top="1360" w:bottom="1180" w:left="1580" w:right="1600"/>
        </w:sectPr>
      </w:pPr>
    </w:p>
    <w:p>
      <w:pPr>
        <w:pStyle w:val="BodyText"/>
        <w:spacing w:line="362" w:lineRule="auto" w:before="55"/>
        <w:ind w:left="100" w:right="109"/>
      </w:pPr>
      <w:r>
        <w:rPr/>
        <w:t>administración, es decir, diferenciar entre los aspectos estratégicos y operativos, lo cual orientará la política hacia aspectos estructurales.</w:t>
      </w:r>
    </w:p>
    <w:p>
      <w:pPr>
        <w:pStyle w:val="BodyText"/>
        <w:spacing w:line="360" w:lineRule="auto"/>
        <w:ind w:left="100" w:right="116" w:firstLine="427"/>
        <w:jc w:val="both"/>
      </w:pPr>
      <w:r>
        <w:rPr/>
        <w:t>Las evaluaciones de las políticas públicas mediante la rendición de cuentas le permiten al Estado y a la sociedad realizar un diagnóstico del funcionamiento y resultados de la gobernanza en la gobernabilidad.</w:t>
      </w:r>
    </w:p>
    <w:p>
      <w:pPr>
        <w:pStyle w:val="BodyText"/>
      </w:pPr>
    </w:p>
    <w:p>
      <w:pPr>
        <w:pStyle w:val="BodyText"/>
        <w:spacing w:line="360" w:lineRule="auto" w:before="142"/>
        <w:ind w:left="100" w:right="120" w:firstLine="427"/>
        <w:jc w:val="both"/>
      </w:pPr>
      <w:r>
        <w:rPr/>
        <w:t>Para resolver los problemas actuales la sociedad requiere ascender a un nivel superior de información, conciencia, seguimiento y organización, por lo que es necesario construir formas de asociación público-privada (redes).</w:t>
      </w:r>
    </w:p>
    <w:p>
      <w:pPr>
        <w:pStyle w:val="BodyText"/>
        <w:spacing w:line="360" w:lineRule="auto" w:before="6"/>
        <w:ind w:left="100" w:right="122" w:firstLine="427"/>
        <w:jc w:val="both"/>
      </w:pPr>
      <w:r>
        <w:rPr/>
        <w:t>La</w:t>
      </w:r>
      <w:r>
        <w:rPr>
          <w:spacing w:val="-18"/>
        </w:rPr>
        <w:t> </w:t>
      </w:r>
      <w:r>
        <w:rPr/>
        <w:t>gobernanza</w:t>
      </w:r>
      <w:r>
        <w:rPr>
          <w:spacing w:val="-16"/>
        </w:rPr>
        <w:t> </w:t>
      </w:r>
      <w:r>
        <w:rPr/>
        <w:t>requiere</w:t>
      </w:r>
      <w:r>
        <w:rPr>
          <w:spacing w:val="-18"/>
        </w:rPr>
        <w:t> </w:t>
      </w:r>
      <w:r>
        <w:rPr/>
        <w:t>dar</w:t>
      </w:r>
      <w:r>
        <w:rPr>
          <w:spacing w:val="-16"/>
        </w:rPr>
        <w:t> </w:t>
      </w:r>
      <w:r>
        <w:rPr/>
        <w:t>mayor</w:t>
      </w:r>
      <w:r>
        <w:rPr>
          <w:spacing w:val="-16"/>
        </w:rPr>
        <w:t> </w:t>
      </w:r>
      <w:r>
        <w:rPr/>
        <w:t>atención</w:t>
      </w:r>
      <w:r>
        <w:rPr>
          <w:spacing w:val="-18"/>
        </w:rPr>
        <w:t> </w:t>
      </w:r>
      <w:r>
        <w:rPr/>
        <w:t>a</w:t>
      </w:r>
      <w:r>
        <w:rPr>
          <w:spacing w:val="-18"/>
        </w:rPr>
        <w:t> </w:t>
      </w:r>
      <w:r>
        <w:rPr/>
        <w:t>los</w:t>
      </w:r>
      <w:r>
        <w:rPr>
          <w:spacing w:val="-16"/>
        </w:rPr>
        <w:t> </w:t>
      </w:r>
      <w:r>
        <w:rPr/>
        <w:t>problemas</w:t>
      </w:r>
      <w:r>
        <w:rPr>
          <w:spacing w:val="-16"/>
        </w:rPr>
        <w:t> </w:t>
      </w:r>
      <w:r>
        <w:rPr/>
        <w:t>políticos</w:t>
      </w:r>
      <w:r>
        <w:rPr>
          <w:spacing w:val="-16"/>
        </w:rPr>
        <w:t> </w:t>
      </w:r>
      <w:r>
        <w:rPr/>
        <w:t>y</w:t>
      </w:r>
      <w:r>
        <w:rPr>
          <w:spacing w:val="-20"/>
        </w:rPr>
        <w:t> </w:t>
      </w:r>
      <w:r>
        <w:rPr/>
        <w:t>sociales, una mayor capacidad del Estado y del sector privado para diseñar e implementar políticas orientadas hacia la lucha contra la corrupción y una eficiente rendición de cuentas.</w:t>
      </w:r>
    </w:p>
    <w:p>
      <w:pPr>
        <w:pStyle w:val="BodyText"/>
        <w:spacing w:line="360" w:lineRule="auto" w:before="5"/>
        <w:ind w:left="100" w:right="124" w:firstLine="427"/>
        <w:jc w:val="both"/>
      </w:pPr>
      <w:r>
        <w:rPr/>
        <w:t>Ni el Estado ni el mercado pueden prescindir de la sociedad, por lo que la participación de ella en exigir cuentas al Estado no puede ser sustituida por otro actor; sin embargo, crear una cultura ciudadana responsable y evaluadora de la gestión pública es una tarea difícil que puede tardar generaciones, en el mejor de los casos, por lo que es necesario emprender esa tarea en forma inmediata.</w:t>
      </w:r>
    </w:p>
    <w:p>
      <w:pPr>
        <w:pStyle w:val="BodyText"/>
        <w:spacing w:line="360" w:lineRule="auto" w:before="2"/>
        <w:ind w:left="100" w:right="117" w:firstLine="427"/>
        <w:jc w:val="right"/>
      </w:pPr>
      <w:r>
        <w:rPr/>
        <w:t>El</w:t>
      </w:r>
      <w:r>
        <w:rPr>
          <w:spacing w:val="-16"/>
        </w:rPr>
        <w:t> </w:t>
      </w:r>
      <w:r>
        <w:rPr/>
        <w:t>exigir</w:t>
      </w:r>
      <w:r>
        <w:rPr>
          <w:spacing w:val="-14"/>
        </w:rPr>
        <w:t> </w:t>
      </w:r>
      <w:r>
        <w:rPr/>
        <w:t>cuentas</w:t>
      </w:r>
      <w:r>
        <w:rPr>
          <w:spacing w:val="-14"/>
        </w:rPr>
        <w:t> </w:t>
      </w:r>
      <w:r>
        <w:rPr/>
        <w:t>tiene</w:t>
      </w:r>
      <w:r>
        <w:rPr>
          <w:spacing w:val="-16"/>
        </w:rPr>
        <w:t> </w:t>
      </w:r>
      <w:r>
        <w:rPr/>
        <w:t>la</w:t>
      </w:r>
      <w:r>
        <w:rPr>
          <w:spacing w:val="-16"/>
        </w:rPr>
        <w:t> </w:t>
      </w:r>
      <w:r>
        <w:rPr/>
        <w:t>facultad</w:t>
      </w:r>
      <w:r>
        <w:rPr>
          <w:spacing w:val="-16"/>
        </w:rPr>
        <w:t> </w:t>
      </w:r>
      <w:r>
        <w:rPr/>
        <w:t>de</w:t>
      </w:r>
      <w:r>
        <w:rPr>
          <w:spacing w:val="-16"/>
        </w:rPr>
        <w:t> </w:t>
      </w:r>
      <w:r>
        <w:rPr/>
        <w:t>servir</w:t>
      </w:r>
      <w:r>
        <w:rPr>
          <w:spacing w:val="-14"/>
        </w:rPr>
        <w:t> </w:t>
      </w:r>
      <w:r>
        <w:rPr/>
        <w:t>de</w:t>
      </w:r>
      <w:r>
        <w:rPr>
          <w:spacing w:val="-16"/>
        </w:rPr>
        <w:t> </w:t>
      </w:r>
      <w:r>
        <w:rPr/>
        <w:t>contrapeso</w:t>
      </w:r>
      <w:r>
        <w:rPr>
          <w:spacing w:val="-16"/>
        </w:rPr>
        <w:t> </w:t>
      </w:r>
      <w:r>
        <w:rPr/>
        <w:t>al</w:t>
      </w:r>
      <w:r>
        <w:rPr>
          <w:spacing w:val="-15"/>
        </w:rPr>
        <w:t> </w:t>
      </w:r>
      <w:r>
        <w:rPr/>
        <w:t>poder,</w:t>
      </w:r>
      <w:r>
        <w:rPr>
          <w:spacing w:val="-13"/>
        </w:rPr>
        <w:t> </w:t>
      </w:r>
      <w:r>
        <w:rPr/>
        <w:t>ya</w:t>
      </w:r>
      <w:r>
        <w:rPr>
          <w:spacing w:val="-16"/>
        </w:rPr>
        <w:t> </w:t>
      </w:r>
      <w:r>
        <w:rPr/>
        <w:t>que</w:t>
      </w:r>
      <w:r>
        <w:rPr>
          <w:spacing w:val="-16"/>
        </w:rPr>
        <w:t> </w:t>
      </w:r>
      <w:r>
        <w:rPr/>
        <w:t>obliga</w:t>
      </w:r>
      <w:r>
        <w:rPr>
          <w:w w:val="99"/>
        </w:rPr>
        <w:t> </w:t>
      </w:r>
      <w:r>
        <w:rPr/>
        <w:t>a las instituciones a ser más eficientes. No obstante, el contrapeso de</w:t>
      </w:r>
      <w:r>
        <w:rPr>
          <w:spacing w:val="8"/>
        </w:rPr>
        <w:t> </w:t>
      </w:r>
      <w:r>
        <w:rPr/>
        <w:t>la</w:t>
      </w:r>
      <w:r>
        <w:rPr>
          <w:spacing w:val="3"/>
        </w:rPr>
        <w:t> </w:t>
      </w:r>
      <w:r>
        <w:rPr/>
        <w:t>sociedad</w:t>
      </w:r>
      <w:r>
        <w:rPr>
          <w:w w:val="99"/>
        </w:rPr>
        <w:t> </w:t>
      </w:r>
      <w:r>
        <w:rPr/>
        <w:t>también</w:t>
      </w:r>
      <w:r>
        <w:rPr>
          <w:spacing w:val="27"/>
        </w:rPr>
        <w:t> </w:t>
      </w:r>
      <w:r>
        <w:rPr/>
        <w:t>puede</w:t>
      </w:r>
      <w:r>
        <w:rPr>
          <w:spacing w:val="27"/>
        </w:rPr>
        <w:t> </w:t>
      </w:r>
      <w:r>
        <w:rPr/>
        <w:t>orientarse</w:t>
      </w:r>
      <w:r>
        <w:rPr>
          <w:spacing w:val="27"/>
        </w:rPr>
        <w:t> </w:t>
      </w:r>
      <w:r>
        <w:rPr/>
        <w:t>a</w:t>
      </w:r>
      <w:r>
        <w:rPr>
          <w:spacing w:val="27"/>
        </w:rPr>
        <w:t> </w:t>
      </w:r>
      <w:r>
        <w:rPr/>
        <w:t>exigir</w:t>
      </w:r>
      <w:r>
        <w:rPr>
          <w:spacing w:val="29"/>
        </w:rPr>
        <w:t> </w:t>
      </w:r>
      <w:r>
        <w:rPr/>
        <w:t>el</w:t>
      </w:r>
      <w:r>
        <w:rPr>
          <w:spacing w:val="27"/>
        </w:rPr>
        <w:t> </w:t>
      </w:r>
      <w:r>
        <w:rPr/>
        <w:t>correcto</w:t>
      </w:r>
      <w:r>
        <w:rPr>
          <w:spacing w:val="27"/>
        </w:rPr>
        <w:t> </w:t>
      </w:r>
      <w:r>
        <w:rPr/>
        <w:t>desempeño</w:t>
      </w:r>
      <w:r>
        <w:rPr>
          <w:spacing w:val="27"/>
        </w:rPr>
        <w:t> </w:t>
      </w:r>
      <w:r>
        <w:rPr/>
        <w:t>de</w:t>
      </w:r>
      <w:r>
        <w:rPr>
          <w:spacing w:val="27"/>
        </w:rPr>
        <w:t> </w:t>
      </w:r>
      <w:r>
        <w:rPr/>
        <w:t>las</w:t>
      </w:r>
      <w:r>
        <w:rPr>
          <w:spacing w:val="29"/>
        </w:rPr>
        <w:t> </w:t>
      </w:r>
      <w:r>
        <w:rPr/>
        <w:t>instituciones</w:t>
      </w:r>
      <w:r>
        <w:rPr>
          <w:spacing w:val="29"/>
        </w:rPr>
        <w:t> </w:t>
      </w:r>
      <w:r>
        <w:rPr/>
        <w:t>de</w:t>
      </w:r>
      <w:r>
        <w:rPr>
          <w:w w:val="99"/>
        </w:rPr>
        <w:t> </w:t>
      </w:r>
      <w:r>
        <w:rPr/>
        <w:t>rendición de cuentas. En algunos países como México, por ejemplo,</w:t>
      </w:r>
      <w:r>
        <w:rPr>
          <w:spacing w:val="8"/>
        </w:rPr>
        <w:t> </w:t>
      </w:r>
      <w:r>
        <w:rPr/>
        <w:t>la</w:t>
      </w:r>
      <w:r>
        <w:rPr>
          <w:spacing w:val="15"/>
        </w:rPr>
        <w:t> </w:t>
      </w:r>
      <w:r>
        <w:rPr/>
        <w:t>institución</w:t>
      </w:r>
      <w:r>
        <w:rPr>
          <w:w w:val="99"/>
        </w:rPr>
        <w:t> </w:t>
      </w:r>
      <w:r>
        <w:rPr/>
        <w:t>electoral</w:t>
      </w:r>
      <w:r>
        <w:rPr>
          <w:spacing w:val="-4"/>
        </w:rPr>
        <w:t> </w:t>
      </w:r>
      <w:r>
        <w:rPr/>
        <w:t>se</w:t>
      </w:r>
      <w:r>
        <w:rPr>
          <w:spacing w:val="-4"/>
        </w:rPr>
        <w:t> </w:t>
      </w:r>
      <w:r>
        <w:rPr/>
        <w:t>ha</w:t>
      </w:r>
      <w:r>
        <w:rPr>
          <w:spacing w:val="-4"/>
        </w:rPr>
        <w:t> </w:t>
      </w:r>
      <w:r>
        <w:rPr/>
        <w:t>visto</w:t>
      </w:r>
      <w:r>
        <w:rPr>
          <w:spacing w:val="-4"/>
        </w:rPr>
        <w:t> </w:t>
      </w:r>
      <w:r>
        <w:rPr/>
        <w:t>politizada,</w:t>
      </w:r>
      <w:r>
        <w:rPr>
          <w:spacing w:val="-2"/>
        </w:rPr>
        <w:t> </w:t>
      </w:r>
      <w:r>
        <w:rPr/>
        <w:t>pero</w:t>
      </w:r>
      <w:r>
        <w:rPr>
          <w:spacing w:val="-4"/>
        </w:rPr>
        <w:t> </w:t>
      </w:r>
      <w:r>
        <w:rPr/>
        <w:t>su</w:t>
      </w:r>
      <w:r>
        <w:rPr>
          <w:spacing w:val="-4"/>
        </w:rPr>
        <w:t> </w:t>
      </w:r>
      <w:r>
        <w:rPr/>
        <w:t>imagen</w:t>
      </w:r>
      <w:r>
        <w:rPr>
          <w:spacing w:val="-4"/>
        </w:rPr>
        <w:t> </w:t>
      </w:r>
      <w:r>
        <w:rPr/>
        <w:t>en</w:t>
      </w:r>
      <w:r>
        <w:rPr>
          <w:spacing w:val="-4"/>
        </w:rPr>
        <w:t> </w:t>
      </w:r>
      <w:r>
        <w:rPr/>
        <w:t>la</w:t>
      </w:r>
      <w:r>
        <w:rPr>
          <w:spacing w:val="-4"/>
        </w:rPr>
        <w:t> </w:t>
      </w:r>
      <w:r>
        <w:rPr/>
        <w:t>sociedad</w:t>
      </w:r>
      <w:r>
        <w:rPr>
          <w:spacing w:val="-4"/>
        </w:rPr>
        <w:t> </w:t>
      </w:r>
      <w:r>
        <w:rPr/>
        <w:t>puede</w:t>
      </w:r>
      <w:r>
        <w:rPr>
          <w:spacing w:val="-4"/>
        </w:rPr>
        <w:t> </w:t>
      </w:r>
      <w:r>
        <w:rPr/>
        <w:t>cambiar</w:t>
      </w:r>
      <w:r>
        <w:rPr>
          <w:spacing w:val="-2"/>
        </w:rPr>
        <w:t> </w:t>
      </w:r>
      <w:r>
        <w:rPr/>
        <w:t>en</w:t>
      </w:r>
      <w:r>
        <w:rPr>
          <w:spacing w:val="-4"/>
        </w:rPr>
        <w:t> </w:t>
      </w:r>
      <w:r>
        <w:rPr/>
        <w:t>la</w:t>
      </w:r>
      <w:r>
        <w:rPr>
          <w:w w:val="99"/>
        </w:rPr>
        <w:t> </w:t>
      </w:r>
      <w:r>
        <w:rPr/>
        <w:t>medida</w:t>
      </w:r>
      <w:r>
        <w:rPr>
          <w:spacing w:val="-13"/>
        </w:rPr>
        <w:t> </w:t>
      </w:r>
      <w:r>
        <w:rPr/>
        <w:t>en</w:t>
      </w:r>
      <w:r>
        <w:rPr>
          <w:spacing w:val="-13"/>
        </w:rPr>
        <w:t> </w:t>
      </w:r>
      <w:r>
        <w:rPr/>
        <w:t>que</w:t>
      </w:r>
      <w:r>
        <w:rPr>
          <w:spacing w:val="-13"/>
        </w:rPr>
        <w:t> </w:t>
      </w:r>
      <w:r>
        <w:rPr/>
        <w:t>sus</w:t>
      </w:r>
      <w:r>
        <w:rPr>
          <w:spacing w:val="-12"/>
        </w:rPr>
        <w:t> </w:t>
      </w:r>
      <w:r>
        <w:rPr/>
        <w:t>evaluaciones</w:t>
      </w:r>
      <w:r>
        <w:rPr>
          <w:spacing w:val="-12"/>
        </w:rPr>
        <w:t> </w:t>
      </w:r>
      <w:r>
        <w:rPr/>
        <w:t>de</w:t>
      </w:r>
      <w:r>
        <w:rPr>
          <w:spacing w:val="-13"/>
        </w:rPr>
        <w:t> </w:t>
      </w:r>
      <w:r>
        <w:rPr/>
        <w:t>rendición</w:t>
      </w:r>
      <w:r>
        <w:rPr>
          <w:spacing w:val="-13"/>
        </w:rPr>
        <w:t> </w:t>
      </w:r>
      <w:r>
        <w:rPr/>
        <w:t>de</w:t>
      </w:r>
      <w:r>
        <w:rPr>
          <w:spacing w:val="-13"/>
        </w:rPr>
        <w:t> </w:t>
      </w:r>
      <w:r>
        <w:rPr/>
        <w:t>cuentas</w:t>
      </w:r>
      <w:r>
        <w:rPr>
          <w:spacing w:val="-12"/>
        </w:rPr>
        <w:t> </w:t>
      </w:r>
      <w:r>
        <w:rPr/>
        <w:t>reflejen</w:t>
      </w:r>
      <w:r>
        <w:rPr>
          <w:spacing w:val="-13"/>
        </w:rPr>
        <w:t> </w:t>
      </w:r>
      <w:r>
        <w:rPr/>
        <w:t>la</w:t>
      </w:r>
      <w:r>
        <w:rPr>
          <w:spacing w:val="-13"/>
        </w:rPr>
        <w:t> </w:t>
      </w:r>
      <w:r>
        <w:rPr/>
        <w:t>despolitización.</w:t>
      </w:r>
    </w:p>
    <w:p>
      <w:pPr>
        <w:pStyle w:val="BodyText"/>
        <w:spacing w:line="360" w:lineRule="auto" w:before="2"/>
        <w:ind w:left="100" w:right="122" w:firstLine="427"/>
        <w:jc w:val="both"/>
      </w:pPr>
      <w:r>
        <w:rPr/>
        <w:t>Resulta más importante que las mismas instituciones de rendición de cuentas se encuentren libres de la influencia del Congreso o del Poder Ejecutivo. Al respecto, Guy Peters considera que la figura de Tribunal de Cuentas permitirá despolitizar a las instituciones de rendición de cuentas, ya te así contará con facultades judiciales y estará libre de influencias partidistas.</w:t>
      </w:r>
    </w:p>
    <w:p>
      <w:pPr>
        <w:pStyle w:val="BodyText"/>
        <w:spacing w:line="362" w:lineRule="auto" w:before="2"/>
        <w:ind w:left="100" w:right="123" w:firstLine="427"/>
        <w:jc w:val="both"/>
      </w:pPr>
      <w:r>
        <w:rPr/>
        <w:t>Es importante considerar que aun en los países avanzados existe el problema de rendición de cuentas, ya que los actores privados no cuentan con   legitimación</w:t>
      </w:r>
    </w:p>
    <w:p>
      <w:pPr>
        <w:spacing w:after="0" w:line="362" w:lineRule="auto"/>
        <w:jc w:val="both"/>
        <w:sectPr>
          <w:pgSz w:w="12240" w:h="15840"/>
          <w:pgMar w:header="0" w:footer="998" w:top="1360" w:bottom="1180" w:left="1600" w:right="1580"/>
        </w:sectPr>
      </w:pPr>
    </w:p>
    <w:p>
      <w:pPr>
        <w:pStyle w:val="BodyText"/>
        <w:spacing w:line="360" w:lineRule="auto" w:before="55"/>
        <w:ind w:left="120" w:right="103"/>
        <w:jc w:val="both"/>
      </w:pPr>
      <w:r>
        <w:rPr/>
        <w:t>democrática.</w:t>
      </w:r>
      <w:r>
        <w:rPr>
          <w:spacing w:val="-11"/>
        </w:rPr>
        <w:t> </w:t>
      </w:r>
      <w:r>
        <w:rPr/>
        <w:t>Guy</w:t>
      </w:r>
      <w:r>
        <w:rPr>
          <w:spacing w:val="-14"/>
        </w:rPr>
        <w:t> </w:t>
      </w:r>
      <w:r>
        <w:rPr/>
        <w:t>Peters</w:t>
      </w:r>
      <w:r>
        <w:rPr>
          <w:spacing w:val="-12"/>
        </w:rPr>
        <w:t> </w:t>
      </w:r>
      <w:r>
        <w:rPr/>
        <w:t>sostiene</w:t>
      </w:r>
      <w:r>
        <w:rPr>
          <w:spacing w:val="-14"/>
        </w:rPr>
        <w:t> </w:t>
      </w:r>
      <w:r>
        <w:rPr/>
        <w:t>que</w:t>
      </w:r>
      <w:r>
        <w:rPr>
          <w:spacing w:val="-14"/>
        </w:rPr>
        <w:t> </w:t>
      </w:r>
      <w:r>
        <w:rPr/>
        <w:t>la</w:t>
      </w:r>
      <w:r>
        <w:rPr>
          <w:spacing w:val="-14"/>
        </w:rPr>
        <w:t> </w:t>
      </w:r>
      <w:r>
        <w:rPr/>
        <w:t>rendición</w:t>
      </w:r>
      <w:r>
        <w:rPr>
          <w:spacing w:val="-14"/>
        </w:rPr>
        <w:t> </w:t>
      </w:r>
      <w:r>
        <w:rPr/>
        <w:t>de</w:t>
      </w:r>
      <w:r>
        <w:rPr>
          <w:spacing w:val="-14"/>
        </w:rPr>
        <w:t> </w:t>
      </w:r>
      <w:r>
        <w:rPr/>
        <w:t>cuentas</w:t>
      </w:r>
      <w:r>
        <w:rPr>
          <w:spacing w:val="-12"/>
        </w:rPr>
        <w:t> </w:t>
      </w:r>
      <w:r>
        <w:rPr/>
        <w:t>en</w:t>
      </w:r>
      <w:r>
        <w:rPr>
          <w:spacing w:val="-14"/>
        </w:rPr>
        <w:t> </w:t>
      </w:r>
      <w:r>
        <w:rPr/>
        <w:t>países</w:t>
      </w:r>
      <w:r>
        <w:rPr>
          <w:spacing w:val="-12"/>
        </w:rPr>
        <w:t> </w:t>
      </w:r>
      <w:r>
        <w:rPr/>
        <w:t>avanzados como Estados Unidos y Reino Unido (Cerrillo, 2005: 111-112) es un asunto sin resolver, </w:t>
      </w:r>
      <w:r>
        <w:rPr>
          <w:spacing w:val="-3"/>
        </w:rPr>
        <w:t>ya </w:t>
      </w:r>
      <w:r>
        <w:rPr/>
        <w:t>que los mecanismos tradicionales de rendición de cuentas se han reemplazado por diferentes procesos de control electoral (Cerrillo, 2005:</w:t>
      </w:r>
      <w:r>
        <w:rPr>
          <w:spacing w:val="-44"/>
        </w:rPr>
        <w:t> </w:t>
      </w:r>
      <w:r>
        <w:rPr/>
        <w:t>128).</w:t>
      </w:r>
    </w:p>
    <w:p>
      <w:pPr>
        <w:pStyle w:val="BodyText"/>
      </w:pPr>
    </w:p>
    <w:p>
      <w:pPr>
        <w:pStyle w:val="BodyText"/>
        <w:spacing w:line="360" w:lineRule="auto" w:before="142"/>
        <w:ind w:left="120" w:right="102" w:firstLine="427"/>
        <w:jc w:val="both"/>
      </w:pPr>
      <w:r>
        <w:rPr/>
        <w:t>Un elemento que puede limitar una rendición de cuentas eficiente, tanto en países emergentes como avanzados, es la existencia de instituciones gubernamentales</w:t>
      </w:r>
      <w:r>
        <w:rPr>
          <w:spacing w:val="-16"/>
        </w:rPr>
        <w:t> </w:t>
      </w:r>
      <w:r>
        <w:rPr/>
        <w:t>con</w:t>
      </w:r>
      <w:r>
        <w:rPr>
          <w:spacing w:val="-18"/>
        </w:rPr>
        <w:t> </w:t>
      </w:r>
      <w:r>
        <w:rPr/>
        <w:t>una</w:t>
      </w:r>
      <w:r>
        <w:rPr>
          <w:spacing w:val="-18"/>
        </w:rPr>
        <w:t> </w:t>
      </w:r>
      <w:r>
        <w:rPr/>
        <w:t>autonomía</w:t>
      </w:r>
      <w:r>
        <w:rPr>
          <w:position w:val="8"/>
          <w:sz w:val="16"/>
        </w:rPr>
        <w:t>18</w:t>
      </w:r>
      <w:r>
        <w:rPr>
          <w:spacing w:val="5"/>
          <w:position w:val="8"/>
          <w:sz w:val="16"/>
        </w:rPr>
        <w:t> </w:t>
      </w:r>
      <w:r>
        <w:rPr/>
        <w:t>o</w:t>
      </w:r>
      <w:r>
        <w:rPr>
          <w:spacing w:val="-18"/>
        </w:rPr>
        <w:t> </w:t>
      </w:r>
      <w:r>
        <w:rPr/>
        <w:t>semi-autonomía</w:t>
      </w:r>
      <w:r>
        <w:rPr>
          <w:spacing w:val="-18"/>
        </w:rPr>
        <w:t> </w:t>
      </w:r>
      <w:r>
        <w:rPr/>
        <w:t>mal</w:t>
      </w:r>
      <w:r>
        <w:rPr>
          <w:spacing w:val="-17"/>
        </w:rPr>
        <w:t> </w:t>
      </w:r>
      <w:r>
        <w:rPr/>
        <w:t>comprendida</w:t>
      </w:r>
      <w:r>
        <w:rPr>
          <w:spacing w:val="-14"/>
        </w:rPr>
        <w:t> </w:t>
      </w:r>
      <w:r>
        <w:rPr/>
        <w:t>y</w:t>
      </w:r>
      <w:r>
        <w:rPr>
          <w:spacing w:val="-20"/>
        </w:rPr>
        <w:t> </w:t>
      </w:r>
      <w:r>
        <w:rPr/>
        <w:t>usada como</w:t>
      </w:r>
      <w:r>
        <w:rPr>
          <w:spacing w:val="-5"/>
        </w:rPr>
        <w:t> </w:t>
      </w:r>
      <w:r>
        <w:rPr/>
        <w:t>justificación</w:t>
      </w:r>
      <w:r>
        <w:rPr>
          <w:spacing w:val="-5"/>
        </w:rPr>
        <w:t> </w:t>
      </w:r>
      <w:r>
        <w:rPr/>
        <w:t>de</w:t>
      </w:r>
      <w:r>
        <w:rPr>
          <w:spacing w:val="-5"/>
        </w:rPr>
        <w:t> </w:t>
      </w:r>
      <w:r>
        <w:rPr/>
        <w:t>exclusión</w:t>
      </w:r>
      <w:r>
        <w:rPr>
          <w:spacing w:val="-5"/>
        </w:rPr>
        <w:t> </w:t>
      </w:r>
      <w:r>
        <w:rPr/>
        <w:t>de</w:t>
      </w:r>
      <w:r>
        <w:rPr>
          <w:spacing w:val="-5"/>
        </w:rPr>
        <w:t> </w:t>
      </w:r>
      <w:r>
        <w:rPr/>
        <w:t>rendición</w:t>
      </w:r>
      <w:r>
        <w:rPr>
          <w:spacing w:val="-5"/>
        </w:rPr>
        <w:t> </w:t>
      </w:r>
      <w:r>
        <w:rPr/>
        <w:t>de</w:t>
      </w:r>
      <w:r>
        <w:rPr>
          <w:spacing w:val="-5"/>
        </w:rPr>
        <w:t> </w:t>
      </w:r>
      <w:r>
        <w:rPr/>
        <w:t>cuentas,</w:t>
      </w:r>
      <w:r>
        <w:rPr>
          <w:spacing w:val="-3"/>
        </w:rPr>
        <w:t> </w:t>
      </w:r>
      <w:r>
        <w:rPr/>
        <w:t>lo</w:t>
      </w:r>
      <w:r>
        <w:rPr>
          <w:spacing w:val="-5"/>
        </w:rPr>
        <w:t> </w:t>
      </w:r>
      <w:r>
        <w:rPr/>
        <w:t>que</w:t>
      </w:r>
      <w:r>
        <w:rPr>
          <w:spacing w:val="-5"/>
        </w:rPr>
        <w:t> </w:t>
      </w:r>
      <w:r>
        <w:rPr/>
        <w:t>causa</w:t>
      </w:r>
      <w:r>
        <w:rPr>
          <w:spacing w:val="-5"/>
        </w:rPr>
        <w:t> </w:t>
      </w:r>
      <w:r>
        <w:rPr/>
        <w:t>ineficiencia</w:t>
      </w:r>
      <w:r>
        <w:rPr>
          <w:spacing w:val="-1"/>
        </w:rPr>
        <w:t> </w:t>
      </w:r>
      <w:r>
        <w:rPr/>
        <w:t>y corrupción en esas instituciones</w:t>
      </w:r>
      <w:r>
        <w:rPr>
          <w:spacing w:val="-22"/>
        </w:rPr>
        <w:t> </w:t>
      </w:r>
      <w:r>
        <w:rPr/>
        <w:t>públicas.</w:t>
      </w:r>
    </w:p>
    <w:p>
      <w:pPr>
        <w:pStyle w:val="BodyText"/>
        <w:spacing w:line="360" w:lineRule="auto" w:before="2"/>
        <w:ind w:left="120" w:right="103" w:firstLine="427"/>
        <w:jc w:val="both"/>
      </w:pPr>
      <w:r>
        <w:rPr/>
        <w:t>Las sociedades emergentes requieren analizar la pertinencia de adoptar modelos europeos, ya que copiar reformas políticas y económicas, cuya viabilidad está contextualizada para países con mayor madurez institucional, puede traer mayores problemas que soluciones.</w:t>
      </w:r>
    </w:p>
    <w:p>
      <w:pPr>
        <w:pStyle w:val="BodyText"/>
      </w:pPr>
    </w:p>
    <w:p>
      <w:pPr>
        <w:pStyle w:val="BodyText"/>
        <w:spacing w:before="2"/>
        <w:rPr>
          <w:sz w:val="29"/>
        </w:rPr>
      </w:pPr>
    </w:p>
    <w:p>
      <w:pPr>
        <w:pStyle w:val="Heading2"/>
        <w:numPr>
          <w:ilvl w:val="1"/>
          <w:numId w:val="19"/>
        </w:numPr>
        <w:tabs>
          <w:tab w:pos="553" w:val="left" w:leader="none"/>
        </w:tabs>
        <w:spacing w:line="240" w:lineRule="auto" w:before="0" w:after="0"/>
        <w:ind w:left="552" w:right="0" w:hanging="432"/>
        <w:jc w:val="both"/>
      </w:pPr>
      <w:bookmarkStart w:name="_bookmark12" w:id="18"/>
      <w:bookmarkEnd w:id="18"/>
      <w:r>
        <w:rPr>
          <w:b w:val="0"/>
        </w:rPr>
      </w:r>
      <w:bookmarkStart w:name="_bookmark12" w:id="19"/>
      <w:bookmarkEnd w:id="19"/>
      <w:r>
        <w:rPr/>
        <w:t>L</w:t>
      </w:r>
      <w:r>
        <w:rPr/>
        <w:t>a gobernanza y las instituciones</w:t>
      </w:r>
      <w:r>
        <w:rPr>
          <w:spacing w:val="-14"/>
        </w:rPr>
        <w:t> </w:t>
      </w:r>
      <w:r>
        <w:rPr/>
        <w:t>internacionales</w:t>
      </w:r>
    </w:p>
    <w:p>
      <w:pPr>
        <w:pStyle w:val="BodyText"/>
        <w:spacing w:before="6"/>
        <w:rPr>
          <w:b/>
          <w:sz w:val="30"/>
        </w:rPr>
      </w:pPr>
    </w:p>
    <w:p>
      <w:pPr>
        <w:pStyle w:val="Heading3"/>
        <w:numPr>
          <w:ilvl w:val="2"/>
          <w:numId w:val="19"/>
        </w:numPr>
        <w:tabs>
          <w:tab w:pos="720" w:val="left" w:leader="none"/>
        </w:tabs>
        <w:spacing w:line="240" w:lineRule="auto" w:before="1" w:after="0"/>
        <w:ind w:left="120" w:right="0" w:firstLine="0"/>
        <w:jc w:val="both"/>
      </w:pPr>
      <w:bookmarkStart w:name="_bookmark13" w:id="20"/>
      <w:bookmarkEnd w:id="20"/>
      <w:r>
        <w:rPr>
          <w:b w:val="0"/>
        </w:rPr>
      </w:r>
      <w:bookmarkStart w:name="_bookmark13" w:id="21"/>
      <w:bookmarkEnd w:id="21"/>
      <w:r>
        <w:rPr/>
        <w:t>P</w:t>
      </w:r>
      <w:r>
        <w:rPr/>
        <w:t>ropuestas del Foro por una Nueva Gobernanza</w:t>
      </w:r>
      <w:r>
        <w:rPr>
          <w:spacing w:val="-15"/>
        </w:rPr>
        <w:t> </w:t>
      </w:r>
      <w:r>
        <w:rPr/>
        <w:t>Mundial</w:t>
      </w:r>
    </w:p>
    <w:p>
      <w:pPr>
        <w:pStyle w:val="BodyText"/>
        <w:spacing w:line="360" w:lineRule="auto" w:before="140"/>
        <w:ind w:left="120" w:right="104"/>
        <w:jc w:val="both"/>
      </w:pPr>
      <w:r>
        <w:rPr/>
        <w:t>El</w:t>
      </w:r>
      <w:r>
        <w:rPr>
          <w:spacing w:val="-9"/>
        </w:rPr>
        <w:t> </w:t>
      </w:r>
      <w:r>
        <w:rPr/>
        <w:t>Foro</w:t>
      </w:r>
      <w:r>
        <w:rPr>
          <w:spacing w:val="-9"/>
        </w:rPr>
        <w:t> </w:t>
      </w:r>
      <w:r>
        <w:rPr/>
        <w:t>por</w:t>
      </w:r>
      <w:r>
        <w:rPr>
          <w:spacing w:val="-3"/>
        </w:rPr>
        <w:t> </w:t>
      </w:r>
      <w:r>
        <w:rPr/>
        <w:t>una</w:t>
      </w:r>
      <w:r>
        <w:rPr>
          <w:spacing w:val="-5"/>
        </w:rPr>
        <w:t> </w:t>
      </w:r>
      <w:r>
        <w:rPr/>
        <w:t>Nueva</w:t>
      </w:r>
      <w:r>
        <w:rPr>
          <w:spacing w:val="-9"/>
        </w:rPr>
        <w:t> </w:t>
      </w:r>
      <w:r>
        <w:rPr/>
        <w:t>Gobernanza</w:t>
      </w:r>
      <w:r>
        <w:rPr>
          <w:spacing w:val="-5"/>
        </w:rPr>
        <w:t> </w:t>
      </w:r>
      <w:r>
        <w:rPr/>
        <w:t>Mundial</w:t>
      </w:r>
      <w:r>
        <w:rPr>
          <w:spacing w:val="-8"/>
        </w:rPr>
        <w:t> </w:t>
      </w:r>
      <w:r>
        <w:rPr/>
        <w:t>(FnGM)</w:t>
      </w:r>
      <w:r>
        <w:rPr>
          <w:spacing w:val="-7"/>
        </w:rPr>
        <w:t> </w:t>
      </w:r>
      <w:r>
        <w:rPr/>
        <w:t>definió</w:t>
      </w:r>
      <w:r>
        <w:rPr>
          <w:spacing w:val="-5"/>
        </w:rPr>
        <w:t> </w:t>
      </w:r>
      <w:r>
        <w:rPr/>
        <w:t>la</w:t>
      </w:r>
      <w:r>
        <w:rPr>
          <w:spacing w:val="-9"/>
        </w:rPr>
        <w:t> </w:t>
      </w:r>
      <w:r>
        <w:rPr/>
        <w:t>gobernanza</w:t>
      </w:r>
      <w:r>
        <w:rPr>
          <w:spacing w:val="-5"/>
        </w:rPr>
        <w:t> </w:t>
      </w:r>
      <w:r>
        <w:rPr/>
        <w:t>mundial como la gestión colectiva del planeta, definición amplia que permite revisar las dimensiones de lo que es y lo que podría ser la gobernanza</w:t>
      </w:r>
      <w:r>
        <w:rPr>
          <w:spacing w:val="-29"/>
        </w:rPr>
        <w:t> </w:t>
      </w:r>
      <w:r>
        <w:rPr/>
        <w:t>mundial.</w:t>
      </w:r>
    </w:p>
    <w:p>
      <w:pPr>
        <w:pStyle w:val="BodyText"/>
        <w:spacing w:line="360" w:lineRule="auto" w:before="6"/>
        <w:ind w:left="120" w:right="104" w:firstLine="427"/>
        <w:jc w:val="both"/>
      </w:pPr>
      <w:r>
        <w:rPr/>
        <w:t>El FnGM mencionó que los conflictos han sido un elemento permanente de la historia, pero, aunque han disminuido en los últimos años, en el Siglo XXI sus efectos</w:t>
      </w:r>
      <w:r>
        <w:rPr>
          <w:spacing w:val="-12"/>
        </w:rPr>
        <w:t> </w:t>
      </w:r>
      <w:r>
        <w:rPr/>
        <w:t>han</w:t>
      </w:r>
      <w:r>
        <w:rPr>
          <w:spacing w:val="-14"/>
        </w:rPr>
        <w:t> </w:t>
      </w:r>
      <w:r>
        <w:rPr/>
        <w:t>adquirido</w:t>
      </w:r>
      <w:r>
        <w:rPr>
          <w:spacing w:val="-14"/>
        </w:rPr>
        <w:t> </w:t>
      </w:r>
      <w:r>
        <w:rPr/>
        <w:t>niveles</w:t>
      </w:r>
      <w:r>
        <w:rPr>
          <w:spacing w:val="-12"/>
        </w:rPr>
        <w:t> </w:t>
      </w:r>
      <w:r>
        <w:rPr/>
        <w:t>que</w:t>
      </w:r>
      <w:r>
        <w:rPr>
          <w:spacing w:val="-14"/>
        </w:rPr>
        <w:t> </w:t>
      </w:r>
      <w:r>
        <w:rPr/>
        <w:t>ponen</w:t>
      </w:r>
      <w:r>
        <w:rPr>
          <w:spacing w:val="-14"/>
        </w:rPr>
        <w:t> </w:t>
      </w:r>
      <w:r>
        <w:rPr/>
        <w:t>en</w:t>
      </w:r>
      <w:r>
        <w:rPr>
          <w:spacing w:val="-14"/>
        </w:rPr>
        <w:t> </w:t>
      </w:r>
      <w:r>
        <w:rPr/>
        <w:t>riesgo</w:t>
      </w:r>
      <w:r>
        <w:rPr>
          <w:spacing w:val="-14"/>
        </w:rPr>
        <w:t> </w:t>
      </w:r>
      <w:r>
        <w:rPr/>
        <w:t>la</w:t>
      </w:r>
      <w:r>
        <w:rPr>
          <w:spacing w:val="-14"/>
        </w:rPr>
        <w:t> </w:t>
      </w:r>
      <w:r>
        <w:rPr/>
        <w:t>sobrevivencia</w:t>
      </w:r>
      <w:r>
        <w:rPr>
          <w:spacing w:val="-14"/>
        </w:rPr>
        <w:t> </w:t>
      </w:r>
      <w:r>
        <w:rPr/>
        <w:t>de</w:t>
      </w:r>
      <w:r>
        <w:rPr>
          <w:spacing w:val="-14"/>
        </w:rPr>
        <w:t> </w:t>
      </w:r>
      <w:r>
        <w:rPr/>
        <w:t>las</w:t>
      </w:r>
      <w:r>
        <w:rPr>
          <w:spacing w:val="-12"/>
        </w:rPr>
        <w:t> </w:t>
      </w:r>
      <w:r>
        <w:rPr/>
        <w:t>naciones. Consideró que el origen de los conflictos son económicos políticos, religiosos, territoriales y sobre el control de los recursos escasos, lo que causa la crisis de </w:t>
      </w:r>
      <w:r>
        <w:rPr>
          <w:spacing w:val="59"/>
        </w:rPr>
        <w:t> </w:t>
      </w:r>
      <w:r>
        <w:rPr/>
        <w:t>la</w:t>
      </w:r>
    </w:p>
    <w:p>
      <w:pPr>
        <w:pStyle w:val="BodyText"/>
        <w:rPr>
          <w:sz w:val="20"/>
        </w:rPr>
      </w:pPr>
    </w:p>
    <w:p>
      <w:pPr>
        <w:pStyle w:val="BodyText"/>
        <w:spacing w:before="6"/>
      </w:pPr>
      <w:r>
        <w:rPr/>
        <w:pict>
          <v:line style="position:absolute;mso-position-horizontal-relative:page;mso-position-vertical-relative:paragraph;z-index:2272;mso-wrap-distance-left:0;mso-wrap-distance-right:0" from="85.025002pt,16.454857pt" to="229.075002pt,16.454857pt" stroked="true" strokeweight=".80005pt" strokecolor="#000000">
            <w10:wrap type="topAndBottom"/>
          </v:line>
        </w:pict>
      </w:r>
    </w:p>
    <w:p>
      <w:pPr>
        <w:spacing w:line="244" w:lineRule="auto" w:before="69"/>
        <w:ind w:left="120" w:right="98" w:firstLine="0"/>
        <w:jc w:val="both"/>
        <w:rPr>
          <w:sz w:val="16"/>
        </w:rPr>
      </w:pPr>
      <w:r>
        <w:rPr>
          <w:rFonts w:ascii="Calibri" w:hAnsi="Calibri"/>
          <w:position w:val="8"/>
          <w:sz w:val="14"/>
        </w:rPr>
        <w:t>18 </w:t>
      </w:r>
      <w:r>
        <w:rPr>
          <w:sz w:val="16"/>
        </w:rPr>
        <w:t>De conformidad con los artículos 28, párrafo sexto, de la Constitución Política de los Estados Unidos Mexicanos y 1° de la Ley del Banco de México, el Banco de México cuenta con autonomía constitucional y presupuestal. El organismo </w:t>
      </w:r>
      <w:r>
        <w:rPr>
          <w:spacing w:val="-3"/>
          <w:sz w:val="16"/>
        </w:rPr>
        <w:t>no </w:t>
      </w:r>
      <w:r>
        <w:rPr>
          <w:sz w:val="16"/>
        </w:rPr>
        <w:t>reporta en la Cuenta Pública ni su presupuesto se presenta en </w:t>
      </w:r>
      <w:r>
        <w:rPr>
          <w:spacing w:val="4"/>
          <w:sz w:val="16"/>
        </w:rPr>
        <w:t>el </w:t>
      </w:r>
      <w:r>
        <w:rPr>
          <w:sz w:val="16"/>
        </w:rPr>
        <w:t>Presupuesto de Egresos de la Federación; sin embargo, en </w:t>
      </w:r>
      <w:r>
        <w:rPr>
          <w:spacing w:val="3"/>
          <w:sz w:val="16"/>
        </w:rPr>
        <w:t>la </w:t>
      </w:r>
      <w:r>
        <w:rPr>
          <w:sz w:val="16"/>
        </w:rPr>
        <w:t>fiscalización superior de los recursos ejercidos por el Banco se considera que éstos son de carácter federal (artículo 1, segundo</w:t>
      </w:r>
      <w:r>
        <w:rPr>
          <w:spacing w:val="-8"/>
          <w:sz w:val="16"/>
        </w:rPr>
        <w:t> </w:t>
      </w:r>
      <w:r>
        <w:rPr>
          <w:sz w:val="16"/>
        </w:rPr>
        <w:t>párrafo</w:t>
      </w:r>
      <w:r>
        <w:rPr>
          <w:spacing w:val="-8"/>
          <w:sz w:val="16"/>
        </w:rPr>
        <w:t> </w:t>
      </w:r>
      <w:r>
        <w:rPr>
          <w:sz w:val="16"/>
        </w:rPr>
        <w:t>de</w:t>
      </w:r>
      <w:r>
        <w:rPr>
          <w:spacing w:val="-8"/>
          <w:sz w:val="16"/>
        </w:rPr>
        <w:t> </w:t>
      </w:r>
      <w:r>
        <w:rPr>
          <w:sz w:val="16"/>
        </w:rPr>
        <w:t>la</w:t>
      </w:r>
      <w:r>
        <w:rPr>
          <w:spacing w:val="-8"/>
          <w:sz w:val="16"/>
        </w:rPr>
        <w:t> </w:t>
      </w:r>
      <w:r>
        <w:rPr>
          <w:sz w:val="16"/>
        </w:rPr>
        <w:t>Ley</w:t>
      </w:r>
      <w:r>
        <w:rPr>
          <w:spacing w:val="-11"/>
          <w:sz w:val="16"/>
        </w:rPr>
        <w:t> </w:t>
      </w:r>
      <w:r>
        <w:rPr>
          <w:sz w:val="16"/>
        </w:rPr>
        <w:t>de</w:t>
      </w:r>
      <w:r>
        <w:rPr>
          <w:spacing w:val="-8"/>
          <w:sz w:val="16"/>
        </w:rPr>
        <w:t> </w:t>
      </w:r>
      <w:r>
        <w:rPr>
          <w:sz w:val="16"/>
        </w:rPr>
        <w:t>Fiscalización</w:t>
      </w:r>
      <w:r>
        <w:rPr>
          <w:spacing w:val="-7"/>
          <w:sz w:val="16"/>
        </w:rPr>
        <w:t> </w:t>
      </w:r>
      <w:r>
        <w:rPr>
          <w:sz w:val="16"/>
        </w:rPr>
        <w:t>y</w:t>
      </w:r>
      <w:r>
        <w:rPr>
          <w:spacing w:val="-11"/>
          <w:sz w:val="16"/>
        </w:rPr>
        <w:t> </w:t>
      </w:r>
      <w:r>
        <w:rPr>
          <w:sz w:val="16"/>
        </w:rPr>
        <w:t>Rendición</w:t>
      </w:r>
      <w:r>
        <w:rPr>
          <w:spacing w:val="-12"/>
          <w:sz w:val="16"/>
        </w:rPr>
        <w:t> </w:t>
      </w:r>
      <w:r>
        <w:rPr>
          <w:sz w:val="16"/>
        </w:rPr>
        <w:t>de</w:t>
      </w:r>
      <w:r>
        <w:rPr>
          <w:spacing w:val="-8"/>
          <w:sz w:val="16"/>
        </w:rPr>
        <w:t> </w:t>
      </w:r>
      <w:r>
        <w:rPr>
          <w:sz w:val="16"/>
        </w:rPr>
        <w:t>Cuentas</w:t>
      </w:r>
      <w:r>
        <w:rPr>
          <w:spacing w:val="-11"/>
          <w:sz w:val="16"/>
        </w:rPr>
        <w:t> </w:t>
      </w:r>
      <w:r>
        <w:rPr>
          <w:sz w:val="16"/>
        </w:rPr>
        <w:t>de</w:t>
      </w:r>
      <w:r>
        <w:rPr>
          <w:spacing w:val="-3"/>
          <w:sz w:val="16"/>
        </w:rPr>
        <w:t> </w:t>
      </w:r>
      <w:r>
        <w:rPr>
          <w:sz w:val="16"/>
        </w:rPr>
        <w:t>la</w:t>
      </w:r>
      <w:r>
        <w:rPr>
          <w:spacing w:val="-3"/>
          <w:sz w:val="16"/>
        </w:rPr>
        <w:t> </w:t>
      </w:r>
      <w:r>
        <w:rPr>
          <w:sz w:val="16"/>
        </w:rPr>
        <w:t>Federación)</w:t>
      </w:r>
      <w:r>
        <w:rPr>
          <w:spacing w:val="-4"/>
          <w:sz w:val="16"/>
        </w:rPr>
        <w:t> </w:t>
      </w:r>
      <w:r>
        <w:rPr>
          <w:sz w:val="16"/>
        </w:rPr>
        <w:t>y</w:t>
      </w:r>
      <w:r>
        <w:rPr>
          <w:spacing w:val="-10"/>
          <w:sz w:val="16"/>
        </w:rPr>
        <w:t> </w:t>
      </w:r>
      <w:r>
        <w:rPr>
          <w:sz w:val="16"/>
        </w:rPr>
        <w:t>de</w:t>
      </w:r>
      <w:r>
        <w:rPr>
          <w:spacing w:val="-8"/>
          <w:sz w:val="16"/>
        </w:rPr>
        <w:t> </w:t>
      </w:r>
      <w:r>
        <w:rPr>
          <w:sz w:val="16"/>
        </w:rPr>
        <w:t>acuerdo</w:t>
      </w:r>
      <w:r>
        <w:rPr>
          <w:spacing w:val="-8"/>
          <w:sz w:val="16"/>
        </w:rPr>
        <w:t> </w:t>
      </w:r>
      <w:r>
        <w:rPr>
          <w:sz w:val="16"/>
        </w:rPr>
        <w:t>con</w:t>
      </w:r>
      <w:r>
        <w:rPr>
          <w:spacing w:val="-11"/>
          <w:sz w:val="16"/>
        </w:rPr>
        <w:t> </w:t>
      </w:r>
      <w:r>
        <w:rPr>
          <w:sz w:val="16"/>
        </w:rPr>
        <w:t>el</w:t>
      </w:r>
      <w:r>
        <w:rPr>
          <w:spacing w:val="-10"/>
          <w:sz w:val="16"/>
        </w:rPr>
        <w:t> </w:t>
      </w:r>
      <w:r>
        <w:rPr>
          <w:sz w:val="16"/>
        </w:rPr>
        <w:t>artículo</w:t>
      </w:r>
      <w:r>
        <w:rPr>
          <w:spacing w:val="-3"/>
          <w:sz w:val="16"/>
        </w:rPr>
        <w:t> </w:t>
      </w:r>
      <w:r>
        <w:rPr>
          <w:sz w:val="16"/>
        </w:rPr>
        <w:t>46,</w:t>
      </w:r>
      <w:r>
        <w:rPr>
          <w:spacing w:val="-7"/>
          <w:sz w:val="16"/>
        </w:rPr>
        <w:t> </w:t>
      </w:r>
      <w:r>
        <w:rPr>
          <w:sz w:val="16"/>
        </w:rPr>
        <w:t>fracción XI, de la Ley del Banco de México, su presupuesto debe guardar congruencia con el Presupuesto de Egresos de la Federación. </w:t>
      </w:r>
      <w:r>
        <w:rPr>
          <w:spacing w:val="2"/>
          <w:sz w:val="16"/>
        </w:rPr>
        <w:t>En </w:t>
      </w:r>
      <w:r>
        <w:rPr>
          <w:sz w:val="16"/>
        </w:rPr>
        <w:t>cumplimiento al artículo 51 de la misma Ley, su presupuesto aprobado por la Junta de Gobierno del Banco, es enviado al Ejecutivo Federal y al H. Congreso de la Unión en enero de cada</w:t>
      </w:r>
      <w:r>
        <w:rPr>
          <w:spacing w:val="-26"/>
          <w:sz w:val="16"/>
        </w:rPr>
        <w:t> </w:t>
      </w:r>
      <w:r>
        <w:rPr>
          <w:sz w:val="16"/>
        </w:rPr>
        <w:t>año.</w:t>
      </w:r>
    </w:p>
    <w:p>
      <w:pPr>
        <w:spacing w:after="0" w:line="244" w:lineRule="auto"/>
        <w:jc w:val="both"/>
        <w:rPr>
          <w:sz w:val="16"/>
        </w:rPr>
        <w:sectPr>
          <w:pgSz w:w="12240" w:h="15840"/>
          <w:pgMar w:header="0" w:footer="998" w:top="1360" w:bottom="1180" w:left="1580" w:right="1600"/>
        </w:sectPr>
      </w:pPr>
    </w:p>
    <w:p>
      <w:pPr>
        <w:pStyle w:val="BodyText"/>
        <w:spacing w:line="362" w:lineRule="auto" w:before="55"/>
        <w:ind w:left="100" w:right="41"/>
      </w:pPr>
      <w:r>
        <w:rPr/>
        <w:t>gobernanza internacional. La ONG consideró que las causas principales de la crisis de la gobernanza internacional son las siguientes:</w:t>
      </w:r>
    </w:p>
    <w:p>
      <w:pPr>
        <w:pStyle w:val="BodyText"/>
      </w:pPr>
    </w:p>
    <w:p>
      <w:pPr>
        <w:pStyle w:val="ListParagraph"/>
        <w:numPr>
          <w:ilvl w:val="0"/>
          <w:numId w:val="20"/>
        </w:numPr>
        <w:tabs>
          <w:tab w:pos="821" w:val="left" w:leader="none"/>
        </w:tabs>
        <w:spacing w:line="240" w:lineRule="auto" w:before="139" w:after="0"/>
        <w:ind w:left="821" w:right="0" w:hanging="361"/>
        <w:jc w:val="left"/>
        <w:rPr>
          <w:sz w:val="24"/>
        </w:rPr>
      </w:pPr>
      <w:r>
        <w:rPr>
          <w:sz w:val="24"/>
        </w:rPr>
        <w:t>Estructural: La economía y la tecnología favorecen el desarrollo</w:t>
      </w:r>
      <w:r>
        <w:rPr>
          <w:spacing w:val="-42"/>
          <w:sz w:val="24"/>
        </w:rPr>
        <w:t> </w:t>
      </w:r>
      <w:r>
        <w:rPr>
          <w:sz w:val="24"/>
        </w:rPr>
        <w:t>desigual.</w:t>
      </w:r>
    </w:p>
    <w:p>
      <w:pPr>
        <w:pStyle w:val="ListParagraph"/>
        <w:numPr>
          <w:ilvl w:val="0"/>
          <w:numId w:val="20"/>
        </w:numPr>
        <w:tabs>
          <w:tab w:pos="821" w:val="left" w:leader="none"/>
        </w:tabs>
        <w:spacing w:line="362" w:lineRule="auto" w:before="136" w:after="0"/>
        <w:ind w:left="821" w:right="124" w:hanging="361"/>
        <w:jc w:val="both"/>
        <w:rPr>
          <w:sz w:val="24"/>
        </w:rPr>
      </w:pPr>
      <w:r>
        <w:rPr>
          <w:sz w:val="24"/>
        </w:rPr>
        <w:t>Ideológico: La concentración y distribución de los recursos del sistema capitalista.</w:t>
      </w:r>
    </w:p>
    <w:p>
      <w:pPr>
        <w:pStyle w:val="ListParagraph"/>
        <w:numPr>
          <w:ilvl w:val="0"/>
          <w:numId w:val="20"/>
        </w:numPr>
        <w:tabs>
          <w:tab w:pos="821" w:val="left" w:leader="none"/>
        </w:tabs>
        <w:spacing w:line="362" w:lineRule="auto" w:before="0" w:after="0"/>
        <w:ind w:left="821" w:right="119" w:hanging="361"/>
        <w:jc w:val="both"/>
        <w:rPr>
          <w:sz w:val="24"/>
        </w:rPr>
      </w:pPr>
      <w:r>
        <w:rPr>
          <w:sz w:val="24"/>
        </w:rPr>
        <w:t>Político: Los conflictos no resueltos por la Organización de las Naciones Unidas (ONU) han tenido más efectos negativos que conflictos</w:t>
      </w:r>
      <w:r>
        <w:rPr>
          <w:spacing w:val="-35"/>
          <w:sz w:val="24"/>
        </w:rPr>
        <w:t> </w:t>
      </w:r>
      <w:r>
        <w:rPr>
          <w:sz w:val="24"/>
        </w:rPr>
        <w:t>resueltos.</w:t>
      </w:r>
    </w:p>
    <w:p>
      <w:pPr>
        <w:pStyle w:val="BodyText"/>
      </w:pPr>
    </w:p>
    <w:p>
      <w:pPr>
        <w:pStyle w:val="BodyText"/>
        <w:spacing w:line="360" w:lineRule="auto" w:before="139"/>
        <w:ind w:left="100" w:right="124" w:firstLine="427"/>
        <w:jc w:val="both"/>
      </w:pPr>
      <w:r>
        <w:rPr/>
        <w:t>Aunado a las crisis originadas como consecuencia de los conflictos bélicos, se consideran los regímenes autoritarios que aumentan la pobreza, instituciones impuestas que la sociedad clasifica como ilegítimas y la concentración del ingreso en una minoría.</w:t>
      </w:r>
    </w:p>
    <w:p>
      <w:pPr>
        <w:pStyle w:val="BodyText"/>
        <w:spacing w:line="360" w:lineRule="auto" w:before="5"/>
        <w:ind w:left="100" w:right="124" w:firstLine="427"/>
        <w:jc w:val="both"/>
      </w:pPr>
      <w:r>
        <w:rPr/>
        <w:t>El</w:t>
      </w:r>
      <w:r>
        <w:rPr>
          <w:spacing w:val="-21"/>
        </w:rPr>
        <w:t> </w:t>
      </w:r>
      <w:r>
        <w:rPr/>
        <w:t>FnGM</w:t>
      </w:r>
      <w:r>
        <w:rPr>
          <w:spacing w:val="-22"/>
        </w:rPr>
        <w:t> </w:t>
      </w:r>
      <w:r>
        <w:rPr/>
        <w:t>realizó</w:t>
      </w:r>
      <w:r>
        <w:rPr>
          <w:spacing w:val="-17"/>
        </w:rPr>
        <w:t> </w:t>
      </w:r>
      <w:r>
        <w:rPr/>
        <w:t>propuestas</w:t>
      </w:r>
      <w:r>
        <w:rPr>
          <w:spacing w:val="-15"/>
        </w:rPr>
        <w:t> </w:t>
      </w:r>
      <w:r>
        <w:rPr/>
        <w:t>de</w:t>
      </w:r>
      <w:r>
        <w:rPr>
          <w:spacing w:val="-17"/>
        </w:rPr>
        <w:t> </w:t>
      </w:r>
      <w:r>
        <w:rPr/>
        <w:t>gobernanza,</w:t>
      </w:r>
      <w:r>
        <w:rPr>
          <w:spacing w:val="-18"/>
        </w:rPr>
        <w:t> </w:t>
      </w:r>
      <w:r>
        <w:rPr/>
        <w:t>considerada</w:t>
      </w:r>
      <w:r>
        <w:rPr>
          <w:spacing w:val="-21"/>
        </w:rPr>
        <w:t> </w:t>
      </w:r>
      <w:r>
        <w:rPr/>
        <w:t>como</w:t>
      </w:r>
      <w:r>
        <w:rPr>
          <w:spacing w:val="-21"/>
        </w:rPr>
        <w:t> </w:t>
      </w:r>
      <w:r>
        <w:rPr/>
        <w:t>una</w:t>
      </w:r>
      <w:r>
        <w:rPr>
          <w:spacing w:val="-17"/>
        </w:rPr>
        <w:t> </w:t>
      </w:r>
      <w:r>
        <w:rPr/>
        <w:t>arquitectura de gobernanza ciudadana basada en la ética y filosofía y una economía enfocada hacia alcanzar la justicia social y ambiental. Las propuestas son las</w:t>
      </w:r>
      <w:r>
        <w:rPr>
          <w:spacing w:val="-41"/>
        </w:rPr>
        <w:t> </w:t>
      </w:r>
      <w:r>
        <w:rPr/>
        <w:t>siguientes:</w:t>
      </w:r>
    </w:p>
    <w:p>
      <w:pPr>
        <w:pStyle w:val="BodyText"/>
      </w:pPr>
    </w:p>
    <w:p>
      <w:pPr>
        <w:pStyle w:val="ListParagraph"/>
        <w:numPr>
          <w:ilvl w:val="1"/>
          <w:numId w:val="20"/>
        </w:numPr>
        <w:tabs>
          <w:tab w:pos="821" w:val="left" w:leader="none"/>
        </w:tabs>
        <w:spacing w:line="360" w:lineRule="auto" w:before="142" w:after="0"/>
        <w:ind w:left="821" w:right="117" w:hanging="361"/>
        <w:jc w:val="both"/>
        <w:rPr>
          <w:sz w:val="24"/>
        </w:rPr>
      </w:pPr>
      <w:r>
        <w:rPr>
          <w:sz w:val="24"/>
        </w:rPr>
        <w:t>Renovar y democratizar los partidos políticos: Varias iniciativas pueden ser puestas en práctica, como son el cambio periódico de los dirigentes, dar prioridad</w:t>
      </w:r>
      <w:r>
        <w:rPr>
          <w:spacing w:val="-18"/>
          <w:sz w:val="24"/>
        </w:rPr>
        <w:t> </w:t>
      </w:r>
      <w:r>
        <w:rPr>
          <w:sz w:val="24"/>
        </w:rPr>
        <w:t>a</w:t>
      </w:r>
      <w:r>
        <w:rPr>
          <w:spacing w:val="-18"/>
          <w:sz w:val="24"/>
        </w:rPr>
        <w:t> </w:t>
      </w:r>
      <w:r>
        <w:rPr>
          <w:sz w:val="24"/>
        </w:rPr>
        <w:t>los</w:t>
      </w:r>
      <w:r>
        <w:rPr>
          <w:spacing w:val="-16"/>
          <w:sz w:val="24"/>
        </w:rPr>
        <w:t> </w:t>
      </w:r>
      <w:r>
        <w:rPr>
          <w:sz w:val="24"/>
        </w:rPr>
        <w:t>jóvenes</w:t>
      </w:r>
      <w:r>
        <w:rPr>
          <w:spacing w:val="-16"/>
          <w:sz w:val="24"/>
        </w:rPr>
        <w:t> </w:t>
      </w:r>
      <w:r>
        <w:rPr>
          <w:sz w:val="24"/>
        </w:rPr>
        <w:t>y</w:t>
      </w:r>
      <w:r>
        <w:rPr>
          <w:spacing w:val="-19"/>
          <w:sz w:val="24"/>
        </w:rPr>
        <w:t> </w:t>
      </w:r>
      <w:r>
        <w:rPr>
          <w:sz w:val="24"/>
        </w:rPr>
        <w:t>las</w:t>
      </w:r>
      <w:r>
        <w:rPr>
          <w:spacing w:val="-12"/>
          <w:sz w:val="24"/>
        </w:rPr>
        <w:t> </w:t>
      </w:r>
      <w:r>
        <w:rPr>
          <w:sz w:val="24"/>
        </w:rPr>
        <w:t>mujeres</w:t>
      </w:r>
      <w:r>
        <w:rPr>
          <w:spacing w:val="-14"/>
          <w:sz w:val="24"/>
        </w:rPr>
        <w:t> </w:t>
      </w:r>
      <w:r>
        <w:rPr>
          <w:sz w:val="24"/>
        </w:rPr>
        <w:t>en</w:t>
      </w:r>
      <w:r>
        <w:rPr>
          <w:spacing w:val="-18"/>
          <w:sz w:val="24"/>
        </w:rPr>
        <w:t> </w:t>
      </w:r>
      <w:r>
        <w:rPr>
          <w:sz w:val="24"/>
        </w:rPr>
        <w:t>puestos</w:t>
      </w:r>
      <w:r>
        <w:rPr>
          <w:spacing w:val="-16"/>
          <w:sz w:val="24"/>
        </w:rPr>
        <w:t> </w:t>
      </w:r>
      <w:r>
        <w:rPr>
          <w:sz w:val="24"/>
        </w:rPr>
        <w:t>de</w:t>
      </w:r>
      <w:r>
        <w:rPr>
          <w:spacing w:val="-18"/>
          <w:sz w:val="24"/>
        </w:rPr>
        <w:t> </w:t>
      </w:r>
      <w:r>
        <w:rPr>
          <w:sz w:val="24"/>
        </w:rPr>
        <w:t>responsabilidad,</w:t>
      </w:r>
      <w:r>
        <w:rPr>
          <w:spacing w:val="-15"/>
          <w:sz w:val="24"/>
        </w:rPr>
        <w:t> </w:t>
      </w:r>
      <w:r>
        <w:rPr>
          <w:sz w:val="24"/>
        </w:rPr>
        <w:t>disponer la</w:t>
      </w:r>
      <w:r>
        <w:rPr>
          <w:spacing w:val="-9"/>
          <w:sz w:val="24"/>
        </w:rPr>
        <w:t> </w:t>
      </w:r>
      <w:r>
        <w:rPr>
          <w:sz w:val="24"/>
        </w:rPr>
        <w:t>información</w:t>
      </w:r>
      <w:r>
        <w:rPr>
          <w:spacing w:val="-9"/>
          <w:sz w:val="24"/>
        </w:rPr>
        <w:t> </w:t>
      </w:r>
      <w:r>
        <w:rPr>
          <w:sz w:val="24"/>
        </w:rPr>
        <w:t>al</w:t>
      </w:r>
      <w:r>
        <w:rPr>
          <w:spacing w:val="-8"/>
          <w:sz w:val="24"/>
        </w:rPr>
        <w:t> </w:t>
      </w:r>
      <w:r>
        <w:rPr>
          <w:sz w:val="24"/>
        </w:rPr>
        <w:t>público</w:t>
      </w:r>
      <w:r>
        <w:rPr>
          <w:spacing w:val="-9"/>
          <w:sz w:val="24"/>
        </w:rPr>
        <w:t> </w:t>
      </w:r>
      <w:r>
        <w:rPr>
          <w:sz w:val="24"/>
        </w:rPr>
        <w:t>en</w:t>
      </w:r>
      <w:r>
        <w:rPr>
          <w:spacing w:val="-9"/>
          <w:sz w:val="24"/>
        </w:rPr>
        <w:t> </w:t>
      </w:r>
      <w:r>
        <w:rPr>
          <w:sz w:val="24"/>
        </w:rPr>
        <w:t>general,</w:t>
      </w:r>
      <w:r>
        <w:rPr>
          <w:spacing w:val="-6"/>
          <w:sz w:val="24"/>
        </w:rPr>
        <w:t> </w:t>
      </w:r>
      <w:r>
        <w:rPr>
          <w:sz w:val="24"/>
        </w:rPr>
        <w:t>realizar</w:t>
      </w:r>
      <w:r>
        <w:rPr>
          <w:spacing w:val="-7"/>
          <w:sz w:val="24"/>
        </w:rPr>
        <w:t> </w:t>
      </w:r>
      <w:r>
        <w:rPr>
          <w:sz w:val="24"/>
        </w:rPr>
        <w:t>consultas</w:t>
      </w:r>
      <w:r>
        <w:rPr>
          <w:spacing w:val="-7"/>
          <w:sz w:val="24"/>
        </w:rPr>
        <w:t> </w:t>
      </w:r>
      <w:r>
        <w:rPr>
          <w:sz w:val="24"/>
        </w:rPr>
        <w:t>ciudadanas,</w:t>
      </w:r>
      <w:r>
        <w:rPr>
          <w:spacing w:val="-3"/>
          <w:sz w:val="24"/>
        </w:rPr>
        <w:t> </w:t>
      </w:r>
      <w:r>
        <w:rPr>
          <w:sz w:val="24"/>
        </w:rPr>
        <w:t>etcétera.</w:t>
      </w:r>
    </w:p>
    <w:p>
      <w:pPr>
        <w:pStyle w:val="ListParagraph"/>
        <w:numPr>
          <w:ilvl w:val="1"/>
          <w:numId w:val="20"/>
        </w:numPr>
        <w:tabs>
          <w:tab w:pos="821" w:val="left" w:leader="none"/>
        </w:tabs>
        <w:spacing w:line="360" w:lineRule="auto" w:before="6" w:after="0"/>
        <w:ind w:left="821" w:right="122" w:hanging="361"/>
        <w:jc w:val="both"/>
        <w:rPr>
          <w:sz w:val="24"/>
        </w:rPr>
      </w:pPr>
      <w:r>
        <w:rPr>
          <w:sz w:val="24"/>
        </w:rPr>
        <w:t>Abrir espacios a los ciudadanos y sus organizaciones en los medios de televisión,</w:t>
      </w:r>
      <w:r>
        <w:rPr>
          <w:spacing w:val="-5"/>
          <w:sz w:val="24"/>
        </w:rPr>
        <w:t> </w:t>
      </w:r>
      <w:r>
        <w:rPr>
          <w:sz w:val="24"/>
        </w:rPr>
        <w:t>radio</w:t>
      </w:r>
      <w:r>
        <w:rPr>
          <w:spacing w:val="-5"/>
          <w:sz w:val="24"/>
        </w:rPr>
        <w:t> </w:t>
      </w:r>
      <w:r>
        <w:rPr>
          <w:sz w:val="24"/>
        </w:rPr>
        <w:t>y</w:t>
      </w:r>
      <w:r>
        <w:rPr>
          <w:spacing w:val="-10"/>
          <w:sz w:val="24"/>
        </w:rPr>
        <w:t> </w:t>
      </w:r>
      <w:r>
        <w:rPr>
          <w:sz w:val="24"/>
        </w:rPr>
        <w:t>prensa. No</w:t>
      </w:r>
      <w:r>
        <w:rPr>
          <w:spacing w:val="-8"/>
          <w:sz w:val="24"/>
        </w:rPr>
        <w:t> </w:t>
      </w:r>
      <w:r>
        <w:rPr>
          <w:sz w:val="24"/>
        </w:rPr>
        <w:t>sólo</w:t>
      </w:r>
      <w:r>
        <w:rPr>
          <w:spacing w:val="-8"/>
          <w:sz w:val="24"/>
        </w:rPr>
        <w:t> </w:t>
      </w:r>
      <w:r>
        <w:rPr>
          <w:sz w:val="24"/>
        </w:rPr>
        <w:t>el</w:t>
      </w:r>
      <w:r>
        <w:rPr>
          <w:spacing w:val="-7"/>
          <w:sz w:val="24"/>
        </w:rPr>
        <w:t> </w:t>
      </w:r>
      <w:r>
        <w:rPr>
          <w:sz w:val="24"/>
        </w:rPr>
        <w:t>uso</w:t>
      </w:r>
      <w:r>
        <w:rPr>
          <w:spacing w:val="-8"/>
          <w:sz w:val="24"/>
        </w:rPr>
        <w:t> </w:t>
      </w:r>
      <w:r>
        <w:rPr>
          <w:sz w:val="24"/>
        </w:rPr>
        <w:t>de</w:t>
      </w:r>
      <w:r>
        <w:rPr>
          <w:spacing w:val="-8"/>
          <w:sz w:val="24"/>
        </w:rPr>
        <w:t> </w:t>
      </w:r>
      <w:r>
        <w:rPr>
          <w:sz w:val="24"/>
        </w:rPr>
        <w:t>la</w:t>
      </w:r>
      <w:r>
        <w:rPr>
          <w:spacing w:val="-8"/>
          <w:sz w:val="24"/>
        </w:rPr>
        <w:t> </w:t>
      </w:r>
      <w:r>
        <w:rPr>
          <w:sz w:val="24"/>
        </w:rPr>
        <w:t>tecnología</w:t>
      </w:r>
      <w:r>
        <w:rPr>
          <w:spacing w:val="-8"/>
          <w:sz w:val="24"/>
        </w:rPr>
        <w:t> </w:t>
      </w:r>
      <w:r>
        <w:rPr>
          <w:sz w:val="24"/>
        </w:rPr>
        <w:t>es</w:t>
      </w:r>
      <w:r>
        <w:rPr>
          <w:spacing w:val="-6"/>
          <w:sz w:val="24"/>
        </w:rPr>
        <w:t> </w:t>
      </w:r>
      <w:r>
        <w:rPr>
          <w:sz w:val="24"/>
        </w:rPr>
        <w:t>importante,</w:t>
      </w:r>
      <w:r>
        <w:rPr>
          <w:spacing w:val="-5"/>
          <w:sz w:val="24"/>
        </w:rPr>
        <w:t> </w:t>
      </w:r>
      <w:r>
        <w:rPr>
          <w:sz w:val="24"/>
        </w:rPr>
        <w:t>sino también la articulación de propuestas y opiniones de diálogos</w:t>
      </w:r>
      <w:r>
        <w:rPr>
          <w:spacing w:val="-39"/>
          <w:sz w:val="24"/>
        </w:rPr>
        <w:t> </w:t>
      </w:r>
      <w:r>
        <w:rPr>
          <w:sz w:val="24"/>
        </w:rPr>
        <w:t>abiertos.</w:t>
      </w:r>
    </w:p>
    <w:p>
      <w:pPr>
        <w:pStyle w:val="ListParagraph"/>
        <w:numPr>
          <w:ilvl w:val="1"/>
          <w:numId w:val="20"/>
        </w:numPr>
        <w:tabs>
          <w:tab w:pos="821" w:val="left" w:leader="none"/>
        </w:tabs>
        <w:spacing w:line="360" w:lineRule="auto" w:before="2" w:after="0"/>
        <w:ind w:left="821" w:right="123" w:hanging="361"/>
        <w:jc w:val="both"/>
        <w:rPr>
          <w:sz w:val="24"/>
        </w:rPr>
      </w:pPr>
      <w:r>
        <w:rPr>
          <w:sz w:val="24"/>
        </w:rPr>
        <w:t>Afirmar la igualdad. Los gobiernos, instituciones y organismos donde las mujeres</w:t>
      </w:r>
      <w:r>
        <w:rPr>
          <w:spacing w:val="-10"/>
          <w:sz w:val="24"/>
        </w:rPr>
        <w:t> </w:t>
      </w:r>
      <w:r>
        <w:rPr>
          <w:sz w:val="24"/>
        </w:rPr>
        <w:t>sean</w:t>
      </w:r>
      <w:r>
        <w:rPr>
          <w:spacing w:val="-12"/>
          <w:sz w:val="24"/>
        </w:rPr>
        <w:t> </w:t>
      </w:r>
      <w:r>
        <w:rPr>
          <w:sz w:val="24"/>
        </w:rPr>
        <w:t>mayoría,</w:t>
      </w:r>
      <w:r>
        <w:rPr>
          <w:spacing w:val="-13"/>
          <w:sz w:val="24"/>
        </w:rPr>
        <w:t> </w:t>
      </w:r>
      <w:r>
        <w:rPr>
          <w:sz w:val="24"/>
        </w:rPr>
        <w:t>deberán</w:t>
      </w:r>
      <w:r>
        <w:rPr>
          <w:spacing w:val="-16"/>
          <w:sz w:val="24"/>
        </w:rPr>
        <w:t> </w:t>
      </w:r>
      <w:r>
        <w:rPr>
          <w:sz w:val="24"/>
        </w:rPr>
        <w:t>promover</w:t>
      </w:r>
      <w:r>
        <w:rPr>
          <w:spacing w:val="-14"/>
          <w:sz w:val="24"/>
        </w:rPr>
        <w:t> </w:t>
      </w:r>
      <w:r>
        <w:rPr>
          <w:sz w:val="24"/>
        </w:rPr>
        <w:t>la</w:t>
      </w:r>
      <w:r>
        <w:rPr>
          <w:spacing w:val="-16"/>
          <w:sz w:val="24"/>
        </w:rPr>
        <w:t> </w:t>
      </w:r>
      <w:r>
        <w:rPr>
          <w:sz w:val="24"/>
        </w:rPr>
        <w:t>igualdad</w:t>
      </w:r>
      <w:r>
        <w:rPr>
          <w:spacing w:val="-16"/>
          <w:sz w:val="24"/>
        </w:rPr>
        <w:t> </w:t>
      </w:r>
      <w:r>
        <w:rPr>
          <w:sz w:val="24"/>
        </w:rPr>
        <w:t>en</w:t>
      </w:r>
      <w:r>
        <w:rPr>
          <w:spacing w:val="-16"/>
          <w:sz w:val="24"/>
        </w:rPr>
        <w:t> </w:t>
      </w:r>
      <w:r>
        <w:rPr>
          <w:sz w:val="24"/>
        </w:rPr>
        <w:t>puestos</w:t>
      </w:r>
      <w:r>
        <w:rPr>
          <w:spacing w:val="-14"/>
          <w:sz w:val="24"/>
        </w:rPr>
        <w:t> </w:t>
      </w:r>
      <w:r>
        <w:rPr>
          <w:sz w:val="24"/>
        </w:rPr>
        <w:t>públicos</w:t>
      </w:r>
      <w:r>
        <w:rPr>
          <w:spacing w:val="-10"/>
          <w:sz w:val="24"/>
        </w:rPr>
        <w:t> </w:t>
      </w:r>
      <w:r>
        <w:rPr>
          <w:sz w:val="24"/>
        </w:rPr>
        <w:t>de responsabilidad.</w:t>
      </w:r>
    </w:p>
    <w:p>
      <w:pPr>
        <w:pStyle w:val="ListParagraph"/>
        <w:numPr>
          <w:ilvl w:val="1"/>
          <w:numId w:val="20"/>
        </w:numPr>
        <w:tabs>
          <w:tab w:pos="821" w:val="left" w:leader="none"/>
        </w:tabs>
        <w:spacing w:line="357" w:lineRule="auto" w:before="6" w:after="0"/>
        <w:ind w:left="821" w:right="125" w:hanging="361"/>
        <w:jc w:val="both"/>
        <w:rPr>
          <w:sz w:val="24"/>
        </w:rPr>
      </w:pPr>
      <w:r>
        <w:rPr>
          <w:sz w:val="24"/>
        </w:rPr>
        <w:t>Financiamiento público a los partidos políticos, provenientes de fondos transparentes para evitar la</w:t>
      </w:r>
      <w:r>
        <w:rPr>
          <w:spacing w:val="-21"/>
          <w:sz w:val="24"/>
        </w:rPr>
        <w:t> </w:t>
      </w:r>
      <w:r>
        <w:rPr>
          <w:sz w:val="24"/>
        </w:rPr>
        <w:t>corrupción.</w:t>
      </w:r>
    </w:p>
    <w:p>
      <w:pPr>
        <w:spacing w:after="0" w:line="357" w:lineRule="auto"/>
        <w:jc w:val="both"/>
        <w:rPr>
          <w:sz w:val="24"/>
        </w:rPr>
        <w:sectPr>
          <w:pgSz w:w="12240" w:h="15840"/>
          <w:pgMar w:header="0" w:footer="998" w:top="1360" w:bottom="1180" w:left="1600" w:right="1580"/>
        </w:sectPr>
      </w:pPr>
    </w:p>
    <w:p>
      <w:pPr>
        <w:pStyle w:val="ListParagraph"/>
        <w:numPr>
          <w:ilvl w:val="1"/>
          <w:numId w:val="20"/>
        </w:numPr>
        <w:tabs>
          <w:tab w:pos="841" w:val="left" w:leader="none"/>
        </w:tabs>
        <w:spacing w:line="360" w:lineRule="auto" w:before="55" w:after="0"/>
        <w:ind w:left="841" w:right="121" w:hanging="361"/>
        <w:jc w:val="both"/>
        <w:rPr>
          <w:sz w:val="24"/>
        </w:rPr>
      </w:pPr>
      <w:r>
        <w:rPr>
          <w:sz w:val="24"/>
        </w:rPr>
        <w:t>Acercar los congresos (parlamentos) a los ciudadanos. La acción de legislar no debe estar circunscrita sólo a los diputados y senadores.</w:t>
      </w:r>
      <w:r>
        <w:rPr>
          <w:position w:val="8"/>
          <w:sz w:val="16"/>
        </w:rPr>
        <w:t>19 </w:t>
      </w:r>
      <w:r>
        <w:rPr>
          <w:sz w:val="24"/>
        </w:rPr>
        <w:t>Por ejemplo, el presupuesto y las leyes sobre educación deben ser discutidas con las organizaciones de estudiantes, de profesores, de padres y apoderados, etc. Hay que inventar nuevos mecanismos de diálogo para evitar que los parlamentos se transformen en espacios cerrados o</w:t>
      </w:r>
      <w:r>
        <w:rPr>
          <w:spacing w:val="-29"/>
          <w:sz w:val="24"/>
        </w:rPr>
        <w:t> </w:t>
      </w:r>
      <w:r>
        <w:rPr>
          <w:sz w:val="24"/>
        </w:rPr>
        <w:t>elitistas.</w:t>
      </w:r>
    </w:p>
    <w:p>
      <w:pPr>
        <w:pStyle w:val="ListParagraph"/>
        <w:numPr>
          <w:ilvl w:val="1"/>
          <w:numId w:val="20"/>
        </w:numPr>
        <w:tabs>
          <w:tab w:pos="841" w:val="left" w:leader="none"/>
        </w:tabs>
        <w:spacing w:line="360" w:lineRule="auto" w:before="2" w:after="0"/>
        <w:ind w:left="841" w:right="126" w:hanging="361"/>
        <w:jc w:val="both"/>
        <w:rPr>
          <w:sz w:val="24"/>
        </w:rPr>
      </w:pPr>
      <w:r>
        <w:rPr>
          <w:sz w:val="24"/>
        </w:rPr>
        <w:t>Organizar plebiscitos, referéndums, conferencias de consenso,</w:t>
      </w:r>
      <w:r>
        <w:rPr>
          <w:spacing w:val="-44"/>
          <w:sz w:val="24"/>
        </w:rPr>
        <w:t> </w:t>
      </w:r>
      <w:r>
        <w:rPr>
          <w:sz w:val="24"/>
        </w:rPr>
        <w:t>incentivando la participación de la mayoría de los ciudadanos. Los mecanismos de consulta deben ser regulados y preparados de manera que se aseguren las decisiones informadas y</w:t>
      </w:r>
      <w:r>
        <w:rPr>
          <w:spacing w:val="-21"/>
          <w:sz w:val="24"/>
        </w:rPr>
        <w:t> </w:t>
      </w:r>
      <w:r>
        <w:rPr>
          <w:sz w:val="24"/>
        </w:rPr>
        <w:t>meditadas.</w:t>
      </w:r>
    </w:p>
    <w:p>
      <w:pPr>
        <w:pStyle w:val="ListParagraph"/>
        <w:numPr>
          <w:ilvl w:val="1"/>
          <w:numId w:val="20"/>
        </w:numPr>
        <w:tabs>
          <w:tab w:pos="841" w:val="left" w:leader="none"/>
        </w:tabs>
        <w:spacing w:line="360" w:lineRule="auto" w:before="2" w:after="0"/>
        <w:ind w:left="841" w:right="118" w:hanging="361"/>
        <w:jc w:val="both"/>
        <w:rPr>
          <w:sz w:val="24"/>
        </w:rPr>
      </w:pPr>
      <w:r>
        <w:rPr>
          <w:sz w:val="24"/>
        </w:rPr>
        <w:t>Promover asambleas y conferencias territoriales, comunales, nacionales y regionales y mundiales. Los cambios de los sistemas políticos deben ser capaces de cimentar una nueva arquitectura del poder del local al mundial y deben ser necesariamente duraderos y</w:t>
      </w:r>
      <w:r>
        <w:rPr>
          <w:spacing w:val="-25"/>
          <w:sz w:val="24"/>
        </w:rPr>
        <w:t> </w:t>
      </w:r>
      <w:r>
        <w:rPr>
          <w:sz w:val="24"/>
        </w:rPr>
        <w:t>sustentables.</w:t>
      </w:r>
    </w:p>
    <w:p>
      <w:pPr>
        <w:pStyle w:val="BodyText"/>
      </w:pPr>
    </w:p>
    <w:p>
      <w:pPr>
        <w:pStyle w:val="BodyText"/>
        <w:spacing w:before="9"/>
        <w:rPr>
          <w:sz w:val="29"/>
        </w:rPr>
      </w:pPr>
    </w:p>
    <w:p>
      <w:pPr>
        <w:pStyle w:val="BodyText"/>
        <w:spacing w:line="357" w:lineRule="auto"/>
        <w:ind w:left="120" w:right="117" w:firstLine="359"/>
        <w:jc w:val="both"/>
      </w:pPr>
      <w:r>
        <w:rPr/>
        <w:t>En</w:t>
      </w:r>
      <w:r>
        <w:rPr>
          <w:spacing w:val="-5"/>
        </w:rPr>
        <w:t> </w:t>
      </w:r>
      <w:r>
        <w:rPr/>
        <w:t>abril</w:t>
      </w:r>
      <w:r>
        <w:rPr>
          <w:spacing w:val="-5"/>
        </w:rPr>
        <w:t> </w:t>
      </w:r>
      <w:r>
        <w:rPr/>
        <w:t>de</w:t>
      </w:r>
      <w:r>
        <w:rPr>
          <w:spacing w:val="-5"/>
        </w:rPr>
        <w:t> </w:t>
      </w:r>
      <w:r>
        <w:rPr/>
        <w:t>2012</w:t>
      </w:r>
      <w:r>
        <w:rPr>
          <w:spacing w:val="-5"/>
        </w:rPr>
        <w:t> </w:t>
      </w:r>
      <w:r>
        <w:rPr/>
        <w:t>el</w:t>
      </w:r>
      <w:r>
        <w:rPr>
          <w:spacing w:val="-5"/>
        </w:rPr>
        <w:t> </w:t>
      </w:r>
      <w:r>
        <w:rPr/>
        <w:t>FnGM</w:t>
      </w:r>
      <w:r>
        <w:rPr>
          <w:spacing w:val="-7"/>
        </w:rPr>
        <w:t> </w:t>
      </w:r>
      <w:r>
        <w:rPr/>
        <w:t>difundió</w:t>
      </w:r>
      <w:r>
        <w:rPr>
          <w:spacing w:val="-5"/>
        </w:rPr>
        <w:t> </w:t>
      </w:r>
      <w:r>
        <w:rPr/>
        <w:t>el</w:t>
      </w:r>
      <w:r>
        <w:rPr>
          <w:spacing w:val="-5"/>
        </w:rPr>
        <w:t> </w:t>
      </w:r>
      <w:r>
        <w:rPr/>
        <w:t>documento</w:t>
      </w:r>
      <w:r>
        <w:rPr>
          <w:spacing w:val="-5"/>
        </w:rPr>
        <w:t> </w:t>
      </w:r>
      <w:r>
        <w:rPr/>
        <w:t>“Los</w:t>
      </w:r>
      <w:r>
        <w:rPr>
          <w:spacing w:val="-3"/>
        </w:rPr>
        <w:t> </w:t>
      </w:r>
      <w:r>
        <w:rPr/>
        <w:t>comunes</w:t>
      </w:r>
      <w:r>
        <w:rPr>
          <w:spacing w:val="1"/>
        </w:rPr>
        <w:t> </w:t>
      </w:r>
      <w:r>
        <w:rPr/>
        <w:t>y</w:t>
      </w:r>
      <w:r>
        <w:rPr>
          <w:spacing w:val="-8"/>
        </w:rPr>
        <w:t> </w:t>
      </w:r>
      <w:r>
        <w:rPr/>
        <w:t>la</w:t>
      </w:r>
      <w:r>
        <w:rPr>
          <w:spacing w:val="-5"/>
        </w:rPr>
        <w:t> </w:t>
      </w:r>
      <w:r>
        <w:rPr/>
        <w:t>gobernanza mundial. Hacia un contrato social mundial”</w:t>
      </w:r>
      <w:r>
        <w:rPr>
          <w:position w:val="8"/>
          <w:sz w:val="16"/>
        </w:rPr>
        <w:t>20 </w:t>
      </w:r>
      <w:r>
        <w:rPr/>
        <w:t>en el cual resaltó la importancia de realizar acciones colectivas para el cuidado de los bienes comunes,</w:t>
      </w:r>
      <w:r>
        <w:rPr>
          <w:position w:val="8"/>
          <w:sz w:val="16"/>
        </w:rPr>
        <w:t>21</w:t>
      </w:r>
      <w:r>
        <w:rPr/>
        <w:t>con connotaciones políticas, y más específicamente de filosofía política mediante la pregunta reflexiva al colectivo internacional: ¿Qué tipo de sociedad mundial queremos?</w:t>
      </w:r>
    </w:p>
    <w:p>
      <w:pPr>
        <w:pStyle w:val="BodyText"/>
        <w:spacing w:line="360" w:lineRule="auto" w:before="8"/>
        <w:ind w:left="120" w:right="124" w:firstLine="359"/>
        <w:jc w:val="both"/>
      </w:pPr>
      <w:r>
        <w:rPr/>
        <w:t>El FnGM mencionó que esto conlleva a un paradigma para la acción política nacional</w:t>
      </w:r>
      <w:r>
        <w:rPr>
          <w:spacing w:val="-18"/>
        </w:rPr>
        <w:t> </w:t>
      </w:r>
      <w:r>
        <w:rPr/>
        <w:t>e</w:t>
      </w:r>
      <w:r>
        <w:rPr>
          <w:spacing w:val="-19"/>
        </w:rPr>
        <w:t> </w:t>
      </w:r>
      <w:r>
        <w:rPr/>
        <w:t>internacional,</w:t>
      </w:r>
      <w:r>
        <w:rPr>
          <w:spacing w:val="-13"/>
        </w:rPr>
        <w:t> </w:t>
      </w:r>
      <w:r>
        <w:rPr>
          <w:spacing w:val="-3"/>
        </w:rPr>
        <w:t>ya</w:t>
      </w:r>
      <w:r>
        <w:rPr>
          <w:spacing w:val="-19"/>
        </w:rPr>
        <w:t> </w:t>
      </w:r>
      <w:r>
        <w:rPr/>
        <w:t>que</w:t>
      </w:r>
      <w:r>
        <w:rPr>
          <w:spacing w:val="-19"/>
        </w:rPr>
        <w:t> </w:t>
      </w:r>
      <w:r>
        <w:rPr/>
        <w:t>de</w:t>
      </w:r>
      <w:r>
        <w:rPr>
          <w:spacing w:val="-19"/>
        </w:rPr>
        <w:t> </w:t>
      </w:r>
      <w:r>
        <w:rPr/>
        <w:t>forma</w:t>
      </w:r>
      <w:r>
        <w:rPr>
          <w:spacing w:val="-19"/>
        </w:rPr>
        <w:t> </w:t>
      </w:r>
      <w:r>
        <w:rPr/>
        <w:t>tradicional</w:t>
      </w:r>
      <w:r>
        <w:rPr>
          <w:spacing w:val="-18"/>
        </w:rPr>
        <w:t> </w:t>
      </w:r>
      <w:r>
        <w:rPr/>
        <w:t>la</w:t>
      </w:r>
      <w:r>
        <w:rPr>
          <w:spacing w:val="-19"/>
        </w:rPr>
        <w:t> </w:t>
      </w:r>
      <w:r>
        <w:rPr/>
        <w:t>teoría</w:t>
      </w:r>
      <w:r>
        <w:rPr>
          <w:spacing w:val="-19"/>
        </w:rPr>
        <w:t> </w:t>
      </w:r>
      <w:r>
        <w:rPr/>
        <w:t>política</w:t>
      </w:r>
      <w:r>
        <w:rPr>
          <w:spacing w:val="-19"/>
        </w:rPr>
        <w:t> </w:t>
      </w:r>
      <w:r>
        <w:rPr/>
        <w:t>se</w:t>
      </w:r>
      <w:r>
        <w:rPr>
          <w:spacing w:val="-19"/>
        </w:rPr>
        <w:t> </w:t>
      </w:r>
      <w:r>
        <w:rPr/>
        <w:t>ha</w:t>
      </w:r>
      <w:r>
        <w:rPr>
          <w:spacing w:val="-19"/>
        </w:rPr>
        <w:t> </w:t>
      </w:r>
      <w:r>
        <w:rPr/>
        <w:t>orientado hacia la praxis de entidades políticas cerradas (Estados, reinos, repúblicas o imperios) y restringido su análisis de la esfera</w:t>
      </w:r>
      <w:r>
        <w:rPr>
          <w:spacing w:val="-31"/>
        </w:rPr>
        <w:t> </w:t>
      </w:r>
      <w:r>
        <w:rPr/>
        <w:t>mundial.</w:t>
      </w:r>
    </w:p>
    <w:p>
      <w:pPr>
        <w:pStyle w:val="BodyText"/>
        <w:rPr>
          <w:sz w:val="20"/>
        </w:rPr>
      </w:pPr>
    </w:p>
    <w:p>
      <w:pPr>
        <w:pStyle w:val="BodyText"/>
        <w:spacing w:before="4"/>
        <w:rPr>
          <w:sz w:val="21"/>
        </w:rPr>
      </w:pPr>
      <w:r>
        <w:rPr/>
        <w:pict>
          <v:line style="position:absolute;mso-position-horizontal-relative:page;mso-position-vertical-relative:paragraph;z-index:2296;mso-wrap-distance-left:0;mso-wrap-distance-right:0" from="85.025002pt,14.654891pt" to="229.075002pt,14.654891pt" stroked="true" strokeweight=".79999pt" strokecolor="#000000">
            <w10:wrap type="topAndBottom"/>
          </v:line>
        </w:pict>
      </w:r>
    </w:p>
    <w:p>
      <w:pPr>
        <w:spacing w:line="242" w:lineRule="auto" w:before="59"/>
        <w:ind w:left="120" w:right="121" w:firstLine="0"/>
        <w:jc w:val="both"/>
        <w:rPr>
          <w:sz w:val="16"/>
        </w:rPr>
      </w:pPr>
      <w:r>
        <w:rPr>
          <w:rFonts w:ascii="Times New Roman" w:hAnsi="Times New Roman"/>
          <w:position w:val="7"/>
          <w:sz w:val="13"/>
        </w:rPr>
        <w:t>19</w:t>
      </w:r>
      <w:r>
        <w:rPr>
          <w:sz w:val="16"/>
        </w:rPr>
        <w:t>El 9 de agosto de 2012 en el DOF se presentó la adición de la fracción IV del artículo 71 de la Constitución Federal, en la cual se estipula que el derecho de iniciar leyes o decretos compete (además del Presidente de la República, a los diputados y senadores del H. Congreso de la Unión, a las legislaturas de los Estados) también a los ciudadanos, en un número equivalente al 0.13% de la lista nominal de electores.</w:t>
      </w:r>
    </w:p>
    <w:p>
      <w:pPr>
        <w:spacing w:line="246" w:lineRule="exact" w:before="0"/>
        <w:ind w:left="120" w:right="0" w:firstLine="0"/>
        <w:jc w:val="both"/>
        <w:rPr>
          <w:sz w:val="16"/>
        </w:rPr>
      </w:pPr>
      <w:r>
        <w:rPr>
          <w:rFonts w:ascii="Calibri"/>
          <w:position w:val="8"/>
          <w:sz w:val="14"/>
        </w:rPr>
        <w:t>20</w:t>
      </w:r>
      <w:r>
        <w:rPr>
          <w:sz w:val="16"/>
        </w:rPr>
        <w:t>Disponible en:</w:t>
      </w:r>
    </w:p>
    <w:p>
      <w:pPr>
        <w:spacing w:before="20"/>
        <w:ind w:left="120" w:right="1478" w:firstLine="0"/>
        <w:jc w:val="left"/>
        <w:rPr>
          <w:sz w:val="16"/>
        </w:rPr>
      </w:pPr>
      <w:hyperlink r:id="rId34">
        <w:r>
          <w:rPr>
            <w:sz w:val="16"/>
          </w:rPr>
          <w:t>http://www.world-governance.org/IMG/pdf_862_AB_GM_Communs_et_gouvernance_mondiale_ES-3.pdf</w:t>
        </w:r>
      </w:hyperlink>
      <w:r>
        <w:rPr>
          <w:sz w:val="16"/>
        </w:rPr>
        <w:t> [Fecha de consulta: 21 de mayo, 2015].</w:t>
      </w:r>
    </w:p>
    <w:p>
      <w:pPr>
        <w:spacing w:line="256" w:lineRule="auto" w:before="0"/>
        <w:ind w:left="120" w:right="115" w:firstLine="0"/>
        <w:jc w:val="both"/>
        <w:rPr>
          <w:sz w:val="16"/>
        </w:rPr>
      </w:pPr>
      <w:r>
        <w:rPr>
          <w:rFonts w:ascii="Times New Roman" w:hAnsi="Times New Roman"/>
          <w:position w:val="7"/>
          <w:sz w:val="13"/>
        </w:rPr>
        <w:t>21</w:t>
      </w:r>
      <w:r>
        <w:rPr>
          <w:sz w:val="16"/>
        </w:rPr>
        <w:t>Considerados por el FnGM como aquellos recursos vitales que son propiedad de la sociedad y clasificados en físicos (recursos naturales), espaciales (mares y espacio), culturales y digitales.</w:t>
      </w:r>
    </w:p>
    <w:p>
      <w:pPr>
        <w:spacing w:after="0" w:line="256" w:lineRule="auto"/>
        <w:jc w:val="both"/>
        <w:rPr>
          <w:sz w:val="16"/>
        </w:rPr>
        <w:sectPr>
          <w:pgSz w:w="12240" w:h="15840"/>
          <w:pgMar w:header="0" w:footer="998" w:top="1360" w:bottom="1180" w:left="1580" w:right="1580"/>
        </w:sectPr>
      </w:pPr>
    </w:p>
    <w:p>
      <w:pPr>
        <w:pStyle w:val="BodyText"/>
        <w:spacing w:line="360" w:lineRule="auto" w:before="55"/>
        <w:ind w:left="120" w:right="100" w:firstLine="359"/>
        <w:jc w:val="both"/>
      </w:pPr>
      <w:r>
        <w:rPr/>
        <w:t>El documento también consideró la problemática que han enfrentado los sistemas políticos entre el limitar dos elementos: la concentración y el abuso del poder del Estado y el poder que éste ha otorgado al capitalismo para provecho de algunos. Mencionó que la crisis financiera de 2008 es una demostración de la colusión del Estado y el capitalismo, lo que ha empeorado la situación mundial.</w:t>
      </w:r>
    </w:p>
    <w:p>
      <w:pPr>
        <w:pStyle w:val="BodyText"/>
        <w:spacing w:line="360" w:lineRule="auto" w:before="6"/>
        <w:ind w:left="120" w:right="101" w:firstLine="359"/>
        <w:jc w:val="both"/>
      </w:pPr>
      <w:r>
        <w:rPr/>
        <w:t>El problema, de acuerdo con el FnGM, tiene dos vertientes: una esencial (filosofía política) y la otra práctica (política), la primera se remite a la creación de una</w:t>
      </w:r>
      <w:r>
        <w:rPr>
          <w:spacing w:val="-17"/>
        </w:rPr>
        <w:t> </w:t>
      </w:r>
      <w:r>
        <w:rPr/>
        <w:t>buena</w:t>
      </w:r>
      <w:r>
        <w:rPr>
          <w:spacing w:val="-17"/>
        </w:rPr>
        <w:t> </w:t>
      </w:r>
      <w:r>
        <w:rPr/>
        <w:t>“sociedad</w:t>
      </w:r>
      <w:r>
        <w:rPr>
          <w:spacing w:val="-14"/>
        </w:rPr>
        <w:t> </w:t>
      </w:r>
      <w:r>
        <w:rPr/>
        <w:t>mundial”,</w:t>
      </w:r>
      <w:r>
        <w:rPr>
          <w:spacing w:val="-15"/>
        </w:rPr>
        <w:t> </w:t>
      </w:r>
      <w:r>
        <w:rPr/>
        <w:t>que</w:t>
      </w:r>
      <w:r>
        <w:rPr>
          <w:spacing w:val="-17"/>
        </w:rPr>
        <w:t> </w:t>
      </w:r>
      <w:r>
        <w:rPr/>
        <w:t>a</w:t>
      </w:r>
      <w:r>
        <w:rPr>
          <w:spacing w:val="-17"/>
        </w:rPr>
        <w:t> </w:t>
      </w:r>
      <w:r>
        <w:rPr>
          <w:spacing w:val="-3"/>
        </w:rPr>
        <w:t>su</w:t>
      </w:r>
      <w:r>
        <w:rPr>
          <w:spacing w:val="-17"/>
        </w:rPr>
        <w:t> </w:t>
      </w:r>
      <w:r>
        <w:rPr/>
        <w:t>vez</w:t>
      </w:r>
      <w:r>
        <w:rPr>
          <w:spacing w:val="-19"/>
        </w:rPr>
        <w:t> </w:t>
      </w:r>
      <w:r>
        <w:rPr/>
        <w:t>implica</w:t>
      </w:r>
      <w:r>
        <w:rPr>
          <w:spacing w:val="-17"/>
        </w:rPr>
        <w:t> </w:t>
      </w:r>
      <w:r>
        <w:rPr/>
        <w:t>una</w:t>
      </w:r>
      <w:r>
        <w:rPr>
          <w:spacing w:val="-17"/>
        </w:rPr>
        <w:t> </w:t>
      </w:r>
      <w:r>
        <w:rPr/>
        <w:t>reconstrucción</w:t>
      </w:r>
      <w:r>
        <w:rPr>
          <w:spacing w:val="-17"/>
        </w:rPr>
        <w:t> </w:t>
      </w:r>
      <w:r>
        <w:rPr/>
        <w:t>de</w:t>
      </w:r>
      <w:r>
        <w:rPr>
          <w:spacing w:val="-17"/>
        </w:rPr>
        <w:t> </w:t>
      </w:r>
      <w:r>
        <w:rPr/>
        <w:t>un</w:t>
      </w:r>
      <w:r>
        <w:rPr>
          <w:spacing w:val="-14"/>
        </w:rPr>
        <w:t> </w:t>
      </w:r>
      <w:r>
        <w:rPr/>
        <w:t>nuevo orden mundial, mientras que la práctica, se remite a transformar las ideas políticas en acción política y en</w:t>
      </w:r>
      <w:r>
        <w:rPr>
          <w:spacing w:val="-23"/>
        </w:rPr>
        <w:t> </w:t>
      </w:r>
      <w:r>
        <w:rPr/>
        <w:t>instituciones.</w:t>
      </w:r>
    </w:p>
    <w:p>
      <w:pPr>
        <w:pStyle w:val="BodyText"/>
        <w:spacing w:line="360" w:lineRule="auto" w:before="2"/>
        <w:ind w:left="120" w:right="101" w:firstLine="359"/>
        <w:jc w:val="both"/>
      </w:pPr>
      <w:r>
        <w:rPr/>
        <w:t>El FnGM sugiere el establecimiento de un contrato social mundial o su equivalente, que impida la guerra entre Estados. El documento aseguró que la gobernanza mundial basada en el Estado y en el mercado está a su vez fundamentada en el poder amoral del poder (considerado por Maquiavelo). En cambio la acción colectiva se considera benéfica en lo individual y social (Confucio y Aristóteles).</w:t>
      </w:r>
    </w:p>
    <w:p>
      <w:pPr>
        <w:pStyle w:val="BodyText"/>
        <w:spacing w:line="360" w:lineRule="auto" w:before="2"/>
        <w:ind w:left="120" w:right="103" w:firstLine="359"/>
        <w:jc w:val="both"/>
      </w:pPr>
      <w:r>
        <w:rPr/>
        <w:t>Una forma de lograr el desarrollo social, de acuerdo con la organización, es sumar experiencias en la gestión desde debajo de “comunes” (opinión pública) y con ellas formar un sistema adaptable de gobernanza. De esta forma, es mediante este sistema de gobernanza regido por los principios universales de la gobernanza mundial (de Estado y mercado) que es posible lograr un contrato social mundial.</w:t>
      </w:r>
    </w:p>
    <w:p>
      <w:pPr>
        <w:pStyle w:val="BodyText"/>
      </w:pPr>
    </w:p>
    <w:p>
      <w:pPr>
        <w:pStyle w:val="BodyText"/>
        <w:spacing w:before="4"/>
        <w:rPr>
          <w:sz w:val="29"/>
        </w:rPr>
      </w:pPr>
    </w:p>
    <w:p>
      <w:pPr>
        <w:pStyle w:val="Heading3"/>
        <w:numPr>
          <w:ilvl w:val="2"/>
          <w:numId w:val="19"/>
        </w:numPr>
        <w:tabs>
          <w:tab w:pos="720" w:val="left" w:leader="none"/>
        </w:tabs>
        <w:spacing w:line="240" w:lineRule="auto" w:before="0" w:after="0"/>
        <w:ind w:left="719" w:right="0" w:hanging="599"/>
        <w:jc w:val="both"/>
      </w:pPr>
      <w:bookmarkStart w:name="_bookmark14" w:id="22"/>
      <w:bookmarkEnd w:id="22"/>
      <w:r>
        <w:rPr>
          <w:b w:val="0"/>
        </w:rPr>
      </w:r>
      <w:bookmarkStart w:name="_bookmark14" w:id="23"/>
      <w:bookmarkEnd w:id="23"/>
      <w:r>
        <w:rPr/>
        <w:t>L</w:t>
      </w:r>
      <w:r>
        <w:rPr/>
        <w:t>a Organización de las Naciones Unidas y la gobernanza</w:t>
      </w:r>
      <w:r>
        <w:rPr>
          <w:spacing w:val="-31"/>
        </w:rPr>
        <w:t> </w:t>
      </w:r>
      <w:r>
        <w:rPr/>
        <w:t>mundial</w:t>
      </w:r>
    </w:p>
    <w:p>
      <w:pPr>
        <w:pStyle w:val="BodyText"/>
        <w:spacing w:line="357" w:lineRule="auto" w:before="144"/>
        <w:ind w:left="120" w:right="106"/>
        <w:jc w:val="both"/>
      </w:pPr>
      <w:r>
        <w:rPr/>
        <w:t>El FnGM publicó en noviembre de 2008 el documento “La ONU y la gobernanza mundial”</w:t>
      </w:r>
      <w:r>
        <w:rPr>
          <w:position w:val="8"/>
          <w:sz w:val="16"/>
        </w:rPr>
        <w:t>22 </w:t>
      </w:r>
      <w:r>
        <w:rPr/>
        <w:t>en el cual se comentó que la ONU es el pilar de la gobernanza mundial, y es la institución política orientada a establecer la paz y estabilidad mundial, bajo el concepto “seguridad colectiva”.</w:t>
      </w:r>
    </w:p>
    <w:p>
      <w:pPr>
        <w:pStyle w:val="BodyText"/>
        <w:spacing w:line="355" w:lineRule="auto" w:before="8"/>
        <w:ind w:left="120" w:right="105" w:firstLine="427"/>
        <w:jc w:val="both"/>
      </w:pPr>
      <w:r>
        <w:rPr/>
        <w:t>La seguridad colectiva considera que la política internacional no es un juego que suma cero, contrario a la </w:t>
      </w:r>
      <w:r>
        <w:rPr>
          <w:i/>
        </w:rPr>
        <w:t>realpolitik </w:t>
      </w:r>
      <w:r>
        <w:rPr/>
        <w:t>que plantea una lucha permanente por   el</w:t>
      </w:r>
    </w:p>
    <w:p>
      <w:pPr>
        <w:pStyle w:val="BodyText"/>
        <w:spacing w:before="10"/>
        <w:rPr>
          <w:sz w:val="17"/>
        </w:rPr>
      </w:pPr>
      <w:r>
        <w:rPr/>
        <w:pict>
          <v:line style="position:absolute;mso-position-horizontal-relative:page;mso-position-vertical-relative:paragraph;z-index:2320;mso-wrap-distance-left:0;mso-wrap-distance-right:0" from="85.025002pt,12.647033pt" to="229.075002pt,12.647033pt" stroked="true" strokeweight=".79999pt" strokecolor="#000000">
            <w10:wrap type="topAndBottom"/>
          </v:line>
        </w:pict>
      </w:r>
    </w:p>
    <w:p>
      <w:pPr>
        <w:spacing w:line="266" w:lineRule="auto" w:before="69"/>
        <w:ind w:left="120" w:right="1787" w:firstLine="0"/>
        <w:jc w:val="left"/>
        <w:rPr>
          <w:sz w:val="16"/>
        </w:rPr>
      </w:pPr>
      <w:r>
        <w:rPr>
          <w:rFonts w:ascii="Calibri"/>
          <w:position w:val="8"/>
          <w:sz w:val="14"/>
        </w:rPr>
        <w:t>22</w:t>
      </w:r>
      <w:r>
        <w:rPr>
          <w:sz w:val="16"/>
        </w:rPr>
        <w:t>Disponible en: </w:t>
      </w:r>
      <w:hyperlink r:id="rId35">
        <w:r>
          <w:rPr>
            <w:sz w:val="16"/>
          </w:rPr>
          <w:t>http://www.world-governance.org/IMG/pdf_La_ONU_y_la_Gobernanza_Mundial.pdf</w:t>
        </w:r>
      </w:hyperlink>
      <w:r>
        <w:rPr>
          <w:sz w:val="16"/>
        </w:rPr>
        <w:t> [Fecha de consulta: 22 de mayo, 2015]</w:t>
      </w:r>
    </w:p>
    <w:p>
      <w:pPr>
        <w:spacing w:after="0" w:line="266" w:lineRule="auto"/>
        <w:jc w:val="left"/>
        <w:rPr>
          <w:sz w:val="16"/>
        </w:rPr>
        <w:sectPr>
          <w:pgSz w:w="12240" w:h="15840"/>
          <w:pgMar w:header="0" w:footer="998" w:top="1360" w:bottom="1180" w:left="1580" w:right="1600"/>
        </w:sectPr>
      </w:pPr>
    </w:p>
    <w:p>
      <w:pPr>
        <w:pStyle w:val="BodyText"/>
        <w:spacing w:line="360" w:lineRule="auto" w:before="55"/>
        <w:ind w:left="100" w:right="122"/>
        <w:jc w:val="both"/>
      </w:pPr>
      <w:r>
        <w:rPr/>
        <w:t>poder</w:t>
      </w:r>
      <w:r>
        <w:rPr>
          <w:spacing w:val="-5"/>
        </w:rPr>
        <w:t> </w:t>
      </w:r>
      <w:r>
        <w:rPr/>
        <w:t>mundial.</w:t>
      </w:r>
      <w:r>
        <w:rPr>
          <w:spacing w:val="-6"/>
        </w:rPr>
        <w:t> </w:t>
      </w:r>
      <w:r>
        <w:rPr/>
        <w:t>La</w:t>
      </w:r>
      <w:r>
        <w:rPr>
          <w:spacing w:val="-10"/>
        </w:rPr>
        <w:t> </w:t>
      </w:r>
      <w:r>
        <w:rPr/>
        <w:t>seguridad</w:t>
      </w:r>
      <w:r>
        <w:rPr>
          <w:spacing w:val="-10"/>
        </w:rPr>
        <w:t> </w:t>
      </w:r>
      <w:r>
        <w:rPr/>
        <w:t>colectiva</w:t>
      </w:r>
      <w:r>
        <w:rPr>
          <w:spacing w:val="-10"/>
        </w:rPr>
        <w:t> </w:t>
      </w:r>
      <w:r>
        <w:rPr/>
        <w:t>implica,</w:t>
      </w:r>
      <w:r>
        <w:rPr>
          <w:spacing w:val="-7"/>
        </w:rPr>
        <w:t> </w:t>
      </w:r>
      <w:r>
        <w:rPr/>
        <w:t>en</w:t>
      </w:r>
      <w:r>
        <w:rPr>
          <w:spacing w:val="-10"/>
        </w:rPr>
        <w:t> </w:t>
      </w:r>
      <w:r>
        <w:rPr/>
        <w:t>términos</w:t>
      </w:r>
      <w:r>
        <w:rPr>
          <w:spacing w:val="-8"/>
        </w:rPr>
        <w:t> </w:t>
      </w:r>
      <w:r>
        <w:rPr/>
        <w:t>de</w:t>
      </w:r>
      <w:r>
        <w:rPr>
          <w:spacing w:val="-10"/>
        </w:rPr>
        <w:t> </w:t>
      </w:r>
      <w:r>
        <w:rPr/>
        <w:t>poder,</w:t>
      </w:r>
      <w:r>
        <w:rPr>
          <w:spacing w:val="-7"/>
        </w:rPr>
        <w:t> </w:t>
      </w:r>
      <w:r>
        <w:rPr/>
        <w:t>que</w:t>
      </w:r>
      <w:r>
        <w:rPr>
          <w:spacing w:val="-10"/>
        </w:rPr>
        <w:t> </w:t>
      </w:r>
      <w:r>
        <w:rPr/>
        <w:t>cada</w:t>
      </w:r>
      <w:r>
        <w:rPr>
          <w:spacing w:val="-10"/>
        </w:rPr>
        <w:t> </w:t>
      </w:r>
      <w:r>
        <w:rPr/>
        <w:t>país renuncie a conseguir la hegemonía internacional con la intención de mantener la paz</w:t>
      </w:r>
      <w:r>
        <w:rPr>
          <w:spacing w:val="-9"/>
        </w:rPr>
        <w:t> </w:t>
      </w:r>
      <w:r>
        <w:rPr/>
        <w:t>internacional</w:t>
      </w:r>
      <w:r>
        <w:rPr>
          <w:spacing w:val="-6"/>
        </w:rPr>
        <w:t> </w:t>
      </w:r>
      <w:r>
        <w:rPr/>
        <w:t>(pacto</w:t>
      </w:r>
      <w:r>
        <w:rPr>
          <w:spacing w:val="-7"/>
        </w:rPr>
        <w:t> </w:t>
      </w:r>
      <w:r>
        <w:rPr/>
        <w:t>social).</w:t>
      </w:r>
      <w:r>
        <w:rPr>
          <w:spacing w:val="-4"/>
        </w:rPr>
        <w:t> </w:t>
      </w:r>
      <w:r>
        <w:rPr/>
        <w:t>Es</w:t>
      </w:r>
      <w:r>
        <w:rPr>
          <w:spacing w:val="-5"/>
        </w:rPr>
        <w:t> </w:t>
      </w:r>
      <w:r>
        <w:rPr/>
        <w:t>la</w:t>
      </w:r>
      <w:r>
        <w:rPr>
          <w:spacing w:val="-7"/>
        </w:rPr>
        <w:t> </w:t>
      </w:r>
      <w:r>
        <w:rPr/>
        <w:t>idea</w:t>
      </w:r>
      <w:r>
        <w:rPr>
          <w:spacing w:val="-7"/>
        </w:rPr>
        <w:t> </w:t>
      </w:r>
      <w:r>
        <w:rPr/>
        <w:t>de</w:t>
      </w:r>
      <w:r>
        <w:rPr>
          <w:spacing w:val="-7"/>
        </w:rPr>
        <w:t> </w:t>
      </w:r>
      <w:r>
        <w:rPr/>
        <w:t>acuerdo</w:t>
      </w:r>
      <w:r>
        <w:rPr>
          <w:spacing w:val="-7"/>
        </w:rPr>
        <w:t> </w:t>
      </w:r>
      <w:r>
        <w:rPr/>
        <w:t>con</w:t>
      </w:r>
      <w:r>
        <w:rPr>
          <w:spacing w:val="-7"/>
        </w:rPr>
        <w:t> </w:t>
      </w:r>
      <w:r>
        <w:rPr/>
        <w:t>la</w:t>
      </w:r>
      <w:r>
        <w:rPr>
          <w:spacing w:val="-7"/>
        </w:rPr>
        <w:t> </w:t>
      </w:r>
      <w:r>
        <w:rPr/>
        <w:t>cual</w:t>
      </w:r>
      <w:r>
        <w:rPr>
          <w:spacing w:val="-6"/>
        </w:rPr>
        <w:t> </w:t>
      </w:r>
      <w:r>
        <w:rPr/>
        <w:t>la</w:t>
      </w:r>
      <w:r>
        <w:rPr>
          <w:spacing w:val="-7"/>
        </w:rPr>
        <w:t> </w:t>
      </w:r>
      <w:r>
        <w:rPr/>
        <w:t>agresión</w:t>
      </w:r>
      <w:r>
        <w:rPr>
          <w:spacing w:val="-7"/>
        </w:rPr>
        <w:t> </w:t>
      </w:r>
      <w:r>
        <w:rPr/>
        <w:t>de</w:t>
      </w:r>
      <w:r>
        <w:rPr>
          <w:spacing w:val="-7"/>
        </w:rPr>
        <w:t> </w:t>
      </w:r>
      <w:r>
        <w:rPr/>
        <w:t>un país equivale a una agresión contra todos los países y éstos tienen el deber de oponerse a la</w:t>
      </w:r>
      <w:r>
        <w:rPr>
          <w:spacing w:val="-17"/>
        </w:rPr>
        <w:t> </w:t>
      </w:r>
      <w:r>
        <w:rPr/>
        <w:t>agresión.</w:t>
      </w:r>
    </w:p>
    <w:p>
      <w:pPr>
        <w:pStyle w:val="BodyText"/>
        <w:spacing w:line="360" w:lineRule="auto" w:before="6"/>
        <w:ind w:left="100" w:right="125" w:firstLine="427"/>
        <w:jc w:val="both"/>
      </w:pPr>
      <w:r>
        <w:rPr/>
        <w:t>Los objetivos de la ONU son mantener la paz y seguridad internacionales, fomentar</w:t>
      </w:r>
      <w:r>
        <w:rPr>
          <w:spacing w:val="-19"/>
        </w:rPr>
        <w:t> </w:t>
      </w:r>
      <w:r>
        <w:rPr/>
        <w:t>las</w:t>
      </w:r>
      <w:r>
        <w:rPr>
          <w:spacing w:val="-19"/>
        </w:rPr>
        <w:t> </w:t>
      </w:r>
      <w:r>
        <w:rPr/>
        <w:t>relaciones</w:t>
      </w:r>
      <w:r>
        <w:rPr>
          <w:spacing w:val="-19"/>
        </w:rPr>
        <w:t> </w:t>
      </w:r>
      <w:r>
        <w:rPr/>
        <w:t>de</w:t>
      </w:r>
      <w:r>
        <w:rPr>
          <w:spacing w:val="-17"/>
        </w:rPr>
        <w:t> </w:t>
      </w:r>
      <w:r>
        <w:rPr/>
        <w:t>amistad</w:t>
      </w:r>
      <w:r>
        <w:rPr>
          <w:spacing w:val="-20"/>
        </w:rPr>
        <w:t> </w:t>
      </w:r>
      <w:r>
        <w:rPr/>
        <w:t>basadas</w:t>
      </w:r>
      <w:r>
        <w:rPr>
          <w:spacing w:val="-19"/>
        </w:rPr>
        <w:t> </w:t>
      </w:r>
      <w:r>
        <w:rPr/>
        <w:t>en</w:t>
      </w:r>
      <w:r>
        <w:rPr>
          <w:spacing w:val="-20"/>
        </w:rPr>
        <w:t> </w:t>
      </w:r>
      <w:r>
        <w:rPr/>
        <w:t>el</w:t>
      </w:r>
      <w:r>
        <w:rPr>
          <w:spacing w:val="-20"/>
        </w:rPr>
        <w:t> </w:t>
      </w:r>
      <w:r>
        <w:rPr/>
        <w:t>respeto</w:t>
      </w:r>
      <w:r>
        <w:rPr>
          <w:spacing w:val="-17"/>
        </w:rPr>
        <w:t> </w:t>
      </w:r>
      <w:r>
        <w:rPr/>
        <w:t>a</w:t>
      </w:r>
      <w:r>
        <w:rPr>
          <w:spacing w:val="-20"/>
        </w:rPr>
        <w:t> </w:t>
      </w:r>
      <w:r>
        <w:rPr/>
        <w:t>la</w:t>
      </w:r>
      <w:r>
        <w:rPr>
          <w:spacing w:val="-17"/>
        </w:rPr>
        <w:t> </w:t>
      </w:r>
      <w:r>
        <w:rPr/>
        <w:t>igualdad</w:t>
      </w:r>
      <w:r>
        <w:rPr>
          <w:spacing w:val="-17"/>
        </w:rPr>
        <w:t> </w:t>
      </w:r>
      <w:r>
        <w:rPr/>
        <w:t>de</w:t>
      </w:r>
      <w:r>
        <w:rPr>
          <w:spacing w:val="-20"/>
        </w:rPr>
        <w:t> </w:t>
      </w:r>
      <w:r>
        <w:rPr/>
        <w:t>derechos, la cooperación internacional para la solución de problemas internacionales y servir de armonizador entre países para alcanzar los propósitos</w:t>
      </w:r>
      <w:r>
        <w:rPr>
          <w:spacing w:val="-38"/>
        </w:rPr>
        <w:t> </w:t>
      </w:r>
      <w:r>
        <w:rPr/>
        <w:t>comunes.</w:t>
      </w:r>
    </w:p>
    <w:p>
      <w:pPr>
        <w:pStyle w:val="BodyText"/>
        <w:spacing w:line="360" w:lineRule="auto" w:before="6"/>
        <w:ind w:left="100" w:right="120" w:firstLine="427"/>
        <w:jc w:val="both"/>
      </w:pPr>
      <w:r>
        <w:rPr/>
        <w:t>Aunque ONU no ha logrado sus objetivos, su papel diplomático consiste en promover la armonía internacional, función que ninguna otra institución ha considerado.</w:t>
      </w:r>
    </w:p>
    <w:p>
      <w:pPr>
        <w:pStyle w:val="BodyText"/>
        <w:spacing w:line="360" w:lineRule="auto" w:before="2"/>
        <w:ind w:left="100" w:right="118" w:firstLine="427"/>
        <w:jc w:val="both"/>
      </w:pPr>
      <w:r>
        <w:rPr/>
        <w:t>En las décadas de los años ochenta y noventa se hizo más evidente la conformación de la sociedad civil a escala mundial, que enfrentaba la crisis originada por la globalización capitalista. Sin embargo, los constantes conflictos de la Organización del Tratado Atlántico Norte, la intervención estadounidense en Irak y el colapso de las torres gemelas en septiembre de 2001 demostraron la incapacidad de la ONU para lograr la paz.</w:t>
      </w:r>
    </w:p>
    <w:p>
      <w:pPr>
        <w:pStyle w:val="BodyText"/>
        <w:spacing w:line="360" w:lineRule="auto" w:before="2"/>
        <w:ind w:left="100" w:right="116" w:firstLine="427"/>
        <w:jc w:val="both"/>
      </w:pPr>
      <w:r>
        <w:rPr/>
        <w:t>Otro aspecto que puso en evidencia las fallas de la ONU es el fuerte financiamiento que recibe de los Estados Unidos, lo cual ha afectado la legitimidad de la organización, ya que se considera que el país más poderoso del mundo se sirve de la ONU cuando así conviene a sus intereses. Esto quedó demostrado cuando la ONU rehusó intervenir en el conflicto de Estados Unidos e Irak, a pesar de que la función principal de la organización es evitar los conflictos.</w:t>
      </w:r>
    </w:p>
    <w:p>
      <w:pPr>
        <w:pStyle w:val="BodyText"/>
        <w:spacing w:line="360" w:lineRule="auto" w:before="2"/>
        <w:ind w:left="100" w:right="125" w:firstLine="427"/>
        <w:jc w:val="both"/>
      </w:pPr>
      <w:r>
        <w:rPr/>
        <w:t>El informe consideró que la ONU ha politizado el proceso de designación del secretario general, quien históricamente ha tenido bajo perfil profesional y se ha dejado</w:t>
      </w:r>
      <w:r>
        <w:rPr>
          <w:spacing w:val="-5"/>
        </w:rPr>
        <w:t> </w:t>
      </w:r>
      <w:r>
        <w:rPr/>
        <w:t>llevar</w:t>
      </w:r>
      <w:r>
        <w:rPr>
          <w:spacing w:val="-4"/>
        </w:rPr>
        <w:t> </w:t>
      </w:r>
      <w:r>
        <w:rPr/>
        <w:t>por</w:t>
      </w:r>
      <w:r>
        <w:rPr>
          <w:spacing w:val="-4"/>
        </w:rPr>
        <w:t> </w:t>
      </w:r>
      <w:r>
        <w:rPr/>
        <w:t>la</w:t>
      </w:r>
      <w:r>
        <w:rPr>
          <w:spacing w:val="-5"/>
        </w:rPr>
        <w:t> </w:t>
      </w:r>
      <w:r>
        <w:rPr/>
        <w:t>participación</w:t>
      </w:r>
      <w:r>
        <w:rPr>
          <w:spacing w:val="-5"/>
        </w:rPr>
        <w:t> </w:t>
      </w:r>
      <w:r>
        <w:rPr/>
        <w:t>de</w:t>
      </w:r>
      <w:r>
        <w:rPr>
          <w:spacing w:val="-5"/>
        </w:rPr>
        <w:t> </w:t>
      </w:r>
      <w:r>
        <w:rPr/>
        <w:t>los</w:t>
      </w:r>
      <w:r>
        <w:rPr>
          <w:spacing w:val="-4"/>
        </w:rPr>
        <w:t> </w:t>
      </w:r>
      <w:r>
        <w:rPr/>
        <w:t>representantes</w:t>
      </w:r>
      <w:r>
        <w:rPr>
          <w:spacing w:val="-4"/>
        </w:rPr>
        <w:t> </w:t>
      </w:r>
      <w:r>
        <w:rPr/>
        <w:t>de</w:t>
      </w:r>
      <w:r>
        <w:rPr>
          <w:spacing w:val="-5"/>
        </w:rPr>
        <w:t> </w:t>
      </w:r>
      <w:r>
        <w:rPr/>
        <w:t>países</w:t>
      </w:r>
      <w:r>
        <w:rPr>
          <w:spacing w:val="-4"/>
        </w:rPr>
        <w:t> </w:t>
      </w:r>
      <w:r>
        <w:rPr/>
        <w:t>emergentes</w:t>
      </w:r>
      <w:r>
        <w:rPr>
          <w:spacing w:val="-4"/>
        </w:rPr>
        <w:t> </w:t>
      </w:r>
      <w:r>
        <w:rPr/>
        <w:t>en</w:t>
      </w:r>
      <w:r>
        <w:rPr>
          <w:spacing w:val="-5"/>
        </w:rPr>
        <w:t> </w:t>
      </w:r>
      <w:r>
        <w:rPr/>
        <w:t>la tribuna de la</w:t>
      </w:r>
      <w:r>
        <w:rPr>
          <w:spacing w:val="-16"/>
        </w:rPr>
        <w:t> </w:t>
      </w:r>
      <w:r>
        <w:rPr/>
        <w:t>ONU.</w:t>
      </w:r>
    </w:p>
    <w:p>
      <w:pPr>
        <w:pStyle w:val="BodyText"/>
        <w:spacing w:line="360" w:lineRule="auto" w:before="2"/>
        <w:ind w:left="100" w:right="120" w:firstLine="427"/>
        <w:jc w:val="both"/>
      </w:pPr>
      <w:r>
        <w:rPr/>
        <w:t>Los ideales de libertad, de igualdad y felicidad de Montesquieu, Rousseau y el ex profesor de filosofía política Woodrow Wilson, actualmente tienen otra connotación: hacer la guerra para mantener el equilibrio geopolítico.</w:t>
      </w:r>
    </w:p>
    <w:p>
      <w:pPr>
        <w:spacing w:after="0" w:line="360" w:lineRule="auto"/>
        <w:jc w:val="both"/>
        <w:sectPr>
          <w:pgSz w:w="12240" w:h="15840"/>
          <w:pgMar w:header="0" w:footer="998" w:top="1360" w:bottom="1180" w:left="1600" w:right="1580"/>
        </w:sectPr>
      </w:pPr>
    </w:p>
    <w:p>
      <w:pPr>
        <w:pStyle w:val="BodyText"/>
        <w:spacing w:line="360" w:lineRule="auto" w:before="55"/>
        <w:ind w:left="120" w:right="120" w:firstLine="427"/>
        <w:jc w:val="both"/>
      </w:pPr>
      <w:r>
        <w:rPr/>
        <w:t>El fracaso de la ONU en hacer prevalecer la paz ha originado </w:t>
      </w:r>
      <w:r>
        <w:rPr>
          <w:spacing w:val="-2"/>
        </w:rPr>
        <w:t>más </w:t>
      </w:r>
      <w:r>
        <w:rPr/>
        <w:t>preguntas que</w:t>
      </w:r>
      <w:r>
        <w:rPr>
          <w:spacing w:val="-20"/>
        </w:rPr>
        <w:t> </w:t>
      </w:r>
      <w:r>
        <w:rPr/>
        <w:t>respuestas</w:t>
      </w:r>
      <w:r>
        <w:rPr>
          <w:spacing w:val="-18"/>
        </w:rPr>
        <w:t> </w:t>
      </w:r>
      <w:r>
        <w:rPr/>
        <w:t>respecto</w:t>
      </w:r>
      <w:r>
        <w:rPr>
          <w:spacing w:val="-20"/>
        </w:rPr>
        <w:t> </w:t>
      </w:r>
      <w:r>
        <w:rPr/>
        <w:t>de</w:t>
      </w:r>
      <w:r>
        <w:rPr>
          <w:spacing w:val="-16"/>
        </w:rPr>
        <w:t> </w:t>
      </w:r>
      <w:r>
        <w:rPr/>
        <w:t>lograr</w:t>
      </w:r>
      <w:r>
        <w:rPr>
          <w:spacing w:val="-18"/>
        </w:rPr>
        <w:t> </w:t>
      </w:r>
      <w:r>
        <w:rPr/>
        <w:t>la</w:t>
      </w:r>
      <w:r>
        <w:rPr>
          <w:spacing w:val="-16"/>
        </w:rPr>
        <w:t> </w:t>
      </w:r>
      <w:r>
        <w:rPr/>
        <w:t>gobernanza</w:t>
      </w:r>
      <w:r>
        <w:rPr>
          <w:spacing w:val="-20"/>
        </w:rPr>
        <w:t> </w:t>
      </w:r>
      <w:r>
        <w:rPr/>
        <w:t>mundial.</w:t>
      </w:r>
      <w:r>
        <w:rPr>
          <w:spacing w:val="-17"/>
        </w:rPr>
        <w:t> </w:t>
      </w:r>
      <w:r>
        <w:rPr/>
        <w:t>El</w:t>
      </w:r>
      <w:r>
        <w:rPr>
          <w:spacing w:val="-20"/>
        </w:rPr>
        <w:t> </w:t>
      </w:r>
      <w:r>
        <w:rPr/>
        <w:t>Foro</w:t>
      </w:r>
      <w:r>
        <w:rPr>
          <w:spacing w:val="-20"/>
        </w:rPr>
        <w:t> </w:t>
      </w:r>
      <w:r>
        <w:rPr/>
        <w:t>prevé</w:t>
      </w:r>
      <w:r>
        <w:rPr>
          <w:spacing w:val="-20"/>
        </w:rPr>
        <w:t> </w:t>
      </w:r>
      <w:r>
        <w:rPr/>
        <w:t>que</w:t>
      </w:r>
      <w:r>
        <w:rPr>
          <w:spacing w:val="-16"/>
        </w:rPr>
        <w:t> </w:t>
      </w:r>
      <w:r>
        <w:rPr/>
        <w:t>la</w:t>
      </w:r>
      <w:r>
        <w:rPr>
          <w:spacing w:val="-20"/>
        </w:rPr>
        <w:t> </w:t>
      </w:r>
      <w:r>
        <w:rPr/>
        <w:t>ONU podrá agendar  los problemas del siglo XXI, pero no podrá pasar a la</w:t>
      </w:r>
      <w:r>
        <w:rPr>
          <w:spacing w:val="-32"/>
        </w:rPr>
        <w:t> </w:t>
      </w:r>
      <w:r>
        <w:rPr/>
        <w:t>acción.</w:t>
      </w:r>
    </w:p>
    <w:p>
      <w:pPr>
        <w:pStyle w:val="BodyText"/>
      </w:pPr>
    </w:p>
    <w:p>
      <w:pPr>
        <w:pStyle w:val="BodyText"/>
        <w:spacing w:before="5"/>
        <w:rPr>
          <w:sz w:val="29"/>
        </w:rPr>
      </w:pPr>
    </w:p>
    <w:p>
      <w:pPr>
        <w:pStyle w:val="Heading3"/>
        <w:numPr>
          <w:ilvl w:val="2"/>
          <w:numId w:val="19"/>
        </w:numPr>
        <w:tabs>
          <w:tab w:pos="720" w:val="left" w:leader="none"/>
        </w:tabs>
        <w:spacing w:line="240" w:lineRule="auto" w:before="0" w:after="0"/>
        <w:ind w:left="719" w:right="0" w:hanging="599"/>
        <w:jc w:val="both"/>
      </w:pPr>
      <w:bookmarkStart w:name="_bookmark15" w:id="24"/>
      <w:bookmarkEnd w:id="24"/>
      <w:r>
        <w:rPr>
          <w:b w:val="0"/>
        </w:rPr>
      </w:r>
      <w:bookmarkStart w:name="_bookmark15" w:id="25"/>
      <w:bookmarkEnd w:id="25"/>
      <w:r>
        <w:rPr/>
        <w:t>L</w:t>
      </w:r>
      <w:r>
        <w:rPr/>
        <w:t>a promoción del ‘buen gobierno’ por el Banco</w:t>
      </w:r>
      <w:r>
        <w:rPr>
          <w:spacing w:val="-26"/>
        </w:rPr>
        <w:t> </w:t>
      </w:r>
      <w:r>
        <w:rPr/>
        <w:t>Mundial</w:t>
      </w:r>
    </w:p>
    <w:p>
      <w:pPr>
        <w:pStyle w:val="BodyText"/>
        <w:spacing w:line="360" w:lineRule="auto" w:before="144"/>
        <w:ind w:left="120" w:right="119"/>
        <w:jc w:val="both"/>
      </w:pPr>
      <w:r>
        <w:rPr/>
        <w:t>Las contribuciones al estudio de la gobernanza se han visto enriquecidas por el Banco Mundial (</w:t>
      </w:r>
      <w:r>
        <w:rPr>
          <w:i/>
        </w:rPr>
        <w:t>World Bank</w:t>
      </w:r>
      <w:r>
        <w:rPr/>
        <w:t>), quien aportó elementos para analizar la gobernanza desde una perspectiva económica. Se considera que a partir de la publicación “El África Subsahariana: de la crisis al desarrollo sustentable” (</w:t>
      </w:r>
      <w:r>
        <w:rPr>
          <w:i/>
          <w:color w:val="212121"/>
        </w:rPr>
        <w:t>Sub- SaharanAfrica: </w:t>
      </w:r>
      <w:r>
        <w:rPr>
          <w:i/>
          <w:color w:val="212121"/>
        </w:rPr>
        <w:t>From </w:t>
      </w:r>
      <w:r>
        <w:rPr>
          <w:rFonts w:ascii="Calibri" w:hAnsi="Calibri"/>
          <w:i/>
          <w:sz w:val="22"/>
        </w:rPr>
        <w:t>Crisis </w:t>
      </w:r>
      <w:r>
        <w:rPr>
          <w:i/>
          <w:color w:val="212121"/>
        </w:rPr>
        <w:t>toSustainableGrowth</w:t>
      </w:r>
      <w:r>
        <w:rPr>
          <w:color w:val="212121"/>
        </w:rPr>
        <w:t>)</w:t>
      </w:r>
      <w:r>
        <w:rPr/>
        <w:t>, en 1989 se dio difusión internacional al término gobernanza (Aguilar, 2010: 31).</w:t>
      </w:r>
    </w:p>
    <w:p>
      <w:pPr>
        <w:pStyle w:val="BodyText"/>
        <w:spacing w:line="360" w:lineRule="auto" w:before="1"/>
        <w:ind w:left="120" w:right="113" w:firstLine="427"/>
        <w:jc w:val="both"/>
      </w:pPr>
      <w:r>
        <w:rPr/>
        <w:t>También</w:t>
      </w:r>
      <w:r>
        <w:rPr>
          <w:spacing w:val="-16"/>
        </w:rPr>
        <w:t> </w:t>
      </w:r>
      <w:r>
        <w:rPr/>
        <w:t>se</w:t>
      </w:r>
      <w:r>
        <w:rPr>
          <w:spacing w:val="-16"/>
        </w:rPr>
        <w:t> </w:t>
      </w:r>
      <w:r>
        <w:rPr/>
        <w:t>atribuye</w:t>
      </w:r>
      <w:r>
        <w:rPr>
          <w:spacing w:val="-16"/>
        </w:rPr>
        <w:t> </w:t>
      </w:r>
      <w:r>
        <w:rPr/>
        <w:t>al</w:t>
      </w:r>
      <w:r>
        <w:rPr>
          <w:spacing w:val="-15"/>
        </w:rPr>
        <w:t> </w:t>
      </w:r>
      <w:r>
        <w:rPr/>
        <w:t>Banco</w:t>
      </w:r>
      <w:r>
        <w:rPr>
          <w:spacing w:val="-12"/>
        </w:rPr>
        <w:t> </w:t>
      </w:r>
      <w:r>
        <w:rPr/>
        <w:t>Mundial</w:t>
      </w:r>
      <w:r>
        <w:rPr>
          <w:spacing w:val="-12"/>
        </w:rPr>
        <w:t> </w:t>
      </w:r>
      <w:r>
        <w:rPr/>
        <w:t>difundir</w:t>
      </w:r>
      <w:r>
        <w:rPr>
          <w:spacing w:val="-14"/>
        </w:rPr>
        <w:t> </w:t>
      </w:r>
      <w:r>
        <w:rPr/>
        <w:t>el</w:t>
      </w:r>
      <w:r>
        <w:rPr>
          <w:spacing w:val="-15"/>
        </w:rPr>
        <w:t> </w:t>
      </w:r>
      <w:r>
        <w:rPr/>
        <w:t>término</w:t>
      </w:r>
      <w:r>
        <w:rPr>
          <w:spacing w:val="-16"/>
        </w:rPr>
        <w:t> </w:t>
      </w:r>
      <w:r>
        <w:rPr/>
        <w:t>gobernabilidad</w:t>
      </w:r>
      <w:r>
        <w:rPr>
          <w:position w:val="8"/>
          <w:sz w:val="16"/>
        </w:rPr>
        <w:t>23</w:t>
      </w:r>
      <w:r>
        <w:rPr>
          <w:spacing w:val="7"/>
          <w:position w:val="8"/>
          <w:sz w:val="16"/>
        </w:rPr>
        <w:t> </w:t>
      </w:r>
      <w:r>
        <w:rPr/>
        <w:t>como sinónimo</w:t>
      </w:r>
      <w:r>
        <w:rPr>
          <w:spacing w:val="-8"/>
        </w:rPr>
        <w:t> </w:t>
      </w:r>
      <w:r>
        <w:rPr/>
        <w:t>de</w:t>
      </w:r>
      <w:r>
        <w:rPr>
          <w:spacing w:val="-8"/>
        </w:rPr>
        <w:t> </w:t>
      </w:r>
      <w:r>
        <w:rPr/>
        <w:t>‘buen</w:t>
      </w:r>
      <w:r>
        <w:rPr>
          <w:spacing w:val="-4"/>
        </w:rPr>
        <w:t> </w:t>
      </w:r>
      <w:r>
        <w:rPr/>
        <w:t>gobierno’,</w:t>
      </w:r>
      <w:r>
        <w:rPr>
          <w:spacing w:val="-5"/>
        </w:rPr>
        <w:t> </w:t>
      </w:r>
      <w:r>
        <w:rPr/>
        <w:t>descripción</w:t>
      </w:r>
      <w:r>
        <w:rPr>
          <w:spacing w:val="-8"/>
        </w:rPr>
        <w:t> </w:t>
      </w:r>
      <w:r>
        <w:rPr/>
        <w:t>que</w:t>
      </w:r>
      <w:r>
        <w:rPr>
          <w:spacing w:val="-8"/>
        </w:rPr>
        <w:t> </w:t>
      </w:r>
      <w:r>
        <w:rPr/>
        <w:t>se</w:t>
      </w:r>
      <w:r>
        <w:rPr>
          <w:spacing w:val="-8"/>
        </w:rPr>
        <w:t> </w:t>
      </w:r>
      <w:r>
        <w:rPr/>
        <w:t>orienta</w:t>
      </w:r>
      <w:r>
        <w:rPr>
          <w:spacing w:val="-4"/>
        </w:rPr>
        <w:t> </w:t>
      </w:r>
      <w:r>
        <w:rPr/>
        <w:t>al</w:t>
      </w:r>
      <w:r>
        <w:rPr>
          <w:spacing w:val="-7"/>
        </w:rPr>
        <w:t> </w:t>
      </w:r>
      <w:r>
        <w:rPr/>
        <w:t>desarrollo</w:t>
      </w:r>
      <w:r>
        <w:rPr>
          <w:spacing w:val="-4"/>
        </w:rPr>
        <w:t> </w:t>
      </w:r>
      <w:r>
        <w:rPr/>
        <w:t>económico</w:t>
      </w:r>
      <w:r>
        <w:rPr>
          <w:spacing w:val="-8"/>
        </w:rPr>
        <w:t> </w:t>
      </w:r>
      <w:r>
        <w:rPr/>
        <w:t>de un país (desarrollo humano elevado, un Estado de derecho efectivo, bajos niveles de</w:t>
      </w:r>
      <w:r>
        <w:rPr>
          <w:spacing w:val="-10"/>
        </w:rPr>
        <w:t> </w:t>
      </w:r>
      <w:r>
        <w:rPr/>
        <w:t>corrupción</w:t>
      </w:r>
      <w:r>
        <w:rPr>
          <w:spacing w:val="-6"/>
        </w:rPr>
        <w:t> </w:t>
      </w:r>
      <w:r>
        <w:rPr/>
        <w:t>y</w:t>
      </w:r>
      <w:r>
        <w:rPr>
          <w:spacing w:val="-12"/>
        </w:rPr>
        <w:t> </w:t>
      </w:r>
      <w:r>
        <w:rPr/>
        <w:t>políticas</w:t>
      </w:r>
      <w:r>
        <w:rPr>
          <w:spacing w:val="-8"/>
        </w:rPr>
        <w:t> </w:t>
      </w:r>
      <w:r>
        <w:rPr/>
        <w:t>públicas</w:t>
      </w:r>
      <w:r>
        <w:rPr>
          <w:spacing w:val="-8"/>
        </w:rPr>
        <w:t> </w:t>
      </w:r>
      <w:r>
        <w:rPr/>
        <w:t>eficientes,</w:t>
      </w:r>
      <w:r>
        <w:rPr>
          <w:spacing w:val="-7"/>
        </w:rPr>
        <w:t> </w:t>
      </w:r>
      <w:r>
        <w:rPr/>
        <w:t>entre</w:t>
      </w:r>
      <w:r>
        <w:rPr>
          <w:spacing w:val="-10"/>
        </w:rPr>
        <w:t> </w:t>
      </w:r>
      <w:r>
        <w:rPr/>
        <w:t>otros),</w:t>
      </w:r>
      <w:r>
        <w:rPr>
          <w:spacing w:val="-7"/>
        </w:rPr>
        <w:t> </w:t>
      </w:r>
      <w:r>
        <w:rPr/>
        <w:t>en</w:t>
      </w:r>
      <w:r>
        <w:rPr>
          <w:spacing w:val="-10"/>
        </w:rPr>
        <w:t> </w:t>
      </w:r>
      <w:r>
        <w:rPr/>
        <w:t>la</w:t>
      </w:r>
      <w:r>
        <w:rPr>
          <w:spacing w:val="-10"/>
        </w:rPr>
        <w:t> </w:t>
      </w:r>
      <w:r>
        <w:rPr/>
        <w:t>cual</w:t>
      </w:r>
      <w:r>
        <w:rPr>
          <w:spacing w:val="-9"/>
        </w:rPr>
        <w:t> </w:t>
      </w:r>
      <w:r>
        <w:rPr/>
        <w:t>las</w:t>
      </w:r>
      <w:r>
        <w:rPr>
          <w:spacing w:val="-8"/>
        </w:rPr>
        <w:t> </w:t>
      </w:r>
      <w:r>
        <w:rPr/>
        <w:t>instituciones tienen una función indispensable y constructiva en la creación de un ambiente económico, político y social sólido respecto de los países</w:t>
      </w:r>
      <w:r>
        <w:rPr>
          <w:spacing w:val="-37"/>
        </w:rPr>
        <w:t> </w:t>
      </w:r>
      <w:r>
        <w:rPr/>
        <w:t>emergentes.</w:t>
      </w:r>
    </w:p>
    <w:p>
      <w:pPr>
        <w:pStyle w:val="BodyText"/>
        <w:spacing w:line="360" w:lineRule="auto" w:before="6"/>
        <w:ind w:left="120" w:right="117" w:firstLine="427"/>
        <w:jc w:val="both"/>
      </w:pPr>
      <w:r>
        <w:rPr/>
        <w:t>El</w:t>
      </w:r>
      <w:r>
        <w:rPr>
          <w:spacing w:val="-8"/>
        </w:rPr>
        <w:t> </w:t>
      </w:r>
      <w:r>
        <w:rPr/>
        <w:t>Banco</w:t>
      </w:r>
      <w:r>
        <w:rPr>
          <w:spacing w:val="-5"/>
        </w:rPr>
        <w:t> </w:t>
      </w:r>
      <w:r>
        <w:rPr/>
        <w:t>Mundial</w:t>
      </w:r>
      <w:r>
        <w:rPr>
          <w:spacing w:val="-6"/>
        </w:rPr>
        <w:t> </w:t>
      </w:r>
      <w:r>
        <w:rPr/>
        <w:t>busca</w:t>
      </w:r>
      <w:r>
        <w:rPr>
          <w:spacing w:val="-8"/>
        </w:rPr>
        <w:t> </w:t>
      </w:r>
      <w:r>
        <w:rPr/>
        <w:t>promover</w:t>
      </w:r>
      <w:r>
        <w:rPr>
          <w:spacing w:val="-6"/>
        </w:rPr>
        <w:t> </w:t>
      </w:r>
      <w:r>
        <w:rPr/>
        <w:t>el</w:t>
      </w:r>
      <w:r>
        <w:rPr>
          <w:spacing w:val="-7"/>
        </w:rPr>
        <w:t> </w:t>
      </w:r>
      <w:r>
        <w:rPr/>
        <w:t>‘buen</w:t>
      </w:r>
      <w:r>
        <w:rPr>
          <w:spacing w:val="-8"/>
        </w:rPr>
        <w:t> </w:t>
      </w:r>
      <w:r>
        <w:rPr/>
        <w:t>gobierno’,</w:t>
      </w:r>
      <w:r>
        <w:rPr>
          <w:spacing w:val="-6"/>
        </w:rPr>
        <w:t> </w:t>
      </w:r>
      <w:r>
        <w:rPr/>
        <w:t>sobre</w:t>
      </w:r>
      <w:r>
        <w:rPr>
          <w:spacing w:val="-8"/>
        </w:rPr>
        <w:t> </w:t>
      </w:r>
      <w:r>
        <w:rPr/>
        <w:t>todo</w:t>
      </w:r>
      <w:r>
        <w:rPr>
          <w:spacing w:val="-8"/>
        </w:rPr>
        <w:t> </w:t>
      </w:r>
      <w:r>
        <w:rPr/>
        <w:t>en</w:t>
      </w:r>
      <w:r>
        <w:rPr>
          <w:spacing w:val="-8"/>
        </w:rPr>
        <w:t> </w:t>
      </w:r>
      <w:r>
        <w:rPr/>
        <w:t>economías emergentes mediante presentar el análisis de indicadores agregados sintetizados de datos cuantitativos, denominados Indicadores Mundiales de Gobernabilidad(</w:t>
      </w:r>
      <w:r>
        <w:rPr>
          <w:i/>
        </w:rPr>
        <w:t>Worldwide Governance Indicators</w:t>
      </w:r>
      <w:r>
        <w:rPr/>
        <w:t>), en los cuales se conmensuran diversas actividades enfocadas a fomentar el buen gobierno y la lucha contra la corrupción. Los seis indicadores utilizados por el Banco mundial para medir el funcionamiento del ‘buen gobierno’ son los</w:t>
      </w:r>
      <w:r>
        <w:rPr>
          <w:spacing w:val="-30"/>
        </w:rPr>
        <w:t> </w:t>
      </w:r>
      <w:r>
        <w:rPr/>
        <w:t>siguientes:</w:t>
      </w:r>
    </w:p>
    <w:p>
      <w:pPr>
        <w:pStyle w:val="BodyText"/>
      </w:pPr>
    </w:p>
    <w:p>
      <w:pPr>
        <w:pStyle w:val="ListParagraph"/>
        <w:numPr>
          <w:ilvl w:val="3"/>
          <w:numId w:val="19"/>
        </w:numPr>
        <w:tabs>
          <w:tab w:pos="841" w:val="left" w:leader="none"/>
        </w:tabs>
        <w:spacing w:line="360" w:lineRule="auto" w:before="142" w:after="0"/>
        <w:ind w:left="841" w:right="123" w:hanging="361"/>
        <w:jc w:val="both"/>
        <w:rPr>
          <w:sz w:val="24"/>
        </w:rPr>
      </w:pPr>
      <w:r>
        <w:rPr>
          <w:sz w:val="24"/>
        </w:rPr>
        <w:t>Voz (participación) y Rendición de Cuentas: mide los derechos políticos, civiles y humanos, así como la libertad de expresión, de asociación y de prensa.</w:t>
      </w:r>
    </w:p>
    <w:p>
      <w:pPr>
        <w:pStyle w:val="BodyText"/>
        <w:rPr>
          <w:sz w:val="20"/>
        </w:rPr>
      </w:pP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2344;mso-wrap-distance-left:0;mso-wrap-distance-right:0" from="85.025002pt,9.081838pt" to="229.075002pt,9.081838pt" stroked="true" strokeweight=".79999pt" strokecolor="#000000">
            <w10:wrap type="topAndBottom"/>
          </v:line>
        </w:pict>
      </w:r>
    </w:p>
    <w:p>
      <w:pPr>
        <w:spacing w:before="59"/>
        <w:ind w:left="120" w:right="0" w:firstLine="0"/>
        <w:jc w:val="left"/>
        <w:rPr>
          <w:sz w:val="16"/>
        </w:rPr>
      </w:pPr>
      <w:r>
        <w:rPr>
          <w:rFonts w:ascii="Times New Roman"/>
          <w:position w:val="7"/>
          <w:sz w:val="13"/>
        </w:rPr>
        <w:t>23</w:t>
      </w:r>
      <w:r>
        <w:rPr>
          <w:sz w:val="16"/>
        </w:rPr>
        <w:t>El Banco Mundial (</w:t>
      </w:r>
      <w:r>
        <w:rPr>
          <w:i/>
          <w:sz w:val="16"/>
        </w:rPr>
        <w:t>World Bank</w:t>
      </w:r>
      <w:r>
        <w:rPr>
          <w:sz w:val="16"/>
        </w:rPr>
        <w:t>) traduce </w:t>
      </w:r>
      <w:r>
        <w:rPr>
          <w:i/>
          <w:sz w:val="16"/>
        </w:rPr>
        <w:t>governance </w:t>
      </w:r>
      <w:r>
        <w:rPr>
          <w:sz w:val="16"/>
        </w:rPr>
        <w:t>al castellano como gobernabilidad.</w:t>
      </w:r>
    </w:p>
    <w:p>
      <w:pPr>
        <w:spacing w:after="0"/>
        <w:jc w:val="left"/>
        <w:rPr>
          <w:sz w:val="16"/>
        </w:rPr>
        <w:sectPr>
          <w:footerReference w:type="default" r:id="rId36"/>
          <w:pgSz w:w="12240" w:h="15840"/>
          <w:pgMar w:footer="998" w:header="0" w:top="1360" w:bottom="1180" w:left="1580" w:right="1580"/>
        </w:sectPr>
      </w:pPr>
    </w:p>
    <w:p>
      <w:pPr>
        <w:pStyle w:val="ListParagraph"/>
        <w:numPr>
          <w:ilvl w:val="3"/>
          <w:numId w:val="19"/>
        </w:numPr>
        <w:tabs>
          <w:tab w:pos="841" w:val="left" w:leader="none"/>
        </w:tabs>
        <w:spacing w:line="360" w:lineRule="auto" w:before="55" w:after="0"/>
        <w:ind w:left="841" w:right="122" w:hanging="361"/>
        <w:jc w:val="both"/>
        <w:rPr>
          <w:sz w:val="24"/>
        </w:rPr>
      </w:pPr>
      <w:r>
        <w:rPr>
          <w:sz w:val="24"/>
        </w:rPr>
        <w:t>Estabilidad</w:t>
      </w:r>
      <w:r>
        <w:rPr>
          <w:spacing w:val="-9"/>
          <w:sz w:val="24"/>
        </w:rPr>
        <w:t> </w:t>
      </w:r>
      <w:r>
        <w:rPr>
          <w:sz w:val="24"/>
        </w:rPr>
        <w:t>Política</w:t>
      </w:r>
      <w:r>
        <w:rPr>
          <w:spacing w:val="-6"/>
          <w:sz w:val="24"/>
        </w:rPr>
        <w:t> </w:t>
      </w:r>
      <w:r>
        <w:rPr>
          <w:sz w:val="24"/>
        </w:rPr>
        <w:t>y</w:t>
      </w:r>
      <w:r>
        <w:rPr>
          <w:spacing w:val="-12"/>
          <w:sz w:val="24"/>
        </w:rPr>
        <w:t> </w:t>
      </w:r>
      <w:r>
        <w:rPr>
          <w:sz w:val="24"/>
        </w:rPr>
        <w:t>Ausencia</w:t>
      </w:r>
      <w:r>
        <w:rPr>
          <w:spacing w:val="-10"/>
          <w:sz w:val="24"/>
        </w:rPr>
        <w:t> </w:t>
      </w:r>
      <w:r>
        <w:rPr>
          <w:sz w:val="24"/>
        </w:rPr>
        <w:t>de</w:t>
      </w:r>
      <w:r>
        <w:rPr>
          <w:spacing w:val="-10"/>
          <w:sz w:val="24"/>
        </w:rPr>
        <w:t> </w:t>
      </w:r>
      <w:r>
        <w:rPr>
          <w:sz w:val="24"/>
        </w:rPr>
        <w:t>Violencia/Terrorismo:</w:t>
      </w:r>
      <w:r>
        <w:rPr>
          <w:spacing w:val="-7"/>
          <w:sz w:val="24"/>
        </w:rPr>
        <w:t> </w:t>
      </w:r>
      <w:r>
        <w:rPr>
          <w:sz w:val="24"/>
        </w:rPr>
        <w:t>mide</w:t>
      </w:r>
      <w:r>
        <w:rPr>
          <w:spacing w:val="-10"/>
          <w:sz w:val="24"/>
        </w:rPr>
        <w:t> </w:t>
      </w:r>
      <w:r>
        <w:rPr>
          <w:sz w:val="24"/>
        </w:rPr>
        <w:t>la</w:t>
      </w:r>
      <w:r>
        <w:rPr>
          <w:spacing w:val="-10"/>
          <w:sz w:val="24"/>
        </w:rPr>
        <w:t> </w:t>
      </w:r>
      <w:r>
        <w:rPr>
          <w:sz w:val="24"/>
        </w:rPr>
        <w:t>probabilidad de que el gobierno esté sujeto a amenazas violentas o cambios, incluidos actos de</w:t>
      </w:r>
      <w:r>
        <w:rPr>
          <w:spacing w:val="-12"/>
          <w:sz w:val="24"/>
        </w:rPr>
        <w:t> </w:t>
      </w:r>
      <w:r>
        <w:rPr>
          <w:sz w:val="24"/>
        </w:rPr>
        <w:t>terrorismo.</w:t>
      </w:r>
    </w:p>
    <w:p>
      <w:pPr>
        <w:pStyle w:val="ListParagraph"/>
        <w:numPr>
          <w:ilvl w:val="3"/>
          <w:numId w:val="19"/>
        </w:numPr>
        <w:tabs>
          <w:tab w:pos="841" w:val="left" w:leader="none"/>
        </w:tabs>
        <w:spacing w:line="360" w:lineRule="auto" w:before="6" w:after="0"/>
        <w:ind w:left="841" w:right="125" w:hanging="361"/>
        <w:jc w:val="both"/>
        <w:rPr>
          <w:sz w:val="24"/>
        </w:rPr>
      </w:pPr>
      <w:r>
        <w:rPr>
          <w:sz w:val="24"/>
        </w:rPr>
        <w:t>Efectividad Gubernamental: mide el grado de competencia de la burocracia y la calidad de la prestación de servicios</w:t>
      </w:r>
      <w:r>
        <w:rPr>
          <w:spacing w:val="-26"/>
          <w:sz w:val="24"/>
        </w:rPr>
        <w:t> </w:t>
      </w:r>
      <w:r>
        <w:rPr>
          <w:sz w:val="24"/>
        </w:rPr>
        <w:t>públicos.</w:t>
      </w:r>
    </w:p>
    <w:p>
      <w:pPr>
        <w:pStyle w:val="ListParagraph"/>
        <w:numPr>
          <w:ilvl w:val="3"/>
          <w:numId w:val="19"/>
        </w:numPr>
        <w:tabs>
          <w:tab w:pos="841" w:val="left" w:leader="none"/>
        </w:tabs>
        <w:spacing w:line="360" w:lineRule="auto" w:before="6" w:after="0"/>
        <w:ind w:left="841" w:right="121" w:hanging="361"/>
        <w:jc w:val="both"/>
        <w:rPr>
          <w:sz w:val="24"/>
        </w:rPr>
      </w:pPr>
      <w:r>
        <w:rPr>
          <w:sz w:val="24"/>
        </w:rPr>
        <w:t>Calidad</w:t>
      </w:r>
      <w:r>
        <w:rPr>
          <w:spacing w:val="-18"/>
          <w:sz w:val="24"/>
        </w:rPr>
        <w:t> </w:t>
      </w:r>
      <w:r>
        <w:rPr>
          <w:sz w:val="24"/>
        </w:rPr>
        <w:t>Regulatoria:</w:t>
      </w:r>
      <w:r>
        <w:rPr>
          <w:spacing w:val="-15"/>
          <w:sz w:val="24"/>
        </w:rPr>
        <w:t> </w:t>
      </w:r>
      <w:r>
        <w:rPr>
          <w:sz w:val="24"/>
        </w:rPr>
        <w:t>mide</w:t>
      </w:r>
      <w:r>
        <w:rPr>
          <w:spacing w:val="-18"/>
          <w:sz w:val="24"/>
        </w:rPr>
        <w:t> </w:t>
      </w:r>
      <w:r>
        <w:rPr>
          <w:sz w:val="24"/>
        </w:rPr>
        <w:t>la</w:t>
      </w:r>
      <w:r>
        <w:rPr>
          <w:spacing w:val="-18"/>
          <w:sz w:val="24"/>
        </w:rPr>
        <w:t> </w:t>
      </w:r>
      <w:r>
        <w:rPr>
          <w:sz w:val="24"/>
        </w:rPr>
        <w:t>capacidad</w:t>
      </w:r>
      <w:r>
        <w:rPr>
          <w:spacing w:val="-18"/>
          <w:sz w:val="24"/>
        </w:rPr>
        <w:t> </w:t>
      </w:r>
      <w:r>
        <w:rPr>
          <w:sz w:val="24"/>
        </w:rPr>
        <w:t>del</w:t>
      </w:r>
      <w:r>
        <w:rPr>
          <w:spacing w:val="-17"/>
          <w:sz w:val="24"/>
        </w:rPr>
        <w:t> </w:t>
      </w:r>
      <w:r>
        <w:rPr>
          <w:sz w:val="24"/>
        </w:rPr>
        <w:t>gobierno</w:t>
      </w:r>
      <w:r>
        <w:rPr>
          <w:spacing w:val="-18"/>
          <w:sz w:val="24"/>
        </w:rPr>
        <w:t> </w:t>
      </w:r>
      <w:r>
        <w:rPr>
          <w:sz w:val="24"/>
        </w:rPr>
        <w:t>para</w:t>
      </w:r>
      <w:r>
        <w:rPr>
          <w:spacing w:val="-18"/>
          <w:sz w:val="24"/>
        </w:rPr>
        <w:t> </w:t>
      </w:r>
      <w:r>
        <w:rPr>
          <w:sz w:val="24"/>
        </w:rPr>
        <w:t>establecer</w:t>
      </w:r>
      <w:r>
        <w:rPr>
          <w:spacing w:val="-16"/>
          <w:sz w:val="24"/>
        </w:rPr>
        <w:t> </w:t>
      </w:r>
      <w:r>
        <w:rPr>
          <w:sz w:val="24"/>
        </w:rPr>
        <w:t>políticas y reglamentaciones acertadas que permitan y promuevan el desarrollo del sector</w:t>
      </w:r>
      <w:r>
        <w:rPr>
          <w:spacing w:val="-11"/>
          <w:sz w:val="24"/>
        </w:rPr>
        <w:t> </w:t>
      </w:r>
      <w:r>
        <w:rPr>
          <w:sz w:val="24"/>
        </w:rPr>
        <w:t>privado.</w:t>
      </w:r>
    </w:p>
    <w:p>
      <w:pPr>
        <w:pStyle w:val="ListParagraph"/>
        <w:numPr>
          <w:ilvl w:val="3"/>
          <w:numId w:val="19"/>
        </w:numPr>
        <w:tabs>
          <w:tab w:pos="841" w:val="left" w:leader="none"/>
        </w:tabs>
        <w:spacing w:line="360" w:lineRule="auto" w:before="2" w:after="0"/>
        <w:ind w:left="841" w:right="122" w:hanging="361"/>
        <w:jc w:val="both"/>
        <w:rPr>
          <w:sz w:val="24"/>
        </w:rPr>
      </w:pPr>
      <w:r>
        <w:rPr>
          <w:sz w:val="24"/>
        </w:rPr>
        <w:t>Estado de Derecho: mide la calidad de la ejecución de contratos, la policía y los tribunales, incluida la independencia del poder judicial y la incidencia del delito.</w:t>
      </w:r>
    </w:p>
    <w:p>
      <w:pPr>
        <w:pStyle w:val="ListParagraph"/>
        <w:numPr>
          <w:ilvl w:val="3"/>
          <w:numId w:val="19"/>
        </w:numPr>
        <w:tabs>
          <w:tab w:pos="841" w:val="left" w:leader="none"/>
        </w:tabs>
        <w:spacing w:line="360" w:lineRule="auto" w:before="5" w:after="0"/>
        <w:ind w:left="841" w:right="122" w:hanging="361"/>
        <w:jc w:val="both"/>
        <w:rPr>
          <w:sz w:val="24"/>
        </w:rPr>
      </w:pPr>
      <w:r>
        <w:rPr>
          <w:sz w:val="24"/>
        </w:rPr>
        <w:t>Control de la Corrupción: mide el abuso del poder público en beneficio privado,</w:t>
      </w:r>
      <w:r>
        <w:rPr>
          <w:spacing w:val="-9"/>
          <w:sz w:val="24"/>
        </w:rPr>
        <w:t> </w:t>
      </w:r>
      <w:r>
        <w:rPr>
          <w:sz w:val="24"/>
        </w:rPr>
        <w:t>con</w:t>
      </w:r>
      <w:r>
        <w:rPr>
          <w:spacing w:val="-11"/>
          <w:sz w:val="24"/>
        </w:rPr>
        <w:t> </w:t>
      </w:r>
      <w:r>
        <w:rPr>
          <w:sz w:val="24"/>
        </w:rPr>
        <w:t>inclusión</w:t>
      </w:r>
      <w:r>
        <w:rPr>
          <w:spacing w:val="-11"/>
          <w:sz w:val="24"/>
        </w:rPr>
        <w:t> </w:t>
      </w:r>
      <w:r>
        <w:rPr>
          <w:sz w:val="24"/>
        </w:rPr>
        <w:t>de</w:t>
      </w:r>
      <w:r>
        <w:rPr>
          <w:spacing w:val="-11"/>
          <w:sz w:val="24"/>
        </w:rPr>
        <w:t> </w:t>
      </w:r>
      <w:r>
        <w:rPr>
          <w:sz w:val="24"/>
        </w:rPr>
        <w:t>la</w:t>
      </w:r>
      <w:r>
        <w:rPr>
          <w:spacing w:val="-11"/>
          <w:sz w:val="24"/>
        </w:rPr>
        <w:t> </w:t>
      </w:r>
      <w:r>
        <w:rPr>
          <w:sz w:val="24"/>
        </w:rPr>
        <w:t>corrupción</w:t>
      </w:r>
      <w:r>
        <w:rPr>
          <w:spacing w:val="-8"/>
          <w:sz w:val="24"/>
        </w:rPr>
        <w:t> </w:t>
      </w:r>
      <w:r>
        <w:rPr>
          <w:sz w:val="24"/>
        </w:rPr>
        <w:t>en</w:t>
      </w:r>
      <w:r>
        <w:rPr>
          <w:spacing w:val="-11"/>
          <w:sz w:val="24"/>
        </w:rPr>
        <w:t> </w:t>
      </w:r>
      <w:r>
        <w:rPr>
          <w:sz w:val="24"/>
        </w:rPr>
        <w:t>pequeña</w:t>
      </w:r>
      <w:r>
        <w:rPr>
          <w:spacing w:val="-8"/>
          <w:sz w:val="24"/>
        </w:rPr>
        <w:t> </w:t>
      </w:r>
      <w:r>
        <w:rPr>
          <w:sz w:val="24"/>
        </w:rPr>
        <w:t>y</w:t>
      </w:r>
      <w:r>
        <w:rPr>
          <w:spacing w:val="-13"/>
          <w:sz w:val="24"/>
        </w:rPr>
        <w:t> </w:t>
      </w:r>
      <w:r>
        <w:rPr>
          <w:sz w:val="24"/>
        </w:rPr>
        <w:t>gran</w:t>
      </w:r>
      <w:r>
        <w:rPr>
          <w:spacing w:val="-11"/>
          <w:sz w:val="24"/>
        </w:rPr>
        <w:t> </w:t>
      </w:r>
      <w:r>
        <w:rPr>
          <w:sz w:val="24"/>
        </w:rPr>
        <w:t>escala</w:t>
      </w:r>
      <w:r>
        <w:rPr>
          <w:spacing w:val="-11"/>
          <w:sz w:val="24"/>
        </w:rPr>
        <w:t> </w:t>
      </w:r>
      <w:r>
        <w:rPr>
          <w:sz w:val="24"/>
        </w:rPr>
        <w:t>(y</w:t>
      </w:r>
      <w:r>
        <w:rPr>
          <w:spacing w:val="-13"/>
          <w:sz w:val="24"/>
        </w:rPr>
        <w:t> </w:t>
      </w:r>
      <w:r>
        <w:rPr>
          <w:sz w:val="24"/>
        </w:rPr>
        <w:t>el</w:t>
      </w:r>
      <w:r>
        <w:rPr>
          <w:spacing w:val="-11"/>
          <w:sz w:val="24"/>
        </w:rPr>
        <w:t> </w:t>
      </w:r>
      <w:r>
        <w:rPr>
          <w:sz w:val="24"/>
        </w:rPr>
        <w:t>control del Estado por minorías</w:t>
      </w:r>
      <w:r>
        <w:rPr>
          <w:spacing w:val="-21"/>
          <w:sz w:val="24"/>
        </w:rPr>
        <w:t> </w:t>
      </w:r>
      <w:r>
        <w:rPr>
          <w:sz w:val="24"/>
        </w:rPr>
        <w:t>privilegiadas).</w:t>
      </w:r>
    </w:p>
    <w:p>
      <w:pPr>
        <w:pStyle w:val="BodyText"/>
      </w:pPr>
    </w:p>
    <w:p>
      <w:pPr>
        <w:pStyle w:val="BodyText"/>
        <w:spacing w:line="360" w:lineRule="auto" w:before="142"/>
        <w:ind w:left="120" w:right="117" w:firstLine="427"/>
        <w:jc w:val="both"/>
      </w:pPr>
      <w:r>
        <w:rPr/>
        <w:t>El Banco Mundial señala que este proyecto es uno de sus esfuerzos más significativos en el mundo en materia de gobernabilidad y corrupción,</w:t>
      </w:r>
      <w:r>
        <w:rPr>
          <w:position w:val="8"/>
          <w:sz w:val="16"/>
        </w:rPr>
        <w:t>24</w:t>
      </w:r>
      <w:r>
        <w:rPr/>
        <w:t>considera que esto tiene una enorme repercusión tanto en el ámbito académico como en el diseño e implementación de políticas públicas. El Banco Mundial mencionó que, a través de los indicadores, impulsa y agrega valor al debate sobre la gobernabilidad y el desempeño institucional al demostrar que:</w:t>
      </w:r>
    </w:p>
    <w:p>
      <w:pPr>
        <w:pStyle w:val="BodyText"/>
      </w:pPr>
    </w:p>
    <w:p>
      <w:pPr>
        <w:pStyle w:val="ListParagraph"/>
        <w:numPr>
          <w:ilvl w:val="4"/>
          <w:numId w:val="19"/>
        </w:numPr>
        <w:tabs>
          <w:tab w:pos="841" w:val="left" w:leader="none"/>
        </w:tabs>
        <w:spacing w:line="360" w:lineRule="auto" w:before="142" w:after="0"/>
        <w:ind w:left="841" w:right="123" w:hanging="361"/>
        <w:jc w:val="both"/>
        <w:rPr>
          <w:sz w:val="24"/>
        </w:rPr>
      </w:pPr>
      <w:r>
        <w:rPr>
          <w:sz w:val="24"/>
        </w:rPr>
        <w:t>La gobernabilidad puede ser medida con la precisión suficiente para identificar cambios en el tiempo y hacer recomendaciones útiles para la gestión</w:t>
      </w:r>
      <w:r>
        <w:rPr>
          <w:spacing w:val="-14"/>
          <w:sz w:val="24"/>
        </w:rPr>
        <w:t> </w:t>
      </w:r>
      <w:r>
        <w:rPr>
          <w:sz w:val="24"/>
        </w:rPr>
        <w:t>pública.</w:t>
      </w:r>
    </w:p>
    <w:p>
      <w:pPr>
        <w:pStyle w:val="ListParagraph"/>
        <w:numPr>
          <w:ilvl w:val="4"/>
          <w:numId w:val="19"/>
        </w:numPr>
        <w:tabs>
          <w:tab w:pos="841" w:val="left" w:leader="none"/>
        </w:tabs>
        <w:spacing w:line="360" w:lineRule="auto" w:before="6" w:after="0"/>
        <w:ind w:left="841" w:right="117" w:hanging="361"/>
        <w:jc w:val="both"/>
        <w:rPr>
          <w:sz w:val="24"/>
        </w:rPr>
      </w:pPr>
      <w:r>
        <w:rPr>
          <w:sz w:val="24"/>
        </w:rPr>
        <w:t>Mientras</w:t>
      </w:r>
      <w:r>
        <w:rPr>
          <w:spacing w:val="-8"/>
          <w:sz w:val="24"/>
        </w:rPr>
        <w:t> </w:t>
      </w:r>
      <w:r>
        <w:rPr>
          <w:sz w:val="24"/>
        </w:rPr>
        <w:t>los</w:t>
      </w:r>
      <w:r>
        <w:rPr>
          <w:spacing w:val="-8"/>
          <w:sz w:val="24"/>
        </w:rPr>
        <w:t> </w:t>
      </w:r>
      <w:r>
        <w:rPr>
          <w:sz w:val="24"/>
        </w:rPr>
        <w:t>países</w:t>
      </w:r>
      <w:r>
        <w:rPr>
          <w:spacing w:val="-8"/>
          <w:sz w:val="24"/>
        </w:rPr>
        <w:t> </w:t>
      </w:r>
      <w:r>
        <w:rPr>
          <w:sz w:val="24"/>
        </w:rPr>
        <w:t>avanzados</w:t>
      </w:r>
      <w:r>
        <w:rPr>
          <w:spacing w:val="-8"/>
          <w:sz w:val="24"/>
        </w:rPr>
        <w:t> </w:t>
      </w:r>
      <w:r>
        <w:rPr>
          <w:sz w:val="24"/>
        </w:rPr>
        <w:t>presentan</w:t>
      </w:r>
      <w:r>
        <w:rPr>
          <w:spacing w:val="-9"/>
          <w:sz w:val="24"/>
        </w:rPr>
        <w:t> </w:t>
      </w:r>
      <w:r>
        <w:rPr>
          <w:sz w:val="24"/>
        </w:rPr>
        <w:t>mejores</w:t>
      </w:r>
      <w:r>
        <w:rPr>
          <w:spacing w:val="-8"/>
          <w:sz w:val="24"/>
        </w:rPr>
        <w:t> </w:t>
      </w:r>
      <w:r>
        <w:rPr>
          <w:sz w:val="24"/>
        </w:rPr>
        <w:t>resultados</w:t>
      </w:r>
      <w:r>
        <w:rPr>
          <w:spacing w:val="-8"/>
          <w:sz w:val="24"/>
        </w:rPr>
        <w:t> </w:t>
      </w:r>
      <w:r>
        <w:rPr>
          <w:sz w:val="24"/>
        </w:rPr>
        <w:t>en</w:t>
      </w:r>
      <w:r>
        <w:rPr>
          <w:spacing w:val="-9"/>
          <w:sz w:val="24"/>
        </w:rPr>
        <w:t> </w:t>
      </w:r>
      <w:r>
        <w:rPr>
          <w:sz w:val="24"/>
        </w:rPr>
        <w:t>cuanto</w:t>
      </w:r>
      <w:r>
        <w:rPr>
          <w:spacing w:val="-9"/>
          <w:sz w:val="24"/>
        </w:rPr>
        <w:t> </w:t>
      </w:r>
      <w:r>
        <w:rPr>
          <w:sz w:val="24"/>
        </w:rPr>
        <w:t>a</w:t>
      </w:r>
      <w:r>
        <w:rPr>
          <w:spacing w:val="-9"/>
          <w:sz w:val="24"/>
        </w:rPr>
        <w:t> </w:t>
      </w:r>
      <w:r>
        <w:rPr>
          <w:sz w:val="24"/>
        </w:rPr>
        <w:t>su gobernabilidad,</w:t>
      </w:r>
      <w:r>
        <w:rPr>
          <w:spacing w:val="-11"/>
          <w:sz w:val="24"/>
        </w:rPr>
        <w:t> </w:t>
      </w:r>
      <w:r>
        <w:rPr>
          <w:sz w:val="24"/>
        </w:rPr>
        <w:t>los</w:t>
      </w:r>
      <w:r>
        <w:rPr>
          <w:spacing w:val="-12"/>
          <w:sz w:val="24"/>
        </w:rPr>
        <w:t> </w:t>
      </w:r>
      <w:r>
        <w:rPr>
          <w:sz w:val="24"/>
        </w:rPr>
        <w:t>países</w:t>
      </w:r>
      <w:r>
        <w:rPr>
          <w:spacing w:val="-12"/>
          <w:sz w:val="24"/>
        </w:rPr>
        <w:t> </w:t>
      </w:r>
      <w:r>
        <w:rPr>
          <w:sz w:val="24"/>
        </w:rPr>
        <w:t>emergentes</w:t>
      </w:r>
      <w:r>
        <w:rPr>
          <w:spacing w:val="-12"/>
          <w:sz w:val="24"/>
        </w:rPr>
        <w:t> </w:t>
      </w:r>
      <w:r>
        <w:rPr>
          <w:sz w:val="24"/>
        </w:rPr>
        <w:t>presentan</w:t>
      </w:r>
      <w:r>
        <w:rPr>
          <w:spacing w:val="-9"/>
          <w:sz w:val="24"/>
        </w:rPr>
        <w:t> </w:t>
      </w:r>
      <w:r>
        <w:rPr>
          <w:sz w:val="24"/>
        </w:rPr>
        <w:t>realidades</w:t>
      </w:r>
      <w:r>
        <w:rPr>
          <w:spacing w:val="-8"/>
          <w:sz w:val="24"/>
        </w:rPr>
        <w:t> </w:t>
      </w:r>
      <w:r>
        <w:rPr>
          <w:sz w:val="24"/>
        </w:rPr>
        <w:t>muy</w:t>
      </w:r>
      <w:r>
        <w:rPr>
          <w:spacing w:val="-15"/>
          <w:sz w:val="24"/>
        </w:rPr>
        <w:t> </w:t>
      </w:r>
      <w:r>
        <w:rPr>
          <w:sz w:val="24"/>
        </w:rPr>
        <w:t>dinámicas. Asimismo,</w:t>
      </w:r>
      <w:r>
        <w:rPr>
          <w:spacing w:val="-13"/>
          <w:sz w:val="24"/>
        </w:rPr>
        <w:t> </w:t>
      </w:r>
      <w:r>
        <w:rPr>
          <w:sz w:val="24"/>
        </w:rPr>
        <w:t>los</w:t>
      </w:r>
      <w:r>
        <w:rPr>
          <w:spacing w:val="-14"/>
          <w:sz w:val="24"/>
        </w:rPr>
        <w:t> </w:t>
      </w:r>
      <w:r>
        <w:rPr>
          <w:sz w:val="24"/>
        </w:rPr>
        <w:t>países</w:t>
      </w:r>
      <w:r>
        <w:rPr>
          <w:spacing w:val="-10"/>
          <w:sz w:val="24"/>
        </w:rPr>
        <w:t> </w:t>
      </w:r>
      <w:r>
        <w:rPr>
          <w:spacing w:val="-2"/>
          <w:sz w:val="24"/>
        </w:rPr>
        <w:t>más</w:t>
      </w:r>
      <w:r>
        <w:rPr>
          <w:spacing w:val="-14"/>
          <w:sz w:val="24"/>
        </w:rPr>
        <w:t> </w:t>
      </w:r>
      <w:r>
        <w:rPr>
          <w:sz w:val="24"/>
        </w:rPr>
        <w:t>avanzados</w:t>
      </w:r>
      <w:r>
        <w:rPr>
          <w:spacing w:val="-10"/>
          <w:sz w:val="24"/>
        </w:rPr>
        <w:t> </w:t>
      </w:r>
      <w:r>
        <w:rPr>
          <w:sz w:val="24"/>
        </w:rPr>
        <w:t>también</w:t>
      </w:r>
      <w:r>
        <w:rPr>
          <w:spacing w:val="-12"/>
          <w:sz w:val="24"/>
        </w:rPr>
        <w:t> </w:t>
      </w:r>
      <w:r>
        <w:rPr>
          <w:sz w:val="24"/>
        </w:rPr>
        <w:t>pueden</w:t>
      </w:r>
      <w:r>
        <w:rPr>
          <w:spacing w:val="-12"/>
          <w:sz w:val="24"/>
        </w:rPr>
        <w:t> </w:t>
      </w:r>
      <w:r>
        <w:rPr>
          <w:sz w:val="24"/>
        </w:rPr>
        <w:t>experimentar</w:t>
      </w:r>
      <w:r>
        <w:rPr>
          <w:spacing w:val="-10"/>
          <w:sz w:val="24"/>
        </w:rPr>
        <w:t> </w:t>
      </w:r>
      <w:r>
        <w:rPr>
          <w:sz w:val="24"/>
        </w:rPr>
        <w:t>mejoras</w:t>
      </w:r>
    </w:p>
    <w:p>
      <w:pPr>
        <w:pStyle w:val="BodyText"/>
        <w:rPr>
          <w:sz w:val="20"/>
        </w:rPr>
      </w:pPr>
    </w:p>
    <w:p>
      <w:pPr>
        <w:pStyle w:val="BodyText"/>
        <w:spacing w:before="8"/>
        <w:rPr>
          <w:sz w:val="21"/>
        </w:rPr>
      </w:pPr>
      <w:r>
        <w:rPr/>
        <w:pict>
          <v:line style="position:absolute;mso-position-horizontal-relative:page;mso-position-vertical-relative:paragraph;z-index:2368;mso-wrap-distance-left:0;mso-wrap-distance-right:0" from="85.025002pt,14.854894pt" to="229.075002pt,14.854894pt" stroked="true" strokeweight=".79999pt" strokecolor="#000000">
            <w10:wrap type="topAndBottom"/>
          </v:line>
        </w:pict>
      </w:r>
    </w:p>
    <w:p>
      <w:pPr>
        <w:spacing w:line="244" w:lineRule="auto" w:before="60"/>
        <w:ind w:left="120" w:right="117" w:firstLine="0"/>
        <w:jc w:val="both"/>
        <w:rPr>
          <w:sz w:val="16"/>
        </w:rPr>
      </w:pPr>
      <w:r>
        <w:rPr>
          <w:rFonts w:ascii="Times New Roman" w:hAnsi="Times New Roman"/>
          <w:position w:val="7"/>
          <w:sz w:val="13"/>
        </w:rPr>
        <w:t>24</w:t>
      </w:r>
      <w:r>
        <w:rPr>
          <w:sz w:val="16"/>
        </w:rPr>
        <w:t>En el documento </w:t>
      </w:r>
      <w:r>
        <w:rPr>
          <w:i/>
          <w:sz w:val="16"/>
        </w:rPr>
        <w:t>Features and Functions of Supreme AuditInstitution, </w:t>
      </w:r>
      <w:r>
        <w:rPr>
          <w:sz w:val="16"/>
        </w:rPr>
        <w:t>el Banco Mundial consideró que las instituciones de fiscalización superior pueden contribuir al “buen gobierno” si éstas se orientan a su función básica de combatir con eficiencia la corrupción. Disponible en: </w:t>
      </w:r>
      <w:hyperlink r:id="rId38">
        <w:r>
          <w:rPr>
            <w:color w:val="0000FF"/>
            <w:sz w:val="16"/>
            <w:u w:val="single" w:color="0000FF"/>
          </w:rPr>
          <w:t>http://www1.worldbank.org/prem/PREMNotes/premnote59.pdf </w:t>
        </w:r>
      </w:hyperlink>
      <w:r>
        <w:rPr>
          <w:sz w:val="16"/>
        </w:rPr>
        <w:t>[Fecha de consulta: 22 de mayo, 2015]</w:t>
      </w:r>
    </w:p>
    <w:p>
      <w:pPr>
        <w:spacing w:after="0" w:line="244" w:lineRule="auto"/>
        <w:jc w:val="both"/>
        <w:rPr>
          <w:sz w:val="16"/>
        </w:rPr>
        <w:sectPr>
          <w:footerReference w:type="default" r:id="rId37"/>
          <w:pgSz w:w="12240" w:h="15840"/>
          <w:pgMar w:footer="998" w:header="0" w:top="1360" w:bottom="1180" w:left="1580" w:right="1580"/>
          <w:pgNumType w:start="31"/>
        </w:sectPr>
      </w:pPr>
    </w:p>
    <w:p>
      <w:pPr>
        <w:pStyle w:val="BodyText"/>
        <w:spacing w:line="360" w:lineRule="auto" w:before="55"/>
        <w:ind w:left="821" w:right="105"/>
        <w:jc w:val="both"/>
      </w:pPr>
      <w:r>
        <w:rPr/>
        <w:t>y retrocesos en materia de gobernabilidad en función de las políticas que aplican, sobre todo frente a los nuevos y cambiantes desafíos que caracterizan a la sociedad mundial.</w:t>
      </w:r>
    </w:p>
    <w:p>
      <w:pPr>
        <w:pStyle w:val="ListParagraph"/>
        <w:numPr>
          <w:ilvl w:val="4"/>
          <w:numId w:val="19"/>
        </w:numPr>
        <w:tabs>
          <w:tab w:pos="821" w:val="left" w:leader="none"/>
        </w:tabs>
        <w:spacing w:line="360" w:lineRule="auto" w:before="6" w:after="0"/>
        <w:ind w:left="821" w:right="109" w:hanging="361"/>
        <w:jc w:val="both"/>
        <w:rPr>
          <w:sz w:val="24"/>
        </w:rPr>
      </w:pPr>
      <w:r>
        <w:rPr>
          <w:sz w:val="24"/>
        </w:rPr>
        <w:t>El progreso significativo en términos de combate de la corrupción y las mejoras en la gobernabilidad pueden ocurrir en el corto plazo (menos de un año).</w:t>
      </w:r>
    </w:p>
    <w:p>
      <w:pPr>
        <w:pStyle w:val="ListParagraph"/>
        <w:numPr>
          <w:ilvl w:val="4"/>
          <w:numId w:val="19"/>
        </w:numPr>
        <w:tabs>
          <w:tab w:pos="821" w:val="left" w:leader="none"/>
        </w:tabs>
        <w:spacing w:line="360" w:lineRule="auto" w:before="2" w:after="0"/>
        <w:ind w:left="821" w:right="103" w:hanging="361"/>
        <w:jc w:val="both"/>
        <w:rPr>
          <w:sz w:val="24"/>
        </w:rPr>
      </w:pPr>
      <w:r>
        <w:rPr>
          <w:sz w:val="24"/>
        </w:rPr>
        <w:t>Las debilidades comparativas en términos de gobernabilidad pueden coincidir con periodos de crecimiento económico, pero en el largo plazo el desarrollo equitativo y sustentable (desarrollo humano) está altamente correlacionado con las sociedades democráticas estables, con niveles altos de gobernabilidad, el respeto de las libertades y los derechos</w:t>
      </w:r>
      <w:r>
        <w:rPr>
          <w:spacing w:val="-30"/>
          <w:sz w:val="24"/>
        </w:rPr>
        <w:t> </w:t>
      </w:r>
      <w:r>
        <w:rPr>
          <w:sz w:val="24"/>
        </w:rPr>
        <w:t>humanos.</w:t>
      </w:r>
    </w:p>
    <w:p>
      <w:pPr>
        <w:pStyle w:val="BodyText"/>
      </w:pPr>
    </w:p>
    <w:p>
      <w:pPr>
        <w:pStyle w:val="BodyText"/>
        <w:spacing w:line="360" w:lineRule="auto" w:before="142"/>
        <w:ind w:left="100" w:right="105" w:firstLine="427"/>
        <w:jc w:val="both"/>
      </w:pPr>
      <w:r>
        <w:rPr/>
        <w:t>Mediante el proyecto de Indicadores Mundiales de Gobernabilidad, el Banco Mundial también intentó mostrar que en el largo plazo (más de tres años) la alta calidad institucional permite incrementar el ingreso per cápita y promover el crecimiento económico de los países avanzados y emergentes, independientemente de las tradiciones culturales, religiosas y otros factores demográficos y geográficos.</w:t>
      </w:r>
    </w:p>
    <w:p>
      <w:pPr>
        <w:pStyle w:val="BodyText"/>
        <w:spacing w:line="360" w:lineRule="auto" w:before="2"/>
        <w:ind w:left="100" w:right="103" w:firstLine="427"/>
        <w:jc w:val="both"/>
      </w:pPr>
      <w:r>
        <w:rPr/>
        <w:t>El Banco Mundial comentó que los datos cuantitativos, además de comprobar la correlación entre los indicadores, muestran también la relación causal entre un “mejor gobierno” y los indicadores, debido a que la distancia es de sólo una desviación</w:t>
      </w:r>
      <w:r>
        <w:rPr>
          <w:spacing w:val="-12"/>
        </w:rPr>
        <w:t> </w:t>
      </w:r>
      <w:r>
        <w:rPr/>
        <w:t>estándar</w:t>
      </w:r>
      <w:r>
        <w:rPr>
          <w:spacing w:val="-6"/>
        </w:rPr>
        <w:t> </w:t>
      </w:r>
      <w:r>
        <w:rPr/>
        <w:t>entre</w:t>
      </w:r>
      <w:r>
        <w:rPr>
          <w:spacing w:val="-8"/>
        </w:rPr>
        <w:t> </w:t>
      </w:r>
      <w:r>
        <w:rPr/>
        <w:t>ellos,</w:t>
      </w:r>
      <w:r>
        <w:rPr>
          <w:spacing w:val="-9"/>
        </w:rPr>
        <w:t> </w:t>
      </w:r>
      <w:r>
        <w:rPr/>
        <w:t>por</w:t>
      </w:r>
      <w:r>
        <w:rPr>
          <w:spacing w:val="-6"/>
        </w:rPr>
        <w:t> </w:t>
      </w:r>
      <w:r>
        <w:rPr/>
        <w:t>lo</w:t>
      </w:r>
      <w:r>
        <w:rPr>
          <w:spacing w:val="-8"/>
        </w:rPr>
        <w:t> </w:t>
      </w:r>
      <w:r>
        <w:rPr/>
        <w:t>que</w:t>
      </w:r>
      <w:r>
        <w:rPr>
          <w:spacing w:val="-12"/>
        </w:rPr>
        <w:t> </w:t>
      </w:r>
      <w:r>
        <w:rPr/>
        <w:t>su</w:t>
      </w:r>
      <w:r>
        <w:rPr>
          <w:spacing w:val="-12"/>
        </w:rPr>
        <w:t> </w:t>
      </w:r>
      <w:r>
        <w:rPr/>
        <w:t>relación</w:t>
      </w:r>
      <w:r>
        <w:rPr>
          <w:spacing w:val="-12"/>
        </w:rPr>
        <w:t> </w:t>
      </w:r>
      <w:r>
        <w:rPr/>
        <w:t>causal</w:t>
      </w:r>
      <w:r>
        <w:rPr>
          <w:spacing w:val="-8"/>
        </w:rPr>
        <w:t> </w:t>
      </w:r>
      <w:r>
        <w:rPr/>
        <w:t>sería</w:t>
      </w:r>
      <w:r>
        <w:rPr>
          <w:spacing w:val="-12"/>
        </w:rPr>
        <w:t> </w:t>
      </w:r>
      <w:r>
        <w:rPr/>
        <w:t>representada</w:t>
      </w:r>
      <w:r>
        <w:rPr>
          <w:spacing w:val="-8"/>
        </w:rPr>
        <w:t> </w:t>
      </w:r>
      <w:r>
        <w:rPr/>
        <w:t>de 1 a 2 en casos de indicadores relacionados con el desarrollo humano y de 1 a 0.5 en aquellos que reducen la</w:t>
      </w:r>
      <w:r>
        <w:rPr>
          <w:spacing w:val="-25"/>
        </w:rPr>
        <w:t> </w:t>
      </w:r>
      <w:r>
        <w:rPr/>
        <w:t>gobernabilidad.</w:t>
      </w:r>
    </w:p>
    <w:p>
      <w:pPr>
        <w:pStyle w:val="BodyText"/>
        <w:spacing w:line="360" w:lineRule="auto" w:before="2"/>
        <w:ind w:left="100" w:right="101" w:firstLine="427"/>
        <w:jc w:val="both"/>
      </w:pPr>
      <w:r>
        <w:rPr/>
        <w:t>El organismo mencionó que lo anterior le permite emitir recomendaciones de política económica más específicas para los países, y realizar estudios institucionales específicos para estudios más profundos (Kaufmann, 2000).</w:t>
      </w:r>
    </w:p>
    <w:p>
      <w:pPr>
        <w:spacing w:after="0" w:line="360" w:lineRule="auto"/>
        <w:jc w:val="both"/>
        <w:sectPr>
          <w:pgSz w:w="12240" w:h="15840"/>
          <w:pgMar w:header="0" w:footer="998" w:top="1360" w:bottom="1180" w:left="1600" w:right="1600"/>
        </w:sectPr>
      </w:pPr>
    </w:p>
    <w:p>
      <w:pPr>
        <w:pStyle w:val="Heading3"/>
        <w:numPr>
          <w:ilvl w:val="2"/>
          <w:numId w:val="19"/>
        </w:numPr>
        <w:tabs>
          <w:tab w:pos="720" w:val="left" w:leader="none"/>
        </w:tabs>
        <w:spacing w:line="362" w:lineRule="auto" w:before="51" w:after="0"/>
        <w:ind w:left="120" w:right="1535" w:firstLine="0"/>
        <w:jc w:val="left"/>
      </w:pPr>
      <w:bookmarkStart w:name="_bookmark16" w:id="26"/>
      <w:bookmarkEnd w:id="26"/>
      <w:r>
        <w:rPr>
          <w:b w:val="0"/>
        </w:rPr>
      </w:r>
      <w:bookmarkStart w:name="_bookmark16" w:id="27"/>
      <w:bookmarkEnd w:id="27"/>
      <w:r>
        <w:rPr/>
        <w:t>L</w:t>
      </w:r>
      <w:r>
        <w:rPr/>
        <w:t>a implementación de la gobernanza en el Fondo</w:t>
      </w:r>
      <w:r>
        <w:rPr>
          <w:spacing w:val="-25"/>
        </w:rPr>
        <w:t> </w:t>
      </w:r>
      <w:r>
        <w:rPr/>
        <w:t>Monetario Internacional</w:t>
      </w:r>
    </w:p>
    <w:p>
      <w:pPr>
        <w:pStyle w:val="BodyText"/>
        <w:spacing w:line="360" w:lineRule="auto"/>
        <w:ind w:left="120" w:right="113"/>
        <w:jc w:val="both"/>
      </w:pPr>
      <w:r>
        <w:rPr/>
        <w:t>La Oficina de Evaluación Independiente</w:t>
      </w:r>
      <w:r>
        <w:rPr>
          <w:position w:val="8"/>
          <w:sz w:val="16"/>
        </w:rPr>
        <w:t>25 </w:t>
      </w:r>
      <w:r>
        <w:rPr/>
        <w:t>del Fondo Monetario Internacional (FMI) en su Informe “Evaluación de la gobernanza del FMI”, realizó un estudio de su gobernanza desde una perspectiva gerencial, incluyendo además las consideraciones de los países estudiados, con la finalidad de recuperar la legitimidad</w:t>
      </w:r>
      <w:r>
        <w:rPr>
          <w:spacing w:val="-8"/>
        </w:rPr>
        <w:t> </w:t>
      </w:r>
      <w:r>
        <w:rPr/>
        <w:t>y</w:t>
      </w:r>
      <w:r>
        <w:rPr>
          <w:spacing w:val="-10"/>
        </w:rPr>
        <w:t> </w:t>
      </w:r>
      <w:r>
        <w:rPr/>
        <w:t>credibilidad</w:t>
      </w:r>
      <w:r>
        <w:rPr>
          <w:spacing w:val="-8"/>
        </w:rPr>
        <w:t> </w:t>
      </w:r>
      <w:r>
        <w:rPr/>
        <w:t>que</w:t>
      </w:r>
      <w:r>
        <w:rPr>
          <w:spacing w:val="-8"/>
        </w:rPr>
        <w:t> </w:t>
      </w:r>
      <w:r>
        <w:rPr/>
        <w:t>estuvo</w:t>
      </w:r>
      <w:r>
        <w:rPr>
          <w:spacing w:val="-8"/>
        </w:rPr>
        <w:t> </w:t>
      </w:r>
      <w:r>
        <w:rPr/>
        <w:t>perdiendo</w:t>
      </w:r>
      <w:r>
        <w:rPr>
          <w:spacing w:val="-8"/>
        </w:rPr>
        <w:t> </w:t>
      </w:r>
      <w:r>
        <w:rPr/>
        <w:t>en</w:t>
      </w:r>
      <w:r>
        <w:rPr>
          <w:spacing w:val="-8"/>
        </w:rPr>
        <w:t> </w:t>
      </w:r>
      <w:r>
        <w:rPr/>
        <w:t>las</w:t>
      </w:r>
      <w:r>
        <w:rPr>
          <w:spacing w:val="-7"/>
        </w:rPr>
        <w:t> </w:t>
      </w:r>
      <w:r>
        <w:rPr/>
        <w:t>décadas</w:t>
      </w:r>
      <w:r>
        <w:rPr>
          <w:spacing w:val="-7"/>
        </w:rPr>
        <w:t> </w:t>
      </w:r>
      <w:r>
        <w:rPr/>
        <w:t>de</w:t>
      </w:r>
      <w:r>
        <w:rPr>
          <w:spacing w:val="-8"/>
        </w:rPr>
        <w:t> </w:t>
      </w:r>
      <w:r>
        <w:rPr/>
        <w:t>los</w:t>
      </w:r>
      <w:r>
        <w:rPr>
          <w:spacing w:val="-3"/>
        </w:rPr>
        <w:t> </w:t>
      </w:r>
      <w:r>
        <w:rPr/>
        <w:t>años</w:t>
      </w:r>
      <w:r>
        <w:rPr>
          <w:spacing w:val="-7"/>
        </w:rPr>
        <w:t> </w:t>
      </w:r>
      <w:r>
        <w:rPr/>
        <w:t>ochenta y</w:t>
      </w:r>
      <w:r>
        <w:rPr>
          <w:spacing w:val="-12"/>
        </w:rPr>
        <w:t> </w:t>
      </w:r>
      <w:r>
        <w:rPr/>
        <w:t>noventa.</w:t>
      </w:r>
    </w:p>
    <w:p>
      <w:pPr>
        <w:pStyle w:val="BodyText"/>
        <w:spacing w:line="360" w:lineRule="auto" w:before="2"/>
        <w:ind w:left="120" w:right="115" w:firstLine="427"/>
        <w:jc w:val="both"/>
      </w:pPr>
      <w:r>
        <w:rPr/>
        <w:t>El</w:t>
      </w:r>
      <w:r>
        <w:rPr>
          <w:spacing w:val="-17"/>
        </w:rPr>
        <w:t> </w:t>
      </w:r>
      <w:r>
        <w:rPr/>
        <w:t>FMI</w:t>
      </w:r>
      <w:r>
        <w:rPr>
          <w:spacing w:val="-17"/>
        </w:rPr>
        <w:t> </w:t>
      </w:r>
      <w:r>
        <w:rPr/>
        <w:t>consideró</w:t>
      </w:r>
      <w:r>
        <w:rPr>
          <w:spacing w:val="-17"/>
        </w:rPr>
        <w:t> </w:t>
      </w:r>
      <w:r>
        <w:rPr/>
        <w:t>a</w:t>
      </w:r>
      <w:r>
        <w:rPr>
          <w:spacing w:val="-17"/>
        </w:rPr>
        <w:t> </w:t>
      </w:r>
      <w:r>
        <w:rPr/>
        <w:t>la</w:t>
      </w:r>
      <w:r>
        <w:rPr>
          <w:spacing w:val="-17"/>
        </w:rPr>
        <w:t> </w:t>
      </w:r>
      <w:r>
        <w:rPr/>
        <w:t>gobernabilidad</w:t>
      </w:r>
      <w:r>
        <w:rPr>
          <w:spacing w:val="-17"/>
        </w:rPr>
        <w:t> </w:t>
      </w:r>
      <w:r>
        <w:rPr/>
        <w:t>(o</w:t>
      </w:r>
      <w:r>
        <w:rPr>
          <w:spacing w:val="-17"/>
        </w:rPr>
        <w:t> </w:t>
      </w:r>
      <w:r>
        <w:rPr/>
        <w:t>gobierno</w:t>
      </w:r>
      <w:r>
        <w:rPr>
          <w:spacing w:val="-17"/>
        </w:rPr>
        <w:t> </w:t>
      </w:r>
      <w:r>
        <w:rPr/>
        <w:t>corporativo)</w:t>
      </w:r>
      <w:r>
        <w:rPr>
          <w:spacing w:val="-10"/>
        </w:rPr>
        <w:t> </w:t>
      </w:r>
      <w:r>
        <w:rPr/>
        <w:t>como</w:t>
      </w:r>
      <w:r>
        <w:rPr>
          <w:spacing w:val="-17"/>
        </w:rPr>
        <w:t> </w:t>
      </w:r>
      <w:r>
        <w:rPr/>
        <w:t>la</w:t>
      </w:r>
      <w:r>
        <w:rPr>
          <w:spacing w:val="-17"/>
        </w:rPr>
        <w:t> </w:t>
      </w:r>
      <w:r>
        <w:rPr/>
        <w:t>estructura institucional y las relaciones formales e informales que rigen las actividades y los procesos de decisión. El FMI mencionó que una buena gobernanza interna es esencial para la legitimidad del FMI como organismo promotor de la estabilidad financiera</w:t>
      </w:r>
      <w:r>
        <w:rPr>
          <w:spacing w:val="-14"/>
        </w:rPr>
        <w:t> </w:t>
      </w:r>
      <w:r>
        <w:rPr/>
        <w:t>mundial.</w:t>
      </w:r>
    </w:p>
    <w:p>
      <w:pPr>
        <w:pStyle w:val="BodyText"/>
        <w:spacing w:line="360" w:lineRule="auto" w:before="5"/>
        <w:ind w:left="120" w:right="118" w:firstLine="427"/>
        <w:jc w:val="both"/>
      </w:pPr>
      <w:r>
        <w:rPr/>
        <w:t>El informe “El gobierno corporativo del FMI: Una evaluación”, del FMI evaluó el grado de eficacia y eficiencia del gobierno corporativo del Fondo y planteó la interrogante si la rendición de cuentas es suficiente, y si las partes interesadas tienen a su disposición canales para que sus opiniones reciban atención. Para</w:t>
      </w:r>
      <w:r>
        <w:rPr>
          <w:spacing w:val="-44"/>
        </w:rPr>
        <w:t> </w:t>
      </w:r>
      <w:r>
        <w:rPr/>
        <w:t>ello, el FMI se orientó a realizar un cambio institucional y a mejorar la calidad </w:t>
      </w:r>
      <w:r>
        <w:rPr>
          <w:spacing w:val="4"/>
        </w:rPr>
        <w:t>de </w:t>
      </w:r>
      <w:r>
        <w:rPr/>
        <w:t>la gobernanza (eficiencia, eficacia, rendición de cuentas y</w:t>
      </w:r>
      <w:r>
        <w:rPr>
          <w:spacing w:val="-40"/>
        </w:rPr>
        <w:t> </w:t>
      </w:r>
      <w:r>
        <w:rPr/>
        <w:t>participación).</w:t>
      </w:r>
    </w:p>
    <w:p>
      <w:pPr>
        <w:pStyle w:val="BodyText"/>
        <w:spacing w:line="360" w:lineRule="auto" w:before="6"/>
        <w:ind w:left="120" w:right="121" w:firstLine="427"/>
        <w:jc w:val="both"/>
      </w:pPr>
      <w:r>
        <w:rPr/>
        <w:t>El</w:t>
      </w:r>
      <w:r>
        <w:rPr>
          <w:spacing w:val="-16"/>
        </w:rPr>
        <w:t> </w:t>
      </w:r>
      <w:r>
        <w:rPr/>
        <w:t>Fondo</w:t>
      </w:r>
      <w:r>
        <w:rPr>
          <w:spacing w:val="-16"/>
        </w:rPr>
        <w:t> </w:t>
      </w:r>
      <w:r>
        <w:rPr/>
        <w:t>identificó</w:t>
      </w:r>
      <w:r>
        <w:rPr>
          <w:spacing w:val="-16"/>
        </w:rPr>
        <w:t> </w:t>
      </w:r>
      <w:r>
        <w:rPr/>
        <w:t>la</w:t>
      </w:r>
      <w:r>
        <w:rPr>
          <w:spacing w:val="-16"/>
        </w:rPr>
        <w:t> </w:t>
      </w:r>
      <w:r>
        <w:rPr/>
        <w:t>calidad</w:t>
      </w:r>
      <w:r>
        <w:rPr>
          <w:spacing w:val="-16"/>
        </w:rPr>
        <w:t> </w:t>
      </w:r>
      <w:r>
        <w:rPr/>
        <w:t>de</w:t>
      </w:r>
      <w:r>
        <w:rPr>
          <w:spacing w:val="-16"/>
        </w:rPr>
        <w:t> </w:t>
      </w:r>
      <w:r>
        <w:rPr/>
        <w:t>la</w:t>
      </w:r>
      <w:r>
        <w:rPr>
          <w:spacing w:val="-16"/>
        </w:rPr>
        <w:t> </w:t>
      </w:r>
      <w:r>
        <w:rPr/>
        <w:t>gobernanza</w:t>
      </w:r>
      <w:r>
        <w:rPr>
          <w:spacing w:val="-16"/>
        </w:rPr>
        <w:t> </w:t>
      </w:r>
      <w:r>
        <w:rPr/>
        <w:t>como</w:t>
      </w:r>
      <w:r>
        <w:rPr>
          <w:spacing w:val="-16"/>
        </w:rPr>
        <w:t> </w:t>
      </w:r>
      <w:r>
        <w:rPr/>
        <w:t>el</w:t>
      </w:r>
      <w:r>
        <w:rPr>
          <w:spacing w:val="-15"/>
        </w:rPr>
        <w:t> </w:t>
      </w:r>
      <w:r>
        <w:rPr/>
        <w:t>elemento</w:t>
      </w:r>
      <w:r>
        <w:rPr>
          <w:spacing w:val="-16"/>
        </w:rPr>
        <w:t> </w:t>
      </w:r>
      <w:r>
        <w:rPr/>
        <w:t>que</w:t>
      </w:r>
      <w:r>
        <w:rPr>
          <w:spacing w:val="-16"/>
        </w:rPr>
        <w:t> </w:t>
      </w:r>
      <w:r>
        <w:rPr/>
        <w:t>constituye el</w:t>
      </w:r>
      <w:r>
        <w:rPr>
          <w:spacing w:val="-7"/>
        </w:rPr>
        <w:t> </w:t>
      </w:r>
      <w:r>
        <w:rPr/>
        <w:t>marco</w:t>
      </w:r>
      <w:r>
        <w:rPr>
          <w:spacing w:val="-8"/>
        </w:rPr>
        <w:t> </w:t>
      </w:r>
      <w:r>
        <w:rPr/>
        <w:t>conceptual</w:t>
      </w:r>
      <w:r>
        <w:rPr>
          <w:spacing w:val="-7"/>
        </w:rPr>
        <w:t> </w:t>
      </w:r>
      <w:r>
        <w:rPr/>
        <w:t>de</w:t>
      </w:r>
      <w:r>
        <w:rPr>
          <w:spacing w:val="-8"/>
        </w:rPr>
        <w:t> </w:t>
      </w:r>
      <w:r>
        <w:rPr/>
        <w:t>la</w:t>
      </w:r>
      <w:r>
        <w:rPr>
          <w:spacing w:val="-8"/>
        </w:rPr>
        <w:t> </w:t>
      </w:r>
      <w:r>
        <w:rPr/>
        <w:t>revisión</w:t>
      </w:r>
      <w:r>
        <w:rPr>
          <w:spacing w:val="-8"/>
        </w:rPr>
        <w:t> </w:t>
      </w:r>
      <w:r>
        <w:rPr/>
        <w:t>del</w:t>
      </w:r>
      <w:r>
        <w:rPr>
          <w:spacing w:val="-7"/>
        </w:rPr>
        <w:t> </w:t>
      </w:r>
      <w:r>
        <w:rPr/>
        <w:t>sistema</w:t>
      </w:r>
      <w:r>
        <w:rPr>
          <w:spacing w:val="-8"/>
        </w:rPr>
        <w:t> </w:t>
      </w:r>
      <w:r>
        <w:rPr/>
        <w:t>de</w:t>
      </w:r>
      <w:r>
        <w:rPr>
          <w:spacing w:val="-8"/>
        </w:rPr>
        <w:t> </w:t>
      </w:r>
      <w:r>
        <w:rPr/>
        <w:t>gobierno</w:t>
      </w:r>
      <w:r>
        <w:rPr>
          <w:spacing w:val="-8"/>
        </w:rPr>
        <w:t> </w:t>
      </w:r>
      <w:r>
        <w:rPr/>
        <w:t>corporativo</w:t>
      </w:r>
      <w:r>
        <w:rPr>
          <w:spacing w:val="-8"/>
        </w:rPr>
        <w:t> </w:t>
      </w:r>
      <w:r>
        <w:rPr/>
        <w:t>del</w:t>
      </w:r>
      <w:r>
        <w:rPr>
          <w:spacing w:val="-7"/>
        </w:rPr>
        <w:t> </w:t>
      </w:r>
      <w:r>
        <w:rPr/>
        <w:t>FMI,</w:t>
      </w:r>
      <w:r>
        <w:rPr>
          <w:spacing w:val="-5"/>
        </w:rPr>
        <w:t> </w:t>
      </w:r>
      <w:r>
        <w:rPr/>
        <w:t>que consiste en trabajar con eficacia y eficiencia, promover la rendición de cuentas y brindarles oportunidad de participación a los países afiliados en la toma de decisiones.</w:t>
      </w:r>
    </w:p>
    <w:p>
      <w:pPr>
        <w:pStyle w:val="BodyText"/>
        <w:spacing w:line="360" w:lineRule="auto" w:before="2"/>
        <w:ind w:left="120" w:right="123" w:firstLine="427"/>
        <w:jc w:val="both"/>
      </w:pPr>
      <w:r>
        <w:rPr/>
        <w:t>El FMI consideró apremiante mantener las fortalezas y atender las debilidades y consideró que la eficacia ha sido el aspecto más fuerte de la gobernanza del Fondo, mientras que la rendición de cuentas y la participación son las más débiles, y diagnosticó que, si no se los corrige, probablemente erosionen la eficacia del organismo en el mediano plazo.</w:t>
      </w:r>
    </w:p>
    <w:p>
      <w:pPr>
        <w:pStyle w:val="BodyText"/>
        <w:rPr>
          <w:sz w:val="20"/>
        </w:rPr>
      </w:pPr>
    </w:p>
    <w:p>
      <w:pPr>
        <w:pStyle w:val="BodyText"/>
        <w:rPr>
          <w:sz w:val="20"/>
        </w:rPr>
      </w:pPr>
    </w:p>
    <w:p>
      <w:pPr>
        <w:pStyle w:val="BodyText"/>
        <w:spacing w:before="11"/>
        <w:rPr>
          <w:sz w:val="13"/>
        </w:rPr>
      </w:pPr>
      <w:r>
        <w:rPr/>
        <w:pict>
          <v:line style="position:absolute;mso-position-horizontal-relative:page;mso-position-vertical-relative:paragraph;z-index:2392;mso-wrap-distance-left:0;mso-wrap-distance-right:0" from="85.025002pt,10.380864pt" to="229.075002pt,10.380864pt" stroked="true" strokeweight=".79999pt" strokecolor="#000000">
            <w10:wrap type="topAndBottom"/>
          </v:line>
        </w:pict>
      </w:r>
    </w:p>
    <w:p>
      <w:pPr>
        <w:spacing w:before="59"/>
        <w:ind w:left="120" w:right="0" w:firstLine="0"/>
        <w:jc w:val="left"/>
        <w:rPr>
          <w:sz w:val="16"/>
        </w:rPr>
      </w:pPr>
      <w:r>
        <w:rPr>
          <w:rFonts w:ascii="Times New Roman"/>
          <w:position w:val="7"/>
          <w:sz w:val="13"/>
        </w:rPr>
        <w:t>25</w:t>
      </w:r>
      <w:r>
        <w:rPr>
          <w:i/>
          <w:sz w:val="16"/>
        </w:rPr>
        <w:t>Independent Evaluation Office of the International Monetary Fund (IMF)</w:t>
      </w:r>
      <w:r>
        <w:rPr>
          <w:sz w:val="16"/>
        </w:rPr>
        <w:t>.</w:t>
      </w:r>
    </w:p>
    <w:p>
      <w:pPr>
        <w:spacing w:after="0"/>
        <w:jc w:val="left"/>
        <w:rPr>
          <w:sz w:val="16"/>
        </w:rPr>
        <w:sectPr>
          <w:pgSz w:w="12240" w:h="15840"/>
          <w:pgMar w:header="0" w:footer="998" w:top="1360" w:bottom="1180" w:left="1580" w:right="1580"/>
        </w:sectPr>
      </w:pPr>
    </w:p>
    <w:p>
      <w:pPr>
        <w:pStyle w:val="BodyText"/>
        <w:spacing w:line="360" w:lineRule="auto" w:before="55"/>
        <w:ind w:left="120" w:right="118" w:firstLine="427"/>
        <w:jc w:val="both"/>
      </w:pPr>
      <w:r>
        <w:rPr/>
        <w:t>El informe de evaluación sugirió varias formas de atender las áreas con </w:t>
      </w:r>
      <w:r>
        <w:rPr>
          <w:spacing w:val="-2"/>
        </w:rPr>
        <w:t>más </w:t>
      </w:r>
      <w:r>
        <w:rPr/>
        <w:t>necesidades de reforma, lo que consideró que permitirá desempeñar un papel </w:t>
      </w:r>
      <w:r>
        <w:rPr>
          <w:spacing w:val="-2"/>
        </w:rPr>
        <w:t>más </w:t>
      </w:r>
      <w:r>
        <w:rPr/>
        <w:t>eficaz</w:t>
      </w:r>
      <w:r>
        <w:rPr>
          <w:spacing w:val="-12"/>
        </w:rPr>
        <w:t> </w:t>
      </w:r>
      <w:r>
        <w:rPr/>
        <w:t>del</w:t>
      </w:r>
      <w:r>
        <w:rPr>
          <w:spacing w:val="-9"/>
        </w:rPr>
        <w:t> </w:t>
      </w:r>
      <w:r>
        <w:rPr/>
        <w:t>Fondo</w:t>
      </w:r>
      <w:r>
        <w:rPr>
          <w:spacing w:val="-10"/>
        </w:rPr>
        <w:t> </w:t>
      </w:r>
      <w:r>
        <w:rPr/>
        <w:t>en</w:t>
      </w:r>
      <w:r>
        <w:rPr>
          <w:spacing w:val="-10"/>
        </w:rPr>
        <w:t> </w:t>
      </w:r>
      <w:r>
        <w:rPr/>
        <w:t>la</w:t>
      </w:r>
      <w:r>
        <w:rPr>
          <w:spacing w:val="-10"/>
        </w:rPr>
        <w:t> </w:t>
      </w:r>
      <w:r>
        <w:rPr/>
        <w:t>formulación</w:t>
      </w:r>
      <w:r>
        <w:rPr>
          <w:spacing w:val="-10"/>
        </w:rPr>
        <w:t> </w:t>
      </w:r>
      <w:r>
        <w:rPr/>
        <w:t>de</w:t>
      </w:r>
      <w:r>
        <w:rPr>
          <w:spacing w:val="-10"/>
        </w:rPr>
        <w:t> </w:t>
      </w:r>
      <w:r>
        <w:rPr/>
        <w:t>estrategias</w:t>
      </w:r>
      <w:r>
        <w:rPr>
          <w:spacing w:val="-4"/>
        </w:rPr>
        <w:t> </w:t>
      </w:r>
      <w:r>
        <w:rPr/>
        <w:t>y</w:t>
      </w:r>
      <w:r>
        <w:rPr>
          <w:spacing w:val="-12"/>
        </w:rPr>
        <w:t> </w:t>
      </w:r>
      <w:r>
        <w:rPr/>
        <w:t>políticas</w:t>
      </w:r>
      <w:r>
        <w:rPr>
          <w:spacing w:val="-8"/>
        </w:rPr>
        <w:t> </w:t>
      </w:r>
      <w:r>
        <w:rPr/>
        <w:t>de</w:t>
      </w:r>
      <w:r>
        <w:rPr>
          <w:spacing w:val="-10"/>
        </w:rPr>
        <w:t> </w:t>
      </w:r>
      <w:r>
        <w:rPr/>
        <w:t>seguimiento,</w:t>
      </w:r>
      <w:r>
        <w:rPr>
          <w:spacing w:val="-7"/>
        </w:rPr>
        <w:t> </w:t>
      </w:r>
      <w:r>
        <w:rPr/>
        <w:t>aplicar medidas</w:t>
      </w:r>
      <w:r>
        <w:rPr>
          <w:spacing w:val="-6"/>
        </w:rPr>
        <w:t> </w:t>
      </w:r>
      <w:r>
        <w:rPr/>
        <w:t>correctivas,</w:t>
      </w:r>
      <w:r>
        <w:rPr>
          <w:spacing w:val="-6"/>
        </w:rPr>
        <w:t> </w:t>
      </w:r>
      <w:r>
        <w:rPr/>
        <w:t>y</w:t>
      </w:r>
      <w:r>
        <w:rPr>
          <w:spacing w:val="-8"/>
        </w:rPr>
        <w:t> </w:t>
      </w:r>
      <w:r>
        <w:rPr/>
        <w:t>el</w:t>
      </w:r>
      <w:r>
        <w:rPr>
          <w:spacing w:val="-8"/>
        </w:rPr>
        <w:t> </w:t>
      </w:r>
      <w:r>
        <w:rPr/>
        <w:t>ejercer</w:t>
      </w:r>
      <w:r>
        <w:rPr>
          <w:spacing w:val="-3"/>
        </w:rPr>
        <w:t> </w:t>
      </w:r>
      <w:r>
        <w:rPr/>
        <w:t>una</w:t>
      </w:r>
      <w:r>
        <w:rPr>
          <w:spacing w:val="-9"/>
        </w:rPr>
        <w:t> </w:t>
      </w:r>
      <w:r>
        <w:rPr/>
        <w:t>supervisión</w:t>
      </w:r>
      <w:r>
        <w:rPr>
          <w:spacing w:val="-5"/>
        </w:rPr>
        <w:t> </w:t>
      </w:r>
      <w:r>
        <w:rPr/>
        <w:t>efectiva</w:t>
      </w:r>
      <w:r>
        <w:rPr>
          <w:spacing w:val="-9"/>
        </w:rPr>
        <w:t> </w:t>
      </w:r>
      <w:r>
        <w:rPr/>
        <w:t>de</w:t>
      </w:r>
      <w:r>
        <w:rPr>
          <w:spacing w:val="-9"/>
        </w:rPr>
        <w:t> </w:t>
      </w:r>
      <w:r>
        <w:rPr/>
        <w:t>gestión.</w:t>
      </w:r>
      <w:r>
        <w:rPr>
          <w:spacing w:val="-1"/>
        </w:rPr>
        <w:t> </w:t>
      </w:r>
      <w:r>
        <w:rPr/>
        <w:t>La</w:t>
      </w:r>
      <w:r>
        <w:rPr>
          <w:spacing w:val="-9"/>
        </w:rPr>
        <w:t> </w:t>
      </w:r>
      <w:r>
        <w:rPr/>
        <w:t>evaluación presentó conclusiones y recomendaciones generales, de las cuales destacan: el evitar duplicidad de funciones; una mayor participación del Consejo de Ministros; y delegar funciones operativas y concentrarse en las</w:t>
      </w:r>
      <w:r>
        <w:rPr>
          <w:spacing w:val="-33"/>
        </w:rPr>
        <w:t> </w:t>
      </w:r>
      <w:r>
        <w:rPr/>
        <w:t>sustantivas.</w:t>
      </w:r>
    </w:p>
    <w:p>
      <w:pPr>
        <w:pStyle w:val="BodyText"/>
      </w:pPr>
    </w:p>
    <w:p>
      <w:pPr>
        <w:pStyle w:val="BodyText"/>
        <w:spacing w:before="4"/>
        <w:rPr>
          <w:sz w:val="29"/>
        </w:rPr>
      </w:pPr>
    </w:p>
    <w:p>
      <w:pPr>
        <w:pStyle w:val="Heading3"/>
        <w:numPr>
          <w:ilvl w:val="2"/>
          <w:numId w:val="19"/>
        </w:numPr>
        <w:tabs>
          <w:tab w:pos="720" w:val="left" w:leader="none"/>
        </w:tabs>
        <w:spacing w:line="362" w:lineRule="auto" w:before="0" w:after="0"/>
        <w:ind w:left="120" w:right="1645" w:firstLine="0"/>
        <w:jc w:val="left"/>
      </w:pPr>
      <w:bookmarkStart w:name="_bookmark17" w:id="28"/>
      <w:bookmarkEnd w:id="28"/>
      <w:r>
        <w:rPr>
          <w:b w:val="0"/>
        </w:rPr>
      </w:r>
      <w:bookmarkStart w:name="_bookmark17" w:id="29"/>
      <w:bookmarkEnd w:id="29"/>
      <w:r>
        <w:rPr/>
        <w:t>L</w:t>
      </w:r>
      <w:r>
        <w:rPr/>
        <w:t>os principios de la gobernanza de la Organización para la Cooperación y Desarrollo</w:t>
      </w:r>
      <w:r>
        <w:rPr>
          <w:spacing w:val="-19"/>
        </w:rPr>
        <w:t> </w:t>
      </w:r>
      <w:r>
        <w:rPr/>
        <w:t>Económicos</w:t>
      </w:r>
    </w:p>
    <w:p>
      <w:pPr>
        <w:pStyle w:val="BodyText"/>
        <w:rPr>
          <w:b/>
        </w:rPr>
      </w:pPr>
    </w:p>
    <w:p>
      <w:pPr>
        <w:pStyle w:val="BodyText"/>
        <w:spacing w:line="360" w:lineRule="auto" w:before="139"/>
        <w:ind w:left="120" w:right="117"/>
        <w:jc w:val="both"/>
      </w:pPr>
      <w:r>
        <w:rPr/>
        <w:t>La</w:t>
      </w:r>
      <w:r>
        <w:rPr>
          <w:spacing w:val="-10"/>
        </w:rPr>
        <w:t> </w:t>
      </w:r>
      <w:r>
        <w:rPr/>
        <w:t>OCDE</w:t>
      </w:r>
      <w:r>
        <w:rPr>
          <w:spacing w:val="-8"/>
        </w:rPr>
        <w:t> </w:t>
      </w:r>
      <w:r>
        <w:rPr/>
        <w:t>publicó</w:t>
      </w:r>
      <w:r>
        <w:rPr>
          <w:spacing w:val="-9"/>
        </w:rPr>
        <w:t> </w:t>
      </w:r>
      <w:r>
        <w:rPr>
          <w:i/>
        </w:rPr>
        <w:t>The</w:t>
      </w:r>
      <w:r>
        <w:rPr>
          <w:i/>
          <w:spacing w:val="-10"/>
        </w:rPr>
        <w:t> </w:t>
      </w:r>
      <w:r>
        <w:rPr>
          <w:i/>
        </w:rPr>
        <w:t>OECD</w:t>
      </w:r>
      <w:r>
        <w:rPr>
          <w:i/>
          <w:spacing w:val="-9"/>
        </w:rPr>
        <w:t> </w:t>
      </w:r>
      <w:r>
        <w:rPr>
          <w:i/>
        </w:rPr>
        <w:t>Principies</w:t>
      </w:r>
      <w:r>
        <w:rPr>
          <w:i/>
          <w:spacing w:val="-8"/>
        </w:rPr>
        <w:t> </w:t>
      </w:r>
      <w:r>
        <w:rPr>
          <w:i/>
        </w:rPr>
        <w:t>of</w:t>
      </w:r>
      <w:r>
        <w:rPr>
          <w:i/>
          <w:spacing w:val="-7"/>
        </w:rPr>
        <w:t> </w:t>
      </w:r>
      <w:r>
        <w:rPr>
          <w:i/>
        </w:rPr>
        <w:t>CorporateGovernance</w:t>
      </w:r>
      <w:r>
        <w:rPr>
          <w:i/>
          <w:spacing w:val="-6"/>
        </w:rPr>
        <w:t> </w:t>
      </w:r>
      <w:r>
        <w:rPr/>
        <w:t>(Los</w:t>
      </w:r>
      <w:r>
        <w:rPr>
          <w:spacing w:val="-8"/>
        </w:rPr>
        <w:t> </w:t>
      </w:r>
      <w:r>
        <w:rPr/>
        <w:t>Principios</w:t>
      </w:r>
      <w:r>
        <w:rPr>
          <w:spacing w:val="-8"/>
        </w:rPr>
        <w:t> </w:t>
      </w:r>
      <w:r>
        <w:rPr/>
        <w:t>de la Gobernanza Corporativa de la OCDE)</w:t>
      </w:r>
      <w:r>
        <w:rPr>
          <w:position w:val="8"/>
          <w:sz w:val="16"/>
        </w:rPr>
        <w:t>26 </w:t>
      </w:r>
      <w:r>
        <w:rPr/>
        <w:t>con la finalidad de servir de guía a los Estados de los países (miembros y no-miembros de la OCDE) en la evaluación y perfeccionamiento de sus marcos legales, reglamentarios e institucionales, en el ámbito de la gobernanza, además de incluir temas financieros que conjuntamente, se orientan hacia lograr el “buen</w:t>
      </w:r>
      <w:r>
        <w:rPr>
          <w:spacing w:val="-24"/>
        </w:rPr>
        <w:t> </w:t>
      </w:r>
      <w:r>
        <w:rPr/>
        <w:t>gobierno”.</w:t>
      </w:r>
    </w:p>
    <w:p>
      <w:pPr>
        <w:pStyle w:val="BodyText"/>
        <w:spacing w:line="360" w:lineRule="auto" w:before="6"/>
        <w:ind w:left="120" w:right="121" w:firstLine="427"/>
        <w:jc w:val="both"/>
      </w:pPr>
      <w:r>
        <w:rPr/>
        <w:t>Los</w:t>
      </w:r>
      <w:r>
        <w:rPr>
          <w:spacing w:val="-19"/>
        </w:rPr>
        <w:t> </w:t>
      </w:r>
      <w:r>
        <w:rPr/>
        <w:t>principios,</w:t>
      </w:r>
      <w:r>
        <w:rPr>
          <w:spacing w:val="-18"/>
        </w:rPr>
        <w:t> </w:t>
      </w:r>
      <w:r>
        <w:rPr/>
        <w:t>de</w:t>
      </w:r>
      <w:r>
        <w:rPr>
          <w:spacing w:val="-17"/>
        </w:rPr>
        <w:t> </w:t>
      </w:r>
      <w:r>
        <w:rPr/>
        <w:t>acuerdo</w:t>
      </w:r>
      <w:r>
        <w:rPr>
          <w:spacing w:val="-21"/>
        </w:rPr>
        <w:t> </w:t>
      </w:r>
      <w:r>
        <w:rPr/>
        <w:t>con</w:t>
      </w:r>
      <w:r>
        <w:rPr>
          <w:spacing w:val="-21"/>
        </w:rPr>
        <w:t> </w:t>
      </w:r>
      <w:r>
        <w:rPr/>
        <w:t>la</w:t>
      </w:r>
      <w:r>
        <w:rPr>
          <w:spacing w:val="-21"/>
        </w:rPr>
        <w:t> </w:t>
      </w:r>
      <w:r>
        <w:rPr/>
        <w:t>OCDE,</w:t>
      </w:r>
      <w:r>
        <w:rPr>
          <w:spacing w:val="-16"/>
        </w:rPr>
        <w:t> </w:t>
      </w:r>
      <w:r>
        <w:rPr/>
        <w:t>pretenden</w:t>
      </w:r>
      <w:r>
        <w:rPr>
          <w:spacing w:val="-21"/>
        </w:rPr>
        <w:t> </w:t>
      </w:r>
      <w:r>
        <w:rPr/>
        <w:t>ser</w:t>
      </w:r>
      <w:r>
        <w:rPr>
          <w:spacing w:val="-19"/>
        </w:rPr>
        <w:t> </w:t>
      </w:r>
      <w:r>
        <w:rPr/>
        <w:t>concisos,</w:t>
      </w:r>
      <w:r>
        <w:rPr>
          <w:spacing w:val="-18"/>
        </w:rPr>
        <w:t> </w:t>
      </w:r>
      <w:r>
        <w:rPr/>
        <w:t>comprensibles y accesibles a la comunidad internacional; aseguró que </w:t>
      </w:r>
      <w:r>
        <w:rPr>
          <w:spacing w:val="2"/>
        </w:rPr>
        <w:t>su </w:t>
      </w:r>
      <w:r>
        <w:rPr/>
        <w:t>finalidad es considerar que la gobernanza constituye un elemento clave para aumentar la eficacia económica y potenciar el crecimiento, así como para fomentar la confianza de los inversionistas. La gobernanza corporativa proporciona una estructura para el establecimiento de objetivos y determina los medios que pueden utilizarse para alcanzarlos y para supervisar su</w:t>
      </w:r>
      <w:r>
        <w:rPr>
          <w:spacing w:val="-26"/>
        </w:rPr>
        <w:t> </w:t>
      </w:r>
      <w:r>
        <w:rPr/>
        <w:t>cumplimiento.</w:t>
      </w:r>
    </w:p>
    <w:p>
      <w:pPr>
        <w:pStyle w:val="BodyText"/>
        <w:spacing w:line="360" w:lineRule="auto" w:before="2"/>
        <w:ind w:left="120" w:right="115" w:firstLine="427"/>
        <w:jc w:val="both"/>
      </w:pPr>
      <w:r>
        <w:rPr/>
        <w:t>La</w:t>
      </w:r>
      <w:r>
        <w:rPr>
          <w:spacing w:val="-18"/>
        </w:rPr>
        <w:t> </w:t>
      </w:r>
      <w:r>
        <w:rPr/>
        <w:t>OCDE</w:t>
      </w:r>
      <w:r>
        <w:rPr>
          <w:spacing w:val="-15"/>
        </w:rPr>
        <w:t> </w:t>
      </w:r>
      <w:r>
        <w:rPr/>
        <w:t>mencionó</w:t>
      </w:r>
      <w:r>
        <w:rPr>
          <w:spacing w:val="-17"/>
        </w:rPr>
        <w:t> </w:t>
      </w:r>
      <w:r>
        <w:rPr/>
        <w:t>que</w:t>
      </w:r>
      <w:r>
        <w:rPr>
          <w:spacing w:val="-18"/>
        </w:rPr>
        <w:t> </w:t>
      </w:r>
      <w:r>
        <w:rPr/>
        <w:t>un</w:t>
      </w:r>
      <w:r>
        <w:rPr>
          <w:spacing w:val="-18"/>
        </w:rPr>
        <w:t> </w:t>
      </w:r>
      <w:r>
        <w:rPr/>
        <w:t>buen</w:t>
      </w:r>
      <w:r>
        <w:rPr>
          <w:spacing w:val="-18"/>
        </w:rPr>
        <w:t> </w:t>
      </w:r>
      <w:r>
        <w:rPr/>
        <w:t>gobierno</w:t>
      </w:r>
      <w:r>
        <w:rPr>
          <w:spacing w:val="-18"/>
        </w:rPr>
        <w:t> </w:t>
      </w:r>
      <w:r>
        <w:rPr/>
        <w:t>corporativo</w:t>
      </w:r>
      <w:r>
        <w:rPr>
          <w:spacing w:val="-18"/>
        </w:rPr>
        <w:t> </w:t>
      </w:r>
      <w:r>
        <w:rPr/>
        <w:t>deberá</w:t>
      </w:r>
      <w:r>
        <w:rPr>
          <w:spacing w:val="-18"/>
        </w:rPr>
        <w:t> </w:t>
      </w:r>
      <w:r>
        <w:rPr/>
        <w:t>ofrecer</w:t>
      </w:r>
      <w:r>
        <w:rPr>
          <w:spacing w:val="-16"/>
        </w:rPr>
        <w:t> </w:t>
      </w:r>
      <w:r>
        <w:rPr/>
        <w:t>incentivos apropiados</w:t>
      </w:r>
      <w:r>
        <w:rPr>
          <w:spacing w:val="-10"/>
        </w:rPr>
        <w:t> </w:t>
      </w:r>
      <w:r>
        <w:rPr/>
        <w:t>al</w:t>
      </w:r>
      <w:r>
        <w:rPr>
          <w:spacing w:val="-10"/>
        </w:rPr>
        <w:t> </w:t>
      </w:r>
      <w:r>
        <w:rPr/>
        <w:t>cuerpo</w:t>
      </w:r>
      <w:r>
        <w:rPr>
          <w:spacing w:val="-11"/>
        </w:rPr>
        <w:t> </w:t>
      </w:r>
      <w:r>
        <w:rPr/>
        <w:t>directivo</w:t>
      </w:r>
      <w:r>
        <w:rPr>
          <w:spacing w:val="-11"/>
        </w:rPr>
        <w:t> </w:t>
      </w:r>
      <w:r>
        <w:rPr/>
        <w:t>para</w:t>
      </w:r>
      <w:r>
        <w:rPr>
          <w:spacing w:val="-11"/>
        </w:rPr>
        <w:t> </w:t>
      </w:r>
      <w:r>
        <w:rPr/>
        <w:t>el</w:t>
      </w:r>
      <w:r>
        <w:rPr>
          <w:spacing w:val="-7"/>
        </w:rPr>
        <w:t> </w:t>
      </w:r>
      <w:r>
        <w:rPr/>
        <w:t>logro</w:t>
      </w:r>
      <w:r>
        <w:rPr>
          <w:spacing w:val="-11"/>
        </w:rPr>
        <w:t> </w:t>
      </w:r>
      <w:r>
        <w:rPr/>
        <w:t>de</w:t>
      </w:r>
      <w:r>
        <w:rPr>
          <w:spacing w:val="-11"/>
        </w:rPr>
        <w:t> </w:t>
      </w:r>
      <w:r>
        <w:rPr/>
        <w:t>los</w:t>
      </w:r>
      <w:r>
        <w:rPr>
          <w:spacing w:val="-10"/>
        </w:rPr>
        <w:t> </w:t>
      </w:r>
      <w:r>
        <w:rPr/>
        <w:t>objetivos</w:t>
      </w:r>
      <w:r>
        <w:rPr>
          <w:spacing w:val="-10"/>
        </w:rPr>
        <w:t> </w:t>
      </w:r>
      <w:r>
        <w:rPr/>
        <w:t>de</w:t>
      </w:r>
      <w:r>
        <w:rPr>
          <w:spacing w:val="-11"/>
        </w:rPr>
        <w:t> </w:t>
      </w:r>
      <w:r>
        <w:rPr/>
        <w:t>la</w:t>
      </w:r>
      <w:r>
        <w:rPr>
          <w:spacing w:val="-11"/>
        </w:rPr>
        <w:t> </w:t>
      </w:r>
      <w:r>
        <w:rPr/>
        <w:t>sociedad,</w:t>
      </w:r>
      <w:r>
        <w:rPr>
          <w:spacing w:val="-9"/>
        </w:rPr>
        <w:t> </w:t>
      </w:r>
      <w:r>
        <w:rPr/>
        <w:t>además de</w:t>
      </w:r>
      <w:r>
        <w:rPr>
          <w:spacing w:val="-12"/>
        </w:rPr>
        <w:t> </w:t>
      </w:r>
      <w:r>
        <w:rPr/>
        <w:t>que</w:t>
      </w:r>
      <w:r>
        <w:rPr>
          <w:spacing w:val="-12"/>
        </w:rPr>
        <w:t> </w:t>
      </w:r>
      <w:r>
        <w:rPr/>
        <w:t>facilita</w:t>
      </w:r>
      <w:r>
        <w:rPr>
          <w:spacing w:val="-12"/>
        </w:rPr>
        <w:t> </w:t>
      </w:r>
      <w:r>
        <w:rPr/>
        <w:t>la</w:t>
      </w:r>
      <w:r>
        <w:rPr>
          <w:spacing w:val="-12"/>
        </w:rPr>
        <w:t> </w:t>
      </w:r>
      <w:r>
        <w:rPr/>
        <w:t>supervisión</w:t>
      </w:r>
      <w:r>
        <w:rPr>
          <w:spacing w:val="-8"/>
        </w:rPr>
        <w:t> </w:t>
      </w:r>
      <w:r>
        <w:rPr/>
        <w:t>y</w:t>
      </w:r>
      <w:r>
        <w:rPr>
          <w:spacing w:val="-14"/>
        </w:rPr>
        <w:t> </w:t>
      </w:r>
      <w:r>
        <w:rPr/>
        <w:t>contribuye</w:t>
      </w:r>
      <w:r>
        <w:rPr>
          <w:spacing w:val="-8"/>
        </w:rPr>
        <w:t> </w:t>
      </w:r>
      <w:r>
        <w:rPr/>
        <w:t>a</w:t>
      </w:r>
      <w:r>
        <w:rPr>
          <w:spacing w:val="-12"/>
        </w:rPr>
        <w:t> </w:t>
      </w:r>
      <w:r>
        <w:rPr/>
        <w:t>generar</w:t>
      </w:r>
      <w:r>
        <w:rPr>
          <w:spacing w:val="-10"/>
        </w:rPr>
        <w:t> </w:t>
      </w:r>
      <w:r>
        <w:rPr/>
        <w:t>confianza</w:t>
      </w:r>
      <w:r>
        <w:rPr>
          <w:spacing w:val="-8"/>
        </w:rPr>
        <w:t> </w:t>
      </w:r>
      <w:r>
        <w:rPr/>
        <w:t>en</w:t>
      </w:r>
      <w:r>
        <w:rPr>
          <w:spacing w:val="-12"/>
        </w:rPr>
        <w:t> </w:t>
      </w:r>
      <w:r>
        <w:rPr/>
        <w:t>el</w:t>
      </w:r>
      <w:r>
        <w:rPr>
          <w:spacing w:val="-7"/>
        </w:rPr>
        <w:t> </w:t>
      </w:r>
      <w:r>
        <w:rPr/>
        <w:t>mercado.</w:t>
      </w:r>
      <w:r>
        <w:rPr>
          <w:spacing w:val="-5"/>
        </w:rPr>
        <w:t> </w:t>
      </w:r>
      <w:r>
        <w:rPr/>
        <w:t>Como resultado, el costo de capital se reduce y se incentiva a las empresas a utilizar sus recursos de forma más</w:t>
      </w:r>
      <w:r>
        <w:rPr>
          <w:spacing w:val="-18"/>
        </w:rPr>
        <w:t> </w:t>
      </w:r>
      <w:r>
        <w:rPr/>
        <w:t>eficiente.</w:t>
      </w:r>
    </w:p>
    <w:p>
      <w:pPr>
        <w:spacing w:after="0" w:line="360" w:lineRule="auto"/>
        <w:jc w:val="both"/>
        <w:sectPr>
          <w:footerReference w:type="default" r:id="rId39"/>
          <w:pgSz w:w="12240" w:h="15840"/>
          <w:pgMar w:footer="1560" w:header="0" w:top="1360" w:bottom="1760" w:left="1580" w:right="1580"/>
          <w:pgNumType w:start="34"/>
        </w:sectPr>
      </w:pPr>
    </w:p>
    <w:p>
      <w:pPr>
        <w:pStyle w:val="BodyText"/>
        <w:spacing w:before="9"/>
        <w:rPr>
          <w:sz w:val="22"/>
        </w:rPr>
      </w:pPr>
    </w:p>
    <w:p>
      <w:pPr>
        <w:pStyle w:val="BodyText"/>
        <w:spacing w:line="360" w:lineRule="auto" w:before="69"/>
        <w:ind w:left="140" w:right="639" w:firstLine="427"/>
        <w:jc w:val="both"/>
      </w:pPr>
      <w:r>
        <w:rPr/>
        <w:t>La organización advirtió que la gobernanza corporativa sólo es una parte del amplio contexto en el que las empresas pueden desarrollarse. El marco para la gobernanza corporativa depende del entorno legal, reglamentario e institucional de cada país, además de otros elementos como la ética empresarial en el medio ambiente y aspectos sociales. Los principios son los siguientes:</w:t>
      </w:r>
    </w:p>
    <w:p>
      <w:pPr>
        <w:pStyle w:val="BodyText"/>
      </w:pPr>
    </w:p>
    <w:p>
      <w:pPr>
        <w:spacing w:before="143"/>
        <w:ind w:left="1688" w:right="522" w:firstLine="0"/>
        <w:jc w:val="left"/>
        <w:rPr>
          <w:sz w:val="20"/>
        </w:rPr>
      </w:pPr>
      <w:bookmarkStart w:name="_bookmark18" w:id="30"/>
      <w:bookmarkEnd w:id="30"/>
      <w:r>
        <w:rPr/>
      </w:r>
      <w:r>
        <w:rPr>
          <w:sz w:val="20"/>
        </w:rPr>
        <w:t>Cuadro 1.5. Principios de la gobernanza corporativa de la OCDE</w:t>
      </w:r>
    </w:p>
    <w:p>
      <w:pPr>
        <w:pStyle w:val="BodyText"/>
        <w:spacing w:before="10"/>
        <w:rPr>
          <w:sz w:val="17"/>
        </w:rPr>
      </w:pPr>
    </w:p>
    <w:tbl>
      <w:tblPr>
        <w:tblW w:w="0" w:type="auto"/>
        <w:jc w:val="left"/>
        <w:tblInd w:w="10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21"/>
        <w:gridCol w:w="6242"/>
      </w:tblGrid>
      <w:tr>
        <w:trPr>
          <w:trHeight w:val="228" w:hRule="exact"/>
        </w:trPr>
        <w:tc>
          <w:tcPr>
            <w:tcW w:w="3121" w:type="dxa"/>
            <w:tcBorders>
              <w:top w:val="single" w:sz="11" w:space="0" w:color="808080"/>
              <w:left w:val="single" w:sz="11" w:space="0" w:color="808080"/>
              <w:bottom w:val="single" w:sz="11" w:space="0" w:color="808080"/>
              <w:right w:val="single" w:sz="11" w:space="0" w:color="808080"/>
            </w:tcBorders>
          </w:tcPr>
          <w:p>
            <w:pPr>
              <w:pStyle w:val="TableParagraph"/>
              <w:spacing w:line="168" w:lineRule="exact"/>
              <w:ind w:left="1211" w:right="1199"/>
              <w:jc w:val="center"/>
              <w:rPr>
                <w:b/>
                <w:sz w:val="15"/>
              </w:rPr>
            </w:pPr>
            <w:r>
              <w:rPr>
                <w:b/>
                <w:sz w:val="15"/>
              </w:rPr>
              <w:t>Principio</w:t>
            </w:r>
          </w:p>
        </w:tc>
        <w:tc>
          <w:tcPr>
            <w:tcW w:w="6242" w:type="dxa"/>
            <w:tcBorders>
              <w:top w:val="single" w:sz="11" w:space="0" w:color="808080"/>
              <w:left w:val="single" w:sz="11" w:space="0" w:color="808080"/>
              <w:bottom w:val="single" w:sz="11" w:space="0" w:color="808080"/>
              <w:right w:val="single" w:sz="11" w:space="0" w:color="808080"/>
            </w:tcBorders>
          </w:tcPr>
          <w:p>
            <w:pPr>
              <w:pStyle w:val="TableParagraph"/>
              <w:spacing w:line="168" w:lineRule="exact"/>
              <w:ind w:left="2484" w:right="2481"/>
              <w:jc w:val="center"/>
              <w:rPr>
                <w:b/>
                <w:sz w:val="15"/>
              </w:rPr>
            </w:pPr>
            <w:r>
              <w:rPr>
                <w:b/>
                <w:sz w:val="15"/>
              </w:rPr>
              <w:t>Consideraciones</w:t>
            </w:r>
          </w:p>
        </w:tc>
      </w:tr>
      <w:tr>
        <w:trPr>
          <w:trHeight w:val="548" w:hRule="exact"/>
        </w:trPr>
        <w:tc>
          <w:tcPr>
            <w:tcW w:w="3121" w:type="dxa"/>
            <w:tcBorders>
              <w:top w:val="single" w:sz="11" w:space="0" w:color="808080"/>
              <w:bottom w:val="single" w:sz="11" w:space="0" w:color="808080"/>
            </w:tcBorders>
          </w:tcPr>
          <w:p>
            <w:pPr>
              <w:pStyle w:val="TableParagraph"/>
              <w:spacing w:before="83"/>
              <w:ind w:left="424" w:right="284" w:hanging="285"/>
              <w:rPr>
                <w:sz w:val="15"/>
              </w:rPr>
            </w:pPr>
            <w:r>
              <w:rPr>
                <w:sz w:val="15"/>
              </w:rPr>
              <w:t>I. Garantizar la base de un marco efectivo de gobernanza corporativa.</w:t>
            </w:r>
          </w:p>
        </w:tc>
        <w:tc>
          <w:tcPr>
            <w:tcW w:w="6242" w:type="dxa"/>
            <w:tcBorders>
              <w:top w:val="single" w:sz="11" w:space="0" w:color="808080"/>
              <w:bottom w:val="single" w:sz="11" w:space="0" w:color="808080"/>
            </w:tcBorders>
          </w:tcPr>
          <w:p>
            <w:pPr>
              <w:pStyle w:val="TableParagraph"/>
              <w:ind w:left="107" w:right="103"/>
              <w:jc w:val="both"/>
              <w:rPr>
                <w:sz w:val="15"/>
              </w:rPr>
            </w:pPr>
            <w:r>
              <w:rPr>
                <w:sz w:val="15"/>
              </w:rPr>
              <w:t>El marco debe promover la transparencia y eficacia de los mercados, ser coherente con </w:t>
            </w:r>
            <w:r>
              <w:rPr>
                <w:spacing w:val="-3"/>
                <w:sz w:val="15"/>
              </w:rPr>
              <w:t>el </w:t>
            </w:r>
            <w:r>
              <w:rPr>
                <w:sz w:val="15"/>
              </w:rPr>
              <w:t>Estado</w:t>
            </w:r>
            <w:r>
              <w:rPr>
                <w:spacing w:val="-13"/>
                <w:sz w:val="15"/>
              </w:rPr>
              <w:t> </w:t>
            </w:r>
            <w:r>
              <w:rPr>
                <w:sz w:val="15"/>
              </w:rPr>
              <w:t>de</w:t>
            </w:r>
            <w:r>
              <w:rPr>
                <w:spacing w:val="-13"/>
                <w:sz w:val="15"/>
              </w:rPr>
              <w:t> </w:t>
            </w:r>
            <w:r>
              <w:rPr>
                <w:sz w:val="15"/>
              </w:rPr>
              <w:t>derecho</w:t>
            </w:r>
            <w:r>
              <w:rPr>
                <w:spacing w:val="-9"/>
                <w:sz w:val="15"/>
              </w:rPr>
              <w:t> </w:t>
            </w:r>
            <w:r>
              <w:rPr>
                <w:sz w:val="15"/>
              </w:rPr>
              <w:t>y</w:t>
            </w:r>
            <w:r>
              <w:rPr>
                <w:spacing w:val="-12"/>
                <w:sz w:val="15"/>
              </w:rPr>
              <w:t> </w:t>
            </w:r>
            <w:r>
              <w:rPr>
                <w:sz w:val="15"/>
              </w:rPr>
              <w:t>dividir</w:t>
            </w:r>
            <w:r>
              <w:rPr>
                <w:spacing w:val="-11"/>
                <w:sz w:val="15"/>
              </w:rPr>
              <w:t> </w:t>
            </w:r>
            <w:r>
              <w:rPr>
                <w:sz w:val="15"/>
              </w:rPr>
              <w:t>claramente</w:t>
            </w:r>
            <w:r>
              <w:rPr>
                <w:spacing w:val="-13"/>
                <w:sz w:val="15"/>
              </w:rPr>
              <w:t> </w:t>
            </w:r>
            <w:r>
              <w:rPr>
                <w:sz w:val="15"/>
              </w:rPr>
              <w:t>las</w:t>
            </w:r>
            <w:r>
              <w:rPr>
                <w:spacing w:val="-12"/>
                <w:sz w:val="15"/>
              </w:rPr>
              <w:t> </w:t>
            </w:r>
            <w:r>
              <w:rPr>
                <w:sz w:val="15"/>
              </w:rPr>
              <w:t>responsabilidades</w:t>
            </w:r>
            <w:r>
              <w:rPr>
                <w:spacing w:val="-12"/>
                <w:sz w:val="15"/>
              </w:rPr>
              <w:t> </w:t>
            </w:r>
            <w:r>
              <w:rPr>
                <w:sz w:val="15"/>
              </w:rPr>
              <w:t>entre</w:t>
            </w:r>
            <w:r>
              <w:rPr>
                <w:spacing w:val="-13"/>
                <w:sz w:val="15"/>
              </w:rPr>
              <w:t> </w:t>
            </w:r>
            <w:r>
              <w:rPr>
                <w:sz w:val="15"/>
              </w:rPr>
              <w:t>las</w:t>
            </w:r>
            <w:r>
              <w:rPr>
                <w:spacing w:val="-10"/>
                <w:sz w:val="15"/>
              </w:rPr>
              <w:t> </w:t>
            </w:r>
            <w:r>
              <w:rPr>
                <w:sz w:val="15"/>
              </w:rPr>
              <w:t>distintas</w:t>
            </w:r>
            <w:r>
              <w:rPr>
                <w:spacing w:val="-12"/>
                <w:sz w:val="15"/>
              </w:rPr>
              <w:t> </w:t>
            </w:r>
            <w:r>
              <w:rPr>
                <w:sz w:val="15"/>
              </w:rPr>
              <w:t>autoridades de supervisión, regulación y</w:t>
            </w:r>
            <w:r>
              <w:rPr>
                <w:spacing w:val="-12"/>
                <w:sz w:val="15"/>
              </w:rPr>
              <w:t> </w:t>
            </w:r>
            <w:r>
              <w:rPr>
                <w:sz w:val="15"/>
              </w:rPr>
              <w:t>ejecución.</w:t>
            </w:r>
          </w:p>
        </w:tc>
      </w:tr>
      <w:tr>
        <w:trPr>
          <w:trHeight w:val="440" w:hRule="exact"/>
        </w:trPr>
        <w:tc>
          <w:tcPr>
            <w:tcW w:w="3121" w:type="dxa"/>
            <w:tcBorders>
              <w:top w:val="single" w:sz="11" w:space="0" w:color="808080"/>
              <w:bottom w:val="single" w:sz="11" w:space="0" w:color="808080"/>
            </w:tcBorders>
          </w:tcPr>
          <w:p>
            <w:pPr>
              <w:pStyle w:val="TableParagraph"/>
              <w:tabs>
                <w:tab w:pos="467" w:val="left" w:leader="none"/>
              </w:tabs>
              <w:spacing w:before="27"/>
              <w:ind w:left="424" w:right="168" w:hanging="285"/>
              <w:rPr>
                <w:sz w:val="15"/>
              </w:rPr>
            </w:pPr>
            <w:r>
              <w:rPr>
                <w:sz w:val="15"/>
              </w:rPr>
              <w:t>II.</w:t>
              <w:tab/>
              <w:tab/>
              <w:t>Los derechos de los accionistas</w:t>
            </w:r>
            <w:r>
              <w:rPr>
                <w:spacing w:val="-10"/>
                <w:sz w:val="15"/>
              </w:rPr>
              <w:t> </w:t>
            </w:r>
            <w:r>
              <w:rPr>
                <w:sz w:val="15"/>
              </w:rPr>
              <w:t>y</w:t>
            </w:r>
            <w:r>
              <w:rPr>
                <w:spacing w:val="-2"/>
                <w:sz w:val="15"/>
              </w:rPr>
              <w:t> </w:t>
            </w:r>
            <w:r>
              <w:rPr>
                <w:sz w:val="15"/>
              </w:rPr>
              <w:t>las</w:t>
            </w:r>
            <w:r>
              <w:rPr>
                <w:w w:val="101"/>
                <w:sz w:val="15"/>
              </w:rPr>
              <w:t> </w:t>
            </w:r>
            <w:r>
              <w:rPr>
                <w:sz w:val="15"/>
              </w:rPr>
              <w:t>funciones sustantivas de la</w:t>
            </w:r>
            <w:r>
              <w:rPr>
                <w:spacing w:val="-12"/>
                <w:sz w:val="15"/>
              </w:rPr>
              <w:t> </w:t>
            </w:r>
            <w:r>
              <w:rPr>
                <w:sz w:val="15"/>
              </w:rPr>
              <w:t>propiedad</w:t>
            </w:r>
          </w:p>
        </w:tc>
        <w:tc>
          <w:tcPr>
            <w:tcW w:w="6242" w:type="dxa"/>
            <w:tcBorders>
              <w:top w:val="single" w:sz="11" w:space="0" w:color="808080"/>
              <w:bottom w:val="single" w:sz="11" w:space="0" w:color="808080"/>
            </w:tcBorders>
          </w:tcPr>
          <w:p>
            <w:pPr>
              <w:pStyle w:val="TableParagraph"/>
              <w:ind w:left="107"/>
              <w:rPr>
                <w:sz w:val="15"/>
              </w:rPr>
            </w:pPr>
            <w:r>
              <w:rPr>
                <w:sz w:val="15"/>
              </w:rPr>
              <w:t>El marco para la gobernanza corporativa deberá proteger y facilitar la aplicación de los derechos de los accionistas.</w:t>
            </w:r>
          </w:p>
        </w:tc>
      </w:tr>
      <w:tr>
        <w:trPr>
          <w:trHeight w:val="720" w:hRule="exact"/>
        </w:trPr>
        <w:tc>
          <w:tcPr>
            <w:tcW w:w="3121" w:type="dxa"/>
            <w:tcBorders>
              <w:top w:val="single" w:sz="11" w:space="0" w:color="808080"/>
              <w:bottom w:val="single" w:sz="11" w:space="0" w:color="808080"/>
            </w:tcBorders>
          </w:tcPr>
          <w:p>
            <w:pPr>
              <w:pStyle w:val="TableParagraph"/>
              <w:rPr>
                <w:sz w:val="14"/>
              </w:rPr>
            </w:pPr>
          </w:p>
          <w:p>
            <w:pPr>
              <w:pStyle w:val="TableParagraph"/>
              <w:spacing w:before="94"/>
              <w:ind w:left="140" w:right="284"/>
              <w:rPr>
                <w:sz w:val="15"/>
              </w:rPr>
            </w:pPr>
            <w:r>
              <w:rPr>
                <w:sz w:val="15"/>
              </w:rPr>
              <w:t>III.   El trato equitativo a los accionistas.</w:t>
            </w:r>
          </w:p>
        </w:tc>
        <w:tc>
          <w:tcPr>
            <w:tcW w:w="6242" w:type="dxa"/>
            <w:tcBorders>
              <w:top w:val="single" w:sz="11" w:space="0" w:color="808080"/>
              <w:bottom w:val="single" w:sz="11" w:space="0" w:color="808080"/>
            </w:tcBorders>
          </w:tcPr>
          <w:p>
            <w:pPr>
              <w:pStyle w:val="TableParagraph"/>
              <w:ind w:left="107"/>
              <w:rPr>
                <w:sz w:val="15"/>
              </w:rPr>
            </w:pPr>
            <w:r>
              <w:rPr>
                <w:sz w:val="15"/>
              </w:rPr>
              <w:t>El marco deberá garantizar la equidad para los accionistas, incluyendo a los minoristas y a los extranjeros.</w:t>
            </w:r>
          </w:p>
          <w:p>
            <w:pPr>
              <w:pStyle w:val="TableParagraph"/>
              <w:spacing w:before="3"/>
              <w:ind w:left="107"/>
              <w:rPr>
                <w:sz w:val="15"/>
              </w:rPr>
            </w:pPr>
            <w:r>
              <w:rPr>
                <w:sz w:val="15"/>
              </w:rPr>
              <w:t>En</w:t>
            </w:r>
            <w:r>
              <w:rPr>
                <w:spacing w:val="-7"/>
                <w:sz w:val="15"/>
              </w:rPr>
              <w:t> </w:t>
            </w:r>
            <w:r>
              <w:rPr>
                <w:spacing w:val="-3"/>
                <w:sz w:val="15"/>
              </w:rPr>
              <w:t>el</w:t>
            </w:r>
            <w:r>
              <w:rPr>
                <w:spacing w:val="-8"/>
                <w:sz w:val="15"/>
              </w:rPr>
              <w:t> </w:t>
            </w:r>
            <w:r>
              <w:rPr>
                <w:sz w:val="15"/>
              </w:rPr>
              <w:t>caso</w:t>
            </w:r>
            <w:r>
              <w:rPr>
                <w:spacing w:val="-11"/>
                <w:sz w:val="15"/>
              </w:rPr>
              <w:t> </w:t>
            </w:r>
            <w:r>
              <w:rPr>
                <w:sz w:val="15"/>
              </w:rPr>
              <w:t>de</w:t>
            </w:r>
            <w:r>
              <w:rPr>
                <w:spacing w:val="-11"/>
                <w:sz w:val="15"/>
              </w:rPr>
              <w:t> </w:t>
            </w:r>
            <w:r>
              <w:rPr>
                <w:sz w:val="15"/>
              </w:rPr>
              <w:t>violación</w:t>
            </w:r>
            <w:r>
              <w:rPr>
                <w:spacing w:val="-11"/>
                <w:sz w:val="15"/>
              </w:rPr>
              <w:t> </w:t>
            </w:r>
            <w:r>
              <w:rPr>
                <w:sz w:val="15"/>
              </w:rPr>
              <w:t>de</w:t>
            </w:r>
            <w:r>
              <w:rPr>
                <w:spacing w:val="-11"/>
                <w:sz w:val="15"/>
              </w:rPr>
              <w:t> </w:t>
            </w:r>
            <w:r>
              <w:rPr>
                <w:sz w:val="15"/>
              </w:rPr>
              <w:t>los</w:t>
            </w:r>
            <w:r>
              <w:rPr>
                <w:spacing w:val="-10"/>
                <w:sz w:val="15"/>
              </w:rPr>
              <w:t> </w:t>
            </w:r>
            <w:r>
              <w:rPr>
                <w:sz w:val="15"/>
              </w:rPr>
              <w:t>derechos</w:t>
            </w:r>
            <w:r>
              <w:rPr>
                <w:spacing w:val="-10"/>
                <w:sz w:val="15"/>
              </w:rPr>
              <w:t> </w:t>
            </w:r>
            <w:r>
              <w:rPr>
                <w:sz w:val="15"/>
              </w:rPr>
              <w:t>de</w:t>
            </w:r>
            <w:r>
              <w:rPr>
                <w:spacing w:val="-11"/>
                <w:sz w:val="15"/>
              </w:rPr>
              <w:t> </w:t>
            </w:r>
            <w:r>
              <w:rPr>
                <w:sz w:val="15"/>
              </w:rPr>
              <w:t>los</w:t>
            </w:r>
            <w:r>
              <w:rPr>
                <w:spacing w:val="-10"/>
                <w:sz w:val="15"/>
              </w:rPr>
              <w:t> </w:t>
            </w:r>
            <w:r>
              <w:rPr>
                <w:sz w:val="15"/>
              </w:rPr>
              <w:t>accionistas,</w:t>
            </w:r>
            <w:r>
              <w:rPr>
                <w:spacing w:val="-8"/>
                <w:sz w:val="15"/>
              </w:rPr>
              <w:t> </w:t>
            </w:r>
            <w:r>
              <w:rPr>
                <w:sz w:val="15"/>
              </w:rPr>
              <w:t>todos</w:t>
            </w:r>
            <w:r>
              <w:rPr>
                <w:spacing w:val="-6"/>
                <w:sz w:val="15"/>
              </w:rPr>
              <w:t> </w:t>
            </w:r>
            <w:r>
              <w:rPr>
                <w:spacing w:val="-3"/>
                <w:sz w:val="15"/>
              </w:rPr>
              <w:t>deben</w:t>
            </w:r>
            <w:r>
              <w:rPr>
                <w:spacing w:val="-7"/>
                <w:sz w:val="15"/>
              </w:rPr>
              <w:t> </w:t>
            </w:r>
            <w:r>
              <w:rPr>
                <w:sz w:val="15"/>
              </w:rPr>
              <w:t>tener</w:t>
            </w:r>
            <w:r>
              <w:rPr>
                <w:spacing w:val="-5"/>
                <w:sz w:val="15"/>
              </w:rPr>
              <w:t> </w:t>
            </w:r>
            <w:r>
              <w:rPr>
                <w:sz w:val="15"/>
              </w:rPr>
              <w:t>la</w:t>
            </w:r>
            <w:r>
              <w:rPr>
                <w:spacing w:val="-11"/>
                <w:sz w:val="15"/>
              </w:rPr>
              <w:t> </w:t>
            </w:r>
            <w:r>
              <w:rPr>
                <w:sz w:val="15"/>
              </w:rPr>
              <w:t>oportunidad de realizar un recurso de</w:t>
            </w:r>
            <w:r>
              <w:rPr>
                <w:spacing w:val="-14"/>
                <w:sz w:val="15"/>
              </w:rPr>
              <w:t> </w:t>
            </w:r>
            <w:r>
              <w:rPr>
                <w:sz w:val="15"/>
              </w:rPr>
              <w:t>reconsideración.</w:t>
            </w:r>
          </w:p>
        </w:tc>
      </w:tr>
      <w:tr>
        <w:trPr>
          <w:trHeight w:val="721" w:hRule="exact"/>
        </w:trPr>
        <w:tc>
          <w:tcPr>
            <w:tcW w:w="3121" w:type="dxa"/>
            <w:tcBorders>
              <w:top w:val="single" w:sz="11" w:space="0" w:color="808080"/>
              <w:bottom w:val="single" w:sz="11" w:space="0" w:color="808080"/>
            </w:tcBorders>
          </w:tcPr>
          <w:p>
            <w:pPr>
              <w:pStyle w:val="TableParagraph"/>
              <w:rPr>
                <w:sz w:val="14"/>
              </w:rPr>
            </w:pPr>
          </w:p>
          <w:p>
            <w:pPr>
              <w:pStyle w:val="TableParagraph"/>
              <w:spacing w:before="94"/>
              <w:ind w:left="140" w:right="284"/>
              <w:rPr>
                <w:sz w:val="15"/>
              </w:rPr>
            </w:pPr>
            <w:r>
              <w:rPr>
                <w:sz w:val="15"/>
              </w:rPr>
              <w:t>IV.   El papel de las partes interesadas.</w:t>
            </w:r>
          </w:p>
        </w:tc>
        <w:tc>
          <w:tcPr>
            <w:tcW w:w="6242" w:type="dxa"/>
            <w:tcBorders>
              <w:top w:val="single" w:sz="11" w:space="0" w:color="808080"/>
              <w:bottom w:val="single" w:sz="11" w:space="0" w:color="808080"/>
            </w:tcBorders>
          </w:tcPr>
          <w:p>
            <w:pPr>
              <w:pStyle w:val="TableParagraph"/>
              <w:spacing w:line="242" w:lineRule="auto"/>
              <w:ind w:left="107" w:right="103"/>
              <w:jc w:val="both"/>
              <w:rPr>
                <w:sz w:val="15"/>
              </w:rPr>
            </w:pPr>
            <w:r>
              <w:rPr>
                <w:sz w:val="15"/>
              </w:rPr>
              <w:t>El marco de la gobernanza corporativa deberá reconocer los derechos de las partes interesadas establecidos por ley o por acuerdo, y fomentar la cooperación activa entre ambas partes, orientados hacia la generación de ingresos, el empleo, y en mantener equilibradas las finanzas corporativas.</w:t>
            </w:r>
          </w:p>
        </w:tc>
      </w:tr>
      <w:tr>
        <w:trPr>
          <w:trHeight w:val="548" w:hRule="exact"/>
        </w:trPr>
        <w:tc>
          <w:tcPr>
            <w:tcW w:w="3121" w:type="dxa"/>
            <w:tcBorders>
              <w:top w:val="single" w:sz="11" w:space="0" w:color="808080"/>
              <w:bottom w:val="single" w:sz="11" w:space="0" w:color="808080"/>
            </w:tcBorders>
          </w:tcPr>
          <w:p>
            <w:pPr>
              <w:pStyle w:val="TableParagraph"/>
              <w:spacing w:before="6"/>
              <w:rPr>
                <w:sz w:val="14"/>
              </w:rPr>
            </w:pPr>
          </w:p>
          <w:p>
            <w:pPr>
              <w:pStyle w:val="TableParagraph"/>
              <w:ind w:left="140" w:right="284"/>
              <w:rPr>
                <w:sz w:val="15"/>
              </w:rPr>
            </w:pPr>
            <w:r>
              <w:rPr>
                <w:sz w:val="15"/>
              </w:rPr>
              <w:t>V.   Comunicación y Transparencia.</w:t>
            </w:r>
          </w:p>
        </w:tc>
        <w:tc>
          <w:tcPr>
            <w:tcW w:w="6242" w:type="dxa"/>
            <w:tcBorders>
              <w:top w:val="single" w:sz="11" w:space="0" w:color="808080"/>
              <w:bottom w:val="single" w:sz="11" w:space="0" w:color="808080"/>
            </w:tcBorders>
          </w:tcPr>
          <w:p>
            <w:pPr>
              <w:pStyle w:val="TableParagraph"/>
              <w:spacing w:line="242" w:lineRule="auto"/>
              <w:ind w:left="107" w:right="103"/>
              <w:jc w:val="both"/>
              <w:rPr>
                <w:sz w:val="15"/>
              </w:rPr>
            </w:pPr>
            <w:r>
              <w:rPr>
                <w:sz w:val="15"/>
              </w:rPr>
              <w:t>El marco deberá garantizar la difusión oportuna y precisa de todas las factoras referentes a la sociedad, incluidos los estados financieros, del titular y del órgano de gobierno de la empresa.</w:t>
            </w:r>
          </w:p>
        </w:tc>
      </w:tr>
      <w:tr>
        <w:trPr>
          <w:trHeight w:val="548" w:hRule="exact"/>
        </w:trPr>
        <w:tc>
          <w:tcPr>
            <w:tcW w:w="3121" w:type="dxa"/>
            <w:tcBorders>
              <w:top w:val="single" w:sz="11" w:space="0" w:color="808080"/>
              <w:bottom w:val="single" w:sz="11" w:space="0" w:color="808080"/>
            </w:tcBorders>
          </w:tcPr>
          <w:p>
            <w:pPr>
              <w:pStyle w:val="TableParagraph"/>
              <w:spacing w:before="83"/>
              <w:ind w:left="424" w:hanging="285"/>
              <w:rPr>
                <w:sz w:val="15"/>
              </w:rPr>
            </w:pPr>
            <w:r>
              <w:rPr>
                <w:sz w:val="15"/>
              </w:rPr>
              <w:t>VI. Las Responsabilidades del órgano de gobierno.</w:t>
            </w:r>
          </w:p>
        </w:tc>
        <w:tc>
          <w:tcPr>
            <w:tcW w:w="6242" w:type="dxa"/>
            <w:tcBorders>
              <w:top w:val="single" w:sz="11" w:space="0" w:color="808080"/>
              <w:bottom w:val="single" w:sz="11" w:space="0" w:color="808080"/>
            </w:tcBorders>
          </w:tcPr>
          <w:p>
            <w:pPr>
              <w:pStyle w:val="TableParagraph"/>
              <w:ind w:left="107" w:right="102"/>
              <w:jc w:val="both"/>
              <w:rPr>
                <w:sz w:val="15"/>
              </w:rPr>
            </w:pPr>
            <w:r>
              <w:rPr>
                <w:sz w:val="15"/>
              </w:rPr>
              <w:t>El marco deberá garantizar la planeación estratégica de la empresa, los lineamientos de gestión por parte del consejo directivo y su responsabilidad frente a la organización y a los accionistas.</w:t>
            </w:r>
          </w:p>
        </w:tc>
      </w:tr>
    </w:tbl>
    <w:p>
      <w:pPr>
        <w:pStyle w:val="BodyText"/>
        <w:spacing w:before="8"/>
        <w:rPr>
          <w:sz w:val="11"/>
        </w:rPr>
      </w:pPr>
    </w:p>
    <w:p>
      <w:pPr>
        <w:spacing w:before="1"/>
        <w:ind w:left="140" w:right="522" w:firstLine="0"/>
        <w:jc w:val="left"/>
        <w:rPr>
          <w:i/>
          <w:sz w:val="12"/>
        </w:rPr>
      </w:pPr>
      <w:r>
        <w:rPr>
          <w:sz w:val="12"/>
        </w:rPr>
        <w:t>FUENTE:      OECD. (2004: 17-24). </w:t>
      </w:r>
      <w:r>
        <w:rPr>
          <w:i/>
          <w:sz w:val="12"/>
        </w:rPr>
        <w:t>The OECD Principies of Corporate Governance.</w:t>
      </w:r>
    </w:p>
    <w:p>
      <w:pPr>
        <w:pStyle w:val="BodyText"/>
        <w:rPr>
          <w:i/>
          <w:sz w:val="12"/>
        </w:rPr>
      </w:pPr>
    </w:p>
    <w:p>
      <w:pPr>
        <w:pStyle w:val="BodyText"/>
        <w:rPr>
          <w:i/>
          <w:sz w:val="12"/>
        </w:rPr>
      </w:pPr>
    </w:p>
    <w:p>
      <w:pPr>
        <w:pStyle w:val="BodyText"/>
        <w:rPr>
          <w:i/>
          <w:sz w:val="12"/>
        </w:rPr>
      </w:pPr>
    </w:p>
    <w:p>
      <w:pPr>
        <w:pStyle w:val="BodyText"/>
        <w:rPr>
          <w:i/>
          <w:sz w:val="12"/>
        </w:rPr>
      </w:pPr>
    </w:p>
    <w:p>
      <w:pPr>
        <w:pStyle w:val="BodyText"/>
        <w:rPr>
          <w:i/>
          <w:sz w:val="12"/>
        </w:rPr>
      </w:pPr>
    </w:p>
    <w:p>
      <w:pPr>
        <w:pStyle w:val="BodyText"/>
        <w:spacing w:before="10"/>
        <w:rPr>
          <w:i/>
          <w:sz w:val="12"/>
        </w:rPr>
      </w:pPr>
    </w:p>
    <w:p>
      <w:pPr>
        <w:pStyle w:val="BodyText"/>
        <w:spacing w:line="360" w:lineRule="auto"/>
        <w:ind w:left="140" w:right="638" w:firstLine="427"/>
        <w:jc w:val="both"/>
      </w:pPr>
      <w:r>
        <w:rPr/>
        <w:t>La OCDE y el Programa de las Naciones Unidas para el Desarrollo (PNUD) crearon la Alianza para la Gobernanza Democrática (</w:t>
      </w:r>
      <w:r>
        <w:rPr>
          <w:i/>
        </w:rPr>
        <w:t>Partnershipfor Democratic </w:t>
      </w:r>
      <w:r>
        <w:rPr>
          <w:i/>
        </w:rPr>
        <w:t>Governance</w:t>
      </w:r>
      <w:r>
        <w:rPr/>
        <w:t>), asociación multilateral encargada de asistir a los Estados en situaciones de fragilidad</w:t>
      </w:r>
      <w:r>
        <w:rPr>
          <w:position w:val="8"/>
          <w:sz w:val="16"/>
        </w:rPr>
        <w:t>27 </w:t>
      </w:r>
      <w:r>
        <w:rPr/>
        <w:t>es decir, aquellas que requieren asistencia después de conflictos y a las naciones emergentes, para que desarrollen mejores mecanismos de gobernanza y una mejor atención ciudadana, mediante una “gobernanza en marcha” en sectores clave de los sectores interno y externo.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2416;mso-wrap-distance-left:0;mso-wrap-distance-right:0" from="85.025002pt,10.683794pt" to="229.075002pt,10.683794pt" stroked="true" strokeweight=".79999pt" strokecolor="#000000">
            <w10:wrap type="topAndBottom"/>
          </v:line>
        </w:pict>
      </w:r>
    </w:p>
    <w:p>
      <w:pPr>
        <w:spacing w:line="256" w:lineRule="auto" w:before="59"/>
        <w:ind w:left="140" w:right="522" w:firstLine="0"/>
        <w:jc w:val="left"/>
        <w:rPr>
          <w:sz w:val="16"/>
        </w:rPr>
      </w:pPr>
      <w:r>
        <w:rPr>
          <w:rFonts w:ascii="Times New Roman" w:hAnsi="Times New Roman"/>
          <w:position w:val="7"/>
          <w:sz w:val="13"/>
        </w:rPr>
        <w:t>27</w:t>
      </w:r>
      <w:r>
        <w:rPr>
          <w:sz w:val="16"/>
        </w:rPr>
        <w:t>La</w:t>
      </w:r>
      <w:r>
        <w:rPr>
          <w:spacing w:val="-12"/>
          <w:sz w:val="16"/>
        </w:rPr>
        <w:t> </w:t>
      </w:r>
      <w:r>
        <w:rPr>
          <w:sz w:val="16"/>
        </w:rPr>
        <w:t>OCDE</w:t>
      </w:r>
      <w:r>
        <w:rPr>
          <w:spacing w:val="-9"/>
          <w:sz w:val="16"/>
        </w:rPr>
        <w:t> </w:t>
      </w:r>
      <w:r>
        <w:rPr>
          <w:sz w:val="16"/>
        </w:rPr>
        <w:t>y</w:t>
      </w:r>
      <w:r>
        <w:rPr>
          <w:spacing w:val="-15"/>
          <w:sz w:val="16"/>
        </w:rPr>
        <w:t> </w:t>
      </w:r>
      <w:r>
        <w:rPr>
          <w:sz w:val="16"/>
        </w:rPr>
        <w:t>el</w:t>
      </w:r>
      <w:r>
        <w:rPr>
          <w:spacing w:val="-14"/>
          <w:sz w:val="16"/>
        </w:rPr>
        <w:t> </w:t>
      </w:r>
      <w:r>
        <w:rPr>
          <w:sz w:val="16"/>
        </w:rPr>
        <w:t>PNUD</w:t>
      </w:r>
      <w:r>
        <w:rPr>
          <w:spacing w:val="-11"/>
          <w:sz w:val="16"/>
        </w:rPr>
        <w:t> </w:t>
      </w:r>
      <w:r>
        <w:rPr>
          <w:sz w:val="16"/>
        </w:rPr>
        <w:t>considera</w:t>
      </w:r>
      <w:r>
        <w:rPr>
          <w:spacing w:val="-10"/>
          <w:sz w:val="16"/>
        </w:rPr>
        <w:t> </w:t>
      </w:r>
      <w:r>
        <w:rPr>
          <w:i/>
          <w:sz w:val="16"/>
        </w:rPr>
        <w:t>Estados</w:t>
      </w:r>
      <w:r>
        <w:rPr>
          <w:i/>
          <w:spacing w:val="-11"/>
          <w:sz w:val="16"/>
        </w:rPr>
        <w:t> </w:t>
      </w:r>
      <w:r>
        <w:rPr>
          <w:i/>
          <w:sz w:val="16"/>
        </w:rPr>
        <w:t>frágiles</w:t>
      </w:r>
      <w:r>
        <w:rPr>
          <w:i/>
          <w:spacing w:val="-10"/>
          <w:sz w:val="16"/>
        </w:rPr>
        <w:t> </w:t>
      </w:r>
      <w:r>
        <w:rPr>
          <w:sz w:val="16"/>
        </w:rPr>
        <w:t>a</w:t>
      </w:r>
      <w:r>
        <w:rPr>
          <w:spacing w:val="-12"/>
          <w:sz w:val="16"/>
        </w:rPr>
        <w:t> </w:t>
      </w:r>
      <w:r>
        <w:rPr>
          <w:sz w:val="16"/>
        </w:rPr>
        <w:t>aquellos</w:t>
      </w:r>
      <w:r>
        <w:rPr>
          <w:spacing w:val="-11"/>
          <w:sz w:val="16"/>
        </w:rPr>
        <w:t> </w:t>
      </w:r>
      <w:r>
        <w:rPr>
          <w:sz w:val="16"/>
        </w:rPr>
        <w:t>Estados</w:t>
      </w:r>
      <w:r>
        <w:rPr>
          <w:spacing w:val="-15"/>
          <w:sz w:val="16"/>
        </w:rPr>
        <w:t> </w:t>
      </w:r>
      <w:r>
        <w:rPr>
          <w:sz w:val="16"/>
        </w:rPr>
        <w:t>que</w:t>
      </w:r>
      <w:r>
        <w:rPr>
          <w:spacing w:val="-12"/>
          <w:sz w:val="16"/>
        </w:rPr>
        <w:t> </w:t>
      </w:r>
      <w:r>
        <w:rPr>
          <w:sz w:val="16"/>
        </w:rPr>
        <w:t>se</w:t>
      </w:r>
      <w:r>
        <w:rPr>
          <w:spacing w:val="-12"/>
          <w:sz w:val="16"/>
        </w:rPr>
        <w:t> </w:t>
      </w:r>
      <w:r>
        <w:rPr>
          <w:sz w:val="16"/>
        </w:rPr>
        <w:t>encuentran</w:t>
      </w:r>
      <w:r>
        <w:rPr>
          <w:spacing w:val="-12"/>
          <w:sz w:val="16"/>
        </w:rPr>
        <w:t> </w:t>
      </w:r>
      <w:r>
        <w:rPr>
          <w:sz w:val="16"/>
        </w:rPr>
        <w:t>vulnerables</w:t>
      </w:r>
      <w:r>
        <w:rPr>
          <w:spacing w:val="-15"/>
          <w:sz w:val="16"/>
        </w:rPr>
        <w:t> </w:t>
      </w:r>
      <w:r>
        <w:rPr>
          <w:sz w:val="16"/>
        </w:rPr>
        <w:t>después</w:t>
      </w:r>
      <w:r>
        <w:rPr>
          <w:spacing w:val="-15"/>
          <w:sz w:val="16"/>
        </w:rPr>
        <w:t> </w:t>
      </w:r>
      <w:r>
        <w:rPr>
          <w:sz w:val="16"/>
        </w:rPr>
        <w:t>de</w:t>
      </w:r>
      <w:r>
        <w:rPr>
          <w:spacing w:val="-12"/>
          <w:sz w:val="16"/>
        </w:rPr>
        <w:t> </w:t>
      </w:r>
      <w:r>
        <w:rPr>
          <w:sz w:val="16"/>
        </w:rPr>
        <w:t>una</w:t>
      </w:r>
      <w:r>
        <w:rPr>
          <w:spacing w:val="-8"/>
          <w:sz w:val="16"/>
        </w:rPr>
        <w:t> </w:t>
      </w:r>
      <w:r>
        <w:rPr>
          <w:sz w:val="16"/>
        </w:rPr>
        <w:t>situación de</w:t>
      </w:r>
      <w:r>
        <w:rPr>
          <w:spacing w:val="-10"/>
          <w:sz w:val="16"/>
        </w:rPr>
        <w:t> </w:t>
      </w:r>
      <w:r>
        <w:rPr>
          <w:sz w:val="16"/>
        </w:rPr>
        <w:t>conflicto.</w:t>
      </w:r>
    </w:p>
    <w:p>
      <w:pPr>
        <w:spacing w:after="0" w:line="256" w:lineRule="auto"/>
        <w:jc w:val="left"/>
        <w:rPr>
          <w:sz w:val="16"/>
        </w:rPr>
        <w:sectPr>
          <w:footerReference w:type="default" r:id="rId40"/>
          <w:pgSz w:w="12240" w:h="15840"/>
          <w:pgMar w:footer="998" w:header="0" w:top="1500" w:bottom="1180" w:left="1560" w:right="1060"/>
          <w:pgNumType w:start="35"/>
        </w:sectPr>
      </w:pPr>
    </w:p>
    <w:p>
      <w:pPr>
        <w:pStyle w:val="BodyText"/>
        <w:spacing w:line="357" w:lineRule="auto" w:before="55"/>
        <w:ind w:left="120" w:right="107" w:firstLine="427"/>
        <w:jc w:val="both"/>
        <w:rPr>
          <w:sz w:val="16"/>
        </w:rPr>
      </w:pPr>
      <w:r>
        <w:rPr/>
        <w:t>La OCDE se orienta a hacer más eficiente el desarrollo de aquellos estados frágiles mediante un enfoque flexible, priorizando los mecanismos de rendición de cuentas.</w:t>
      </w:r>
      <w:r>
        <w:rPr>
          <w:position w:val="8"/>
          <w:sz w:val="16"/>
        </w:rPr>
        <w:t>28</w:t>
      </w:r>
    </w:p>
    <w:p>
      <w:pPr>
        <w:pStyle w:val="BodyText"/>
        <w:spacing w:line="360" w:lineRule="auto" w:before="5"/>
        <w:ind w:left="120" w:right="98" w:firstLine="427"/>
        <w:jc w:val="both"/>
      </w:pPr>
      <w:r>
        <w:rPr/>
        <w:t>La Alianza para la Gobernanza Democrática estableció sus actividades en el manual </w:t>
      </w:r>
      <w:r>
        <w:rPr>
          <w:i/>
        </w:rPr>
        <w:t>Contractingou tGovernment Functions and Services in Post-Conflict and </w:t>
      </w:r>
      <w:r>
        <w:rPr>
          <w:i/>
        </w:rPr>
        <w:t>Fragile Situations</w:t>
      </w:r>
      <w:r>
        <w:rPr/>
        <w:t>(La Contratación Externa del Gobierno, Funciones y Servicios en Situación Post-Conflicto y en Situación de Fragilidad), y consideró que el apoyo</w:t>
      </w:r>
      <w:r>
        <w:rPr>
          <w:spacing w:val="-39"/>
        </w:rPr>
        <w:t> </w:t>
      </w:r>
      <w:r>
        <w:rPr/>
        <w:t>del sector privado al Estado es una práctica cotidiana en países avanzados y emergentes, pero no en aquellas naciones en donde hay una situación de postguerra (Estados frágiles) y los contratos con el sector privado resultan polémicos.</w:t>
      </w:r>
    </w:p>
    <w:p>
      <w:pPr>
        <w:tabs>
          <w:tab w:pos="2264" w:val="left" w:leader="none"/>
          <w:tab w:pos="4408" w:val="left" w:leader="none"/>
          <w:tab w:pos="6124" w:val="left" w:leader="none"/>
          <w:tab w:pos="7761" w:val="left" w:leader="none"/>
          <w:tab w:pos="8555" w:val="left" w:leader="none"/>
        </w:tabs>
        <w:spacing w:line="360" w:lineRule="auto" w:before="5"/>
        <w:ind w:left="120" w:right="99" w:firstLine="427"/>
        <w:jc w:val="both"/>
        <w:rPr>
          <w:sz w:val="24"/>
        </w:rPr>
      </w:pPr>
      <w:r>
        <w:rPr>
          <w:sz w:val="24"/>
        </w:rPr>
        <w:t>La</w:t>
        <w:tab/>
        <w:t>OCDE</w:t>
        <w:tab/>
        <w:t>en</w:t>
        <w:tab/>
        <w:t>la</w:t>
        <w:tab/>
      </w:r>
      <w:r>
        <w:rPr>
          <w:spacing w:val="-1"/>
          <w:sz w:val="24"/>
        </w:rPr>
        <w:t>publicación </w:t>
      </w:r>
      <w:r>
        <w:rPr>
          <w:i/>
          <w:spacing w:val="-1"/>
          <w:sz w:val="24"/>
        </w:rPr>
        <w:t>Partnershipfordemocraticgovernancecontractingoutgovernmentfunctions</w:t>
        <w:tab/>
      </w:r>
      <w:r>
        <w:rPr>
          <w:i/>
          <w:sz w:val="24"/>
        </w:rPr>
        <w:t>and </w:t>
      </w:r>
      <w:r>
        <w:rPr>
          <w:i/>
          <w:sz w:val="24"/>
        </w:rPr>
        <w:t>services,</w:t>
      </w:r>
      <w:r>
        <w:rPr>
          <w:i/>
          <w:spacing w:val="-16"/>
          <w:sz w:val="24"/>
        </w:rPr>
        <w:t> </w:t>
      </w:r>
      <w:r>
        <w:rPr>
          <w:i/>
          <w:sz w:val="24"/>
        </w:rPr>
        <w:t>emerginlessonsfrom</w:t>
      </w:r>
      <w:r>
        <w:rPr>
          <w:i/>
          <w:spacing w:val="-21"/>
          <w:sz w:val="24"/>
        </w:rPr>
        <w:t> </w:t>
      </w:r>
      <w:r>
        <w:rPr>
          <w:i/>
          <w:sz w:val="24"/>
        </w:rPr>
        <w:t>post-conflict</w:t>
      </w:r>
      <w:r>
        <w:rPr>
          <w:i/>
          <w:spacing w:val="-16"/>
          <w:sz w:val="24"/>
        </w:rPr>
        <w:t> </w:t>
      </w:r>
      <w:r>
        <w:rPr>
          <w:i/>
          <w:sz w:val="24"/>
        </w:rPr>
        <w:t>and</w:t>
      </w:r>
      <w:r>
        <w:rPr>
          <w:i/>
          <w:spacing w:val="-19"/>
          <w:sz w:val="24"/>
        </w:rPr>
        <w:t> </w:t>
      </w:r>
      <w:r>
        <w:rPr>
          <w:i/>
          <w:sz w:val="24"/>
        </w:rPr>
        <w:t>fragilesituations</w:t>
      </w:r>
      <w:r>
        <w:rPr>
          <w:i/>
          <w:spacing w:val="-14"/>
          <w:sz w:val="24"/>
        </w:rPr>
        <w:t> </w:t>
      </w:r>
      <w:r>
        <w:rPr>
          <w:sz w:val="24"/>
        </w:rPr>
        <w:t>presentó</w:t>
      </w:r>
      <w:r>
        <w:rPr>
          <w:spacing w:val="-19"/>
          <w:sz w:val="24"/>
        </w:rPr>
        <w:t> </w:t>
      </w:r>
      <w:r>
        <w:rPr>
          <w:sz w:val="24"/>
        </w:rPr>
        <w:t>un</w:t>
      </w:r>
      <w:r>
        <w:rPr>
          <w:spacing w:val="-15"/>
          <w:sz w:val="24"/>
        </w:rPr>
        <w:t> </w:t>
      </w:r>
      <w:r>
        <w:rPr>
          <w:sz w:val="24"/>
        </w:rPr>
        <w:t>análisis sobre la contratación y subcontratación con actores no gubernamentales y proporcionó una orientación para evaluar el momento y las circunstancias, bajo las cuales se pueden realizar la contratación y subcontratación de servicios con el sector privado. Para ello realizó el análisis de los procesos</w:t>
      </w:r>
      <w:r>
        <w:rPr>
          <w:spacing w:val="-30"/>
          <w:sz w:val="24"/>
        </w:rPr>
        <w:t> </w:t>
      </w:r>
      <w:r>
        <w:rPr>
          <w:sz w:val="24"/>
        </w:rPr>
        <w:t>siguientes:</w:t>
      </w:r>
    </w:p>
    <w:p>
      <w:pPr>
        <w:pStyle w:val="BodyText"/>
      </w:pPr>
    </w:p>
    <w:p>
      <w:pPr>
        <w:pStyle w:val="ListParagraph"/>
        <w:numPr>
          <w:ilvl w:val="3"/>
          <w:numId w:val="19"/>
        </w:numPr>
        <w:tabs>
          <w:tab w:pos="841" w:val="left" w:leader="none"/>
        </w:tabs>
        <w:spacing w:line="240" w:lineRule="auto" w:before="142" w:after="0"/>
        <w:ind w:left="841" w:right="0" w:hanging="361"/>
        <w:jc w:val="left"/>
        <w:rPr>
          <w:sz w:val="24"/>
        </w:rPr>
      </w:pPr>
      <w:r>
        <w:rPr>
          <w:sz w:val="24"/>
        </w:rPr>
        <w:t>La</w:t>
      </w:r>
      <w:r>
        <w:rPr>
          <w:spacing w:val="-14"/>
          <w:sz w:val="24"/>
        </w:rPr>
        <w:t> </w:t>
      </w:r>
      <w:r>
        <w:rPr>
          <w:sz w:val="24"/>
        </w:rPr>
        <w:t>identificación</w:t>
      </w:r>
      <w:r>
        <w:rPr>
          <w:spacing w:val="-14"/>
          <w:sz w:val="24"/>
        </w:rPr>
        <w:t> </w:t>
      </w:r>
      <w:r>
        <w:rPr>
          <w:sz w:val="24"/>
        </w:rPr>
        <w:t>de</w:t>
      </w:r>
      <w:r>
        <w:rPr>
          <w:spacing w:val="-14"/>
          <w:sz w:val="24"/>
        </w:rPr>
        <w:t> </w:t>
      </w:r>
      <w:r>
        <w:rPr>
          <w:sz w:val="24"/>
        </w:rPr>
        <w:t>las</w:t>
      </w:r>
      <w:r>
        <w:rPr>
          <w:spacing w:val="-13"/>
          <w:sz w:val="24"/>
        </w:rPr>
        <w:t> </w:t>
      </w:r>
      <w:r>
        <w:rPr>
          <w:sz w:val="24"/>
        </w:rPr>
        <w:t>opciones</w:t>
      </w:r>
      <w:r>
        <w:rPr>
          <w:spacing w:val="-13"/>
          <w:sz w:val="24"/>
        </w:rPr>
        <w:t> </w:t>
      </w:r>
      <w:r>
        <w:rPr>
          <w:sz w:val="24"/>
        </w:rPr>
        <w:t>de</w:t>
      </w:r>
      <w:r>
        <w:rPr>
          <w:spacing w:val="-14"/>
          <w:sz w:val="24"/>
        </w:rPr>
        <w:t> </w:t>
      </w:r>
      <w:r>
        <w:rPr>
          <w:sz w:val="24"/>
        </w:rPr>
        <w:t>contratación</w:t>
      </w:r>
      <w:r>
        <w:rPr>
          <w:spacing w:val="-7"/>
          <w:sz w:val="24"/>
        </w:rPr>
        <w:t> </w:t>
      </w:r>
      <w:r>
        <w:rPr>
          <w:sz w:val="24"/>
        </w:rPr>
        <w:t>y</w:t>
      </w:r>
      <w:r>
        <w:rPr>
          <w:spacing w:val="-16"/>
          <w:sz w:val="24"/>
        </w:rPr>
        <w:t> </w:t>
      </w:r>
      <w:r>
        <w:rPr>
          <w:sz w:val="24"/>
        </w:rPr>
        <w:t>los</w:t>
      </w:r>
      <w:r>
        <w:rPr>
          <w:spacing w:val="-13"/>
          <w:sz w:val="24"/>
        </w:rPr>
        <w:t> </w:t>
      </w:r>
      <w:r>
        <w:rPr>
          <w:sz w:val="24"/>
        </w:rPr>
        <w:t>servicios</w:t>
      </w:r>
      <w:r>
        <w:rPr>
          <w:spacing w:val="-13"/>
          <w:sz w:val="24"/>
        </w:rPr>
        <w:t> </w:t>
      </w:r>
      <w:r>
        <w:rPr>
          <w:sz w:val="24"/>
        </w:rPr>
        <w:t>por</w:t>
      </w:r>
      <w:r>
        <w:rPr>
          <w:spacing w:val="-13"/>
          <w:sz w:val="24"/>
        </w:rPr>
        <w:t> </w:t>
      </w:r>
      <w:r>
        <w:rPr>
          <w:sz w:val="24"/>
        </w:rPr>
        <w:t>contratar.</w:t>
      </w:r>
    </w:p>
    <w:p>
      <w:pPr>
        <w:pStyle w:val="ListParagraph"/>
        <w:numPr>
          <w:ilvl w:val="3"/>
          <w:numId w:val="19"/>
        </w:numPr>
        <w:tabs>
          <w:tab w:pos="841" w:val="left" w:leader="none"/>
        </w:tabs>
        <w:spacing w:line="362" w:lineRule="auto" w:before="136" w:after="0"/>
        <w:ind w:left="841" w:right="105" w:hanging="361"/>
        <w:jc w:val="both"/>
        <w:rPr>
          <w:sz w:val="24"/>
        </w:rPr>
      </w:pPr>
      <w:r>
        <w:rPr>
          <w:sz w:val="24"/>
        </w:rPr>
        <w:t>La consideración de los incentivos laborales, las políticas públicas, el diagnóstico y reducción de los riesgos</w:t>
      </w:r>
      <w:r>
        <w:rPr>
          <w:spacing w:val="-27"/>
          <w:sz w:val="24"/>
        </w:rPr>
        <w:t> </w:t>
      </w:r>
      <w:r>
        <w:rPr>
          <w:sz w:val="24"/>
        </w:rPr>
        <w:t>técnicos.</w:t>
      </w:r>
    </w:p>
    <w:p>
      <w:pPr>
        <w:pStyle w:val="ListParagraph"/>
        <w:numPr>
          <w:ilvl w:val="3"/>
          <w:numId w:val="19"/>
        </w:numPr>
        <w:tabs>
          <w:tab w:pos="841" w:val="left" w:leader="none"/>
        </w:tabs>
        <w:spacing w:line="360" w:lineRule="auto" w:before="0" w:after="0"/>
        <w:ind w:left="841" w:right="98" w:hanging="361"/>
        <w:jc w:val="both"/>
        <w:rPr>
          <w:sz w:val="24"/>
        </w:rPr>
      </w:pPr>
      <w:r>
        <w:rPr>
          <w:sz w:val="24"/>
        </w:rPr>
        <w:t>La evaluación de una contratación exitosa, considerando su viabilidad y capacidad para llevar a cabo </w:t>
      </w:r>
      <w:r>
        <w:rPr>
          <w:spacing w:val="3"/>
          <w:sz w:val="24"/>
        </w:rPr>
        <w:t>la </w:t>
      </w:r>
      <w:r>
        <w:rPr>
          <w:sz w:val="24"/>
        </w:rPr>
        <w:t>contratación y fortalecer el proceso de contratación</w:t>
      </w:r>
      <w:r>
        <w:rPr>
          <w:spacing w:val="-14"/>
          <w:sz w:val="24"/>
        </w:rPr>
        <w:t> </w:t>
      </w:r>
      <w:r>
        <w:rPr>
          <w:sz w:val="24"/>
        </w:rPr>
        <w:t>externa.</w:t>
      </w:r>
    </w:p>
    <w:p>
      <w:pPr>
        <w:pStyle w:val="ListParagraph"/>
        <w:numPr>
          <w:ilvl w:val="3"/>
          <w:numId w:val="19"/>
        </w:numPr>
        <w:tabs>
          <w:tab w:pos="841" w:val="left" w:leader="none"/>
        </w:tabs>
        <w:spacing w:line="357" w:lineRule="auto" w:before="6" w:after="0"/>
        <w:ind w:left="841" w:right="109" w:hanging="361"/>
        <w:jc w:val="both"/>
        <w:rPr>
          <w:sz w:val="24"/>
        </w:rPr>
      </w:pPr>
      <w:r>
        <w:rPr>
          <w:sz w:val="24"/>
        </w:rPr>
        <w:t>La adquisición del servicio externo, la estrategia implementada (proceso de contratación) y la medición del</w:t>
      </w:r>
      <w:r>
        <w:rPr>
          <w:spacing w:val="-27"/>
          <w:sz w:val="24"/>
        </w:rPr>
        <w:t> </w:t>
      </w:r>
      <w:r>
        <w:rPr>
          <w:sz w:val="24"/>
        </w:rPr>
        <w:t>desempeño.</w:t>
      </w:r>
    </w:p>
    <w:p>
      <w:pPr>
        <w:pStyle w:val="ListParagraph"/>
        <w:numPr>
          <w:ilvl w:val="3"/>
          <w:numId w:val="19"/>
        </w:numPr>
        <w:tabs>
          <w:tab w:pos="841" w:val="left" w:leader="none"/>
        </w:tabs>
        <w:spacing w:line="357" w:lineRule="auto" w:before="8" w:after="0"/>
        <w:ind w:left="841" w:right="103" w:hanging="361"/>
        <w:jc w:val="both"/>
        <w:rPr>
          <w:sz w:val="24"/>
        </w:rPr>
      </w:pPr>
      <w:r>
        <w:rPr>
          <w:sz w:val="24"/>
        </w:rPr>
        <w:t>La aplicación de los aspectos jurídicos de la contratación, funciones y servicios del gobierno (negociación, contratos y solución de</w:t>
      </w:r>
      <w:r>
        <w:rPr>
          <w:spacing w:val="-44"/>
          <w:sz w:val="24"/>
        </w:rPr>
        <w:t> </w:t>
      </w:r>
      <w:r>
        <w:rPr>
          <w:sz w:val="24"/>
        </w:rPr>
        <w:t>conflictos).</w:t>
      </w:r>
    </w:p>
    <w:p>
      <w:pPr>
        <w:pStyle w:val="BodyText"/>
        <w:spacing w:before="2"/>
        <w:rPr>
          <w:sz w:val="22"/>
        </w:rPr>
      </w:pPr>
      <w:r>
        <w:rPr/>
        <w:pict>
          <v:line style="position:absolute;mso-position-horizontal-relative:page;mso-position-vertical-relative:paragraph;z-index:2440;mso-wrap-distance-left:0;mso-wrap-distance-right:0" from="85.025002pt,15.117973pt" to="229.075002pt,15.117973pt" stroked="true" strokeweight=".79999pt" strokecolor="#000000">
            <w10:wrap type="topAndBottom"/>
          </v:line>
        </w:pict>
      </w:r>
    </w:p>
    <w:p>
      <w:pPr>
        <w:spacing w:before="59"/>
        <w:ind w:left="120" w:right="132" w:firstLine="0"/>
        <w:jc w:val="left"/>
        <w:rPr>
          <w:sz w:val="16"/>
        </w:rPr>
      </w:pPr>
      <w:r>
        <w:rPr>
          <w:rFonts w:ascii="Times New Roman"/>
          <w:position w:val="7"/>
          <w:sz w:val="13"/>
        </w:rPr>
        <w:t>28</w:t>
      </w:r>
      <w:r>
        <w:rPr>
          <w:sz w:val="16"/>
        </w:rPr>
        <w:t>Disponible en:</w:t>
      </w:r>
    </w:p>
    <w:p>
      <w:pPr>
        <w:spacing w:before="12"/>
        <w:ind w:left="120" w:right="32" w:firstLine="0"/>
        <w:jc w:val="left"/>
        <w:rPr>
          <w:sz w:val="16"/>
        </w:rPr>
      </w:pPr>
      <w:hyperlink r:id="rId41">
        <w:r>
          <w:rPr>
            <w:color w:val="0000FF"/>
            <w:sz w:val="16"/>
            <w:u w:val="single" w:color="0000FF"/>
          </w:rPr>
          <w:t>http://www.oecd.org/document/14/0,3746,en_39406396_39407430_39407310_1_1_1_1,00.html#1 </w:t>
        </w:r>
      </w:hyperlink>
      <w:r>
        <w:rPr>
          <w:sz w:val="16"/>
        </w:rPr>
        <w:t>[Fecha de consulta: 22 de mayo, 2015] y </w:t>
      </w:r>
      <w:hyperlink r:id="rId42">
        <w:r>
          <w:rPr>
            <w:sz w:val="16"/>
          </w:rPr>
          <w:t>http://www.oecd.org/dataoecd/54/19/41665400.pdf</w:t>
        </w:r>
      </w:hyperlink>
      <w:r>
        <w:rPr>
          <w:sz w:val="16"/>
        </w:rPr>
        <w:t>[Fecha de consulta: 22 de mayo, 2015]</w:t>
      </w:r>
    </w:p>
    <w:p>
      <w:pPr>
        <w:spacing w:after="0"/>
        <w:jc w:val="left"/>
        <w:rPr>
          <w:sz w:val="16"/>
        </w:rPr>
        <w:sectPr>
          <w:pgSz w:w="12240" w:h="15840"/>
          <w:pgMar w:header="0" w:footer="998" w:top="1360" w:bottom="1180" w:left="1580" w:right="1600"/>
        </w:sectPr>
      </w:pPr>
    </w:p>
    <w:p>
      <w:pPr>
        <w:pStyle w:val="BodyText"/>
        <w:spacing w:line="360" w:lineRule="auto" w:before="51"/>
        <w:ind w:left="100" w:right="116" w:firstLine="427"/>
        <w:jc w:val="both"/>
      </w:pPr>
      <w:r>
        <w:rPr/>
        <w:t>En la publicación </w:t>
      </w:r>
      <w:r>
        <w:rPr>
          <w:i/>
        </w:rPr>
        <w:t>Government at a Glance 2011 </w:t>
      </w:r>
      <w:r>
        <w:rPr/>
        <w:t>(Panorama de las Administraciones Públicas 2011) la OCDE mencionó que las recientes crisis globales han sido causadas principalmente por fallas en la regulación y en la supervisión de las instituciones del Estado, así como por deficiencias administrativas y de la intervención del gobierno en el sector privado. Esto ha llevado al Estado a plantear cambios en la estructura del gobierno y en la redefinición del papel del Estado en el mercado para restaurar la confianza de los ciudadanos.</w:t>
      </w:r>
    </w:p>
    <w:p>
      <w:pPr>
        <w:pStyle w:val="BodyText"/>
        <w:spacing w:line="360" w:lineRule="auto" w:before="2"/>
        <w:ind w:left="100" w:right="120" w:firstLine="427"/>
        <w:jc w:val="both"/>
      </w:pPr>
      <w:r>
        <w:rPr/>
        <w:t>La OCDE examinó los marcos institucionales orientados a promover la transparencia y el acceso a la información de los gobiernos y así mejorar los resultados</w:t>
      </w:r>
      <w:r>
        <w:rPr>
          <w:spacing w:val="-4"/>
        </w:rPr>
        <w:t> </w:t>
      </w:r>
      <w:r>
        <w:rPr/>
        <w:t>de</w:t>
      </w:r>
      <w:r>
        <w:rPr>
          <w:spacing w:val="-6"/>
        </w:rPr>
        <w:t> </w:t>
      </w:r>
      <w:r>
        <w:rPr/>
        <w:t>la</w:t>
      </w:r>
      <w:r>
        <w:rPr>
          <w:spacing w:val="-6"/>
        </w:rPr>
        <w:t> </w:t>
      </w:r>
      <w:r>
        <w:rPr/>
        <w:t>política,</w:t>
      </w:r>
      <w:r>
        <w:rPr>
          <w:spacing w:val="-1"/>
        </w:rPr>
        <w:t> </w:t>
      </w:r>
      <w:r>
        <w:rPr/>
        <w:t>mediante</w:t>
      </w:r>
      <w:r>
        <w:rPr>
          <w:spacing w:val="-5"/>
        </w:rPr>
        <w:t> </w:t>
      </w:r>
      <w:r>
        <w:rPr/>
        <w:t>reducir</w:t>
      </w:r>
      <w:r>
        <w:rPr>
          <w:spacing w:val="-4"/>
        </w:rPr>
        <w:t> </w:t>
      </w:r>
      <w:r>
        <w:rPr/>
        <w:t>al</w:t>
      </w:r>
      <w:r>
        <w:rPr>
          <w:spacing w:val="-6"/>
        </w:rPr>
        <w:t> </w:t>
      </w:r>
      <w:r>
        <w:rPr/>
        <w:t>mínimo</w:t>
      </w:r>
      <w:r>
        <w:rPr>
          <w:spacing w:val="-6"/>
        </w:rPr>
        <w:t> </w:t>
      </w:r>
      <w:r>
        <w:rPr/>
        <w:t>el</w:t>
      </w:r>
      <w:r>
        <w:rPr>
          <w:spacing w:val="-6"/>
        </w:rPr>
        <w:t> </w:t>
      </w:r>
      <w:r>
        <w:rPr/>
        <w:t>riesgo</w:t>
      </w:r>
      <w:r>
        <w:rPr>
          <w:spacing w:val="-6"/>
        </w:rPr>
        <w:t> </w:t>
      </w:r>
      <w:r>
        <w:rPr/>
        <w:t>de</w:t>
      </w:r>
      <w:r>
        <w:rPr>
          <w:spacing w:val="-6"/>
        </w:rPr>
        <w:t> </w:t>
      </w:r>
      <w:r>
        <w:rPr/>
        <w:t>fraude,</w:t>
      </w:r>
      <w:r>
        <w:rPr>
          <w:spacing w:val="-4"/>
        </w:rPr>
        <w:t> </w:t>
      </w:r>
      <w:r>
        <w:rPr/>
        <w:t>corrupción y malversación de fondos públicos. Los marcos institucionales incluyen la revisión de los siguientes</w:t>
      </w:r>
      <w:r>
        <w:rPr>
          <w:spacing w:val="-16"/>
        </w:rPr>
        <w:t> </w:t>
      </w:r>
      <w:r>
        <w:rPr/>
        <w:t>aspectos:</w:t>
      </w:r>
    </w:p>
    <w:p>
      <w:pPr>
        <w:pStyle w:val="BodyText"/>
      </w:pPr>
    </w:p>
    <w:p>
      <w:pPr>
        <w:pStyle w:val="ListParagraph"/>
        <w:numPr>
          <w:ilvl w:val="0"/>
          <w:numId w:val="21"/>
        </w:numPr>
        <w:tabs>
          <w:tab w:pos="821" w:val="left" w:leader="none"/>
        </w:tabs>
        <w:spacing w:line="240" w:lineRule="auto" w:before="142" w:after="0"/>
        <w:ind w:left="821" w:right="0" w:hanging="361"/>
        <w:jc w:val="left"/>
        <w:rPr>
          <w:sz w:val="24"/>
        </w:rPr>
      </w:pPr>
      <w:r>
        <w:rPr>
          <w:sz w:val="24"/>
        </w:rPr>
        <w:t>La legislación sobre el acceso a la información</w:t>
      </w:r>
      <w:r>
        <w:rPr>
          <w:spacing w:val="-28"/>
          <w:sz w:val="24"/>
        </w:rPr>
        <w:t> </w:t>
      </w:r>
      <w:r>
        <w:rPr>
          <w:sz w:val="24"/>
        </w:rPr>
        <w:t>pública.</w:t>
      </w:r>
    </w:p>
    <w:p>
      <w:pPr>
        <w:pStyle w:val="ListParagraph"/>
        <w:numPr>
          <w:ilvl w:val="0"/>
          <w:numId w:val="21"/>
        </w:numPr>
        <w:tabs>
          <w:tab w:pos="821" w:val="left" w:leader="none"/>
        </w:tabs>
        <w:spacing w:line="240" w:lineRule="auto" w:before="140" w:after="0"/>
        <w:ind w:left="821" w:right="0" w:hanging="361"/>
        <w:jc w:val="left"/>
        <w:rPr>
          <w:sz w:val="24"/>
        </w:rPr>
      </w:pPr>
      <w:r>
        <w:rPr>
          <w:sz w:val="24"/>
        </w:rPr>
        <w:t>Las normas que rigen la divulgación de los posibles conflictos de</w:t>
      </w:r>
      <w:r>
        <w:rPr>
          <w:spacing w:val="-40"/>
          <w:sz w:val="24"/>
        </w:rPr>
        <w:t> </w:t>
      </w:r>
      <w:r>
        <w:rPr>
          <w:sz w:val="24"/>
        </w:rPr>
        <w:t>intereses.</w:t>
      </w:r>
    </w:p>
    <w:p>
      <w:pPr>
        <w:pStyle w:val="ListParagraph"/>
        <w:numPr>
          <w:ilvl w:val="0"/>
          <w:numId w:val="21"/>
        </w:numPr>
        <w:tabs>
          <w:tab w:pos="821" w:val="left" w:leader="none"/>
        </w:tabs>
        <w:spacing w:line="362" w:lineRule="auto" w:before="136" w:after="0"/>
        <w:ind w:left="821" w:right="123" w:hanging="361"/>
        <w:jc w:val="left"/>
        <w:rPr>
          <w:sz w:val="24"/>
        </w:rPr>
      </w:pPr>
      <w:r>
        <w:rPr>
          <w:sz w:val="24"/>
        </w:rPr>
        <w:t>Los papeles de los principales organismos públicos encargados de la transparencia y acceso a la</w:t>
      </w:r>
      <w:r>
        <w:rPr>
          <w:spacing w:val="-23"/>
          <w:sz w:val="24"/>
        </w:rPr>
        <w:t> </w:t>
      </w:r>
      <w:r>
        <w:rPr>
          <w:sz w:val="24"/>
        </w:rPr>
        <w:t>Información.</w:t>
      </w:r>
    </w:p>
    <w:p>
      <w:pPr>
        <w:pStyle w:val="BodyText"/>
      </w:pPr>
    </w:p>
    <w:p>
      <w:pPr>
        <w:pStyle w:val="BodyText"/>
        <w:spacing w:line="360" w:lineRule="auto" w:before="140"/>
        <w:ind w:left="100" w:right="119"/>
        <w:jc w:val="both"/>
      </w:pPr>
      <w:r>
        <w:rPr/>
        <w:t>De acuerdo con la OCDE, legislaturas requieren información confiable e imparcial, así como una fuerte capacidad analítica para participar de forma </w:t>
      </w:r>
      <w:r>
        <w:rPr>
          <w:spacing w:val="-2"/>
        </w:rPr>
        <w:t>más </w:t>
      </w:r>
      <w:r>
        <w:rPr/>
        <w:t>apropiada en el proceso presupuestario. Un aspecto muy importante es que la documentación presupuestaria está disponible para la mayoría de los congresos de los países miembros de la OCDE. La Organización mencionó que existe la tendencia a establecer unidades especializadas de investigación presupuestaria dentro de los congresos, y que éstas varían en términos de tamaño, componentes y funciones básicas, pero todas convergen en simplificar el presupuesto, ayudan a eliminar el monopolio</w:t>
      </w:r>
      <w:r>
        <w:rPr>
          <w:spacing w:val="-8"/>
        </w:rPr>
        <w:t> </w:t>
      </w:r>
      <w:r>
        <w:rPr/>
        <w:t>de</w:t>
      </w:r>
      <w:r>
        <w:rPr>
          <w:spacing w:val="-8"/>
        </w:rPr>
        <w:t> </w:t>
      </w:r>
      <w:r>
        <w:rPr/>
        <w:t>la</w:t>
      </w:r>
      <w:r>
        <w:rPr>
          <w:spacing w:val="-5"/>
        </w:rPr>
        <w:t> </w:t>
      </w:r>
      <w:r>
        <w:rPr/>
        <w:t>información</w:t>
      </w:r>
      <w:r>
        <w:rPr>
          <w:spacing w:val="-5"/>
        </w:rPr>
        <w:t> </w:t>
      </w:r>
      <w:r>
        <w:rPr/>
        <w:t>del</w:t>
      </w:r>
      <w:r>
        <w:rPr>
          <w:spacing w:val="-8"/>
        </w:rPr>
        <w:t> </w:t>
      </w:r>
      <w:r>
        <w:rPr/>
        <w:t>Poder</w:t>
      </w:r>
      <w:r>
        <w:rPr>
          <w:spacing w:val="-3"/>
        </w:rPr>
        <w:t> </w:t>
      </w:r>
      <w:r>
        <w:rPr/>
        <w:t>Ejecutivo</w:t>
      </w:r>
      <w:r>
        <w:rPr>
          <w:spacing w:val="-8"/>
        </w:rPr>
        <w:t> </w:t>
      </w:r>
      <w:r>
        <w:rPr/>
        <w:t>en</w:t>
      </w:r>
      <w:r>
        <w:rPr>
          <w:spacing w:val="-8"/>
        </w:rPr>
        <w:t> </w:t>
      </w:r>
      <w:r>
        <w:rPr/>
        <w:t>el</w:t>
      </w:r>
      <w:r>
        <w:rPr>
          <w:spacing w:val="-8"/>
        </w:rPr>
        <w:t> </w:t>
      </w:r>
      <w:r>
        <w:rPr/>
        <w:t>proceso</w:t>
      </w:r>
      <w:r>
        <w:rPr>
          <w:spacing w:val="-5"/>
        </w:rPr>
        <w:t> </w:t>
      </w:r>
      <w:r>
        <w:rPr/>
        <w:t>presupuestario</w:t>
      </w:r>
      <w:r>
        <w:rPr>
          <w:spacing w:val="-8"/>
        </w:rPr>
        <w:t> </w:t>
      </w:r>
      <w:r>
        <w:rPr/>
        <w:t>y</w:t>
      </w:r>
      <w:r>
        <w:rPr>
          <w:spacing w:val="-8"/>
        </w:rPr>
        <w:t> </w:t>
      </w:r>
      <w:r>
        <w:rPr/>
        <w:t>así mejorar la credibilidad del presupuesto y la rendición de</w:t>
      </w:r>
      <w:r>
        <w:rPr>
          <w:spacing w:val="-37"/>
        </w:rPr>
        <w:t> </w:t>
      </w:r>
      <w:r>
        <w:rPr/>
        <w:t>cuentas.</w:t>
      </w:r>
    </w:p>
    <w:p>
      <w:pPr>
        <w:spacing w:after="0" w:line="360" w:lineRule="auto"/>
        <w:jc w:val="both"/>
        <w:sectPr>
          <w:pgSz w:w="12240" w:h="15840"/>
          <w:pgMar w:header="0" w:footer="998" w:top="1360" w:bottom="1180" w:left="1600" w:right="1580"/>
        </w:sectPr>
      </w:pPr>
    </w:p>
    <w:p>
      <w:pPr>
        <w:pStyle w:val="Heading2"/>
        <w:numPr>
          <w:ilvl w:val="1"/>
          <w:numId w:val="22"/>
        </w:numPr>
        <w:tabs>
          <w:tab w:pos="553" w:val="left" w:leader="none"/>
        </w:tabs>
        <w:spacing w:line="240" w:lineRule="auto" w:before="48" w:after="0"/>
        <w:ind w:left="552" w:right="0" w:hanging="432"/>
        <w:jc w:val="both"/>
      </w:pPr>
      <w:bookmarkStart w:name="_bookmark19" w:id="31"/>
      <w:bookmarkEnd w:id="31"/>
      <w:r>
        <w:rPr>
          <w:b w:val="0"/>
        </w:rPr>
      </w:r>
      <w:bookmarkStart w:name="_bookmark19" w:id="32"/>
      <w:bookmarkEnd w:id="32"/>
      <w:r>
        <w:rPr/>
        <w:t>Ind</w:t>
      </w:r>
      <w:r>
        <w:rPr/>
        <w:t>icadores de desempeño internacionales para la</w:t>
      </w:r>
      <w:r>
        <w:rPr>
          <w:spacing w:val="-21"/>
        </w:rPr>
        <w:t> </w:t>
      </w:r>
      <w:r>
        <w:rPr/>
        <w:t>gobernanza</w:t>
      </w:r>
    </w:p>
    <w:p>
      <w:pPr>
        <w:pStyle w:val="BodyText"/>
        <w:spacing w:before="10"/>
        <w:rPr>
          <w:b/>
          <w:sz w:val="30"/>
        </w:rPr>
      </w:pPr>
    </w:p>
    <w:p>
      <w:pPr>
        <w:pStyle w:val="BodyText"/>
        <w:spacing w:line="360" w:lineRule="auto" w:before="1"/>
        <w:ind w:left="120" w:right="99"/>
        <w:jc w:val="both"/>
      </w:pPr>
      <w:r>
        <w:rPr/>
        <w:t>La evaluación del desempeño del Estado es un tema central en todos los países. La necesidad de maximizar los beneficios al menor costo posible es el parámetro básico</w:t>
      </w:r>
      <w:r>
        <w:rPr>
          <w:spacing w:val="-5"/>
        </w:rPr>
        <w:t> </w:t>
      </w:r>
      <w:r>
        <w:rPr/>
        <w:t>de</w:t>
      </w:r>
      <w:r>
        <w:rPr>
          <w:spacing w:val="-5"/>
        </w:rPr>
        <w:t> </w:t>
      </w:r>
      <w:r>
        <w:rPr/>
        <w:t>la</w:t>
      </w:r>
      <w:r>
        <w:rPr>
          <w:spacing w:val="-5"/>
        </w:rPr>
        <w:t> </w:t>
      </w:r>
      <w:r>
        <w:rPr/>
        <w:t>evaluación</w:t>
      </w:r>
      <w:r>
        <w:rPr>
          <w:spacing w:val="-5"/>
        </w:rPr>
        <w:t> </w:t>
      </w:r>
      <w:r>
        <w:rPr/>
        <w:t>económica</w:t>
      </w:r>
      <w:r>
        <w:rPr>
          <w:spacing w:val="-5"/>
        </w:rPr>
        <w:t> </w:t>
      </w:r>
      <w:r>
        <w:rPr/>
        <w:t>del</w:t>
      </w:r>
      <w:r>
        <w:rPr>
          <w:spacing w:val="-5"/>
        </w:rPr>
        <w:t> </w:t>
      </w:r>
      <w:r>
        <w:rPr/>
        <w:t>desempeño.</w:t>
      </w:r>
      <w:r>
        <w:rPr>
          <w:spacing w:val="-3"/>
        </w:rPr>
        <w:t> </w:t>
      </w:r>
      <w:r>
        <w:rPr/>
        <w:t>La</w:t>
      </w:r>
      <w:r>
        <w:rPr>
          <w:spacing w:val="-5"/>
        </w:rPr>
        <w:t> </w:t>
      </w:r>
      <w:r>
        <w:rPr/>
        <w:t>evaluación</w:t>
      </w:r>
      <w:r>
        <w:rPr>
          <w:spacing w:val="-5"/>
        </w:rPr>
        <w:t> </w:t>
      </w:r>
      <w:r>
        <w:rPr/>
        <w:t>tiene</w:t>
      </w:r>
      <w:r>
        <w:rPr>
          <w:spacing w:val="-5"/>
        </w:rPr>
        <w:t> </w:t>
      </w:r>
      <w:r>
        <w:rPr/>
        <w:t>la</w:t>
      </w:r>
      <w:r>
        <w:rPr>
          <w:spacing w:val="-5"/>
        </w:rPr>
        <w:t> </w:t>
      </w:r>
      <w:r>
        <w:rPr/>
        <w:t>finalidad de conocer en términos generales la forma y el grado de cumplimiento de las políticas y, en cierta medida, presenta la calidad de los bienes y servicios públicos. Los indicadores de desempeño</w:t>
      </w:r>
      <w:r>
        <w:rPr>
          <w:position w:val="8"/>
          <w:sz w:val="16"/>
        </w:rPr>
        <w:t>29 </w:t>
      </w:r>
      <w:r>
        <w:rPr/>
        <w:t>permiten generar una representación simplificada de la realidad y responden a las tres grandes funciones</w:t>
      </w:r>
      <w:r>
        <w:rPr>
          <w:spacing w:val="-30"/>
        </w:rPr>
        <w:t> </w:t>
      </w:r>
      <w:r>
        <w:rPr/>
        <w:t>siguientes:</w:t>
      </w:r>
    </w:p>
    <w:p>
      <w:pPr>
        <w:pStyle w:val="BodyText"/>
      </w:pPr>
    </w:p>
    <w:p>
      <w:pPr>
        <w:pStyle w:val="ListParagraph"/>
        <w:numPr>
          <w:ilvl w:val="2"/>
          <w:numId w:val="22"/>
        </w:numPr>
        <w:tabs>
          <w:tab w:pos="841" w:val="left" w:leader="none"/>
        </w:tabs>
        <w:spacing w:line="360" w:lineRule="auto" w:before="142" w:after="0"/>
        <w:ind w:left="841" w:right="104" w:hanging="361"/>
        <w:jc w:val="both"/>
        <w:rPr>
          <w:sz w:val="24"/>
        </w:rPr>
      </w:pPr>
      <w:r>
        <w:rPr>
          <w:sz w:val="24"/>
        </w:rPr>
        <w:t>Apoyo político: Contribuyen a identificar las prioridades sociales y a evaluar los</w:t>
      </w:r>
      <w:r>
        <w:rPr>
          <w:spacing w:val="-15"/>
          <w:sz w:val="24"/>
        </w:rPr>
        <w:t> </w:t>
      </w:r>
      <w:r>
        <w:rPr>
          <w:sz w:val="24"/>
        </w:rPr>
        <w:t>rendimientos</w:t>
      </w:r>
      <w:r>
        <w:rPr>
          <w:spacing w:val="-12"/>
          <w:sz w:val="24"/>
        </w:rPr>
        <w:t> </w:t>
      </w:r>
      <w:r>
        <w:rPr>
          <w:sz w:val="24"/>
        </w:rPr>
        <w:t>de</w:t>
      </w:r>
      <w:r>
        <w:rPr>
          <w:spacing w:val="-14"/>
          <w:sz w:val="24"/>
        </w:rPr>
        <w:t> </w:t>
      </w:r>
      <w:r>
        <w:rPr>
          <w:sz w:val="24"/>
        </w:rPr>
        <w:t>los</w:t>
      </w:r>
      <w:r>
        <w:rPr>
          <w:spacing w:val="-12"/>
          <w:sz w:val="24"/>
        </w:rPr>
        <w:t> </w:t>
      </w:r>
      <w:r>
        <w:rPr>
          <w:sz w:val="24"/>
        </w:rPr>
        <w:t>actores</w:t>
      </w:r>
      <w:r>
        <w:rPr>
          <w:spacing w:val="-12"/>
          <w:sz w:val="24"/>
        </w:rPr>
        <w:t> </w:t>
      </w:r>
      <w:r>
        <w:rPr>
          <w:sz w:val="24"/>
        </w:rPr>
        <w:t>involucrados</w:t>
      </w:r>
      <w:r>
        <w:rPr>
          <w:spacing w:val="-12"/>
          <w:sz w:val="24"/>
        </w:rPr>
        <w:t> </w:t>
      </w:r>
      <w:r>
        <w:rPr>
          <w:sz w:val="24"/>
        </w:rPr>
        <w:t>en</w:t>
      </w:r>
      <w:r>
        <w:rPr>
          <w:spacing w:val="-17"/>
          <w:sz w:val="24"/>
        </w:rPr>
        <w:t> </w:t>
      </w:r>
      <w:r>
        <w:rPr>
          <w:sz w:val="24"/>
        </w:rPr>
        <w:t>la</w:t>
      </w:r>
      <w:r>
        <w:rPr>
          <w:spacing w:val="-17"/>
          <w:sz w:val="24"/>
        </w:rPr>
        <w:t> </w:t>
      </w:r>
      <w:r>
        <w:rPr>
          <w:sz w:val="24"/>
        </w:rPr>
        <w:t>gobernanza</w:t>
      </w:r>
      <w:r>
        <w:rPr>
          <w:spacing w:val="-17"/>
          <w:sz w:val="24"/>
        </w:rPr>
        <w:t> </w:t>
      </w:r>
      <w:r>
        <w:rPr>
          <w:sz w:val="24"/>
        </w:rPr>
        <w:t>(para</w:t>
      </w:r>
      <w:r>
        <w:rPr>
          <w:spacing w:val="-14"/>
          <w:sz w:val="24"/>
        </w:rPr>
        <w:t> </w:t>
      </w:r>
      <w:r>
        <w:rPr>
          <w:sz w:val="24"/>
        </w:rPr>
        <w:t>elaborar la agenda</w:t>
      </w:r>
      <w:r>
        <w:rPr>
          <w:spacing w:val="-15"/>
          <w:sz w:val="24"/>
        </w:rPr>
        <w:t> </w:t>
      </w:r>
      <w:r>
        <w:rPr>
          <w:sz w:val="24"/>
        </w:rPr>
        <w:t>pública).</w:t>
      </w:r>
    </w:p>
    <w:p>
      <w:pPr>
        <w:pStyle w:val="ListParagraph"/>
        <w:numPr>
          <w:ilvl w:val="2"/>
          <w:numId w:val="22"/>
        </w:numPr>
        <w:tabs>
          <w:tab w:pos="841" w:val="left" w:leader="none"/>
        </w:tabs>
        <w:spacing w:line="360" w:lineRule="auto" w:before="5" w:after="0"/>
        <w:ind w:left="841" w:right="102" w:hanging="361"/>
        <w:jc w:val="both"/>
        <w:rPr>
          <w:sz w:val="24"/>
        </w:rPr>
      </w:pPr>
      <w:r>
        <w:rPr>
          <w:sz w:val="24"/>
        </w:rPr>
        <w:t>Apoyo</w:t>
      </w:r>
      <w:r>
        <w:rPr>
          <w:spacing w:val="-17"/>
          <w:sz w:val="24"/>
        </w:rPr>
        <w:t> </w:t>
      </w:r>
      <w:r>
        <w:rPr>
          <w:sz w:val="24"/>
        </w:rPr>
        <w:t>científico:</w:t>
      </w:r>
      <w:r>
        <w:rPr>
          <w:spacing w:val="-14"/>
          <w:sz w:val="24"/>
        </w:rPr>
        <w:t> </w:t>
      </w:r>
      <w:r>
        <w:rPr>
          <w:sz w:val="24"/>
        </w:rPr>
        <w:t>Describen</w:t>
      </w:r>
      <w:r>
        <w:rPr>
          <w:spacing w:val="-13"/>
          <w:sz w:val="24"/>
        </w:rPr>
        <w:t> </w:t>
      </w:r>
      <w:r>
        <w:rPr>
          <w:sz w:val="24"/>
        </w:rPr>
        <w:t>y</w:t>
      </w:r>
      <w:r>
        <w:rPr>
          <w:spacing w:val="-15"/>
          <w:sz w:val="24"/>
        </w:rPr>
        <w:t> </w:t>
      </w:r>
      <w:r>
        <w:rPr>
          <w:sz w:val="24"/>
        </w:rPr>
        <w:t>explican</w:t>
      </w:r>
      <w:r>
        <w:rPr>
          <w:spacing w:val="-13"/>
          <w:sz w:val="24"/>
        </w:rPr>
        <w:t> </w:t>
      </w:r>
      <w:r>
        <w:rPr>
          <w:sz w:val="24"/>
        </w:rPr>
        <w:t>el</w:t>
      </w:r>
      <w:r>
        <w:rPr>
          <w:spacing w:val="-16"/>
          <w:sz w:val="24"/>
        </w:rPr>
        <w:t> </w:t>
      </w:r>
      <w:r>
        <w:rPr>
          <w:sz w:val="24"/>
        </w:rPr>
        <w:t>desempeño</w:t>
      </w:r>
      <w:r>
        <w:rPr>
          <w:spacing w:val="-17"/>
          <w:sz w:val="24"/>
        </w:rPr>
        <w:t> </w:t>
      </w:r>
      <w:r>
        <w:rPr>
          <w:sz w:val="24"/>
        </w:rPr>
        <w:t>del</w:t>
      </w:r>
      <w:r>
        <w:rPr>
          <w:spacing w:val="-16"/>
          <w:sz w:val="24"/>
        </w:rPr>
        <w:t> </w:t>
      </w:r>
      <w:r>
        <w:rPr>
          <w:sz w:val="24"/>
        </w:rPr>
        <w:t>Estado</w:t>
      </w:r>
      <w:r>
        <w:rPr>
          <w:spacing w:val="-17"/>
          <w:sz w:val="24"/>
        </w:rPr>
        <w:t> </w:t>
      </w:r>
      <w:r>
        <w:rPr>
          <w:sz w:val="24"/>
        </w:rPr>
        <w:t>(humanidad, reciprocidad,</w:t>
      </w:r>
      <w:r>
        <w:rPr>
          <w:spacing w:val="-13"/>
          <w:sz w:val="24"/>
        </w:rPr>
        <w:t> </w:t>
      </w:r>
      <w:r>
        <w:rPr>
          <w:sz w:val="24"/>
        </w:rPr>
        <w:t>respeto</w:t>
      </w:r>
      <w:r>
        <w:rPr>
          <w:spacing w:val="-16"/>
          <w:sz w:val="24"/>
        </w:rPr>
        <w:t> </w:t>
      </w:r>
      <w:r>
        <w:rPr>
          <w:sz w:val="24"/>
        </w:rPr>
        <w:t>por</w:t>
      </w:r>
      <w:r>
        <w:rPr>
          <w:spacing w:val="-14"/>
          <w:sz w:val="24"/>
        </w:rPr>
        <w:t> </w:t>
      </w:r>
      <w:r>
        <w:rPr>
          <w:sz w:val="24"/>
        </w:rPr>
        <w:t>la</w:t>
      </w:r>
      <w:r>
        <w:rPr>
          <w:spacing w:val="-16"/>
          <w:sz w:val="24"/>
        </w:rPr>
        <w:t> </w:t>
      </w:r>
      <w:r>
        <w:rPr>
          <w:sz w:val="24"/>
        </w:rPr>
        <w:t>vida,</w:t>
      </w:r>
      <w:r>
        <w:rPr>
          <w:spacing w:val="-13"/>
          <w:sz w:val="24"/>
        </w:rPr>
        <w:t> </w:t>
      </w:r>
      <w:r>
        <w:rPr>
          <w:sz w:val="24"/>
        </w:rPr>
        <w:t>rechazo</w:t>
      </w:r>
      <w:r>
        <w:rPr>
          <w:spacing w:val="-16"/>
          <w:sz w:val="24"/>
        </w:rPr>
        <w:t> </w:t>
      </w:r>
      <w:r>
        <w:rPr>
          <w:sz w:val="24"/>
        </w:rPr>
        <w:t>de</w:t>
      </w:r>
      <w:r>
        <w:rPr>
          <w:spacing w:val="-16"/>
          <w:sz w:val="24"/>
        </w:rPr>
        <w:t> </w:t>
      </w:r>
      <w:r>
        <w:rPr>
          <w:sz w:val="24"/>
        </w:rPr>
        <w:t>la</w:t>
      </w:r>
      <w:r>
        <w:rPr>
          <w:spacing w:val="-16"/>
          <w:sz w:val="24"/>
        </w:rPr>
        <w:t> </w:t>
      </w:r>
      <w:r>
        <w:rPr>
          <w:sz w:val="24"/>
        </w:rPr>
        <w:t>violencia,</w:t>
      </w:r>
      <w:r>
        <w:rPr>
          <w:spacing w:val="-13"/>
          <w:sz w:val="24"/>
        </w:rPr>
        <w:t> </w:t>
      </w:r>
      <w:r>
        <w:rPr>
          <w:sz w:val="24"/>
        </w:rPr>
        <w:t>solidaridad,</w:t>
      </w:r>
      <w:r>
        <w:rPr>
          <w:spacing w:val="-13"/>
          <w:sz w:val="24"/>
        </w:rPr>
        <w:t> </w:t>
      </w:r>
      <w:r>
        <w:rPr>
          <w:sz w:val="24"/>
        </w:rPr>
        <w:t>justicia, tolerancia, veracidad, igualdad de derechos y cooperación, entre</w:t>
      </w:r>
      <w:r>
        <w:rPr>
          <w:spacing w:val="-45"/>
          <w:sz w:val="24"/>
        </w:rPr>
        <w:t> </w:t>
      </w:r>
      <w:r>
        <w:rPr>
          <w:sz w:val="24"/>
        </w:rPr>
        <w:t>otros).</w:t>
      </w:r>
    </w:p>
    <w:p>
      <w:pPr>
        <w:pStyle w:val="ListParagraph"/>
        <w:numPr>
          <w:ilvl w:val="2"/>
          <w:numId w:val="22"/>
        </w:numPr>
        <w:tabs>
          <w:tab w:pos="841" w:val="left" w:leader="none"/>
        </w:tabs>
        <w:spacing w:line="360" w:lineRule="auto" w:before="2" w:after="0"/>
        <w:ind w:left="841" w:right="105" w:hanging="361"/>
        <w:jc w:val="both"/>
        <w:rPr>
          <w:sz w:val="24"/>
        </w:rPr>
      </w:pPr>
      <w:r>
        <w:rPr>
          <w:sz w:val="24"/>
        </w:rPr>
        <w:t>Social: Impacto de las políticas públicas en la sociedad (mediante las auditorías realizadas por las instituciones de rendición de cuentas y su seguimiento).</w:t>
      </w:r>
    </w:p>
    <w:p>
      <w:pPr>
        <w:pStyle w:val="BodyText"/>
      </w:pPr>
    </w:p>
    <w:p>
      <w:pPr>
        <w:pStyle w:val="BodyText"/>
        <w:spacing w:line="357" w:lineRule="auto" w:before="142"/>
        <w:ind w:left="120" w:right="104"/>
        <w:jc w:val="both"/>
        <w:rPr>
          <w:sz w:val="16"/>
        </w:rPr>
      </w:pPr>
      <w:r>
        <w:rPr/>
        <w:t>Una mejor vida de la población debe ser objetivo principal de las políticas públicas, y éstas pueden ofrecer mejores resultados si su análisis se basa en herramientas razonablemente diseñadas para medir el desempeño del Estado.</w:t>
      </w:r>
      <w:r>
        <w:rPr>
          <w:position w:val="8"/>
          <w:sz w:val="16"/>
        </w:rPr>
        <w:t>30</w:t>
      </w:r>
    </w:p>
    <w:p>
      <w:pPr>
        <w:pStyle w:val="BodyText"/>
      </w:pPr>
    </w:p>
    <w:p>
      <w:pPr>
        <w:pStyle w:val="BodyText"/>
        <w:spacing w:line="362" w:lineRule="auto" w:before="141"/>
        <w:ind w:left="120" w:right="100"/>
        <w:jc w:val="both"/>
      </w:pPr>
      <w:r>
        <w:rPr/>
        <w:t>Los indicadores no constituyen ciencia, sólo son un apoyo para analizar los resultados de las políticas públicas y son herramientas de apoyo de la</w:t>
      </w:r>
      <w:r>
        <w:rPr>
          <w:spacing w:val="63"/>
        </w:rPr>
        <w:t> </w:t>
      </w:r>
      <w:r>
        <w:rPr/>
        <w:t>conducción</w:t>
      </w:r>
    </w:p>
    <w:p>
      <w:pPr>
        <w:pStyle w:val="BodyText"/>
        <w:spacing w:before="9"/>
        <w:rPr>
          <w:sz w:val="25"/>
        </w:rPr>
      </w:pPr>
      <w:r>
        <w:rPr/>
        <w:pict>
          <v:line style="position:absolute;mso-position-horizontal-relative:page;mso-position-vertical-relative:paragraph;z-index:2464;mso-wrap-distance-left:0;mso-wrap-distance-right:0" from="85.025002pt,17.219849pt" to="229.075002pt,17.219849pt" stroked="true" strokeweight=".79999pt" strokecolor="#000000">
            <w10:wrap type="topAndBottom"/>
          </v:line>
        </w:pict>
      </w:r>
    </w:p>
    <w:p>
      <w:pPr>
        <w:spacing w:line="266" w:lineRule="auto" w:before="65"/>
        <w:ind w:left="120" w:right="0" w:firstLine="0"/>
        <w:jc w:val="left"/>
        <w:rPr>
          <w:sz w:val="16"/>
        </w:rPr>
      </w:pPr>
      <w:r>
        <w:rPr>
          <w:rFonts w:ascii="Calibri" w:hAnsi="Calibri"/>
          <w:position w:val="8"/>
          <w:sz w:val="14"/>
        </w:rPr>
        <w:t>29</w:t>
      </w:r>
      <w:r>
        <w:rPr>
          <w:sz w:val="16"/>
        </w:rPr>
        <w:t>La</w:t>
      </w:r>
      <w:r>
        <w:rPr>
          <w:spacing w:val="-16"/>
          <w:sz w:val="16"/>
        </w:rPr>
        <w:t> </w:t>
      </w:r>
      <w:r>
        <w:rPr>
          <w:sz w:val="16"/>
        </w:rPr>
        <w:t>OCDE</w:t>
      </w:r>
      <w:r>
        <w:rPr>
          <w:spacing w:val="-13"/>
          <w:sz w:val="16"/>
        </w:rPr>
        <w:t> </w:t>
      </w:r>
      <w:r>
        <w:rPr>
          <w:sz w:val="16"/>
        </w:rPr>
        <w:t>considera</w:t>
      </w:r>
      <w:r>
        <w:rPr>
          <w:spacing w:val="-12"/>
          <w:sz w:val="16"/>
        </w:rPr>
        <w:t> </w:t>
      </w:r>
      <w:r>
        <w:rPr>
          <w:sz w:val="16"/>
        </w:rPr>
        <w:t>que</w:t>
      </w:r>
      <w:r>
        <w:rPr>
          <w:spacing w:val="-12"/>
          <w:sz w:val="16"/>
        </w:rPr>
        <w:t> </w:t>
      </w:r>
      <w:r>
        <w:rPr>
          <w:sz w:val="16"/>
        </w:rPr>
        <w:t>un</w:t>
      </w:r>
      <w:r>
        <w:rPr>
          <w:spacing w:val="-12"/>
          <w:sz w:val="16"/>
        </w:rPr>
        <w:t> </w:t>
      </w:r>
      <w:r>
        <w:rPr>
          <w:sz w:val="16"/>
        </w:rPr>
        <w:t>indicador</w:t>
      </w:r>
      <w:r>
        <w:rPr>
          <w:spacing w:val="-12"/>
          <w:sz w:val="16"/>
        </w:rPr>
        <w:t> </w:t>
      </w:r>
      <w:r>
        <w:rPr>
          <w:sz w:val="16"/>
        </w:rPr>
        <w:t>de</w:t>
      </w:r>
      <w:r>
        <w:rPr>
          <w:spacing w:val="-12"/>
          <w:sz w:val="16"/>
        </w:rPr>
        <w:t> </w:t>
      </w:r>
      <w:r>
        <w:rPr>
          <w:sz w:val="16"/>
        </w:rPr>
        <w:t>desempeño</w:t>
      </w:r>
      <w:r>
        <w:rPr>
          <w:spacing w:val="-12"/>
          <w:sz w:val="16"/>
        </w:rPr>
        <w:t> </w:t>
      </w:r>
      <w:r>
        <w:rPr>
          <w:sz w:val="16"/>
        </w:rPr>
        <w:t>es</w:t>
      </w:r>
      <w:r>
        <w:rPr>
          <w:spacing w:val="-15"/>
          <w:sz w:val="16"/>
        </w:rPr>
        <w:t> </w:t>
      </w:r>
      <w:r>
        <w:rPr>
          <w:sz w:val="16"/>
        </w:rPr>
        <w:t>una</w:t>
      </w:r>
      <w:r>
        <w:rPr>
          <w:spacing w:val="-12"/>
          <w:sz w:val="16"/>
        </w:rPr>
        <w:t> </w:t>
      </w:r>
      <w:r>
        <w:rPr>
          <w:sz w:val="16"/>
        </w:rPr>
        <w:t>“variable</w:t>
      </w:r>
      <w:r>
        <w:rPr>
          <w:spacing w:val="-12"/>
          <w:sz w:val="16"/>
        </w:rPr>
        <w:t> </w:t>
      </w:r>
      <w:r>
        <w:rPr>
          <w:sz w:val="16"/>
        </w:rPr>
        <w:t>que</w:t>
      </w:r>
      <w:r>
        <w:rPr>
          <w:spacing w:val="-16"/>
          <w:sz w:val="16"/>
        </w:rPr>
        <w:t> </w:t>
      </w:r>
      <w:r>
        <w:rPr>
          <w:sz w:val="16"/>
        </w:rPr>
        <w:t>permite</w:t>
      </w:r>
      <w:r>
        <w:rPr>
          <w:spacing w:val="-9"/>
          <w:sz w:val="16"/>
        </w:rPr>
        <w:t> </w:t>
      </w:r>
      <w:r>
        <w:rPr>
          <w:sz w:val="16"/>
        </w:rPr>
        <w:t>verificar</w:t>
      </w:r>
      <w:r>
        <w:rPr>
          <w:spacing w:val="-16"/>
          <w:sz w:val="16"/>
        </w:rPr>
        <w:t> </w:t>
      </w:r>
      <w:r>
        <w:rPr>
          <w:sz w:val="16"/>
        </w:rPr>
        <w:t>cambios</w:t>
      </w:r>
      <w:r>
        <w:rPr>
          <w:spacing w:val="-15"/>
          <w:sz w:val="16"/>
        </w:rPr>
        <w:t> </w:t>
      </w:r>
      <w:r>
        <w:rPr>
          <w:sz w:val="16"/>
        </w:rPr>
        <w:t>debidos</w:t>
      </w:r>
      <w:r>
        <w:rPr>
          <w:spacing w:val="-15"/>
          <w:sz w:val="16"/>
        </w:rPr>
        <w:t> </w:t>
      </w:r>
      <w:r>
        <w:rPr>
          <w:sz w:val="16"/>
        </w:rPr>
        <w:t>a</w:t>
      </w:r>
      <w:r>
        <w:rPr>
          <w:spacing w:val="-12"/>
          <w:sz w:val="16"/>
        </w:rPr>
        <w:t> </w:t>
      </w:r>
      <w:r>
        <w:rPr>
          <w:sz w:val="16"/>
        </w:rPr>
        <w:t>la</w:t>
      </w:r>
      <w:r>
        <w:rPr>
          <w:spacing w:val="-9"/>
          <w:sz w:val="16"/>
        </w:rPr>
        <w:t> </w:t>
      </w:r>
      <w:r>
        <w:rPr>
          <w:sz w:val="16"/>
        </w:rPr>
        <w:t>intervención para el desarrollo o que muestra resultados en relación</w:t>
      </w:r>
      <w:r>
        <w:rPr>
          <w:spacing w:val="-32"/>
          <w:sz w:val="16"/>
        </w:rPr>
        <w:t> </w:t>
      </w:r>
      <w:r>
        <w:rPr>
          <w:sz w:val="16"/>
        </w:rPr>
        <w:t>con lo que se ha planeado”.</w:t>
      </w:r>
    </w:p>
    <w:p>
      <w:pPr>
        <w:spacing w:line="164" w:lineRule="exact" w:before="0"/>
        <w:ind w:left="120" w:right="0" w:firstLine="0"/>
        <w:jc w:val="both"/>
        <w:rPr>
          <w:sz w:val="16"/>
        </w:rPr>
      </w:pPr>
      <w:r>
        <w:rPr>
          <w:sz w:val="16"/>
        </w:rPr>
        <w:t>(OCDE, s.f.) Disponible en: </w:t>
      </w:r>
      <w:hyperlink r:id="rId43">
        <w:r>
          <w:rPr>
            <w:color w:val="0000FF"/>
            <w:sz w:val="16"/>
            <w:u w:val="single" w:color="0000FF"/>
          </w:rPr>
          <w:t>http://www.comminit.com/es/node/209185</w:t>
        </w:r>
      </w:hyperlink>
    </w:p>
    <w:p>
      <w:pPr>
        <w:spacing w:before="0"/>
        <w:ind w:left="120" w:right="0" w:firstLine="0"/>
        <w:jc w:val="both"/>
        <w:rPr>
          <w:sz w:val="16"/>
        </w:rPr>
      </w:pPr>
      <w:r>
        <w:rPr>
          <w:sz w:val="16"/>
        </w:rPr>
        <w:t>[Fecha de consulta: 30 de diciembre, 2015]</w:t>
      </w:r>
    </w:p>
    <w:p>
      <w:pPr>
        <w:spacing w:before="0"/>
        <w:ind w:left="120" w:right="104" w:firstLine="0"/>
        <w:jc w:val="both"/>
        <w:rPr>
          <w:sz w:val="16"/>
        </w:rPr>
      </w:pPr>
      <w:r>
        <w:rPr>
          <w:sz w:val="16"/>
        </w:rPr>
        <w:t>En ese sentido, los indicadores de desempeño se orientan a medir y mejorar la calidad del gasto público mediante la asignación</w:t>
      </w:r>
      <w:r>
        <w:rPr>
          <w:spacing w:val="-8"/>
          <w:sz w:val="16"/>
        </w:rPr>
        <w:t> </w:t>
      </w:r>
      <w:r>
        <w:rPr>
          <w:sz w:val="16"/>
        </w:rPr>
        <w:t>óptima</w:t>
      </w:r>
      <w:r>
        <w:rPr>
          <w:spacing w:val="-8"/>
          <w:sz w:val="16"/>
        </w:rPr>
        <w:t> </w:t>
      </w:r>
      <w:r>
        <w:rPr>
          <w:sz w:val="16"/>
        </w:rPr>
        <w:t>de los</w:t>
      </w:r>
      <w:r>
        <w:rPr>
          <w:spacing w:val="-10"/>
          <w:sz w:val="16"/>
        </w:rPr>
        <w:t> </w:t>
      </w:r>
      <w:r>
        <w:rPr>
          <w:sz w:val="16"/>
        </w:rPr>
        <w:t>recursos</w:t>
      </w:r>
      <w:r>
        <w:rPr>
          <w:spacing w:val="-10"/>
          <w:sz w:val="16"/>
        </w:rPr>
        <w:t> </w:t>
      </w:r>
      <w:r>
        <w:rPr>
          <w:sz w:val="16"/>
        </w:rPr>
        <w:t>escasos</w:t>
      </w:r>
      <w:r>
        <w:rPr>
          <w:spacing w:val="-10"/>
          <w:sz w:val="16"/>
        </w:rPr>
        <w:t> </w:t>
      </w:r>
      <w:r>
        <w:rPr>
          <w:sz w:val="16"/>
        </w:rPr>
        <w:t>(economía),</w:t>
      </w:r>
      <w:r>
        <w:rPr>
          <w:spacing w:val="-4"/>
          <w:sz w:val="16"/>
        </w:rPr>
        <w:t> </w:t>
      </w:r>
      <w:r>
        <w:rPr>
          <w:sz w:val="16"/>
        </w:rPr>
        <w:t>la</w:t>
      </w:r>
      <w:r>
        <w:rPr>
          <w:spacing w:val="-8"/>
          <w:sz w:val="16"/>
        </w:rPr>
        <w:t> </w:t>
      </w:r>
      <w:r>
        <w:rPr>
          <w:sz w:val="16"/>
        </w:rPr>
        <w:t>congruencia</w:t>
      </w:r>
      <w:r>
        <w:rPr>
          <w:spacing w:val="-4"/>
          <w:sz w:val="16"/>
        </w:rPr>
        <w:t> </w:t>
      </w:r>
      <w:r>
        <w:rPr>
          <w:sz w:val="16"/>
        </w:rPr>
        <w:t>de</w:t>
      </w:r>
      <w:r>
        <w:rPr>
          <w:spacing w:val="-4"/>
          <w:sz w:val="16"/>
        </w:rPr>
        <w:t> </w:t>
      </w:r>
      <w:r>
        <w:rPr>
          <w:sz w:val="16"/>
        </w:rPr>
        <w:t>los</w:t>
      </w:r>
      <w:r>
        <w:rPr>
          <w:spacing w:val="-10"/>
          <w:sz w:val="16"/>
        </w:rPr>
        <w:t> </w:t>
      </w:r>
      <w:r>
        <w:rPr>
          <w:sz w:val="16"/>
        </w:rPr>
        <w:t>resultados</w:t>
      </w:r>
      <w:r>
        <w:rPr>
          <w:spacing w:val="-10"/>
          <w:sz w:val="16"/>
        </w:rPr>
        <w:t> </w:t>
      </w:r>
      <w:r>
        <w:rPr>
          <w:sz w:val="16"/>
        </w:rPr>
        <w:t>con</w:t>
      </w:r>
      <w:r>
        <w:rPr>
          <w:spacing w:val="-3"/>
          <w:sz w:val="16"/>
        </w:rPr>
        <w:t> </w:t>
      </w:r>
      <w:r>
        <w:rPr>
          <w:sz w:val="16"/>
        </w:rPr>
        <w:t>los</w:t>
      </w:r>
      <w:r>
        <w:rPr>
          <w:spacing w:val="-10"/>
          <w:sz w:val="16"/>
        </w:rPr>
        <w:t> </w:t>
      </w:r>
      <w:r>
        <w:rPr>
          <w:sz w:val="16"/>
        </w:rPr>
        <w:t>objetivos</w:t>
      </w:r>
      <w:r>
        <w:rPr>
          <w:spacing w:val="-10"/>
          <w:sz w:val="16"/>
        </w:rPr>
        <w:t> </w:t>
      </w:r>
      <w:r>
        <w:rPr>
          <w:sz w:val="16"/>
        </w:rPr>
        <w:t>políticos</w:t>
      </w:r>
      <w:r>
        <w:rPr>
          <w:spacing w:val="-7"/>
          <w:sz w:val="16"/>
        </w:rPr>
        <w:t> </w:t>
      </w:r>
      <w:r>
        <w:rPr>
          <w:sz w:val="16"/>
        </w:rPr>
        <w:t>y</w:t>
      </w:r>
      <w:r>
        <w:rPr>
          <w:spacing w:val="-3"/>
          <w:sz w:val="16"/>
        </w:rPr>
        <w:t> </w:t>
      </w:r>
      <w:r>
        <w:rPr>
          <w:sz w:val="16"/>
        </w:rPr>
        <w:t>sociales (eficacia) y mejorar la eficiencia de los recursos públicos. Un objetivo secundario de los indicadores de desempeño es el presentar información a los políticos en la toma de</w:t>
      </w:r>
      <w:r>
        <w:rPr>
          <w:spacing w:val="-28"/>
          <w:sz w:val="16"/>
        </w:rPr>
        <w:t> </w:t>
      </w:r>
      <w:r>
        <w:rPr>
          <w:sz w:val="16"/>
        </w:rPr>
        <w:t>decisiones.</w:t>
      </w:r>
    </w:p>
    <w:p>
      <w:pPr>
        <w:spacing w:line="256" w:lineRule="auto" w:before="0"/>
        <w:ind w:left="120" w:right="838" w:firstLine="0"/>
        <w:jc w:val="left"/>
        <w:rPr>
          <w:sz w:val="16"/>
        </w:rPr>
      </w:pPr>
      <w:r>
        <w:rPr>
          <w:rFonts w:ascii="Times New Roman"/>
          <w:position w:val="7"/>
          <w:sz w:val="13"/>
        </w:rPr>
        <w:t>30</w:t>
      </w:r>
      <w:r>
        <w:rPr>
          <w:i/>
          <w:sz w:val="16"/>
        </w:rPr>
        <w:t>New Economics Fundation, The Happy Planet Index: 2012 report. A global index of sustaintable well-being</w:t>
      </w:r>
      <w:r>
        <w:rPr>
          <w:sz w:val="16"/>
        </w:rPr>
        <w:t>, p. 4. Disponible en: </w:t>
      </w:r>
      <w:hyperlink r:id="rId44">
        <w:r>
          <w:rPr>
            <w:sz w:val="16"/>
          </w:rPr>
          <w:t>http://www.happyplanetindex.org/assets/happy-planet-index-report.pdf</w:t>
        </w:r>
      </w:hyperlink>
    </w:p>
    <w:p>
      <w:pPr>
        <w:spacing w:after="0" w:line="256" w:lineRule="auto"/>
        <w:jc w:val="left"/>
        <w:rPr>
          <w:sz w:val="16"/>
        </w:rPr>
        <w:sectPr>
          <w:pgSz w:w="12240" w:h="15840"/>
          <w:pgMar w:header="0" w:footer="998" w:top="1360" w:bottom="1180" w:left="1580" w:right="1600"/>
        </w:sectPr>
      </w:pPr>
    </w:p>
    <w:p>
      <w:pPr>
        <w:pStyle w:val="BodyText"/>
        <w:spacing w:line="360" w:lineRule="auto" w:before="55"/>
        <w:ind w:left="120" w:right="120"/>
        <w:jc w:val="both"/>
      </w:pPr>
      <w:r>
        <w:rPr/>
        <w:t>política. Toda sociedad democrática actual exige dos grandes funciones: la evaluación del Estado (presentado caso mediante los indicadores) y el debate público sobre la calidad de la política.</w:t>
      </w:r>
    </w:p>
    <w:p>
      <w:pPr>
        <w:pStyle w:val="BodyText"/>
        <w:spacing w:line="360" w:lineRule="auto" w:before="6"/>
        <w:ind w:left="120" w:right="118" w:firstLine="427"/>
        <w:jc w:val="both"/>
      </w:pPr>
      <w:r>
        <w:rPr/>
        <w:t>Varios de los indicadores presentados son altamente integrales debido a las variables</w:t>
      </w:r>
      <w:r>
        <w:rPr>
          <w:spacing w:val="-9"/>
        </w:rPr>
        <w:t> </w:t>
      </w:r>
      <w:r>
        <w:rPr/>
        <w:t>múltiples</w:t>
      </w:r>
      <w:r>
        <w:rPr>
          <w:spacing w:val="-9"/>
        </w:rPr>
        <w:t> </w:t>
      </w:r>
      <w:r>
        <w:rPr/>
        <w:t>que</w:t>
      </w:r>
      <w:r>
        <w:rPr>
          <w:spacing w:val="-10"/>
        </w:rPr>
        <w:t> </w:t>
      </w:r>
      <w:r>
        <w:rPr/>
        <w:t>los</w:t>
      </w:r>
      <w:r>
        <w:rPr>
          <w:spacing w:val="-11"/>
        </w:rPr>
        <w:t> </w:t>
      </w:r>
      <w:r>
        <w:rPr/>
        <w:t>componen</w:t>
      </w:r>
      <w:r>
        <w:rPr>
          <w:spacing w:val="-9"/>
        </w:rPr>
        <w:t> </w:t>
      </w:r>
      <w:r>
        <w:rPr/>
        <w:t>(indicadores</w:t>
      </w:r>
      <w:r>
        <w:rPr>
          <w:spacing w:val="-12"/>
        </w:rPr>
        <w:t> </w:t>
      </w:r>
      <w:r>
        <w:rPr/>
        <w:t>sintéticos)</w:t>
      </w:r>
      <w:r>
        <w:rPr>
          <w:spacing w:val="-9"/>
        </w:rPr>
        <w:t> </w:t>
      </w:r>
      <w:r>
        <w:rPr/>
        <w:t>debido</w:t>
      </w:r>
      <w:r>
        <w:rPr>
          <w:spacing w:val="-10"/>
        </w:rPr>
        <w:t> </w:t>
      </w:r>
      <w:r>
        <w:rPr/>
        <w:t>a</w:t>
      </w:r>
      <w:r>
        <w:rPr>
          <w:spacing w:val="-14"/>
        </w:rPr>
        <w:t> </w:t>
      </w:r>
      <w:r>
        <w:rPr/>
        <w:t>los</w:t>
      </w:r>
      <w:r>
        <w:rPr>
          <w:spacing w:val="-12"/>
        </w:rPr>
        <w:t> </w:t>
      </w:r>
      <w:r>
        <w:rPr/>
        <w:t>objetivos de medición y la rigurosidad metodológica que los embiste. Aunque las</w:t>
      </w:r>
      <w:r>
        <w:rPr>
          <w:spacing w:val="-40"/>
        </w:rPr>
        <w:t> </w:t>
      </w:r>
      <w:r>
        <w:rPr/>
        <w:t>mediciones siempre son perfectibles, la simplificación de los fenómenos que se presenta mediante los índices e indicadores</w:t>
      </w:r>
      <w:r>
        <w:rPr>
          <w:position w:val="8"/>
          <w:sz w:val="16"/>
        </w:rPr>
        <w:t>31</w:t>
      </w:r>
      <w:r>
        <w:rPr/>
        <w:t>pueden ser útiles para diagnosticar y orientar las políticas</w:t>
      </w:r>
      <w:r>
        <w:rPr>
          <w:spacing w:val="-17"/>
        </w:rPr>
        <w:t> </w:t>
      </w:r>
      <w:r>
        <w:rPr/>
        <w:t>públicas.</w:t>
      </w:r>
    </w:p>
    <w:p>
      <w:pPr>
        <w:pStyle w:val="BodyText"/>
        <w:spacing w:line="360" w:lineRule="auto" w:before="6"/>
        <w:ind w:left="120" w:right="116" w:firstLine="427"/>
        <w:jc w:val="both"/>
      </w:pPr>
      <w:r>
        <w:rPr/>
        <w:t>En la actualidad las economías han implementado el uso </w:t>
      </w:r>
      <w:r>
        <w:rPr>
          <w:spacing w:val="3"/>
        </w:rPr>
        <w:t>de </w:t>
      </w:r>
      <w:r>
        <w:rPr/>
        <w:t>indicadores, instrumentos de medición que les permiten situarse en el espacio (comparando los rendimientos de un país con respecto a otros) y en el tiempo (trazando su propia evolución). </w:t>
      </w:r>
      <w:r>
        <w:rPr>
          <w:spacing w:val="-2"/>
        </w:rPr>
        <w:t>Más </w:t>
      </w:r>
      <w:r>
        <w:rPr/>
        <w:t>allá de la información que brindan los indicadores, no se pretende lograr</w:t>
      </w:r>
      <w:r>
        <w:rPr>
          <w:spacing w:val="-7"/>
        </w:rPr>
        <w:t> </w:t>
      </w:r>
      <w:r>
        <w:rPr/>
        <w:t>una</w:t>
      </w:r>
      <w:r>
        <w:rPr>
          <w:spacing w:val="-9"/>
        </w:rPr>
        <w:t> </w:t>
      </w:r>
      <w:r>
        <w:rPr/>
        <w:t>descripción</w:t>
      </w:r>
      <w:r>
        <w:rPr>
          <w:spacing w:val="-13"/>
        </w:rPr>
        <w:t> </w:t>
      </w:r>
      <w:r>
        <w:rPr/>
        <w:t>exhaustiva</w:t>
      </w:r>
      <w:r>
        <w:rPr>
          <w:spacing w:val="-11"/>
        </w:rPr>
        <w:t> </w:t>
      </w:r>
      <w:r>
        <w:rPr/>
        <w:t>del</w:t>
      </w:r>
      <w:r>
        <w:rPr>
          <w:spacing w:val="-8"/>
        </w:rPr>
        <w:t> </w:t>
      </w:r>
      <w:r>
        <w:rPr/>
        <w:t>desempeño</w:t>
      </w:r>
      <w:r>
        <w:rPr>
          <w:spacing w:val="-13"/>
        </w:rPr>
        <w:t> </w:t>
      </w:r>
      <w:r>
        <w:rPr/>
        <w:t>de</w:t>
      </w:r>
      <w:r>
        <w:rPr>
          <w:spacing w:val="-13"/>
        </w:rPr>
        <w:t> </w:t>
      </w:r>
      <w:r>
        <w:rPr/>
        <w:t>los</w:t>
      </w:r>
      <w:r>
        <w:rPr>
          <w:spacing w:val="-11"/>
        </w:rPr>
        <w:t> </w:t>
      </w:r>
      <w:r>
        <w:rPr/>
        <w:t>Estados,</w:t>
      </w:r>
      <w:r>
        <w:rPr>
          <w:spacing w:val="-10"/>
        </w:rPr>
        <w:t> </w:t>
      </w:r>
      <w:r>
        <w:rPr/>
        <w:t>sino</w:t>
      </w:r>
      <w:r>
        <w:rPr>
          <w:spacing w:val="-13"/>
        </w:rPr>
        <w:t> </w:t>
      </w:r>
      <w:r>
        <w:rPr/>
        <w:t>proporcionar algunos indicios a los actores sobre la política. El análisis comparativo de las variables entre países, sirve para identificar fortalezas y</w:t>
      </w:r>
      <w:r>
        <w:rPr>
          <w:spacing w:val="-37"/>
        </w:rPr>
        <w:t> </w:t>
      </w:r>
      <w:r>
        <w:rPr/>
        <w:t>debilidades.</w:t>
      </w:r>
    </w:p>
    <w:p>
      <w:pPr>
        <w:pStyle w:val="BodyText"/>
        <w:spacing w:line="360" w:lineRule="auto" w:before="2"/>
        <w:ind w:left="120" w:right="124" w:firstLine="427"/>
        <w:jc w:val="both"/>
      </w:pPr>
      <w:r>
        <w:rPr/>
        <w:t>Si bien se presentan las posiciones de los países, muchas organizaciones advierten que esto no siempre significa una mejor o peor situación, sino un mayor avance o percepción. En los siguientes índices e indicadores se presentan las posiciones de Alemania, España, Estados Unidos, México y Reino Unido (en aquellos casos en los que existe la información) y los tres países que se sitúan en los primeros lugares, para contar con un panorama más completo. Más que una clasificación, lo que se plantea con el análisis de los indicadores son las posibles fortalezas y debilidades los Estado-Nación hacia el logro de un mejor gobierno.</w:t>
      </w:r>
    </w:p>
    <w:p>
      <w:pPr>
        <w:pStyle w:val="BodyText"/>
        <w:spacing w:line="360" w:lineRule="auto" w:before="2"/>
        <w:ind w:left="120" w:right="123" w:firstLine="427"/>
        <w:jc w:val="both"/>
      </w:pPr>
      <w:r>
        <w:rPr/>
        <w:t>Para el análisis conjunto de las tres variables de estudio (política, el Estado y rendición de cuentas) se presentan los indicadores internacionales, regionales y nacionales,</w:t>
      </w:r>
      <w:r>
        <w:rPr>
          <w:spacing w:val="-11"/>
        </w:rPr>
        <w:t> </w:t>
      </w:r>
      <w:r>
        <w:rPr/>
        <w:t>que</w:t>
      </w:r>
      <w:r>
        <w:rPr>
          <w:spacing w:val="-14"/>
        </w:rPr>
        <w:t> </w:t>
      </w:r>
      <w:r>
        <w:rPr/>
        <w:t>están</w:t>
      </w:r>
      <w:r>
        <w:rPr>
          <w:spacing w:val="-14"/>
        </w:rPr>
        <w:t> </w:t>
      </w:r>
      <w:r>
        <w:rPr/>
        <w:t>relacionadas</w:t>
      </w:r>
      <w:r>
        <w:rPr>
          <w:spacing w:val="-12"/>
        </w:rPr>
        <w:t> </w:t>
      </w:r>
      <w:r>
        <w:rPr/>
        <w:t>con</w:t>
      </w:r>
      <w:r>
        <w:rPr>
          <w:spacing w:val="-14"/>
        </w:rPr>
        <w:t> </w:t>
      </w:r>
      <w:r>
        <w:rPr/>
        <w:t>el</w:t>
      </w:r>
      <w:r>
        <w:rPr>
          <w:spacing w:val="-13"/>
        </w:rPr>
        <w:t> </w:t>
      </w:r>
      <w:r>
        <w:rPr/>
        <w:t>fin</w:t>
      </w:r>
      <w:r>
        <w:rPr>
          <w:spacing w:val="-14"/>
        </w:rPr>
        <w:t> </w:t>
      </w:r>
      <w:r>
        <w:rPr/>
        <w:t>último</w:t>
      </w:r>
      <w:r>
        <w:rPr>
          <w:spacing w:val="-14"/>
        </w:rPr>
        <w:t> </w:t>
      </w:r>
      <w:r>
        <w:rPr/>
        <w:t>de</w:t>
      </w:r>
      <w:r>
        <w:rPr>
          <w:spacing w:val="-14"/>
        </w:rPr>
        <w:t> </w:t>
      </w:r>
      <w:r>
        <w:rPr/>
        <w:t>cuantificar</w:t>
      </w:r>
      <w:r>
        <w:rPr>
          <w:spacing w:val="-12"/>
        </w:rPr>
        <w:t> </w:t>
      </w:r>
      <w:r>
        <w:rPr/>
        <w:t>el</w:t>
      </w:r>
      <w:r>
        <w:rPr>
          <w:spacing w:val="-13"/>
        </w:rPr>
        <w:t> </w:t>
      </w:r>
      <w:r>
        <w:rPr/>
        <w:t>desempeño</w:t>
      </w:r>
      <w:r>
        <w:rPr>
          <w:spacing w:val="-14"/>
        </w:rPr>
        <w:t> </w:t>
      </w:r>
      <w:r>
        <w:rPr/>
        <w:t>del Estado.</w:t>
      </w: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2488;mso-wrap-distance-left:0;mso-wrap-distance-right:0" from="85.025002pt,10.281847pt" to="229.075002pt,10.281847pt" stroked="true" strokeweight=".79999pt" strokecolor="#000000">
            <w10:wrap type="topAndBottom"/>
          </v:line>
        </w:pict>
      </w:r>
    </w:p>
    <w:p>
      <w:pPr>
        <w:spacing w:line="256" w:lineRule="auto" w:before="59"/>
        <w:ind w:left="120" w:right="0" w:firstLine="0"/>
        <w:jc w:val="left"/>
        <w:rPr>
          <w:sz w:val="16"/>
        </w:rPr>
      </w:pPr>
      <w:r>
        <w:rPr>
          <w:rFonts w:ascii="Times New Roman" w:hAnsi="Times New Roman"/>
          <w:position w:val="7"/>
          <w:sz w:val="13"/>
        </w:rPr>
        <w:t>31 </w:t>
      </w:r>
      <w:r>
        <w:rPr>
          <w:sz w:val="16"/>
        </w:rPr>
        <w:t>En expresión matemática, los índices se presentan en una escala de 0 a 1, mientras que los indicadores de 0 a 100, sin embargo, las escalas de medición corresponden a la metodología e información presentada por cada institución.</w:t>
      </w:r>
    </w:p>
    <w:p>
      <w:pPr>
        <w:spacing w:after="0" w:line="256" w:lineRule="auto"/>
        <w:jc w:val="left"/>
        <w:rPr>
          <w:sz w:val="16"/>
        </w:rPr>
        <w:sectPr>
          <w:pgSz w:w="12240" w:h="15840"/>
          <w:pgMar w:header="0" w:footer="998" w:top="1360" w:bottom="1180" w:left="1580" w:right="1580"/>
        </w:sectPr>
      </w:pPr>
    </w:p>
    <w:p>
      <w:pPr>
        <w:pStyle w:val="ListParagraph"/>
        <w:numPr>
          <w:ilvl w:val="0"/>
          <w:numId w:val="23"/>
        </w:numPr>
        <w:tabs>
          <w:tab w:pos="1181" w:val="left" w:leader="none"/>
        </w:tabs>
        <w:spacing w:line="240" w:lineRule="auto" w:before="55" w:after="0"/>
        <w:ind w:left="1181" w:right="0" w:hanging="360"/>
        <w:jc w:val="left"/>
        <w:rPr>
          <w:sz w:val="24"/>
        </w:rPr>
      </w:pPr>
      <w:r>
        <w:rPr>
          <w:sz w:val="24"/>
        </w:rPr>
        <w:t>Variable dependiente: Desempeño del Estado</w:t>
      </w:r>
      <w:r>
        <w:rPr>
          <w:spacing w:val="-25"/>
          <w:sz w:val="24"/>
        </w:rPr>
        <w:t> </w:t>
      </w:r>
      <w:r>
        <w:rPr>
          <w:sz w:val="24"/>
        </w:rPr>
        <w:t>(DE)</w:t>
      </w:r>
    </w:p>
    <w:p>
      <w:pPr>
        <w:pStyle w:val="ListParagraph"/>
        <w:numPr>
          <w:ilvl w:val="0"/>
          <w:numId w:val="23"/>
        </w:numPr>
        <w:tabs>
          <w:tab w:pos="1181" w:val="left" w:leader="none"/>
        </w:tabs>
        <w:spacing w:line="360" w:lineRule="auto" w:before="140" w:after="0"/>
        <w:ind w:left="1181" w:right="102" w:hanging="360"/>
        <w:jc w:val="both"/>
        <w:rPr>
          <w:sz w:val="24"/>
        </w:rPr>
      </w:pPr>
      <w:r>
        <w:rPr>
          <w:sz w:val="24"/>
        </w:rPr>
        <w:t>Variables independientes: Corrupción (C), Transparencia (T), Fiscalización (F), Calidad institucional (CI), Buen Gobierno (BG) y Rendición de Cuentas</w:t>
      </w:r>
      <w:r>
        <w:rPr>
          <w:spacing w:val="-16"/>
          <w:sz w:val="24"/>
        </w:rPr>
        <w:t> </w:t>
      </w:r>
      <w:r>
        <w:rPr>
          <w:sz w:val="24"/>
        </w:rPr>
        <w:t>(RC)</w:t>
      </w:r>
    </w:p>
    <w:p>
      <w:pPr>
        <w:pStyle w:val="BodyText"/>
      </w:pPr>
    </w:p>
    <w:p>
      <w:pPr>
        <w:pStyle w:val="BodyText"/>
        <w:spacing w:line="357" w:lineRule="auto" w:before="142"/>
        <w:ind w:left="100" w:right="105" w:firstLine="427"/>
        <w:jc w:val="both"/>
      </w:pPr>
      <w:r>
        <w:rPr/>
        <w:t>La</w:t>
      </w:r>
      <w:r>
        <w:rPr>
          <w:spacing w:val="-5"/>
        </w:rPr>
        <w:t> </w:t>
      </w:r>
      <w:r>
        <w:rPr/>
        <w:t>siguiente</w:t>
      </w:r>
      <w:r>
        <w:rPr>
          <w:spacing w:val="-5"/>
        </w:rPr>
        <w:t> </w:t>
      </w:r>
      <w:r>
        <w:rPr/>
        <w:t>expresión</w:t>
      </w:r>
      <w:r>
        <w:rPr>
          <w:spacing w:val="-5"/>
        </w:rPr>
        <w:t> </w:t>
      </w:r>
      <w:r>
        <w:rPr/>
        <w:t>establece</w:t>
      </w:r>
      <w:r>
        <w:rPr>
          <w:spacing w:val="-5"/>
        </w:rPr>
        <w:t> </w:t>
      </w:r>
      <w:r>
        <w:rPr/>
        <w:t>la</w:t>
      </w:r>
      <w:r>
        <w:rPr>
          <w:spacing w:val="-5"/>
        </w:rPr>
        <w:t> </w:t>
      </w:r>
      <w:r>
        <w:rPr/>
        <w:t>relación</w:t>
      </w:r>
      <w:r>
        <w:rPr>
          <w:spacing w:val="-5"/>
        </w:rPr>
        <w:t> </w:t>
      </w:r>
      <w:r>
        <w:rPr/>
        <w:t>positiva</w:t>
      </w:r>
      <w:r>
        <w:rPr>
          <w:spacing w:val="-5"/>
        </w:rPr>
        <w:t> </w:t>
      </w:r>
      <w:r>
        <w:rPr/>
        <w:t>o</w:t>
      </w:r>
      <w:r>
        <w:rPr>
          <w:spacing w:val="-5"/>
        </w:rPr>
        <w:t> </w:t>
      </w:r>
      <w:r>
        <w:rPr/>
        <w:t>negativa</w:t>
      </w:r>
      <w:r>
        <w:rPr>
          <w:spacing w:val="-5"/>
        </w:rPr>
        <w:t> </w:t>
      </w:r>
      <w:r>
        <w:rPr/>
        <w:t>(subíndices)</w:t>
      </w:r>
      <w:r>
        <w:rPr>
          <w:spacing w:val="-4"/>
        </w:rPr>
        <w:t> </w:t>
      </w:r>
      <w:r>
        <w:rPr/>
        <w:t>de cada variable independiente con la</w:t>
      </w:r>
      <w:r>
        <w:rPr>
          <w:spacing w:val="-28"/>
        </w:rPr>
        <w:t> </w:t>
      </w:r>
      <w:r>
        <w:rPr/>
        <w:t>dependiente:</w:t>
      </w:r>
    </w:p>
    <w:p>
      <w:pPr>
        <w:spacing w:before="210"/>
        <w:ind w:left="2685" w:right="0" w:firstLine="0"/>
        <w:jc w:val="left"/>
        <w:rPr>
          <w:sz w:val="16"/>
        </w:rPr>
      </w:pPr>
      <w:r>
        <w:rPr>
          <w:position w:val="1"/>
          <w:sz w:val="24"/>
        </w:rPr>
        <w:t>DE: C</w:t>
      </w:r>
      <w:r>
        <w:rPr>
          <w:sz w:val="16"/>
        </w:rPr>
        <w:t>- </w:t>
      </w:r>
      <w:r>
        <w:rPr>
          <w:position w:val="1"/>
          <w:sz w:val="24"/>
        </w:rPr>
        <w:t>+ T</w:t>
      </w:r>
      <w:r>
        <w:rPr>
          <w:sz w:val="16"/>
        </w:rPr>
        <w:t>+ </w:t>
      </w:r>
      <w:r>
        <w:rPr>
          <w:position w:val="1"/>
          <w:sz w:val="24"/>
        </w:rPr>
        <w:t>+ F</w:t>
      </w:r>
      <w:r>
        <w:rPr>
          <w:sz w:val="16"/>
        </w:rPr>
        <w:t>+ </w:t>
      </w:r>
      <w:r>
        <w:rPr>
          <w:position w:val="1"/>
          <w:sz w:val="24"/>
        </w:rPr>
        <w:t>+ CI</w:t>
      </w:r>
      <w:r>
        <w:rPr>
          <w:sz w:val="16"/>
        </w:rPr>
        <w:t>+ </w:t>
      </w:r>
      <w:r>
        <w:rPr>
          <w:position w:val="1"/>
          <w:sz w:val="24"/>
        </w:rPr>
        <w:t>+ BG</w:t>
      </w:r>
      <w:r>
        <w:rPr>
          <w:sz w:val="16"/>
        </w:rPr>
        <w:t>+ </w:t>
      </w:r>
      <w:r>
        <w:rPr>
          <w:position w:val="1"/>
          <w:sz w:val="24"/>
        </w:rPr>
        <w:t>+ RC</w:t>
      </w:r>
      <w:r>
        <w:rPr>
          <w:sz w:val="16"/>
        </w:rPr>
        <w:t>+</w:t>
      </w:r>
    </w:p>
    <w:p>
      <w:pPr>
        <w:pStyle w:val="BodyText"/>
        <w:rPr>
          <w:sz w:val="29"/>
        </w:rPr>
      </w:pPr>
    </w:p>
    <w:p>
      <w:pPr>
        <w:pStyle w:val="BodyText"/>
        <w:spacing w:line="360" w:lineRule="auto" w:before="1"/>
        <w:ind w:left="100" w:right="102" w:firstLine="427"/>
        <w:jc w:val="both"/>
      </w:pPr>
      <w:r>
        <w:rPr/>
        <w:t>Como primera aproximación, se presenta en análisis de los indicadores internacionales DE, C, T, CI, BG y RC; posteriormente se analizan indicadores regionales y nacionales de las variables T (y RC), C, F y CI.</w:t>
      </w:r>
    </w:p>
    <w:p>
      <w:pPr>
        <w:pStyle w:val="BodyText"/>
      </w:pPr>
    </w:p>
    <w:p>
      <w:pPr>
        <w:pStyle w:val="BodyText"/>
      </w:pPr>
    </w:p>
    <w:p>
      <w:pPr>
        <w:pStyle w:val="BodyText"/>
      </w:pPr>
    </w:p>
    <w:p>
      <w:pPr>
        <w:pStyle w:val="Heading3"/>
        <w:spacing w:before="174"/>
        <w:ind w:left="100"/>
      </w:pPr>
      <w:bookmarkStart w:name="_bookmark20" w:id="33"/>
      <w:bookmarkEnd w:id="33"/>
      <w:r>
        <w:rPr>
          <w:b w:val="0"/>
        </w:rPr>
      </w:r>
      <w:r>
        <w:rPr/>
        <w:t>1.4.1 Análisis de indicadores internacionales</w:t>
      </w:r>
    </w:p>
    <w:p>
      <w:pPr>
        <w:pStyle w:val="BodyText"/>
        <w:rPr>
          <w:b/>
        </w:rPr>
      </w:pPr>
    </w:p>
    <w:p>
      <w:pPr>
        <w:pStyle w:val="BodyText"/>
        <w:spacing w:line="360" w:lineRule="auto" w:before="184"/>
        <w:ind w:left="100" w:right="100"/>
        <w:jc w:val="both"/>
      </w:pPr>
      <w:r>
        <w:rPr/>
        <w:t>Para este análisis internacional se realizó una discriminación de indicadores y se consideran como indicadores líderes a tres que integran el mayor número de variables: el índice de gobernanza mundial, publicado por el </w:t>
      </w:r>
      <w:r>
        <w:rPr>
          <w:i/>
        </w:rPr>
        <w:t>Forumfor a new </w:t>
      </w:r>
      <w:r>
        <w:rPr>
          <w:i/>
        </w:rPr>
        <w:t>WorldGovernance </w:t>
      </w:r>
      <w:r>
        <w:rPr/>
        <w:t>(Foro por una nueva Gobernanza Mundial), los indicadores mundiales</w:t>
      </w:r>
      <w:r>
        <w:rPr>
          <w:spacing w:val="-15"/>
        </w:rPr>
        <w:t> </w:t>
      </w:r>
      <w:r>
        <w:rPr/>
        <w:t>de</w:t>
      </w:r>
      <w:r>
        <w:rPr>
          <w:spacing w:val="-17"/>
        </w:rPr>
        <w:t> </w:t>
      </w:r>
      <w:r>
        <w:rPr/>
        <w:t>gobernabilidad</w:t>
      </w:r>
      <w:r>
        <w:rPr>
          <w:spacing w:val="-17"/>
        </w:rPr>
        <w:t> </w:t>
      </w:r>
      <w:r>
        <w:rPr/>
        <w:t>del</w:t>
      </w:r>
      <w:r>
        <w:rPr>
          <w:spacing w:val="-14"/>
        </w:rPr>
        <w:t> </w:t>
      </w:r>
      <w:r>
        <w:rPr>
          <w:i/>
        </w:rPr>
        <w:t>World</w:t>
      </w:r>
      <w:r>
        <w:rPr>
          <w:i/>
          <w:spacing w:val="-16"/>
        </w:rPr>
        <w:t> </w:t>
      </w:r>
      <w:r>
        <w:rPr>
          <w:i/>
        </w:rPr>
        <w:t>Bank</w:t>
      </w:r>
      <w:r>
        <w:rPr>
          <w:i/>
          <w:spacing w:val="-15"/>
        </w:rPr>
        <w:t> </w:t>
      </w:r>
      <w:r>
        <w:rPr/>
        <w:t>(Banco</w:t>
      </w:r>
      <w:r>
        <w:rPr>
          <w:spacing w:val="-13"/>
        </w:rPr>
        <w:t> </w:t>
      </w:r>
      <w:r>
        <w:rPr/>
        <w:t>Mundial)</w:t>
      </w:r>
      <w:r>
        <w:rPr>
          <w:spacing w:val="-15"/>
        </w:rPr>
        <w:t> </w:t>
      </w:r>
      <w:r>
        <w:rPr/>
        <w:t>y</w:t>
      </w:r>
      <w:r>
        <w:rPr>
          <w:spacing w:val="-19"/>
        </w:rPr>
        <w:t> </w:t>
      </w:r>
      <w:r>
        <w:rPr/>
        <w:t>el</w:t>
      </w:r>
      <w:r>
        <w:rPr>
          <w:spacing w:val="-16"/>
        </w:rPr>
        <w:t> </w:t>
      </w:r>
      <w:r>
        <w:rPr/>
        <w:t>índice</w:t>
      </w:r>
      <w:r>
        <w:rPr>
          <w:spacing w:val="-17"/>
        </w:rPr>
        <w:t> </w:t>
      </w:r>
      <w:r>
        <w:rPr/>
        <w:t>de</w:t>
      </w:r>
      <w:r>
        <w:rPr>
          <w:spacing w:val="-13"/>
        </w:rPr>
        <w:t> </w:t>
      </w:r>
      <w:r>
        <w:rPr/>
        <w:t>Estados fallidos, de </w:t>
      </w:r>
      <w:r>
        <w:rPr>
          <w:i/>
        </w:rPr>
        <w:t>FundforPeace </w:t>
      </w:r>
      <w:r>
        <w:rPr/>
        <w:t>(Fundación para la</w:t>
      </w:r>
      <w:r>
        <w:rPr>
          <w:spacing w:val="-26"/>
        </w:rPr>
        <w:t> </w:t>
      </w:r>
      <w:r>
        <w:rPr/>
        <w:t>Paz).</w:t>
      </w:r>
    </w:p>
    <w:p>
      <w:pPr>
        <w:pStyle w:val="BodyText"/>
        <w:spacing w:line="360" w:lineRule="auto" w:before="10"/>
        <w:ind w:left="100" w:right="104" w:firstLine="427"/>
        <w:jc w:val="both"/>
      </w:pPr>
      <w:r>
        <w:rPr/>
        <w:t>Se considera el estudio histórico de aquellos indicadores que presentan la misma metodología en el tiempo, y en los casos de un cambio metodológico en los cuales la institución advierte que los datos no son comparables con sus estudios anteriores, sólo se muestra la información más reciente.</w:t>
      </w:r>
    </w:p>
    <w:p>
      <w:pPr>
        <w:pStyle w:val="BodyText"/>
        <w:spacing w:line="360" w:lineRule="auto" w:before="2"/>
        <w:ind w:left="100" w:right="105" w:firstLine="427"/>
        <w:jc w:val="both"/>
      </w:pPr>
      <w:r>
        <w:rPr/>
        <w:t>En el esquema siguiente se muestra la relación (positiva o negativa) entre las variables de los indicadores y subindicadores, y en los dos cuadros posteriores se precisan</w:t>
      </w:r>
      <w:r>
        <w:rPr>
          <w:spacing w:val="-10"/>
        </w:rPr>
        <w:t> </w:t>
      </w:r>
      <w:r>
        <w:rPr/>
        <w:t>aquellos</w:t>
      </w:r>
      <w:r>
        <w:rPr>
          <w:spacing w:val="-8"/>
        </w:rPr>
        <w:t> </w:t>
      </w:r>
      <w:r>
        <w:rPr/>
        <w:t>indicadores</w:t>
      </w:r>
      <w:r>
        <w:rPr>
          <w:spacing w:val="-8"/>
        </w:rPr>
        <w:t> </w:t>
      </w:r>
      <w:r>
        <w:rPr/>
        <w:t>que</w:t>
      </w:r>
      <w:r>
        <w:rPr>
          <w:spacing w:val="-10"/>
        </w:rPr>
        <w:t> </w:t>
      </w:r>
      <w:r>
        <w:rPr/>
        <w:t>contienen</w:t>
      </w:r>
      <w:r>
        <w:rPr>
          <w:spacing w:val="-10"/>
        </w:rPr>
        <w:t> </w:t>
      </w:r>
      <w:r>
        <w:rPr/>
        <w:t>subindicadores,</w:t>
      </w:r>
      <w:r>
        <w:rPr>
          <w:spacing w:val="-7"/>
        </w:rPr>
        <w:t> </w:t>
      </w:r>
      <w:r>
        <w:rPr/>
        <w:t>los</w:t>
      </w:r>
      <w:r>
        <w:rPr>
          <w:spacing w:val="-8"/>
        </w:rPr>
        <w:t> </w:t>
      </w:r>
      <w:r>
        <w:rPr/>
        <w:t>cuales</w:t>
      </w:r>
      <w:r>
        <w:rPr>
          <w:spacing w:val="-8"/>
        </w:rPr>
        <w:t> </w:t>
      </w:r>
      <w:r>
        <w:rPr/>
        <w:t>sirven</w:t>
      </w:r>
      <w:r>
        <w:rPr>
          <w:spacing w:val="-10"/>
        </w:rPr>
        <w:t> </w:t>
      </w:r>
      <w:r>
        <w:rPr/>
        <w:t>para precisar el</w:t>
      </w:r>
      <w:r>
        <w:rPr>
          <w:spacing w:val="-12"/>
        </w:rPr>
        <w:t> </w:t>
      </w:r>
      <w:r>
        <w:rPr/>
        <w:t>estatus.</w:t>
      </w:r>
    </w:p>
    <w:p>
      <w:pPr>
        <w:spacing w:after="0" w:line="360" w:lineRule="auto"/>
        <w:jc w:val="both"/>
        <w:sectPr>
          <w:footerReference w:type="default" r:id="rId45"/>
          <w:pgSz w:w="12240" w:h="15840"/>
          <w:pgMar w:footer="998" w:header="0" w:top="1360" w:bottom="1180" w:left="1600" w:right="1600"/>
        </w:sectPr>
      </w:pPr>
    </w:p>
    <w:p>
      <w:pPr>
        <w:spacing w:before="53"/>
        <w:ind w:left="544" w:right="0" w:firstLine="0"/>
        <w:jc w:val="left"/>
        <w:rPr>
          <w:sz w:val="20"/>
        </w:rPr>
      </w:pPr>
      <w:bookmarkStart w:name="_bookmark21" w:id="34"/>
      <w:bookmarkEnd w:id="34"/>
      <w:r>
        <w:rPr/>
      </w:r>
      <w:r>
        <w:rPr>
          <w:sz w:val="20"/>
        </w:rPr>
        <w:t>Esquema 1.2. Relación de índices e indicadores internacionales del desempeño del Estado</w:t>
      </w:r>
    </w:p>
    <w:p>
      <w:pPr>
        <w:pStyle w:val="BodyText"/>
        <w:rPr>
          <w:sz w:val="29"/>
        </w:rPr>
      </w:pPr>
      <w:r>
        <w:rPr/>
        <w:pict>
          <v:shape style="position:absolute;margin-left:99.475937pt;margin-top:19.184551pt;width:414.2pt;height:16pt;mso-position-horizontal-relative:page;mso-position-vertical-relative:paragraph;z-index:2512;mso-wrap-distance-left:0;mso-wrap-distance-right:0" type="#_x0000_t202" filled="false" stroked="true" strokeweight="1.074393pt" strokecolor="#000000">
            <v:textbox inset="0,0,0,0">
              <w:txbxContent>
                <w:p>
                  <w:pPr>
                    <w:spacing w:before="77"/>
                    <w:ind w:left="3018" w:right="2994" w:firstLine="0"/>
                    <w:jc w:val="center"/>
                    <w:rPr>
                      <w:b/>
                      <w:sz w:val="9"/>
                    </w:rPr>
                  </w:pPr>
                  <w:r>
                    <w:rPr>
                      <w:b/>
                      <w:w w:val="110"/>
                      <w:position w:val="2"/>
                      <w:sz w:val="13"/>
                    </w:rPr>
                    <w:t>DE: C</w:t>
                  </w:r>
                  <w:r>
                    <w:rPr>
                      <w:b/>
                      <w:w w:val="110"/>
                      <w:sz w:val="9"/>
                    </w:rPr>
                    <w:t>-  </w:t>
                  </w:r>
                  <w:r>
                    <w:rPr>
                      <w:b/>
                      <w:w w:val="110"/>
                      <w:position w:val="2"/>
                      <w:sz w:val="13"/>
                    </w:rPr>
                    <w:t>+ T</w:t>
                  </w:r>
                  <w:r>
                    <w:rPr>
                      <w:b/>
                      <w:w w:val="110"/>
                      <w:sz w:val="9"/>
                    </w:rPr>
                    <w:t>+ </w:t>
                  </w:r>
                  <w:r>
                    <w:rPr>
                      <w:b/>
                      <w:w w:val="110"/>
                      <w:position w:val="2"/>
                      <w:sz w:val="13"/>
                    </w:rPr>
                    <w:t>+ </w:t>
                  </w:r>
                  <w:r>
                    <w:rPr>
                      <w:b/>
                      <w:color w:val="C00000"/>
                      <w:w w:val="110"/>
                      <w:position w:val="2"/>
                      <w:sz w:val="13"/>
                    </w:rPr>
                    <w:t>F</w:t>
                  </w:r>
                  <w:r>
                    <w:rPr>
                      <w:b/>
                      <w:color w:val="C00000"/>
                      <w:w w:val="110"/>
                      <w:sz w:val="9"/>
                    </w:rPr>
                    <w:t>+ </w:t>
                  </w:r>
                  <w:r>
                    <w:rPr>
                      <w:b/>
                      <w:w w:val="110"/>
                      <w:position w:val="2"/>
                      <w:sz w:val="13"/>
                    </w:rPr>
                    <w:t>+ CI</w:t>
                  </w:r>
                  <w:r>
                    <w:rPr>
                      <w:b/>
                      <w:w w:val="110"/>
                      <w:sz w:val="9"/>
                    </w:rPr>
                    <w:t>+ </w:t>
                  </w:r>
                  <w:r>
                    <w:rPr>
                      <w:b/>
                      <w:w w:val="110"/>
                      <w:position w:val="2"/>
                      <w:sz w:val="13"/>
                    </w:rPr>
                    <w:t>+ BG</w:t>
                  </w:r>
                  <w:r>
                    <w:rPr>
                      <w:b/>
                      <w:w w:val="110"/>
                      <w:sz w:val="9"/>
                    </w:rPr>
                    <w:t>+ </w:t>
                  </w:r>
                  <w:r>
                    <w:rPr>
                      <w:b/>
                      <w:w w:val="110"/>
                      <w:position w:val="2"/>
                      <w:sz w:val="13"/>
                    </w:rPr>
                    <w:t>+ RC</w:t>
                  </w:r>
                  <w:r>
                    <w:rPr>
                      <w:b/>
                      <w:w w:val="110"/>
                      <w:sz w:val="9"/>
                    </w:rPr>
                    <w:t>+</w:t>
                  </w:r>
                </w:p>
              </w:txbxContent>
            </v:textbox>
            <w10:wrap type="topAndBottom"/>
          </v:shape>
        </w:pict>
      </w:r>
    </w:p>
    <w:p>
      <w:pPr>
        <w:pStyle w:val="BodyText"/>
        <w:spacing w:before="2"/>
        <w:rPr>
          <w:sz w:val="8"/>
        </w:rPr>
      </w:pPr>
    </w:p>
    <w:p>
      <w:pPr>
        <w:spacing w:before="83" w:after="3"/>
        <w:ind w:left="6259" w:right="2170" w:firstLine="0"/>
        <w:jc w:val="center"/>
        <w:rPr>
          <w:b/>
          <w:sz w:val="13"/>
        </w:rPr>
      </w:pPr>
      <w:r>
        <w:rPr/>
        <w:pict>
          <v:shape style="position:absolute;margin-left:289.356842pt;margin-top:6.924025pt;width:12.4pt;height:183.95pt;mso-position-horizontal-relative:page;mso-position-vertical-relative:paragraph;z-index:2896" coordorigin="5787,138" coordsize="248,3679" path="m6034,3817l5947,3811,5911,1997,5901,1989,5874,1983,5835,1979,5787,1978,5835,1976,5874,1972,5901,1966,5911,1958,5911,157,5920,150,5947,144,5986,140,6034,138e" filled="false" stroked="true" strokeweight="2.685109pt" strokecolor="#000000">
            <v:path arrowok="t"/>
            <w10:wrap type="none"/>
          </v:shape>
        </w:pict>
      </w:r>
      <w:r>
        <w:rPr>
          <w:b/>
          <w:w w:val="110"/>
          <w:sz w:val="13"/>
        </w:rPr>
        <w:t>Corrupción</w:t>
      </w:r>
    </w:p>
    <w:p>
      <w:pPr>
        <w:pStyle w:val="BodyText"/>
        <w:ind w:left="4567"/>
        <w:rPr>
          <w:sz w:val="20"/>
        </w:rPr>
      </w:pPr>
      <w:r>
        <w:rPr>
          <w:sz w:val="20"/>
        </w:rPr>
        <w:pict>
          <v:group style="width:210.05pt;height:28.25pt;mso-position-horizontal-relative:char;mso-position-vertical-relative:line" coordorigin="0,0" coordsize="4201,565">
            <v:line style="position:absolute" from="350,5" to="4190,5" stroked="true" strokeweight=".498429pt" strokecolor="#000000"/>
            <v:line style="position:absolute" from="344,5" to="4195,5" stroked="true" strokeweight=".498453pt" strokecolor="#000000"/>
            <v:line style="position:absolute" from="350,215" to="4190,215" stroked="true" strokeweight=".498429pt" strokecolor="#000000"/>
            <v:line style="position:absolute" from="344,215" to="4195,215" stroked="true" strokeweight=".498453pt" strokecolor="#000000"/>
            <v:line style="position:absolute" from="350,385" to="4190,385" stroked="true" strokeweight=".498429pt" strokecolor="#000000"/>
            <v:line style="position:absolute" from="344,384" to="4195,384" stroked="true" strokeweight=".498453pt" strokecolor="#000000"/>
            <v:line style="position:absolute" from="350,554" to="4190,554" stroked="true" strokeweight=".498429pt" strokecolor="#000000"/>
            <v:line style="position:absolute" from="344,554" to="4195,554" stroked="true" strokeweight=".498453pt" strokecolor="#000000"/>
            <v:line style="position:absolute" from="4190,15" to="4190,554" stroked="true" strokeweight=".537196pt" strokecolor="#000000"/>
            <v:line style="position:absolute" from="4190,10" to="4190,559" stroked="true" strokeweight=".537197pt" strokecolor="#000000"/>
            <v:shape style="position:absolute;left:339;top:0;width:3862;height:565" type="#_x0000_t202" filled="false" stroked="false">
              <v:textbox inset="0,0,0,0">
                <w:txbxContent>
                  <w:p>
                    <w:pPr>
                      <w:spacing w:before="58"/>
                      <w:ind w:left="26" w:right="0" w:firstLine="0"/>
                      <w:jc w:val="left"/>
                      <w:rPr>
                        <w:sz w:val="13"/>
                      </w:rPr>
                    </w:pPr>
                    <w:r>
                      <w:rPr>
                        <w:w w:val="110"/>
                        <w:sz w:val="13"/>
                      </w:rPr>
                      <w:t>Índice de Opacidad, 2009</w:t>
                    </w:r>
                  </w:p>
                  <w:p>
                    <w:pPr>
                      <w:spacing w:line="273" w:lineRule="auto" w:before="20"/>
                      <w:ind w:left="26" w:right="0" w:firstLine="0"/>
                      <w:jc w:val="left"/>
                      <w:rPr>
                        <w:sz w:val="13"/>
                      </w:rPr>
                    </w:pPr>
                    <w:r>
                      <w:rPr>
                        <w:w w:val="110"/>
                        <w:sz w:val="13"/>
                      </w:rPr>
                      <w:t>Índice Inernacional de Percepción de la Corrupción, 2012 Barómetro Global de la Corrupción, 2012</w:t>
                    </w:r>
                  </w:p>
                </w:txbxContent>
              </v:textbox>
              <w10:wrap type="none"/>
            </v:shape>
            <v:shape style="position:absolute;left:0;top:0;width:345;height:560" type="#_x0000_t202" filled="true" fillcolor="#000000" stroked="false">
              <v:textbox inset="0,0,0,0">
                <w:txbxContent>
                  <w:p>
                    <w:pPr>
                      <w:spacing w:line="240" w:lineRule="auto" w:before="2"/>
                      <w:rPr>
                        <w:b/>
                        <w:sz w:val="17"/>
                      </w:rPr>
                    </w:pPr>
                  </w:p>
                  <w:p>
                    <w:pPr>
                      <w:spacing w:before="0"/>
                      <w:ind w:left="107" w:right="0" w:firstLine="0"/>
                      <w:jc w:val="left"/>
                      <w:rPr>
                        <w:b/>
                        <w:sz w:val="9"/>
                      </w:rPr>
                    </w:pPr>
                    <w:r>
                      <w:rPr>
                        <w:b/>
                        <w:color w:val="FFFFFF"/>
                        <w:w w:val="110"/>
                        <w:position w:val="2"/>
                        <w:sz w:val="13"/>
                      </w:rPr>
                      <w:t>C</w:t>
                    </w:r>
                    <w:r>
                      <w:rPr>
                        <w:b/>
                        <w:color w:val="FFFFFF"/>
                        <w:w w:val="110"/>
                        <w:sz w:val="9"/>
                      </w:rPr>
                      <w:t>-</w:t>
                    </w:r>
                  </w:p>
                </w:txbxContent>
              </v:textbox>
              <v:fill type="solid"/>
              <w10:wrap type="none"/>
            </v:shape>
          </v:group>
        </w:pict>
      </w:r>
      <w:r>
        <w:rPr>
          <w:sz w:val="20"/>
        </w:rPr>
      </w:r>
    </w:p>
    <w:p>
      <w:pPr>
        <w:pStyle w:val="BodyText"/>
        <w:rPr>
          <w:b/>
          <w:sz w:val="15"/>
        </w:rPr>
      </w:pPr>
    </w:p>
    <w:p>
      <w:pPr>
        <w:spacing w:before="0" w:after="3"/>
        <w:ind w:left="0" w:right="2087" w:firstLine="0"/>
        <w:jc w:val="right"/>
        <w:rPr>
          <w:b/>
          <w:sz w:val="13"/>
        </w:rPr>
      </w:pPr>
      <w:r>
        <w:rPr>
          <w:b/>
          <w:w w:val="105"/>
          <w:sz w:val="13"/>
        </w:rPr>
        <w:t>Transparencia</w:t>
      </w:r>
    </w:p>
    <w:p>
      <w:pPr>
        <w:pStyle w:val="BodyText"/>
        <w:ind w:left="4567"/>
        <w:rPr>
          <w:sz w:val="20"/>
        </w:rPr>
      </w:pPr>
      <w:r>
        <w:rPr>
          <w:sz w:val="20"/>
        </w:rPr>
        <w:pict>
          <v:group style="width:210.05pt;height:20.25pt;mso-position-horizontal-relative:char;mso-position-vertical-relative:line" coordorigin="0,0" coordsize="4201,405">
            <v:line style="position:absolute" from="350,5" to="4190,5" stroked="true" strokeweight=".498429pt" strokecolor="#000000"/>
            <v:line style="position:absolute" from="344,5" to="4195,5" stroked="true" strokeweight=".498453pt" strokecolor="#000000"/>
            <v:line style="position:absolute" from="350,225" to="4190,225" stroked="true" strokeweight=".498429pt" strokecolor="#000000"/>
            <v:line style="position:absolute" from="344,225" to="4195,225" stroked="true" strokeweight=".498453pt" strokecolor="#000000"/>
            <v:line style="position:absolute" from="350,395" to="4190,395" stroked="true" strokeweight=".498429pt" strokecolor="#000000"/>
            <v:line style="position:absolute" from="344,394" to="4195,394" stroked="true" strokeweight=".498453pt" strokecolor="#000000"/>
            <v:line style="position:absolute" from="4190,15" to="4190,395" stroked="true" strokeweight=".537196pt" strokecolor="#000000"/>
            <v:line style="position:absolute" from="4190,10" to="4190,399" stroked="true" strokeweight=".537197pt" strokecolor="#000000"/>
            <v:shape style="position:absolute;left:339;top:0;width:3862;height:405" type="#_x0000_t202" filled="false" stroked="false">
              <v:textbox inset="0,0,0,0">
                <w:txbxContent>
                  <w:p>
                    <w:pPr>
                      <w:spacing w:line="273" w:lineRule="auto" w:before="68"/>
                      <w:ind w:left="26" w:right="789" w:firstLine="0"/>
                      <w:jc w:val="left"/>
                      <w:rPr>
                        <w:sz w:val="13"/>
                      </w:rPr>
                    </w:pPr>
                    <w:r>
                      <w:rPr>
                        <w:w w:val="110"/>
                        <w:sz w:val="13"/>
                      </w:rPr>
                      <w:t>Indicador</w:t>
                    </w:r>
                    <w:r>
                      <w:rPr>
                        <w:spacing w:val="-26"/>
                        <w:w w:val="110"/>
                        <w:sz w:val="13"/>
                      </w:rPr>
                      <w:t> </w:t>
                    </w:r>
                    <w:r>
                      <w:rPr>
                        <w:w w:val="110"/>
                        <w:sz w:val="13"/>
                      </w:rPr>
                      <w:t>de</w:t>
                    </w:r>
                    <w:r>
                      <w:rPr>
                        <w:spacing w:val="-26"/>
                        <w:w w:val="110"/>
                        <w:sz w:val="13"/>
                      </w:rPr>
                      <w:t> </w:t>
                    </w:r>
                    <w:r>
                      <w:rPr>
                        <w:w w:val="110"/>
                        <w:sz w:val="13"/>
                      </w:rPr>
                      <w:t>Transparencia</w:t>
                    </w:r>
                    <w:r>
                      <w:rPr>
                        <w:spacing w:val="-26"/>
                        <w:w w:val="110"/>
                        <w:sz w:val="13"/>
                      </w:rPr>
                      <w:t> </w:t>
                    </w:r>
                    <w:r>
                      <w:rPr>
                        <w:w w:val="110"/>
                        <w:sz w:val="13"/>
                      </w:rPr>
                      <w:t>Presupuestaria,</w:t>
                    </w:r>
                    <w:r>
                      <w:rPr>
                        <w:spacing w:val="-24"/>
                        <w:w w:val="110"/>
                        <w:sz w:val="13"/>
                      </w:rPr>
                      <w:t> </w:t>
                    </w:r>
                    <w:r>
                      <w:rPr>
                        <w:spacing w:val="-3"/>
                        <w:w w:val="110"/>
                        <w:sz w:val="13"/>
                      </w:rPr>
                      <w:t>2011 </w:t>
                    </w:r>
                    <w:r>
                      <w:rPr>
                        <w:w w:val="110"/>
                        <w:sz w:val="13"/>
                      </w:rPr>
                      <w:t>Índice</w:t>
                    </w:r>
                    <w:r>
                      <w:rPr>
                        <w:spacing w:val="-12"/>
                        <w:w w:val="110"/>
                        <w:sz w:val="13"/>
                      </w:rPr>
                      <w:t> </w:t>
                    </w:r>
                    <w:r>
                      <w:rPr>
                        <w:w w:val="110"/>
                        <w:sz w:val="13"/>
                      </w:rPr>
                      <w:t>de</w:t>
                    </w:r>
                    <w:r>
                      <w:rPr>
                        <w:spacing w:val="-12"/>
                        <w:w w:val="110"/>
                        <w:sz w:val="13"/>
                      </w:rPr>
                      <w:t> </w:t>
                    </w:r>
                    <w:r>
                      <w:rPr>
                        <w:w w:val="110"/>
                        <w:sz w:val="13"/>
                      </w:rPr>
                      <w:t>Presupuesto</w:t>
                    </w:r>
                    <w:r>
                      <w:rPr>
                        <w:spacing w:val="-12"/>
                        <w:w w:val="110"/>
                        <w:sz w:val="13"/>
                      </w:rPr>
                      <w:t> </w:t>
                    </w:r>
                    <w:r>
                      <w:rPr>
                        <w:w w:val="110"/>
                        <w:sz w:val="13"/>
                      </w:rPr>
                      <w:t>Abierto,</w:t>
                    </w:r>
                    <w:r>
                      <w:rPr>
                        <w:spacing w:val="-8"/>
                        <w:w w:val="110"/>
                        <w:sz w:val="13"/>
                      </w:rPr>
                      <w:t> </w:t>
                    </w:r>
                    <w:r>
                      <w:rPr>
                        <w:spacing w:val="-3"/>
                        <w:w w:val="110"/>
                        <w:sz w:val="13"/>
                      </w:rPr>
                      <w:t>2012</w:t>
                    </w:r>
                  </w:p>
                </w:txbxContent>
              </v:textbox>
              <w10:wrap type="none"/>
            </v:shape>
            <v:shape style="position:absolute;left:0;top:0;width:345;height:400" type="#_x0000_t202" filled="true" fillcolor="#000000" stroked="false">
              <v:textbox inset="0,0,0,0">
                <w:txbxContent>
                  <w:p>
                    <w:pPr>
                      <w:spacing w:before="117"/>
                      <w:ind w:left="97" w:right="0" w:firstLine="0"/>
                      <w:jc w:val="left"/>
                      <w:rPr>
                        <w:b/>
                        <w:sz w:val="9"/>
                      </w:rPr>
                    </w:pPr>
                    <w:r>
                      <w:rPr>
                        <w:b/>
                        <w:color w:val="FFFFFF"/>
                        <w:w w:val="110"/>
                        <w:position w:val="2"/>
                        <w:sz w:val="13"/>
                      </w:rPr>
                      <w:t>T</w:t>
                    </w:r>
                    <w:r>
                      <w:rPr>
                        <w:b/>
                        <w:color w:val="FFFFFF"/>
                        <w:w w:val="110"/>
                        <w:sz w:val="9"/>
                      </w:rPr>
                      <w:t>+</w:t>
                    </w:r>
                  </w:p>
                </w:txbxContent>
              </v:textbox>
              <v:fill type="solid"/>
              <w10:wrap type="none"/>
            </v:shape>
          </v:group>
        </w:pict>
      </w:r>
      <w:r>
        <w:rPr>
          <w:sz w:val="20"/>
        </w:rPr>
      </w:r>
    </w:p>
    <w:p>
      <w:pPr>
        <w:spacing w:before="8"/>
        <w:ind w:left="1566" w:right="0" w:firstLine="0"/>
        <w:jc w:val="left"/>
        <w:rPr>
          <w:b/>
          <w:sz w:val="13"/>
        </w:rPr>
      </w:pPr>
      <w:r>
        <w:rPr/>
        <w:pict>
          <v:shape style="position:absolute;margin-left:99.475937pt;margin-top:8.007131pt;width:192.3pt;height:27.5pt;mso-position-horizontal-relative:page;mso-position-vertical-relative:paragraph;z-index:29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3"/>
                    <w:gridCol w:w="3469"/>
                  </w:tblGrid>
                  <w:tr>
                    <w:trPr>
                      <w:trHeight w:val="200" w:hRule="exact"/>
                    </w:trPr>
                    <w:tc>
                      <w:tcPr>
                        <w:tcW w:w="323" w:type="dxa"/>
                        <w:vMerge w:val="restart"/>
                        <w:shd w:val="clear" w:color="auto" w:fill="000000"/>
                      </w:tcPr>
                      <w:p>
                        <w:pPr>
                          <w:pStyle w:val="TableParagraph"/>
                          <w:spacing w:before="8"/>
                          <w:rPr>
                            <w:sz w:val="16"/>
                          </w:rPr>
                        </w:pPr>
                      </w:p>
                      <w:p>
                        <w:pPr>
                          <w:pStyle w:val="TableParagraph"/>
                          <w:ind w:left="75"/>
                          <w:rPr>
                            <w:b/>
                            <w:sz w:val="13"/>
                          </w:rPr>
                        </w:pPr>
                        <w:r>
                          <w:rPr>
                            <w:b/>
                            <w:color w:val="FFFFFF"/>
                            <w:w w:val="110"/>
                            <w:sz w:val="13"/>
                          </w:rPr>
                          <w:t>DE</w:t>
                        </w:r>
                      </w:p>
                    </w:tc>
                    <w:tc>
                      <w:tcPr>
                        <w:tcW w:w="3469" w:type="dxa"/>
                        <w:tcBorders>
                          <w:top w:val="single" w:sz="4" w:space="0" w:color="000000"/>
                          <w:bottom w:val="single" w:sz="4" w:space="0" w:color="000000"/>
                          <w:right w:val="single" w:sz="21" w:space="0" w:color="000000"/>
                        </w:tcBorders>
                      </w:tcPr>
                      <w:p>
                        <w:pPr>
                          <w:pStyle w:val="TableParagraph"/>
                          <w:spacing w:before="38"/>
                          <w:ind w:left="21"/>
                          <w:rPr>
                            <w:sz w:val="13"/>
                          </w:rPr>
                        </w:pPr>
                        <w:r>
                          <w:rPr>
                            <w:w w:val="110"/>
                            <w:sz w:val="13"/>
                          </w:rPr>
                          <w:t>Índice de Gobernanza Mundial, 2011</w:t>
                        </w:r>
                      </w:p>
                    </w:tc>
                  </w:tr>
                  <w:tr>
                    <w:trPr>
                      <w:trHeight w:val="170" w:hRule="exact"/>
                    </w:trPr>
                    <w:tc>
                      <w:tcPr>
                        <w:tcW w:w="323" w:type="dxa"/>
                        <w:vMerge/>
                        <w:shd w:val="clear" w:color="auto" w:fill="000000"/>
                      </w:tcPr>
                      <w:p>
                        <w:pPr/>
                      </w:p>
                    </w:tc>
                    <w:tc>
                      <w:tcPr>
                        <w:tcW w:w="3469" w:type="dxa"/>
                        <w:tcBorders>
                          <w:top w:val="single" w:sz="4" w:space="0" w:color="000000"/>
                          <w:bottom w:val="single" w:sz="4" w:space="0" w:color="000000"/>
                          <w:right w:val="single" w:sz="21" w:space="0" w:color="000000"/>
                        </w:tcBorders>
                      </w:tcPr>
                      <w:p>
                        <w:pPr>
                          <w:pStyle w:val="TableParagraph"/>
                          <w:spacing w:before="8"/>
                          <w:ind w:left="21"/>
                          <w:rPr>
                            <w:sz w:val="13"/>
                          </w:rPr>
                        </w:pPr>
                        <w:r>
                          <w:rPr>
                            <w:w w:val="110"/>
                            <w:sz w:val="13"/>
                          </w:rPr>
                          <w:t>Indicadores Mundiales de Gobernabilidad, 2012</w:t>
                        </w:r>
                      </w:p>
                    </w:tc>
                  </w:tr>
                  <w:tr>
                    <w:trPr>
                      <w:trHeight w:val="170" w:hRule="exact"/>
                    </w:trPr>
                    <w:tc>
                      <w:tcPr>
                        <w:tcW w:w="323" w:type="dxa"/>
                        <w:vMerge/>
                        <w:shd w:val="clear" w:color="auto" w:fill="000000"/>
                      </w:tcPr>
                      <w:p>
                        <w:pPr/>
                      </w:p>
                    </w:tc>
                    <w:tc>
                      <w:tcPr>
                        <w:tcW w:w="3469" w:type="dxa"/>
                        <w:tcBorders>
                          <w:top w:val="single" w:sz="4" w:space="0" w:color="000000"/>
                          <w:bottom w:val="single" w:sz="4" w:space="0" w:color="000000"/>
                          <w:right w:val="single" w:sz="21" w:space="0" w:color="000000"/>
                        </w:tcBorders>
                      </w:tcPr>
                      <w:p>
                        <w:pPr>
                          <w:pStyle w:val="TableParagraph"/>
                          <w:spacing w:before="8"/>
                          <w:ind w:left="21"/>
                          <w:rPr>
                            <w:sz w:val="13"/>
                          </w:rPr>
                        </w:pPr>
                        <w:r>
                          <w:rPr>
                            <w:w w:val="110"/>
                            <w:sz w:val="13"/>
                          </w:rPr>
                          <w:t>Índice de Estados Fallidos, 2012</w:t>
                        </w:r>
                      </w:p>
                    </w:tc>
                  </w:tr>
                </w:tbl>
                <w:p>
                  <w:pPr>
                    <w:pStyle w:val="BodyText"/>
                  </w:pPr>
                </w:p>
              </w:txbxContent>
            </v:textbox>
            <w10:wrap type="none"/>
          </v:shape>
        </w:pict>
      </w:r>
      <w:r>
        <w:rPr>
          <w:b/>
          <w:w w:val="110"/>
          <w:sz w:val="13"/>
        </w:rPr>
        <w:t>Desempeño del Estado</w:t>
      </w:r>
    </w:p>
    <w:p>
      <w:pPr>
        <w:spacing w:before="50" w:after="2"/>
        <w:ind w:left="5966" w:right="0" w:firstLine="0"/>
        <w:jc w:val="left"/>
        <w:rPr>
          <w:b/>
          <w:sz w:val="13"/>
        </w:rPr>
      </w:pPr>
      <w:r>
        <w:rPr>
          <w:b/>
          <w:w w:val="105"/>
          <w:sz w:val="13"/>
        </w:rPr>
        <w:t>Calidad Institucional</w:t>
      </w:r>
    </w:p>
    <w:p>
      <w:pPr>
        <w:pStyle w:val="BodyText"/>
        <w:ind w:left="4567"/>
        <w:rPr>
          <w:sz w:val="20"/>
        </w:rPr>
      </w:pPr>
      <w:r>
        <w:rPr>
          <w:sz w:val="20"/>
        </w:rPr>
        <w:pict>
          <v:group style="width:210.05pt;height:17.8pt;mso-position-horizontal-relative:char;mso-position-vertical-relative:line" coordorigin="0,0" coordsize="4201,356">
            <v:line style="position:absolute" from="350,5" to="4190,5" stroked="true" strokeweight=".498429pt" strokecolor="#000000"/>
            <v:line style="position:absolute" from="344,5" to="4195,5" stroked="true" strokeweight=".498453pt" strokecolor="#000000"/>
            <v:line style="position:absolute" from="350,175" to="4190,175" stroked="true" strokeweight=".498429pt" strokecolor="#000000"/>
            <v:line style="position:absolute" from="344,175" to="4195,175" stroked="true" strokeweight=".498453pt" strokecolor="#000000"/>
            <v:line style="position:absolute" from="350,345" to="4190,345" stroked="true" strokeweight=".498429pt" strokecolor="#000000"/>
            <v:line style="position:absolute" from="344,345" to="4195,345" stroked="true" strokeweight=".498453pt" strokecolor="#000000"/>
            <v:line style="position:absolute" from="4190,15" to="4190,345" stroked="true" strokeweight=".537196pt" strokecolor="#000000"/>
            <v:line style="position:absolute" from="4190,10" to="4190,350" stroked="true" strokeweight=".537197pt" strokecolor="#000000"/>
            <v:shape style="position:absolute;left:339;top:0;width:3862;height:355" type="#_x0000_t202" filled="false" stroked="false">
              <v:textbox inset="0,0,0,0">
                <w:txbxContent>
                  <w:p>
                    <w:pPr>
                      <w:spacing w:before="18"/>
                      <w:ind w:left="26" w:right="0" w:firstLine="0"/>
                      <w:jc w:val="left"/>
                      <w:rPr>
                        <w:sz w:val="13"/>
                      </w:rPr>
                    </w:pPr>
                    <w:r>
                      <w:rPr>
                        <w:w w:val="110"/>
                        <w:sz w:val="13"/>
                      </w:rPr>
                      <w:t>Índice de Calidad Institucional, 2012</w:t>
                    </w:r>
                  </w:p>
                  <w:p>
                    <w:pPr>
                      <w:spacing w:before="20"/>
                      <w:ind w:left="26" w:right="0" w:firstLine="0"/>
                      <w:jc w:val="left"/>
                      <w:rPr>
                        <w:sz w:val="13"/>
                      </w:rPr>
                    </w:pPr>
                    <w:r>
                      <w:rPr>
                        <w:w w:val="110"/>
                        <w:sz w:val="13"/>
                      </w:rPr>
                      <w:t>Índice de Competitividad Internacional, 2011</w:t>
                    </w:r>
                  </w:p>
                </w:txbxContent>
              </v:textbox>
              <w10:wrap type="none"/>
            </v:shape>
            <v:shape style="position:absolute;left:0;top:0;width:345;height:350" type="#_x0000_t202" filled="true" fillcolor="#000000" stroked="false">
              <v:textbox inset="0,0,0,0">
                <w:txbxContent>
                  <w:p>
                    <w:pPr>
                      <w:spacing w:before="97"/>
                      <w:ind w:left="75" w:right="0" w:firstLine="0"/>
                      <w:jc w:val="left"/>
                      <w:rPr>
                        <w:sz w:val="9"/>
                      </w:rPr>
                    </w:pPr>
                    <w:r>
                      <w:rPr>
                        <w:color w:val="FFFFFF"/>
                        <w:w w:val="110"/>
                        <w:position w:val="2"/>
                        <w:sz w:val="13"/>
                      </w:rPr>
                      <w:t>CI</w:t>
                    </w:r>
                    <w:r>
                      <w:rPr>
                        <w:color w:val="FFFFFF"/>
                        <w:w w:val="110"/>
                        <w:sz w:val="9"/>
                      </w:rPr>
                      <w:t>+</w:t>
                    </w:r>
                  </w:p>
                </w:txbxContent>
              </v:textbox>
              <v:fill type="solid"/>
              <w10:wrap type="none"/>
            </v:shape>
          </v:group>
        </w:pict>
      </w:r>
      <w:r>
        <w:rPr>
          <w:sz w:val="20"/>
        </w:rPr>
      </w:r>
    </w:p>
    <w:p>
      <w:pPr>
        <w:pStyle w:val="BodyText"/>
        <w:spacing w:before="9"/>
        <w:rPr>
          <w:b/>
          <w:sz w:val="7"/>
        </w:rPr>
      </w:pPr>
    </w:p>
    <w:p>
      <w:pPr>
        <w:spacing w:before="83"/>
        <w:ind w:left="6149" w:right="0" w:firstLine="0"/>
        <w:jc w:val="left"/>
        <w:rPr>
          <w:b/>
          <w:sz w:val="13"/>
        </w:rPr>
      </w:pPr>
      <w:r>
        <w:rPr>
          <w:b/>
          <w:w w:val="110"/>
          <w:sz w:val="13"/>
        </w:rPr>
        <w:t>Buen Gobierno</w:t>
      </w:r>
    </w:p>
    <w:p>
      <w:pPr>
        <w:pStyle w:val="BodyText"/>
        <w:ind w:left="4567"/>
        <w:rPr>
          <w:sz w:val="20"/>
        </w:rPr>
      </w:pPr>
      <w:r>
        <w:rPr>
          <w:sz w:val="20"/>
        </w:rPr>
        <w:pict>
          <v:group style="width:210.05pt;height:27.8pt;mso-position-horizontal-relative:char;mso-position-vertical-relative:line" coordorigin="0,0" coordsize="4201,556">
            <v:line style="position:absolute" from="350,5" to="4190,5" stroked="true" strokeweight=".498429pt" strokecolor="#000000"/>
            <v:line style="position:absolute" from="344,6" to="4195,6" stroked="true" strokeweight=".515061pt" strokecolor="#000000"/>
            <v:line style="position:absolute" from="350,205" to="4190,205" stroked="true" strokeweight=".498429pt" strokecolor="#000000"/>
            <v:line style="position:absolute" from="344,205" to="4195,205" stroked="true" strokeweight=".498453pt" strokecolor="#000000"/>
            <v:line style="position:absolute" from="350,375" to="4190,375" stroked="true" strokeweight=".498429pt" strokecolor="#000000"/>
            <v:line style="position:absolute" from="344,375" to="4195,375" stroked="true" strokeweight=".498453pt" strokecolor="#000000"/>
            <v:line style="position:absolute" from="350,545" to="4190,545" stroked="true" strokeweight=".498429pt" strokecolor="#000000"/>
            <v:line style="position:absolute" from="344,545" to="4195,545" stroked="true" strokeweight=".498453pt" strokecolor="#000000"/>
            <v:line style="position:absolute" from="4190,16" to="4190,545" stroked="true" strokeweight=".537196pt" strokecolor="#000000"/>
            <v:line style="position:absolute" from="4190,11" to="4190,550" stroked="true" strokeweight=".537197pt" strokecolor="#000000"/>
            <v:shape style="position:absolute;left:339;top:0;width:3862;height:555" type="#_x0000_t202" filled="false" stroked="false">
              <v:textbox inset="0,0,0,0">
                <w:txbxContent>
                  <w:p>
                    <w:pPr>
                      <w:spacing w:line="273" w:lineRule="auto" w:before="48"/>
                      <w:ind w:left="26" w:right="1328" w:firstLine="0"/>
                      <w:jc w:val="left"/>
                      <w:rPr>
                        <w:sz w:val="13"/>
                      </w:rPr>
                    </w:pPr>
                    <w:r>
                      <w:rPr>
                        <w:w w:val="110"/>
                        <w:sz w:val="13"/>
                      </w:rPr>
                      <w:t>Participación en Elecciones, 2011 Índice de Mejor vida, 2013</w:t>
                    </w:r>
                  </w:p>
                  <w:p>
                    <w:pPr>
                      <w:spacing w:before="0"/>
                      <w:ind w:left="26" w:right="0" w:firstLine="0"/>
                      <w:jc w:val="left"/>
                      <w:rPr>
                        <w:sz w:val="13"/>
                      </w:rPr>
                    </w:pPr>
                    <w:r>
                      <w:rPr>
                        <w:w w:val="110"/>
                        <w:sz w:val="13"/>
                      </w:rPr>
                      <w:t>Índice de Planeta Feliz, 2012</w:t>
                    </w:r>
                  </w:p>
                </w:txbxContent>
              </v:textbox>
              <w10:wrap type="none"/>
            </v:shape>
            <v:shape style="position:absolute;left:0;top:0;width:345;height:550" type="#_x0000_t202" filled="true" fillcolor="#000000" stroked="false">
              <v:textbox inset="0,0,0,0">
                <w:txbxContent>
                  <w:p>
                    <w:pPr>
                      <w:spacing w:line="240" w:lineRule="auto" w:before="2"/>
                      <w:rPr>
                        <w:b/>
                        <w:sz w:val="17"/>
                      </w:rPr>
                    </w:pPr>
                  </w:p>
                  <w:p>
                    <w:pPr>
                      <w:spacing w:before="0"/>
                      <w:ind w:left="42" w:right="0" w:firstLine="0"/>
                      <w:jc w:val="left"/>
                      <w:rPr>
                        <w:sz w:val="9"/>
                      </w:rPr>
                    </w:pPr>
                    <w:r>
                      <w:rPr>
                        <w:color w:val="FFFFFF"/>
                        <w:w w:val="110"/>
                        <w:position w:val="2"/>
                        <w:sz w:val="13"/>
                      </w:rPr>
                      <w:t>BG</w:t>
                    </w:r>
                    <w:r>
                      <w:rPr>
                        <w:color w:val="FFFFFF"/>
                        <w:w w:val="110"/>
                        <w:sz w:val="9"/>
                      </w:rPr>
                      <w:t>+</w:t>
                    </w:r>
                  </w:p>
                </w:txbxContent>
              </v:textbox>
              <v:fill type="solid"/>
              <w10:wrap type="none"/>
            </v:shape>
          </v:group>
        </w:pict>
      </w:r>
      <w:r>
        <w:rPr>
          <w:sz w:val="20"/>
        </w:rPr>
      </w:r>
    </w:p>
    <w:p>
      <w:pPr>
        <w:pStyle w:val="BodyText"/>
        <w:spacing w:before="11"/>
        <w:rPr>
          <w:b/>
          <w:sz w:val="6"/>
        </w:rPr>
      </w:pPr>
    </w:p>
    <w:p>
      <w:pPr>
        <w:spacing w:before="83" w:after="2"/>
        <w:ind w:left="5923" w:right="0" w:firstLine="0"/>
        <w:jc w:val="left"/>
        <w:rPr>
          <w:b/>
          <w:sz w:val="13"/>
        </w:rPr>
      </w:pPr>
      <w:r>
        <w:rPr>
          <w:b/>
          <w:w w:val="110"/>
          <w:sz w:val="13"/>
        </w:rPr>
        <w:t>Rendición de Cuentas</w:t>
      </w:r>
    </w:p>
    <w:p>
      <w:pPr>
        <w:pStyle w:val="BodyText"/>
        <w:spacing w:line="205" w:lineRule="exact"/>
        <w:ind w:left="4567"/>
        <w:rPr>
          <w:sz w:val="20"/>
        </w:rPr>
      </w:pPr>
      <w:r>
        <w:rPr>
          <w:position w:val="-3"/>
          <w:sz w:val="20"/>
        </w:rPr>
        <w:pict>
          <v:group style="width:210.05pt;height:10.3pt;mso-position-horizontal-relative:char;mso-position-vertical-relative:line" coordorigin="0,0" coordsize="4201,206">
            <v:line style="position:absolute" from="350,5" to="4190,5" stroked="true" strokeweight=".498429pt" strokecolor="#000000"/>
            <v:line style="position:absolute" from="344,5" to="4195,5" stroked="true" strokeweight=".498453pt" strokecolor="#000000"/>
            <v:line style="position:absolute" from="350,195" to="4190,195" stroked="true" strokeweight=".498429pt" strokecolor="#000000"/>
            <v:line style="position:absolute" from="344,195" to="4195,195" stroked="true" strokeweight=".498453pt" strokecolor="#000000"/>
            <v:line style="position:absolute" from="4190,15" to="4190,195" stroked="true" strokeweight=".537196pt" strokecolor="#000000"/>
            <v:line style="position:absolute" from="4190,10" to="4190,200" stroked="true" strokeweight=".537196pt" strokecolor="#000000"/>
            <v:shape style="position:absolute;left:339;top:0;width:3862;height:206" type="#_x0000_t202" filled="false" stroked="false">
              <v:textbox inset="0,0,0,0">
                <w:txbxContent>
                  <w:p>
                    <w:pPr>
                      <w:spacing w:before="28"/>
                      <w:ind w:left="26" w:right="0" w:firstLine="0"/>
                      <w:jc w:val="left"/>
                      <w:rPr>
                        <w:sz w:val="13"/>
                      </w:rPr>
                    </w:pPr>
                    <w:r>
                      <w:rPr>
                        <w:w w:val="110"/>
                        <w:sz w:val="13"/>
                      </w:rPr>
                      <w:t>Índice de Integridad Pública, 2012</w:t>
                    </w:r>
                  </w:p>
                </w:txbxContent>
              </v:textbox>
              <w10:wrap type="none"/>
            </v:shape>
            <v:shape style="position:absolute;left:0;top:0;width:345;height:201" type="#_x0000_t202" filled="true" fillcolor="#000000" stroked="false">
              <v:textbox inset="0,0,0,0">
                <w:txbxContent>
                  <w:p>
                    <w:pPr>
                      <w:spacing w:before="28"/>
                      <w:ind w:left="32" w:right="0" w:firstLine="0"/>
                      <w:jc w:val="left"/>
                      <w:rPr>
                        <w:b/>
                        <w:sz w:val="9"/>
                      </w:rPr>
                    </w:pPr>
                    <w:r>
                      <w:rPr>
                        <w:b/>
                        <w:color w:val="FFFFFF"/>
                        <w:w w:val="110"/>
                        <w:sz w:val="13"/>
                      </w:rPr>
                      <w:t>RC</w:t>
                    </w:r>
                    <w:r>
                      <w:rPr>
                        <w:b/>
                        <w:color w:val="FFFFFF"/>
                        <w:w w:val="110"/>
                        <w:position w:val="-1"/>
                        <w:sz w:val="9"/>
                      </w:rPr>
                      <w:t>+</w:t>
                    </w:r>
                  </w:p>
                </w:txbxContent>
              </v:textbox>
              <v:fill type="solid"/>
              <w10:wrap type="none"/>
            </v:shape>
          </v:group>
        </w:pict>
      </w:r>
      <w:r>
        <w:rPr>
          <w:position w:val="-3"/>
          <w:sz w:val="20"/>
        </w:rPr>
      </w:r>
    </w:p>
    <w:p>
      <w:pPr>
        <w:pStyle w:val="BodyText"/>
        <w:rPr>
          <w:b/>
          <w:sz w:val="20"/>
        </w:rPr>
      </w:pPr>
    </w:p>
    <w:p>
      <w:pPr>
        <w:pStyle w:val="BodyText"/>
        <w:rPr>
          <w:b/>
          <w:sz w:val="20"/>
        </w:rPr>
      </w:pPr>
    </w:p>
    <w:p>
      <w:pPr>
        <w:pStyle w:val="BodyText"/>
        <w:spacing w:before="5"/>
        <w:rPr>
          <w:b/>
          <w:sz w:val="19"/>
        </w:rPr>
      </w:pPr>
    </w:p>
    <w:p>
      <w:pPr>
        <w:spacing w:before="75"/>
        <w:ind w:left="1201" w:right="0" w:firstLine="0"/>
        <w:jc w:val="left"/>
        <w:rPr>
          <w:sz w:val="20"/>
        </w:rPr>
      </w:pPr>
      <w:bookmarkStart w:name="_bookmark22" w:id="35"/>
      <w:bookmarkEnd w:id="35"/>
      <w:r>
        <w:rPr/>
      </w:r>
      <w:r>
        <w:rPr>
          <w:sz w:val="20"/>
        </w:rPr>
        <w:t>Cuadro 1.6. Clasificación de indicadores internacionales por sub-indicadores</w:t>
      </w:r>
    </w:p>
    <w:p>
      <w:pPr>
        <w:pStyle w:val="BodyText"/>
        <w:spacing w:before="8"/>
        <w:rPr>
          <w:sz w:val="16"/>
        </w:rPr>
      </w:pPr>
    </w:p>
    <w:tbl>
      <w:tblPr>
        <w:tblW w:w="0" w:type="auto"/>
        <w:jc w:val="left"/>
        <w:tblInd w:w="108" w:type="dxa"/>
        <w:tblBorders>
          <w:top w:val="single" w:sz="18" w:space="0" w:color="BEBEBE"/>
          <w:left w:val="single" w:sz="18" w:space="0" w:color="BEBEBE"/>
          <w:bottom w:val="single" w:sz="18" w:space="0" w:color="BEBEBE"/>
          <w:right w:val="single" w:sz="18" w:space="0" w:color="BEBEBE"/>
          <w:insideH w:val="single" w:sz="18" w:space="0" w:color="BEBEBE"/>
          <w:insideV w:val="single" w:sz="18" w:space="0" w:color="BEBEBE"/>
        </w:tblBorders>
        <w:tblLayout w:type="fixed"/>
        <w:tblCellMar>
          <w:top w:w="0" w:type="dxa"/>
          <w:left w:w="0" w:type="dxa"/>
          <w:bottom w:w="0" w:type="dxa"/>
          <w:right w:w="0" w:type="dxa"/>
        </w:tblCellMar>
        <w:tblLook w:val="01E0"/>
      </w:tblPr>
      <w:tblGrid>
        <w:gridCol w:w="1700"/>
        <w:gridCol w:w="500"/>
        <w:gridCol w:w="3221"/>
        <w:gridCol w:w="3530"/>
      </w:tblGrid>
      <w:tr>
        <w:trPr>
          <w:trHeight w:val="694" w:hRule="exact"/>
        </w:trPr>
        <w:tc>
          <w:tcPr>
            <w:tcW w:w="1700"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spacing w:before="4"/>
              <w:rPr>
                <w:sz w:val="14"/>
              </w:rPr>
            </w:pPr>
          </w:p>
          <w:p>
            <w:pPr>
              <w:pStyle w:val="TableParagraph"/>
              <w:ind w:left="543" w:right="544"/>
              <w:jc w:val="center"/>
              <w:rPr>
                <w:b/>
                <w:sz w:val="14"/>
              </w:rPr>
            </w:pPr>
            <w:r>
              <w:rPr>
                <w:b/>
                <w:sz w:val="14"/>
              </w:rPr>
              <w:t>Variable</w:t>
            </w:r>
          </w:p>
        </w:tc>
        <w:tc>
          <w:tcPr>
            <w:tcW w:w="500" w:type="dxa"/>
            <w:tcBorders>
              <w:top w:val="single" w:sz="3" w:space="0" w:color="000000"/>
              <w:left w:val="single" w:sz="11" w:space="0" w:color="BEBEBE"/>
              <w:right w:val="single" w:sz="3" w:space="0" w:color="000000"/>
            </w:tcBorders>
          </w:tcPr>
          <w:p>
            <w:pPr/>
          </w:p>
        </w:tc>
        <w:tc>
          <w:tcPr>
            <w:tcW w:w="3221" w:type="dxa"/>
            <w:tcBorders>
              <w:top w:val="single" w:sz="3" w:space="0" w:color="000000"/>
              <w:left w:val="single" w:sz="3" w:space="0" w:color="000000"/>
              <w:right w:val="single" w:sz="3" w:space="0" w:color="000000"/>
            </w:tcBorders>
          </w:tcPr>
          <w:p>
            <w:pPr>
              <w:pStyle w:val="TableParagraph"/>
              <w:spacing w:before="4"/>
              <w:rPr>
                <w:sz w:val="15"/>
              </w:rPr>
            </w:pPr>
          </w:p>
          <w:p>
            <w:pPr>
              <w:pStyle w:val="TableParagraph"/>
              <w:ind w:left="674" w:right="120" w:firstLine="260"/>
              <w:rPr>
                <w:b/>
                <w:sz w:val="14"/>
              </w:rPr>
            </w:pPr>
            <w:r>
              <w:rPr>
                <w:b/>
                <w:sz w:val="14"/>
              </w:rPr>
              <w:t>Con subindicadores (indicadores desagregados)</w:t>
            </w:r>
          </w:p>
        </w:tc>
        <w:tc>
          <w:tcPr>
            <w:tcW w:w="3530" w:type="dxa"/>
            <w:tcBorders>
              <w:top w:val="single" w:sz="3" w:space="0" w:color="000000"/>
              <w:left w:val="single" w:sz="3" w:space="0" w:color="000000"/>
              <w:right w:val="single" w:sz="3" w:space="0" w:color="000000"/>
            </w:tcBorders>
          </w:tcPr>
          <w:p>
            <w:pPr>
              <w:pStyle w:val="TableParagraph"/>
              <w:spacing w:before="4"/>
              <w:rPr>
                <w:sz w:val="15"/>
              </w:rPr>
            </w:pPr>
          </w:p>
          <w:p>
            <w:pPr>
              <w:pStyle w:val="TableParagraph"/>
              <w:ind w:left="950" w:right="304" w:firstLine="163"/>
              <w:rPr>
                <w:b/>
                <w:sz w:val="14"/>
              </w:rPr>
            </w:pPr>
            <w:r>
              <w:rPr>
                <w:b/>
                <w:sz w:val="14"/>
              </w:rPr>
              <w:t>Sin subindicadores (indicadores agregados)</w:t>
            </w:r>
          </w:p>
        </w:tc>
      </w:tr>
      <w:tr>
        <w:trPr>
          <w:trHeight w:val="209" w:hRule="exact"/>
        </w:trPr>
        <w:tc>
          <w:tcPr>
            <w:tcW w:w="1700" w:type="dxa"/>
            <w:vMerge w:val="restart"/>
            <w:tcBorders>
              <w:top w:val="single" w:sz="11" w:space="0" w:color="BEBEBE"/>
            </w:tcBorders>
          </w:tcPr>
          <w:p>
            <w:pPr>
              <w:pStyle w:val="TableParagraph"/>
              <w:spacing w:before="1"/>
              <w:rPr>
                <w:sz w:val="18"/>
              </w:rPr>
            </w:pPr>
          </w:p>
          <w:p>
            <w:pPr>
              <w:pStyle w:val="TableParagraph"/>
              <w:ind w:left="100"/>
              <w:rPr>
                <w:sz w:val="14"/>
              </w:rPr>
            </w:pPr>
            <w:r>
              <w:rPr>
                <w:sz w:val="14"/>
              </w:rPr>
              <w:t>Desempeño del Estado</w:t>
            </w:r>
          </w:p>
        </w:tc>
        <w:tc>
          <w:tcPr>
            <w:tcW w:w="500" w:type="dxa"/>
            <w:tcBorders>
              <w:bottom w:val="nil"/>
            </w:tcBorders>
          </w:tcPr>
          <w:p>
            <w:pPr>
              <w:pStyle w:val="TableParagraph"/>
              <w:spacing w:line="158" w:lineRule="exact"/>
              <w:ind w:left="88" w:right="-4"/>
              <w:rPr>
                <w:sz w:val="14"/>
              </w:rPr>
            </w:pPr>
            <w:r>
              <w:rPr>
                <w:sz w:val="14"/>
              </w:rPr>
              <w:t>(1)</w:t>
            </w:r>
          </w:p>
        </w:tc>
        <w:tc>
          <w:tcPr>
            <w:tcW w:w="3221" w:type="dxa"/>
            <w:tcBorders>
              <w:bottom w:val="nil"/>
            </w:tcBorders>
          </w:tcPr>
          <w:p>
            <w:pPr>
              <w:pStyle w:val="TableParagraph"/>
              <w:spacing w:line="158" w:lineRule="exact"/>
              <w:ind w:left="88"/>
              <w:rPr>
                <w:sz w:val="14"/>
              </w:rPr>
            </w:pPr>
            <w:r>
              <w:rPr>
                <w:sz w:val="14"/>
              </w:rPr>
              <w:t>Índice de Gobernanza Mundial, 2011</w:t>
            </w:r>
          </w:p>
        </w:tc>
        <w:tc>
          <w:tcPr>
            <w:tcW w:w="3530" w:type="dxa"/>
            <w:vMerge w:val="restart"/>
          </w:tcPr>
          <w:p>
            <w:pPr/>
          </w:p>
        </w:tc>
      </w:tr>
      <w:tr>
        <w:trPr>
          <w:trHeight w:val="206" w:hRule="exact"/>
        </w:trPr>
        <w:tc>
          <w:tcPr>
            <w:tcW w:w="1700" w:type="dxa"/>
            <w:vMerge/>
          </w:tcPr>
          <w:p>
            <w:pPr/>
          </w:p>
        </w:tc>
        <w:tc>
          <w:tcPr>
            <w:tcW w:w="500" w:type="dxa"/>
            <w:tcBorders>
              <w:top w:val="nil"/>
              <w:bottom w:val="nil"/>
            </w:tcBorders>
          </w:tcPr>
          <w:p>
            <w:pPr>
              <w:pStyle w:val="TableParagraph"/>
              <w:spacing w:before="14"/>
              <w:ind w:left="88" w:right="-4"/>
              <w:rPr>
                <w:sz w:val="14"/>
              </w:rPr>
            </w:pPr>
            <w:r>
              <w:rPr>
                <w:sz w:val="14"/>
              </w:rPr>
              <w:t>(2)</w:t>
            </w:r>
          </w:p>
        </w:tc>
        <w:tc>
          <w:tcPr>
            <w:tcW w:w="3221" w:type="dxa"/>
            <w:tcBorders>
              <w:top w:val="nil"/>
              <w:bottom w:val="nil"/>
            </w:tcBorders>
          </w:tcPr>
          <w:p>
            <w:pPr>
              <w:pStyle w:val="TableParagraph"/>
              <w:spacing w:before="14"/>
              <w:ind w:left="88"/>
              <w:rPr>
                <w:sz w:val="14"/>
              </w:rPr>
            </w:pPr>
            <w:r>
              <w:rPr>
                <w:sz w:val="14"/>
              </w:rPr>
              <w:t>Indicadores Mundiales de Gobernabilidad, 2012</w:t>
            </w:r>
          </w:p>
        </w:tc>
        <w:tc>
          <w:tcPr>
            <w:tcW w:w="3530" w:type="dxa"/>
            <w:vMerge/>
          </w:tcPr>
          <w:p>
            <w:pPr/>
          </w:p>
        </w:tc>
      </w:tr>
      <w:tr>
        <w:trPr>
          <w:trHeight w:val="201" w:hRule="exact"/>
        </w:trPr>
        <w:tc>
          <w:tcPr>
            <w:tcW w:w="1700" w:type="dxa"/>
            <w:vMerge/>
          </w:tcPr>
          <w:p>
            <w:pPr/>
          </w:p>
        </w:tc>
        <w:tc>
          <w:tcPr>
            <w:tcW w:w="500" w:type="dxa"/>
            <w:tcBorders>
              <w:top w:val="nil"/>
            </w:tcBorders>
          </w:tcPr>
          <w:p>
            <w:pPr>
              <w:pStyle w:val="TableParagraph"/>
              <w:spacing w:before="16"/>
              <w:ind w:left="88" w:right="-4"/>
              <w:rPr>
                <w:sz w:val="14"/>
              </w:rPr>
            </w:pPr>
            <w:r>
              <w:rPr>
                <w:sz w:val="14"/>
              </w:rPr>
              <w:t>(3)</w:t>
            </w:r>
          </w:p>
        </w:tc>
        <w:tc>
          <w:tcPr>
            <w:tcW w:w="3221" w:type="dxa"/>
            <w:tcBorders>
              <w:top w:val="nil"/>
            </w:tcBorders>
          </w:tcPr>
          <w:p>
            <w:pPr>
              <w:pStyle w:val="TableParagraph"/>
              <w:spacing w:before="16"/>
              <w:ind w:left="88"/>
              <w:rPr>
                <w:sz w:val="14"/>
              </w:rPr>
            </w:pPr>
            <w:r>
              <w:rPr>
                <w:sz w:val="14"/>
              </w:rPr>
              <w:t>Índice de Estados Fallidos, 2012</w:t>
            </w:r>
          </w:p>
        </w:tc>
        <w:tc>
          <w:tcPr>
            <w:tcW w:w="3530" w:type="dxa"/>
            <w:vMerge/>
          </w:tcPr>
          <w:p>
            <w:pPr/>
          </w:p>
        </w:tc>
      </w:tr>
      <w:tr>
        <w:trPr>
          <w:trHeight w:val="211" w:hRule="exact"/>
        </w:trPr>
        <w:tc>
          <w:tcPr>
            <w:tcW w:w="1700" w:type="dxa"/>
            <w:vMerge w:val="restart"/>
          </w:tcPr>
          <w:p>
            <w:pPr>
              <w:pStyle w:val="TableParagraph"/>
              <w:rPr>
                <w:sz w:val="14"/>
              </w:rPr>
            </w:pPr>
          </w:p>
          <w:p>
            <w:pPr>
              <w:pStyle w:val="TableParagraph"/>
              <w:spacing w:before="123"/>
              <w:ind w:left="487"/>
              <w:rPr>
                <w:sz w:val="14"/>
              </w:rPr>
            </w:pPr>
            <w:r>
              <w:rPr>
                <w:sz w:val="14"/>
              </w:rPr>
              <w:t>Corrupción</w:t>
            </w:r>
          </w:p>
        </w:tc>
        <w:tc>
          <w:tcPr>
            <w:tcW w:w="500" w:type="dxa"/>
            <w:tcBorders>
              <w:bottom w:val="nil"/>
            </w:tcBorders>
          </w:tcPr>
          <w:p>
            <w:pPr>
              <w:pStyle w:val="TableParagraph"/>
              <w:spacing w:line="158" w:lineRule="exact"/>
              <w:ind w:left="88" w:right="-4"/>
              <w:rPr>
                <w:sz w:val="14"/>
              </w:rPr>
            </w:pPr>
            <w:r>
              <w:rPr>
                <w:sz w:val="14"/>
              </w:rPr>
              <w:t>(4)</w:t>
            </w:r>
          </w:p>
        </w:tc>
        <w:tc>
          <w:tcPr>
            <w:tcW w:w="3221" w:type="dxa"/>
            <w:vMerge w:val="restart"/>
          </w:tcPr>
          <w:p>
            <w:pPr>
              <w:pStyle w:val="TableParagraph"/>
              <w:rPr>
                <w:sz w:val="14"/>
              </w:rPr>
            </w:pPr>
          </w:p>
          <w:p>
            <w:pPr>
              <w:pStyle w:val="TableParagraph"/>
              <w:rPr>
                <w:sz w:val="14"/>
              </w:rPr>
            </w:pPr>
          </w:p>
          <w:p>
            <w:pPr>
              <w:pStyle w:val="TableParagraph"/>
              <w:rPr>
                <w:sz w:val="14"/>
              </w:rPr>
            </w:pPr>
          </w:p>
          <w:p>
            <w:pPr>
              <w:pStyle w:val="TableParagraph"/>
              <w:spacing w:before="90"/>
              <w:ind w:left="88"/>
              <w:rPr>
                <w:sz w:val="14"/>
              </w:rPr>
            </w:pPr>
            <w:r>
              <w:rPr>
                <w:sz w:val="14"/>
              </w:rPr>
              <w:t>Barómetro Global de la Corrupción, 2010</w:t>
            </w:r>
          </w:p>
        </w:tc>
        <w:tc>
          <w:tcPr>
            <w:tcW w:w="3530" w:type="dxa"/>
            <w:tcBorders>
              <w:bottom w:val="nil"/>
            </w:tcBorders>
          </w:tcPr>
          <w:p>
            <w:pPr>
              <w:pStyle w:val="TableParagraph"/>
              <w:spacing w:line="158" w:lineRule="exact"/>
              <w:ind w:left="87"/>
              <w:rPr>
                <w:sz w:val="14"/>
              </w:rPr>
            </w:pPr>
            <w:r>
              <w:rPr>
                <w:sz w:val="14"/>
              </w:rPr>
              <w:t>Índice de Opacidad, 2009</w:t>
            </w:r>
          </w:p>
        </w:tc>
      </w:tr>
      <w:tr>
        <w:trPr>
          <w:trHeight w:val="288" w:hRule="exact"/>
        </w:trPr>
        <w:tc>
          <w:tcPr>
            <w:tcW w:w="1700" w:type="dxa"/>
            <w:vMerge/>
          </w:tcPr>
          <w:p>
            <w:pPr/>
          </w:p>
        </w:tc>
        <w:tc>
          <w:tcPr>
            <w:tcW w:w="500" w:type="dxa"/>
            <w:tcBorders>
              <w:top w:val="nil"/>
              <w:bottom w:val="nil"/>
            </w:tcBorders>
          </w:tcPr>
          <w:p>
            <w:pPr>
              <w:pStyle w:val="TableParagraph"/>
              <w:spacing w:before="16"/>
              <w:ind w:left="88" w:right="-4"/>
              <w:rPr>
                <w:sz w:val="14"/>
              </w:rPr>
            </w:pPr>
            <w:r>
              <w:rPr>
                <w:sz w:val="14"/>
              </w:rPr>
              <w:t>(5)</w:t>
            </w:r>
          </w:p>
        </w:tc>
        <w:tc>
          <w:tcPr>
            <w:tcW w:w="3221" w:type="dxa"/>
            <w:vMerge/>
          </w:tcPr>
          <w:p>
            <w:pPr/>
          </w:p>
        </w:tc>
        <w:tc>
          <w:tcPr>
            <w:tcW w:w="3530" w:type="dxa"/>
            <w:tcBorders>
              <w:top w:val="nil"/>
              <w:bottom w:val="nil"/>
            </w:tcBorders>
          </w:tcPr>
          <w:p>
            <w:pPr>
              <w:pStyle w:val="TableParagraph"/>
              <w:spacing w:before="16"/>
              <w:ind w:left="87"/>
              <w:rPr>
                <w:sz w:val="14"/>
              </w:rPr>
            </w:pPr>
            <w:r>
              <w:rPr>
                <w:sz w:val="14"/>
              </w:rPr>
              <w:t>Índice Internacional de Percepción de la Corrupción, 2012</w:t>
            </w:r>
          </w:p>
        </w:tc>
      </w:tr>
      <w:tr>
        <w:trPr>
          <w:trHeight w:val="282" w:hRule="exact"/>
        </w:trPr>
        <w:tc>
          <w:tcPr>
            <w:tcW w:w="1700" w:type="dxa"/>
            <w:vMerge/>
          </w:tcPr>
          <w:p>
            <w:pPr/>
          </w:p>
        </w:tc>
        <w:tc>
          <w:tcPr>
            <w:tcW w:w="500" w:type="dxa"/>
            <w:tcBorders>
              <w:top w:val="nil"/>
            </w:tcBorders>
          </w:tcPr>
          <w:p>
            <w:pPr>
              <w:pStyle w:val="TableParagraph"/>
              <w:spacing w:before="96"/>
              <w:ind w:left="88" w:right="-4"/>
              <w:rPr>
                <w:sz w:val="14"/>
              </w:rPr>
            </w:pPr>
            <w:r>
              <w:rPr>
                <w:sz w:val="14"/>
              </w:rPr>
              <w:t>(6)</w:t>
            </w:r>
          </w:p>
        </w:tc>
        <w:tc>
          <w:tcPr>
            <w:tcW w:w="3221" w:type="dxa"/>
            <w:vMerge/>
          </w:tcPr>
          <w:p>
            <w:pPr/>
          </w:p>
        </w:tc>
        <w:tc>
          <w:tcPr>
            <w:tcW w:w="3530" w:type="dxa"/>
            <w:tcBorders>
              <w:top w:val="nil"/>
            </w:tcBorders>
          </w:tcPr>
          <w:p>
            <w:pPr/>
          </w:p>
        </w:tc>
      </w:tr>
      <w:tr>
        <w:trPr>
          <w:trHeight w:val="192" w:hRule="exact"/>
        </w:trPr>
        <w:tc>
          <w:tcPr>
            <w:tcW w:w="1700" w:type="dxa"/>
            <w:vMerge w:val="restart"/>
          </w:tcPr>
          <w:p>
            <w:pPr>
              <w:pStyle w:val="TableParagraph"/>
              <w:spacing w:before="80"/>
              <w:ind w:left="379"/>
              <w:rPr>
                <w:sz w:val="14"/>
              </w:rPr>
            </w:pPr>
            <w:r>
              <w:rPr>
                <w:sz w:val="14"/>
              </w:rPr>
              <w:t>Transparencia</w:t>
            </w:r>
          </w:p>
        </w:tc>
        <w:tc>
          <w:tcPr>
            <w:tcW w:w="500" w:type="dxa"/>
            <w:tcBorders>
              <w:bottom w:val="nil"/>
            </w:tcBorders>
          </w:tcPr>
          <w:p>
            <w:pPr>
              <w:pStyle w:val="TableParagraph"/>
              <w:spacing w:line="157" w:lineRule="exact"/>
              <w:ind w:left="88" w:right="-4"/>
              <w:rPr>
                <w:sz w:val="14"/>
              </w:rPr>
            </w:pPr>
            <w:r>
              <w:rPr>
                <w:sz w:val="14"/>
              </w:rPr>
              <w:t>(7)</w:t>
            </w:r>
          </w:p>
        </w:tc>
        <w:tc>
          <w:tcPr>
            <w:tcW w:w="3221" w:type="dxa"/>
            <w:vMerge w:val="restart"/>
          </w:tcPr>
          <w:p>
            <w:pPr/>
          </w:p>
        </w:tc>
        <w:tc>
          <w:tcPr>
            <w:tcW w:w="3530" w:type="dxa"/>
            <w:tcBorders>
              <w:bottom w:val="nil"/>
            </w:tcBorders>
          </w:tcPr>
          <w:p>
            <w:pPr>
              <w:pStyle w:val="TableParagraph"/>
              <w:spacing w:line="157" w:lineRule="exact"/>
              <w:ind w:left="87"/>
              <w:rPr>
                <w:sz w:val="14"/>
              </w:rPr>
            </w:pPr>
            <w:r>
              <w:rPr>
                <w:sz w:val="14"/>
              </w:rPr>
              <w:t>Indicador de Transparencia Presupuestaria, 2011</w:t>
            </w:r>
          </w:p>
        </w:tc>
      </w:tr>
      <w:tr>
        <w:trPr>
          <w:trHeight w:val="183" w:hRule="exact"/>
        </w:trPr>
        <w:tc>
          <w:tcPr>
            <w:tcW w:w="1700" w:type="dxa"/>
            <w:vMerge/>
          </w:tcPr>
          <w:p>
            <w:pPr/>
          </w:p>
        </w:tc>
        <w:tc>
          <w:tcPr>
            <w:tcW w:w="500" w:type="dxa"/>
            <w:tcBorders>
              <w:top w:val="nil"/>
            </w:tcBorders>
          </w:tcPr>
          <w:p>
            <w:pPr>
              <w:pStyle w:val="TableParagraph"/>
              <w:spacing w:line="159" w:lineRule="exact"/>
              <w:ind w:left="88" w:right="-4"/>
              <w:rPr>
                <w:sz w:val="14"/>
              </w:rPr>
            </w:pPr>
            <w:r>
              <w:rPr>
                <w:sz w:val="14"/>
              </w:rPr>
              <w:t>(8)</w:t>
            </w:r>
          </w:p>
        </w:tc>
        <w:tc>
          <w:tcPr>
            <w:tcW w:w="3221" w:type="dxa"/>
            <w:vMerge/>
          </w:tcPr>
          <w:p>
            <w:pPr/>
          </w:p>
        </w:tc>
        <w:tc>
          <w:tcPr>
            <w:tcW w:w="3530" w:type="dxa"/>
            <w:tcBorders>
              <w:top w:val="nil"/>
            </w:tcBorders>
          </w:tcPr>
          <w:p>
            <w:pPr>
              <w:pStyle w:val="TableParagraph"/>
              <w:spacing w:line="159" w:lineRule="exact"/>
              <w:ind w:left="87"/>
              <w:rPr>
                <w:sz w:val="14"/>
              </w:rPr>
            </w:pPr>
            <w:r>
              <w:rPr>
                <w:sz w:val="14"/>
              </w:rPr>
              <w:t>Índice de Presupuesto Abierto, 2012</w:t>
            </w:r>
          </w:p>
        </w:tc>
      </w:tr>
      <w:tr>
        <w:trPr>
          <w:trHeight w:val="193" w:hRule="exact"/>
        </w:trPr>
        <w:tc>
          <w:tcPr>
            <w:tcW w:w="1700" w:type="dxa"/>
            <w:vMerge w:val="restart"/>
          </w:tcPr>
          <w:p>
            <w:pPr>
              <w:pStyle w:val="TableParagraph"/>
              <w:spacing w:before="85"/>
              <w:ind w:left="208"/>
              <w:rPr>
                <w:sz w:val="14"/>
              </w:rPr>
            </w:pPr>
            <w:r>
              <w:rPr>
                <w:sz w:val="14"/>
              </w:rPr>
              <w:t>Calidad institucional</w:t>
            </w:r>
          </w:p>
        </w:tc>
        <w:tc>
          <w:tcPr>
            <w:tcW w:w="500" w:type="dxa"/>
            <w:tcBorders>
              <w:bottom w:val="nil"/>
            </w:tcBorders>
          </w:tcPr>
          <w:p>
            <w:pPr>
              <w:pStyle w:val="TableParagraph"/>
              <w:spacing w:line="158" w:lineRule="exact"/>
              <w:ind w:left="88" w:right="-4"/>
              <w:rPr>
                <w:sz w:val="14"/>
              </w:rPr>
            </w:pPr>
            <w:r>
              <w:rPr>
                <w:sz w:val="14"/>
              </w:rPr>
              <w:t>(9)</w:t>
            </w:r>
          </w:p>
        </w:tc>
        <w:tc>
          <w:tcPr>
            <w:tcW w:w="3221" w:type="dxa"/>
            <w:vMerge w:val="restart"/>
          </w:tcPr>
          <w:p>
            <w:pPr/>
          </w:p>
        </w:tc>
        <w:tc>
          <w:tcPr>
            <w:tcW w:w="3530" w:type="dxa"/>
            <w:tcBorders>
              <w:bottom w:val="nil"/>
            </w:tcBorders>
          </w:tcPr>
          <w:p>
            <w:pPr>
              <w:pStyle w:val="TableParagraph"/>
              <w:spacing w:line="158" w:lineRule="exact"/>
              <w:ind w:left="87"/>
              <w:rPr>
                <w:sz w:val="14"/>
              </w:rPr>
            </w:pPr>
            <w:r>
              <w:rPr>
                <w:sz w:val="14"/>
              </w:rPr>
              <w:t>Índice de Calidad Institucional, 2012</w:t>
            </w:r>
          </w:p>
        </w:tc>
      </w:tr>
      <w:tr>
        <w:trPr>
          <w:trHeight w:val="184" w:hRule="exact"/>
        </w:trPr>
        <w:tc>
          <w:tcPr>
            <w:tcW w:w="1700" w:type="dxa"/>
            <w:vMerge/>
          </w:tcPr>
          <w:p>
            <w:pPr/>
          </w:p>
        </w:tc>
        <w:tc>
          <w:tcPr>
            <w:tcW w:w="500" w:type="dxa"/>
            <w:tcBorders>
              <w:top w:val="nil"/>
            </w:tcBorders>
          </w:tcPr>
          <w:p>
            <w:pPr>
              <w:pStyle w:val="TableParagraph"/>
              <w:spacing w:line="159" w:lineRule="exact"/>
              <w:ind w:left="88" w:right="-4"/>
              <w:rPr>
                <w:sz w:val="14"/>
              </w:rPr>
            </w:pPr>
            <w:r>
              <w:rPr>
                <w:sz w:val="14"/>
              </w:rPr>
              <w:t>(10)</w:t>
            </w:r>
          </w:p>
        </w:tc>
        <w:tc>
          <w:tcPr>
            <w:tcW w:w="3221" w:type="dxa"/>
            <w:vMerge/>
          </w:tcPr>
          <w:p>
            <w:pPr/>
          </w:p>
        </w:tc>
        <w:tc>
          <w:tcPr>
            <w:tcW w:w="3530" w:type="dxa"/>
            <w:tcBorders>
              <w:top w:val="nil"/>
            </w:tcBorders>
          </w:tcPr>
          <w:p>
            <w:pPr>
              <w:pStyle w:val="TableParagraph"/>
              <w:spacing w:line="159" w:lineRule="exact"/>
              <w:ind w:left="87"/>
              <w:rPr>
                <w:sz w:val="14"/>
              </w:rPr>
            </w:pPr>
            <w:r>
              <w:rPr>
                <w:sz w:val="14"/>
              </w:rPr>
              <w:t>Índice de Competitividad Internacional, 2011</w:t>
            </w:r>
          </w:p>
        </w:tc>
      </w:tr>
      <w:tr>
        <w:trPr>
          <w:trHeight w:val="212" w:hRule="exact"/>
        </w:trPr>
        <w:tc>
          <w:tcPr>
            <w:tcW w:w="1700" w:type="dxa"/>
            <w:tcBorders>
              <w:bottom w:val="nil"/>
              <w:right w:val="nil"/>
            </w:tcBorders>
          </w:tcPr>
          <w:p>
            <w:pPr/>
          </w:p>
        </w:tc>
        <w:tc>
          <w:tcPr>
            <w:tcW w:w="500" w:type="dxa"/>
            <w:tcBorders>
              <w:left w:val="nil"/>
              <w:bottom w:val="nil"/>
            </w:tcBorders>
          </w:tcPr>
          <w:p>
            <w:pPr>
              <w:pStyle w:val="TableParagraph"/>
              <w:ind w:left="110"/>
              <w:rPr>
                <w:sz w:val="14"/>
              </w:rPr>
            </w:pPr>
            <w:r>
              <w:rPr>
                <w:sz w:val="14"/>
              </w:rPr>
              <w:t>(11)</w:t>
            </w:r>
          </w:p>
        </w:tc>
        <w:tc>
          <w:tcPr>
            <w:tcW w:w="3221" w:type="dxa"/>
            <w:tcBorders>
              <w:bottom w:val="nil"/>
            </w:tcBorders>
          </w:tcPr>
          <w:p>
            <w:pPr/>
          </w:p>
        </w:tc>
        <w:tc>
          <w:tcPr>
            <w:tcW w:w="3530" w:type="dxa"/>
            <w:vMerge w:val="restart"/>
          </w:tcPr>
          <w:p>
            <w:pPr>
              <w:pStyle w:val="TableParagraph"/>
              <w:ind w:left="87"/>
              <w:rPr>
                <w:sz w:val="14"/>
              </w:rPr>
            </w:pPr>
            <w:r>
              <w:rPr>
                <w:sz w:val="14"/>
              </w:rPr>
              <w:t>Participación en Elecciones, 2011</w:t>
            </w:r>
          </w:p>
        </w:tc>
      </w:tr>
      <w:tr>
        <w:trPr>
          <w:trHeight w:val="206" w:hRule="exact"/>
        </w:trPr>
        <w:tc>
          <w:tcPr>
            <w:tcW w:w="1700" w:type="dxa"/>
            <w:tcBorders>
              <w:top w:val="nil"/>
              <w:bottom w:val="nil"/>
              <w:right w:val="nil"/>
            </w:tcBorders>
          </w:tcPr>
          <w:p>
            <w:pPr>
              <w:pStyle w:val="TableParagraph"/>
              <w:spacing w:before="14"/>
              <w:ind w:left="340" w:right="355"/>
              <w:jc w:val="center"/>
              <w:rPr>
                <w:sz w:val="14"/>
              </w:rPr>
            </w:pPr>
            <w:r>
              <w:rPr>
                <w:sz w:val="14"/>
              </w:rPr>
              <w:t>Buen Gobierno</w:t>
            </w:r>
          </w:p>
        </w:tc>
        <w:tc>
          <w:tcPr>
            <w:tcW w:w="500" w:type="dxa"/>
            <w:tcBorders>
              <w:top w:val="nil"/>
              <w:left w:val="nil"/>
              <w:bottom w:val="nil"/>
            </w:tcBorders>
          </w:tcPr>
          <w:p>
            <w:pPr>
              <w:pStyle w:val="TableParagraph"/>
              <w:spacing w:before="14"/>
              <w:ind w:left="110"/>
              <w:rPr>
                <w:sz w:val="14"/>
              </w:rPr>
            </w:pPr>
            <w:r>
              <w:rPr>
                <w:sz w:val="14"/>
              </w:rPr>
              <w:t>(12)</w:t>
            </w:r>
          </w:p>
        </w:tc>
        <w:tc>
          <w:tcPr>
            <w:tcW w:w="3221" w:type="dxa"/>
            <w:tcBorders>
              <w:top w:val="nil"/>
              <w:bottom w:val="nil"/>
            </w:tcBorders>
          </w:tcPr>
          <w:p>
            <w:pPr>
              <w:pStyle w:val="TableParagraph"/>
              <w:spacing w:before="14"/>
              <w:ind w:left="88"/>
              <w:rPr>
                <w:sz w:val="14"/>
              </w:rPr>
            </w:pPr>
            <w:r>
              <w:rPr>
                <w:sz w:val="14"/>
              </w:rPr>
              <w:t>Índice de Mejor Vida, 2013</w:t>
            </w:r>
          </w:p>
        </w:tc>
        <w:tc>
          <w:tcPr>
            <w:tcW w:w="3530" w:type="dxa"/>
            <w:vMerge/>
          </w:tcPr>
          <w:p>
            <w:pPr/>
          </w:p>
        </w:tc>
      </w:tr>
      <w:tr>
        <w:trPr>
          <w:trHeight w:val="202" w:hRule="exact"/>
        </w:trPr>
        <w:tc>
          <w:tcPr>
            <w:tcW w:w="1700" w:type="dxa"/>
            <w:tcBorders>
              <w:top w:val="nil"/>
              <w:right w:val="nil"/>
            </w:tcBorders>
          </w:tcPr>
          <w:p>
            <w:pPr/>
          </w:p>
        </w:tc>
        <w:tc>
          <w:tcPr>
            <w:tcW w:w="500" w:type="dxa"/>
            <w:tcBorders>
              <w:top w:val="nil"/>
              <w:left w:val="nil"/>
            </w:tcBorders>
          </w:tcPr>
          <w:p>
            <w:pPr>
              <w:pStyle w:val="TableParagraph"/>
              <w:spacing w:before="16"/>
              <w:ind w:left="110"/>
              <w:rPr>
                <w:sz w:val="14"/>
              </w:rPr>
            </w:pPr>
            <w:r>
              <w:rPr>
                <w:sz w:val="14"/>
              </w:rPr>
              <w:t>(13)</w:t>
            </w:r>
          </w:p>
        </w:tc>
        <w:tc>
          <w:tcPr>
            <w:tcW w:w="3221" w:type="dxa"/>
            <w:tcBorders>
              <w:top w:val="nil"/>
            </w:tcBorders>
          </w:tcPr>
          <w:p>
            <w:pPr>
              <w:pStyle w:val="TableParagraph"/>
              <w:spacing w:before="16"/>
              <w:ind w:left="88"/>
              <w:rPr>
                <w:sz w:val="14"/>
              </w:rPr>
            </w:pPr>
            <w:r>
              <w:rPr>
                <w:sz w:val="14"/>
              </w:rPr>
              <w:t>Índice de Planeta Feliz, 2012</w:t>
            </w:r>
          </w:p>
        </w:tc>
        <w:tc>
          <w:tcPr>
            <w:tcW w:w="3530" w:type="dxa"/>
            <w:vMerge/>
          </w:tcPr>
          <w:p>
            <w:pPr/>
          </w:p>
        </w:tc>
      </w:tr>
      <w:tr>
        <w:trPr>
          <w:trHeight w:val="208" w:hRule="exact"/>
        </w:trPr>
        <w:tc>
          <w:tcPr>
            <w:tcW w:w="1700" w:type="dxa"/>
          </w:tcPr>
          <w:p>
            <w:pPr>
              <w:pStyle w:val="TableParagraph"/>
              <w:spacing w:line="157" w:lineRule="exact"/>
              <w:ind w:left="118" w:right="120"/>
              <w:jc w:val="center"/>
              <w:rPr>
                <w:sz w:val="14"/>
              </w:rPr>
            </w:pPr>
            <w:r>
              <w:rPr>
                <w:sz w:val="14"/>
              </w:rPr>
              <w:t>Rendición de Cuentas</w:t>
            </w:r>
          </w:p>
        </w:tc>
        <w:tc>
          <w:tcPr>
            <w:tcW w:w="500" w:type="dxa"/>
          </w:tcPr>
          <w:p>
            <w:pPr>
              <w:pStyle w:val="TableParagraph"/>
              <w:spacing w:line="157" w:lineRule="exact"/>
              <w:ind w:left="88" w:right="-4"/>
              <w:rPr>
                <w:sz w:val="14"/>
              </w:rPr>
            </w:pPr>
            <w:r>
              <w:rPr>
                <w:sz w:val="14"/>
              </w:rPr>
              <w:t>(14)</w:t>
            </w:r>
          </w:p>
        </w:tc>
        <w:tc>
          <w:tcPr>
            <w:tcW w:w="3221" w:type="dxa"/>
          </w:tcPr>
          <w:p>
            <w:pPr>
              <w:pStyle w:val="TableParagraph"/>
              <w:spacing w:line="157" w:lineRule="exact"/>
              <w:ind w:left="88"/>
              <w:rPr>
                <w:sz w:val="14"/>
              </w:rPr>
            </w:pPr>
            <w:r>
              <w:rPr>
                <w:sz w:val="14"/>
              </w:rPr>
              <w:t>Índice de Integridad Pública, 2012</w:t>
            </w:r>
          </w:p>
        </w:tc>
        <w:tc>
          <w:tcPr>
            <w:tcW w:w="3530" w:type="dxa"/>
          </w:tcPr>
          <w:p>
            <w:pPr/>
          </w:p>
        </w:tc>
      </w:tr>
    </w:tbl>
    <w:p>
      <w:pPr>
        <w:spacing w:after="0"/>
        <w:sectPr>
          <w:footerReference w:type="default" r:id="rId46"/>
          <w:pgSz w:w="12240" w:h="15840"/>
          <w:pgMar w:footer="998" w:header="0" w:top="1360" w:bottom="1180" w:left="1520" w:right="1480"/>
          <w:pgNumType w:start="41"/>
        </w:sectPr>
      </w:pPr>
    </w:p>
    <w:p>
      <w:pPr>
        <w:spacing w:before="53"/>
        <w:ind w:left="1228" w:right="0" w:firstLine="0"/>
        <w:jc w:val="left"/>
        <w:rPr>
          <w:sz w:val="20"/>
        </w:rPr>
      </w:pPr>
      <w:bookmarkStart w:name="_bookmark23" w:id="36"/>
      <w:bookmarkEnd w:id="36"/>
      <w:r>
        <w:rPr/>
      </w:r>
      <w:r>
        <w:rPr>
          <w:sz w:val="20"/>
        </w:rPr>
        <w:t>Cuadro 1.7. Detalle de indicadores líderes, indicadores y sub-indicadores</w:t>
      </w:r>
    </w:p>
    <w:p>
      <w:pPr>
        <w:pStyle w:val="BodyText"/>
        <w:spacing w:before="1"/>
        <w:rPr>
          <w:sz w:val="15"/>
        </w:rPr>
      </w:pPr>
      <w:r>
        <w:rPr/>
        <w:pict>
          <v:group style="position:absolute;margin-left:87.067284pt;margin-top:10.65754pt;width:462.5pt;height:275.75pt;mso-position-horizontal-relative:page;mso-position-vertical-relative:paragraph;z-index:3136;mso-wrap-distance-left:0;mso-wrap-distance-right:0" coordorigin="1741,213" coordsize="9250,5515">
            <v:rect style="position:absolute;left:1741;top:213;width:9249;height:5515" filled="true" fillcolor="#000000" stroked="false">
              <v:fill type="solid"/>
            </v:rect>
            <v:rect style="position:absolute;left:5388;top:4192;width:2597;height:1487" filled="true" fillcolor="#ffffff" stroked="false">
              <v:fill type="solid"/>
            </v:rect>
            <v:rect style="position:absolute;left:5388;top:4192;width:2597;height:1487" filled="false" stroked="true" strokeweight=".467495pt" strokecolor="#000000"/>
            <v:rect style="position:absolute;left:5378;top:245;width:2607;height:1586" filled="true" fillcolor="#ffffff" stroked="false">
              <v:fill type="solid"/>
            </v:rect>
            <v:rect style="position:absolute;left:5378;top:245;width:2607;height:1586" filled="false" stroked="true" strokeweight=".469045pt" strokecolor="#000000"/>
            <v:rect style="position:absolute;left:5357;top:1849;width:2618;height:541" filled="true" fillcolor="#ffffff" stroked="false">
              <v:fill type="solid"/>
            </v:rect>
            <v:rect style="position:absolute;left:5357;top:1849;width:2618;height:541" filled="false" stroked="true" strokeweight=".453734pt" strokecolor="#000000"/>
            <v:rect style="position:absolute;left:5368;top:2425;width:2628;height:1325" filled="false" stroked="true" strokeweight=".464537pt" strokecolor="#000000"/>
            <v:rect style="position:absolute;left:1891;top:443;width:3311;height:5172" filled="true" fillcolor="#f1f1f1" stroked="false">
              <v:fill type="solid"/>
            </v:rect>
            <v:line style="position:absolute" from="1855,5627" to="5238,5627" stroked="true" strokeweight="1.862078pt" strokecolor="#000000"/>
            <v:line style="position:absolute" from="1877,449" to="1877,5609" stroked="true" strokeweight="2.172639pt" strokecolor="#000000"/>
            <v:line style="position:absolute" from="1855,430" to="5238,430" stroked="true" strokeweight="1.862078pt" strokecolor="#000000"/>
            <v:line style="position:absolute" from="5217,449" to="5217,5609" stroked="true" strokeweight="2.172639pt" strokecolor="#000000"/>
            <v:rect style="position:absolute;left:5388;top:3795;width:2607;height:369" filled="true" fillcolor="#ffffff" stroked="false">
              <v:fill type="solid"/>
            </v:rect>
            <v:rect style="position:absolute;left:5388;top:3795;width:2607;height:369" filled="false" stroked="true" strokeweight=".452316pt" strokecolor="#000000"/>
            <v:rect style="position:absolute;left:8192;top:614;width:2649;height:1856" filled="false" stroked="true" strokeweight=".473008pt" strokecolor="#000000"/>
            <v:rect style="position:absolute;left:8192;top:2506;width:2628;height:451" filled="true" fillcolor="#ffffff" stroked="false">
              <v:fill type="solid"/>
            </v:rect>
            <v:rect style="position:absolute;left:8192;top:2506;width:2628;height:451" filled="false" stroked="true" strokeweight=".452908pt" strokecolor="#000000"/>
            <v:rect style="position:absolute;left:8202;top:2993;width:2618;height:2703" filled="false" stroked="true" strokeweight=".485483pt" strokecolor="#000000"/>
            <v:rect style="position:absolute;left:8192;top:362;width:2649;height:171" filled="false" stroked="true" strokeweight=".451279pt" strokecolor="#000000"/>
            <v:shape style="position:absolute;left:1741;top:213;width:9250;height:5515" type="#_x0000_t202" filled="false" stroked="false">
              <v:textbox inset="0,0,0,0">
                <w:txbxContent>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0"/>
                      <w:rPr>
                        <w:sz w:val="8"/>
                      </w:rPr>
                    </w:pPr>
                  </w:p>
                  <w:p>
                    <w:pPr>
                      <w:spacing w:line="240" w:lineRule="auto" w:before="2"/>
                      <w:rPr>
                        <w:sz w:val="11"/>
                      </w:rPr>
                    </w:pPr>
                  </w:p>
                  <w:p>
                    <w:pPr>
                      <w:numPr>
                        <w:ilvl w:val="0"/>
                        <w:numId w:val="24"/>
                      </w:numPr>
                      <w:tabs>
                        <w:tab w:pos="3880" w:val="left" w:leader="none"/>
                      </w:tabs>
                      <w:spacing w:line="91" w:lineRule="exact" w:before="1"/>
                      <w:ind w:left="3879" w:right="0" w:hanging="134"/>
                      <w:jc w:val="left"/>
                      <w:rPr>
                        <w:b/>
                        <w:sz w:val="8"/>
                      </w:rPr>
                    </w:pPr>
                    <w:r>
                      <w:rPr>
                        <w:b/>
                        <w:w w:val="115"/>
                        <w:sz w:val="8"/>
                      </w:rPr>
                      <w:t>Indicador de  </w:t>
                    </w:r>
                    <w:r>
                      <w:rPr>
                        <w:b/>
                        <w:spacing w:val="-3"/>
                        <w:w w:val="115"/>
                        <w:sz w:val="8"/>
                      </w:rPr>
                      <w:t>Transparencia</w:t>
                    </w:r>
                    <w:r>
                      <w:rPr>
                        <w:b/>
                        <w:spacing w:val="18"/>
                        <w:w w:val="115"/>
                        <w:sz w:val="8"/>
                      </w:rPr>
                      <w:t> </w:t>
                    </w:r>
                    <w:r>
                      <w:rPr>
                        <w:b/>
                        <w:spacing w:val="-3"/>
                        <w:w w:val="115"/>
                        <w:sz w:val="8"/>
                      </w:rPr>
                      <w:t>Presupuestaria</w:t>
                    </w:r>
                  </w:p>
                  <w:p>
                    <w:pPr>
                      <w:numPr>
                        <w:ilvl w:val="0"/>
                        <w:numId w:val="24"/>
                      </w:numPr>
                      <w:tabs>
                        <w:tab w:pos="3880" w:val="left" w:leader="none"/>
                      </w:tabs>
                      <w:spacing w:line="90" w:lineRule="exact" w:before="0"/>
                      <w:ind w:left="3879" w:right="0" w:hanging="134"/>
                      <w:jc w:val="left"/>
                      <w:rPr>
                        <w:b/>
                        <w:sz w:val="8"/>
                      </w:rPr>
                    </w:pPr>
                    <w:r>
                      <w:rPr>
                        <w:b/>
                        <w:spacing w:val="3"/>
                        <w:w w:val="115"/>
                        <w:sz w:val="8"/>
                      </w:rPr>
                      <w:t>Índice </w:t>
                    </w:r>
                    <w:r>
                      <w:rPr>
                        <w:b/>
                        <w:spacing w:val="2"/>
                        <w:w w:val="115"/>
                        <w:sz w:val="8"/>
                      </w:rPr>
                      <w:t>de </w:t>
                    </w:r>
                    <w:r>
                      <w:rPr>
                        <w:b/>
                        <w:spacing w:val="-3"/>
                        <w:w w:val="115"/>
                        <w:sz w:val="8"/>
                      </w:rPr>
                      <w:t>Presupuesto</w:t>
                    </w:r>
                    <w:r>
                      <w:rPr>
                        <w:b/>
                        <w:w w:val="115"/>
                        <w:sz w:val="8"/>
                      </w:rPr>
                      <w:t> Abierto</w:t>
                    </w:r>
                  </w:p>
                  <w:p>
                    <w:pPr>
                      <w:numPr>
                        <w:ilvl w:val="0"/>
                        <w:numId w:val="24"/>
                      </w:numPr>
                      <w:tabs>
                        <w:tab w:pos="3880" w:val="left" w:leader="none"/>
                      </w:tabs>
                      <w:spacing w:line="91" w:lineRule="exact" w:before="0"/>
                      <w:ind w:left="3879" w:right="0" w:hanging="134"/>
                      <w:jc w:val="left"/>
                      <w:rPr>
                        <w:b/>
                        <w:sz w:val="8"/>
                      </w:rPr>
                    </w:pPr>
                    <w:r>
                      <w:rPr>
                        <w:b/>
                        <w:spacing w:val="2"/>
                        <w:w w:val="115"/>
                        <w:sz w:val="8"/>
                      </w:rPr>
                      <w:t>Índice</w:t>
                    </w:r>
                    <w:r>
                      <w:rPr>
                        <w:b/>
                        <w:spacing w:val="-10"/>
                        <w:w w:val="115"/>
                        <w:sz w:val="8"/>
                      </w:rPr>
                      <w:t> </w:t>
                    </w:r>
                    <w:r>
                      <w:rPr>
                        <w:b/>
                        <w:w w:val="115"/>
                        <w:sz w:val="8"/>
                      </w:rPr>
                      <w:t>de</w:t>
                    </w:r>
                    <w:r>
                      <w:rPr>
                        <w:b/>
                        <w:spacing w:val="-10"/>
                        <w:w w:val="115"/>
                        <w:sz w:val="8"/>
                      </w:rPr>
                      <w:t> </w:t>
                    </w:r>
                    <w:r>
                      <w:rPr>
                        <w:b/>
                        <w:w w:val="115"/>
                        <w:sz w:val="8"/>
                      </w:rPr>
                      <w:t>Calidad</w:t>
                    </w:r>
                    <w:r>
                      <w:rPr>
                        <w:b/>
                        <w:spacing w:val="-15"/>
                        <w:w w:val="115"/>
                        <w:sz w:val="8"/>
                      </w:rPr>
                      <w:t> </w:t>
                    </w:r>
                    <w:r>
                      <w:rPr>
                        <w:b/>
                        <w:w w:val="115"/>
                        <w:sz w:val="8"/>
                      </w:rPr>
                      <w:t>Institucional</w:t>
                    </w:r>
                  </w:p>
                  <w:p>
                    <w:pPr>
                      <w:spacing w:line="240" w:lineRule="auto" w:before="8"/>
                      <w:rPr>
                        <w:sz w:val="10"/>
                      </w:rPr>
                    </w:pPr>
                  </w:p>
                  <w:p>
                    <w:pPr>
                      <w:numPr>
                        <w:ilvl w:val="0"/>
                        <w:numId w:val="24"/>
                      </w:numPr>
                      <w:tabs>
                        <w:tab w:pos="3932" w:val="left" w:leader="none"/>
                      </w:tabs>
                      <w:spacing w:before="0"/>
                      <w:ind w:left="3931" w:right="0" w:hanging="186"/>
                      <w:jc w:val="center"/>
                      <w:rPr>
                        <w:b/>
                        <w:sz w:val="8"/>
                      </w:rPr>
                    </w:pPr>
                    <w:r>
                      <w:rPr>
                        <w:b/>
                        <w:w w:val="115"/>
                        <w:sz w:val="8"/>
                      </w:rPr>
                      <w:t>Índice</w:t>
                    </w:r>
                    <w:r>
                      <w:rPr>
                        <w:b/>
                        <w:spacing w:val="-8"/>
                        <w:w w:val="115"/>
                        <w:sz w:val="8"/>
                      </w:rPr>
                      <w:t> </w:t>
                    </w:r>
                    <w:r>
                      <w:rPr>
                        <w:b/>
                        <w:w w:val="115"/>
                        <w:sz w:val="8"/>
                      </w:rPr>
                      <w:t>de</w:t>
                    </w:r>
                    <w:r>
                      <w:rPr>
                        <w:b/>
                        <w:spacing w:val="-17"/>
                        <w:w w:val="115"/>
                        <w:sz w:val="8"/>
                      </w:rPr>
                      <w:t> </w:t>
                    </w:r>
                    <w:r>
                      <w:rPr>
                        <w:b/>
                        <w:w w:val="115"/>
                        <w:sz w:val="8"/>
                      </w:rPr>
                      <w:t>Competitividad</w:t>
                    </w:r>
                    <w:r>
                      <w:rPr>
                        <w:b/>
                        <w:spacing w:val="-13"/>
                        <w:w w:val="115"/>
                        <w:sz w:val="8"/>
                      </w:rPr>
                      <w:t> </w:t>
                    </w:r>
                    <w:r>
                      <w:rPr>
                        <w:b/>
                        <w:w w:val="115"/>
                        <w:sz w:val="8"/>
                      </w:rPr>
                      <w:t>Internacional</w:t>
                    </w:r>
                  </w:p>
                  <w:p>
                    <w:pPr>
                      <w:spacing w:line="240" w:lineRule="auto" w:before="5"/>
                      <w:rPr>
                        <w:sz w:val="8"/>
                      </w:rPr>
                    </w:pPr>
                  </w:p>
                  <w:p>
                    <w:pPr>
                      <w:spacing w:line="252" w:lineRule="auto" w:before="0"/>
                      <w:ind w:left="3745" w:right="3417" w:firstLine="0"/>
                      <w:jc w:val="left"/>
                      <w:rPr>
                        <w:sz w:val="8"/>
                      </w:rPr>
                    </w:pPr>
                    <w:r>
                      <w:rPr>
                        <w:w w:val="115"/>
                        <w:sz w:val="8"/>
                      </w:rPr>
                      <w:t>1.Sistema de derecho confiable y objetivo. 2.Manejo sustentable del medio ambiente. 3.Sistema de derecho confiable y objetivo. 4.Sociedad incluyente, preparada y sana. 5.Macroeconomía estable.</w:t>
                    </w:r>
                  </w:p>
                  <w:p>
                    <w:pPr>
                      <w:numPr>
                        <w:ilvl w:val="0"/>
                        <w:numId w:val="25"/>
                      </w:numPr>
                      <w:tabs>
                        <w:tab w:pos="3828" w:val="left" w:leader="none"/>
                      </w:tabs>
                      <w:spacing w:before="2"/>
                      <w:ind w:left="3745" w:right="221" w:firstLine="0"/>
                      <w:jc w:val="center"/>
                      <w:rPr>
                        <w:sz w:val="8"/>
                      </w:rPr>
                    </w:pPr>
                    <w:r>
                      <w:rPr>
                        <w:spacing w:val="2"/>
                        <w:w w:val="115"/>
                        <w:sz w:val="8"/>
                      </w:rPr>
                      <w:t>Sistema</w:t>
                    </w:r>
                    <w:r>
                      <w:rPr>
                        <w:spacing w:val="-9"/>
                        <w:w w:val="115"/>
                        <w:sz w:val="8"/>
                      </w:rPr>
                      <w:t> </w:t>
                    </w:r>
                    <w:r>
                      <w:rPr>
                        <w:w w:val="115"/>
                        <w:sz w:val="8"/>
                      </w:rPr>
                      <w:t>político</w:t>
                    </w:r>
                    <w:r>
                      <w:rPr>
                        <w:spacing w:val="-9"/>
                        <w:w w:val="115"/>
                        <w:sz w:val="8"/>
                      </w:rPr>
                      <w:t> </w:t>
                    </w:r>
                    <w:r>
                      <w:rPr>
                        <w:w w:val="115"/>
                        <w:sz w:val="8"/>
                      </w:rPr>
                      <w:t>estable</w:t>
                    </w:r>
                    <w:r>
                      <w:rPr>
                        <w:spacing w:val="-9"/>
                        <w:w w:val="115"/>
                        <w:sz w:val="8"/>
                      </w:rPr>
                      <w:t> </w:t>
                    </w:r>
                    <w:r>
                      <w:rPr>
                        <w:w w:val="115"/>
                        <w:sz w:val="8"/>
                      </w:rPr>
                      <w:t>y</w:t>
                    </w:r>
                    <w:r>
                      <w:rPr>
                        <w:spacing w:val="-5"/>
                        <w:w w:val="115"/>
                        <w:sz w:val="8"/>
                      </w:rPr>
                      <w:t> </w:t>
                    </w:r>
                    <w:r>
                      <w:rPr>
                        <w:w w:val="115"/>
                        <w:sz w:val="8"/>
                      </w:rPr>
                      <w:t>funcional.</w:t>
                    </w:r>
                  </w:p>
                  <w:p>
                    <w:pPr>
                      <w:numPr>
                        <w:ilvl w:val="0"/>
                        <w:numId w:val="25"/>
                      </w:numPr>
                      <w:tabs>
                        <w:tab w:pos="3828" w:val="left" w:leader="none"/>
                      </w:tabs>
                      <w:spacing w:line="247" w:lineRule="auto" w:before="7"/>
                      <w:ind w:left="3745" w:right="3810" w:firstLine="0"/>
                      <w:jc w:val="left"/>
                      <w:rPr>
                        <w:sz w:val="8"/>
                      </w:rPr>
                    </w:pPr>
                    <w:r>
                      <w:rPr>
                        <w:w w:val="115"/>
                        <w:sz w:val="8"/>
                      </w:rPr>
                      <w:t>Mercados de f actores eficientes. 8.Sectores precursores de clase mundial. 9.Gobiernos eficientes y</w:t>
                    </w:r>
                    <w:r>
                      <w:rPr>
                        <w:spacing w:val="-7"/>
                        <w:w w:val="115"/>
                        <w:sz w:val="8"/>
                      </w:rPr>
                      <w:t> </w:t>
                    </w:r>
                    <w:r>
                      <w:rPr>
                        <w:w w:val="115"/>
                        <w:sz w:val="8"/>
                      </w:rPr>
                      <w:t>eficaces.</w:t>
                    </w:r>
                  </w:p>
                  <w:p>
                    <w:pPr>
                      <w:numPr>
                        <w:ilvl w:val="0"/>
                        <w:numId w:val="26"/>
                      </w:numPr>
                      <w:tabs>
                        <w:tab w:pos="3880" w:val="left" w:leader="none"/>
                      </w:tabs>
                      <w:spacing w:before="4"/>
                      <w:ind w:left="3879" w:right="0" w:hanging="134"/>
                      <w:jc w:val="center"/>
                      <w:rPr>
                        <w:sz w:val="8"/>
                      </w:rPr>
                    </w:pPr>
                    <w:r>
                      <w:rPr>
                        <w:w w:val="115"/>
                        <w:sz w:val="8"/>
                      </w:rPr>
                      <w:t>Aprov</w:t>
                    </w:r>
                    <w:r>
                      <w:rPr>
                        <w:spacing w:val="-12"/>
                        <w:w w:val="115"/>
                        <w:sz w:val="8"/>
                      </w:rPr>
                      <w:t> </w:t>
                    </w:r>
                    <w:r>
                      <w:rPr>
                        <w:w w:val="115"/>
                        <w:sz w:val="8"/>
                      </w:rPr>
                      <w:t>echamiento</w:t>
                    </w:r>
                    <w:r>
                      <w:rPr>
                        <w:spacing w:val="-17"/>
                        <w:w w:val="115"/>
                        <w:sz w:val="8"/>
                      </w:rPr>
                      <w:t> </w:t>
                    </w:r>
                    <w:r>
                      <w:rPr>
                        <w:w w:val="115"/>
                        <w:sz w:val="8"/>
                      </w:rPr>
                      <w:t>de</w:t>
                    </w:r>
                    <w:r>
                      <w:rPr>
                        <w:spacing w:val="-7"/>
                        <w:w w:val="115"/>
                        <w:sz w:val="8"/>
                      </w:rPr>
                      <w:t> </w:t>
                    </w:r>
                    <w:r>
                      <w:rPr>
                        <w:w w:val="115"/>
                        <w:sz w:val="8"/>
                      </w:rPr>
                      <w:t>las</w:t>
                    </w:r>
                    <w:r>
                      <w:rPr>
                        <w:spacing w:val="-3"/>
                        <w:w w:val="115"/>
                        <w:sz w:val="8"/>
                      </w:rPr>
                      <w:t> </w:t>
                    </w:r>
                    <w:r>
                      <w:rPr>
                        <w:w w:val="115"/>
                        <w:sz w:val="8"/>
                      </w:rPr>
                      <w:t>relaciones</w:t>
                    </w:r>
                    <w:r>
                      <w:rPr>
                        <w:spacing w:val="-12"/>
                        <w:w w:val="115"/>
                        <w:sz w:val="8"/>
                      </w:rPr>
                      <w:t> </w:t>
                    </w:r>
                    <w:r>
                      <w:rPr>
                        <w:w w:val="115"/>
                        <w:sz w:val="8"/>
                      </w:rPr>
                      <w:t>internacionales.</w:t>
                    </w:r>
                  </w:p>
                  <w:p>
                    <w:pPr>
                      <w:numPr>
                        <w:ilvl w:val="0"/>
                        <w:numId w:val="26"/>
                      </w:numPr>
                      <w:tabs>
                        <w:tab w:pos="3880" w:val="left" w:leader="none"/>
                      </w:tabs>
                      <w:spacing w:before="7"/>
                      <w:ind w:left="3879" w:right="0" w:hanging="134"/>
                      <w:jc w:val="center"/>
                      <w:rPr>
                        <w:sz w:val="8"/>
                      </w:rPr>
                    </w:pPr>
                    <w:r>
                      <w:rPr>
                        <w:w w:val="115"/>
                        <w:sz w:val="8"/>
                      </w:rPr>
                      <w:t>Sectores</w:t>
                    </w:r>
                    <w:r>
                      <w:rPr>
                        <w:spacing w:val="-5"/>
                        <w:w w:val="115"/>
                        <w:sz w:val="8"/>
                      </w:rPr>
                      <w:t> </w:t>
                    </w:r>
                    <w:r>
                      <w:rPr>
                        <w:w w:val="115"/>
                        <w:sz w:val="8"/>
                      </w:rPr>
                      <w:t>económicos</w:t>
                    </w:r>
                    <w:r>
                      <w:rPr>
                        <w:spacing w:val="-5"/>
                        <w:w w:val="115"/>
                        <w:sz w:val="8"/>
                      </w:rPr>
                      <w:t> </w:t>
                    </w:r>
                    <w:r>
                      <w:rPr>
                        <w:w w:val="115"/>
                        <w:sz w:val="8"/>
                      </w:rPr>
                      <w:t>en</w:t>
                    </w:r>
                    <w:r>
                      <w:rPr>
                        <w:spacing w:val="-10"/>
                        <w:w w:val="115"/>
                        <w:sz w:val="8"/>
                      </w:rPr>
                      <w:t> </w:t>
                    </w:r>
                    <w:r>
                      <w:rPr>
                        <w:w w:val="115"/>
                        <w:sz w:val="8"/>
                      </w:rPr>
                      <w:t>vigorosa</w:t>
                    </w:r>
                    <w:r>
                      <w:rPr>
                        <w:spacing w:val="-9"/>
                        <w:w w:val="115"/>
                        <w:sz w:val="8"/>
                      </w:rPr>
                      <w:t> </w:t>
                    </w:r>
                    <w:r>
                      <w:rPr>
                        <w:w w:val="115"/>
                        <w:sz w:val="8"/>
                      </w:rPr>
                      <w:t>competencia.</w:t>
                    </w:r>
                  </w:p>
                </w:txbxContent>
              </v:textbox>
              <w10:wrap type="none"/>
            </v:shape>
            <v:shape style="position:absolute;left:1920;top:469;width:3253;height:5122" type="#_x0000_t202" filled="true" fillcolor="#f1f1f1" stroked="true" strokeweight=".724217pt" strokecolor="#000000">
              <v:textbox inset="0,0,0,0">
                <w:txbxContent>
                  <w:p>
                    <w:pPr>
                      <w:spacing w:before="7"/>
                      <w:ind w:left="859" w:right="873" w:firstLine="0"/>
                      <w:jc w:val="center"/>
                      <w:rPr>
                        <w:b/>
                        <w:sz w:val="8"/>
                      </w:rPr>
                    </w:pPr>
                    <w:r>
                      <w:rPr>
                        <w:b/>
                        <w:w w:val="115"/>
                        <w:sz w:val="8"/>
                      </w:rPr>
                      <w:t>INDICADORES LÍDERES</w:t>
                    </w:r>
                  </w:p>
                  <w:p>
                    <w:pPr>
                      <w:spacing w:line="240" w:lineRule="auto" w:before="0"/>
                      <w:rPr>
                        <w:sz w:val="8"/>
                      </w:rPr>
                    </w:pPr>
                  </w:p>
                  <w:p>
                    <w:pPr>
                      <w:spacing w:line="240" w:lineRule="auto" w:before="0"/>
                      <w:rPr>
                        <w:sz w:val="8"/>
                      </w:rPr>
                    </w:pPr>
                  </w:p>
                  <w:p>
                    <w:pPr>
                      <w:spacing w:line="240" w:lineRule="auto" w:before="4"/>
                      <w:rPr>
                        <w:sz w:val="7"/>
                      </w:rPr>
                    </w:pPr>
                  </w:p>
                  <w:p>
                    <w:pPr>
                      <w:spacing w:before="0"/>
                      <w:ind w:left="872" w:right="873" w:firstLine="0"/>
                      <w:jc w:val="center"/>
                      <w:rPr>
                        <w:b/>
                        <w:sz w:val="8"/>
                      </w:rPr>
                    </w:pPr>
                    <w:r>
                      <w:rPr>
                        <w:b/>
                        <w:w w:val="115"/>
                        <w:sz w:val="8"/>
                      </w:rPr>
                      <w:t>(1) Índice de Gobernanza Mundial</w:t>
                    </w:r>
                  </w:p>
                  <w:p>
                    <w:pPr>
                      <w:spacing w:line="240" w:lineRule="auto" w:before="8"/>
                      <w:rPr>
                        <w:sz w:val="7"/>
                      </w:rPr>
                    </w:pPr>
                  </w:p>
                  <w:p>
                    <w:pPr>
                      <w:spacing w:line="91" w:lineRule="exact" w:before="0"/>
                      <w:ind w:left="58" w:right="0" w:firstLine="0"/>
                      <w:jc w:val="left"/>
                      <w:rPr>
                        <w:i/>
                        <w:sz w:val="8"/>
                      </w:rPr>
                    </w:pPr>
                    <w:r>
                      <w:rPr>
                        <w:i/>
                        <w:w w:val="115"/>
                        <w:sz w:val="8"/>
                      </w:rPr>
                      <w:t>Paz y seguridad</w:t>
                    </w:r>
                  </w:p>
                  <w:p>
                    <w:pPr>
                      <w:numPr>
                        <w:ilvl w:val="0"/>
                        <w:numId w:val="27"/>
                      </w:numPr>
                      <w:tabs>
                        <w:tab w:pos="143" w:val="left" w:leader="none"/>
                      </w:tabs>
                      <w:spacing w:line="90" w:lineRule="exact" w:before="0"/>
                      <w:ind w:left="58" w:right="0" w:firstLine="0"/>
                      <w:jc w:val="left"/>
                      <w:rPr>
                        <w:sz w:val="8"/>
                      </w:rPr>
                    </w:pPr>
                    <w:r>
                      <w:rPr>
                        <w:w w:val="115"/>
                        <w:sz w:val="8"/>
                      </w:rPr>
                      <w:t>Seguridad</w:t>
                    </w:r>
                    <w:r>
                      <w:rPr>
                        <w:spacing w:val="-7"/>
                        <w:w w:val="115"/>
                        <w:sz w:val="8"/>
                      </w:rPr>
                      <w:t> </w:t>
                    </w:r>
                    <w:r>
                      <w:rPr>
                        <w:w w:val="115"/>
                        <w:sz w:val="8"/>
                      </w:rPr>
                      <w:t>nacional:</w:t>
                    </w:r>
                    <w:r>
                      <w:rPr>
                        <w:spacing w:val="-11"/>
                        <w:w w:val="115"/>
                        <w:sz w:val="8"/>
                      </w:rPr>
                      <w:t> </w:t>
                    </w:r>
                    <w:r>
                      <w:rPr>
                        <w:w w:val="115"/>
                        <w:sz w:val="8"/>
                      </w:rPr>
                      <w:t>Conflictos,</w:t>
                    </w:r>
                    <w:r>
                      <w:rPr>
                        <w:spacing w:val="-11"/>
                        <w:w w:val="115"/>
                        <w:sz w:val="8"/>
                      </w:rPr>
                      <w:t> </w:t>
                    </w:r>
                    <w:r>
                      <w:rPr>
                        <w:w w:val="115"/>
                        <w:sz w:val="8"/>
                      </w:rPr>
                      <w:t>Refugiados</w:t>
                    </w:r>
                    <w:r>
                      <w:rPr>
                        <w:spacing w:val="-11"/>
                        <w:w w:val="115"/>
                        <w:sz w:val="8"/>
                      </w:rPr>
                      <w:t> </w:t>
                    </w:r>
                    <w:r>
                      <w:rPr>
                        <w:w w:val="115"/>
                        <w:sz w:val="8"/>
                      </w:rPr>
                      <w:t>y</w:t>
                    </w:r>
                    <w:r>
                      <w:rPr>
                        <w:spacing w:val="-1"/>
                        <w:w w:val="115"/>
                        <w:sz w:val="8"/>
                      </w:rPr>
                      <w:t> </w:t>
                    </w:r>
                    <w:r>
                      <w:rPr>
                        <w:w w:val="115"/>
                        <w:sz w:val="8"/>
                      </w:rPr>
                      <w:t>solicitantes</w:t>
                    </w:r>
                    <w:r>
                      <w:rPr>
                        <w:spacing w:val="-12"/>
                        <w:w w:val="115"/>
                        <w:sz w:val="8"/>
                      </w:rPr>
                      <w:t> </w:t>
                    </w:r>
                    <w:r>
                      <w:rPr>
                        <w:w w:val="115"/>
                        <w:sz w:val="8"/>
                      </w:rPr>
                      <w:t>de</w:t>
                    </w:r>
                    <w:r>
                      <w:rPr>
                        <w:spacing w:val="-7"/>
                        <w:w w:val="115"/>
                        <w:sz w:val="8"/>
                      </w:rPr>
                      <w:t> </w:t>
                    </w:r>
                    <w:r>
                      <w:rPr>
                        <w:w w:val="115"/>
                        <w:sz w:val="8"/>
                      </w:rPr>
                      <w:t>asilo,</w:t>
                    </w:r>
                    <w:r>
                      <w:rPr>
                        <w:spacing w:val="-11"/>
                        <w:w w:val="115"/>
                        <w:sz w:val="8"/>
                      </w:rPr>
                      <w:t> </w:t>
                    </w:r>
                    <w:r>
                      <w:rPr>
                        <w:w w:val="115"/>
                        <w:sz w:val="8"/>
                      </w:rPr>
                      <w:t>y</w:t>
                    </w:r>
                  </w:p>
                  <w:p>
                    <w:pPr>
                      <w:spacing w:line="90" w:lineRule="exact" w:before="0"/>
                      <w:ind w:left="58" w:right="0" w:firstLine="0"/>
                      <w:jc w:val="left"/>
                      <w:rPr>
                        <w:sz w:val="8"/>
                      </w:rPr>
                    </w:pPr>
                    <w:r>
                      <w:rPr>
                        <w:w w:val="115"/>
                        <w:sz w:val="8"/>
                      </w:rPr>
                      <w:t>Personas desplazadas.</w:t>
                    </w:r>
                  </w:p>
                  <w:p>
                    <w:pPr>
                      <w:numPr>
                        <w:ilvl w:val="0"/>
                        <w:numId w:val="27"/>
                      </w:numPr>
                      <w:tabs>
                        <w:tab w:pos="143" w:val="left" w:leader="none"/>
                      </w:tabs>
                      <w:spacing w:line="90" w:lineRule="exact" w:before="0"/>
                      <w:ind w:left="142" w:right="0" w:hanging="84"/>
                      <w:jc w:val="left"/>
                      <w:rPr>
                        <w:sz w:val="8"/>
                      </w:rPr>
                    </w:pPr>
                    <w:r>
                      <w:rPr>
                        <w:w w:val="115"/>
                        <w:sz w:val="8"/>
                      </w:rPr>
                      <w:t>Seguridad pública: Clima político,</w:t>
                    </w:r>
                    <w:r>
                      <w:rPr>
                        <w:spacing w:val="-20"/>
                        <w:w w:val="115"/>
                        <w:sz w:val="8"/>
                      </w:rPr>
                      <w:t> </w:t>
                    </w:r>
                    <w:r>
                      <w:rPr>
                        <w:w w:val="115"/>
                        <w:sz w:val="8"/>
                      </w:rPr>
                      <w:t>Grado de </w:t>
                    </w:r>
                    <w:r>
                      <w:rPr>
                        <w:spacing w:val="-3"/>
                        <w:w w:val="115"/>
                        <w:sz w:val="8"/>
                      </w:rPr>
                      <w:t>confianza </w:t>
                    </w:r>
                    <w:r>
                      <w:rPr>
                        <w:w w:val="115"/>
                        <w:sz w:val="8"/>
                      </w:rPr>
                      <w:t>entre los </w:t>
                    </w:r>
                    <w:r>
                      <w:rPr>
                        <w:spacing w:val="-3"/>
                        <w:w w:val="115"/>
                        <w:sz w:val="8"/>
                      </w:rPr>
                      <w:t>ciudadanos,</w:t>
                    </w:r>
                  </w:p>
                  <w:p>
                    <w:pPr>
                      <w:spacing w:line="90" w:lineRule="exact" w:before="0"/>
                      <w:ind w:left="58" w:right="0" w:firstLine="0"/>
                      <w:jc w:val="left"/>
                      <w:rPr>
                        <w:sz w:val="8"/>
                      </w:rPr>
                    </w:pPr>
                    <w:r>
                      <w:rPr>
                        <w:w w:val="115"/>
                        <w:sz w:val="8"/>
                      </w:rPr>
                      <w:t>Crimen v iolento, y Homicidios por cada 100,000 habitantes.</w:t>
                    </w:r>
                  </w:p>
                  <w:p>
                    <w:pPr>
                      <w:spacing w:line="90" w:lineRule="exact" w:before="0"/>
                      <w:ind w:left="58" w:right="0" w:firstLine="0"/>
                      <w:jc w:val="left"/>
                      <w:rPr>
                        <w:i/>
                        <w:sz w:val="8"/>
                      </w:rPr>
                    </w:pPr>
                    <w:r>
                      <w:rPr>
                        <w:i/>
                        <w:w w:val="115"/>
                        <w:sz w:val="8"/>
                      </w:rPr>
                      <w:t>Estado de derecho</w:t>
                    </w:r>
                  </w:p>
                  <w:p>
                    <w:pPr>
                      <w:numPr>
                        <w:ilvl w:val="0"/>
                        <w:numId w:val="27"/>
                      </w:numPr>
                      <w:tabs>
                        <w:tab w:pos="143" w:val="left" w:leader="none"/>
                      </w:tabs>
                      <w:spacing w:before="0"/>
                      <w:ind w:left="58" w:right="174" w:firstLine="0"/>
                      <w:jc w:val="left"/>
                      <w:rPr>
                        <w:sz w:val="8"/>
                      </w:rPr>
                    </w:pPr>
                    <w:r>
                      <w:rPr>
                        <w:w w:val="115"/>
                        <w:sz w:val="8"/>
                      </w:rPr>
                      <w:t>Cuerpo de ley </w:t>
                    </w:r>
                    <w:r>
                      <w:rPr>
                        <w:spacing w:val="-2"/>
                        <w:w w:val="115"/>
                        <w:sz w:val="8"/>
                      </w:rPr>
                      <w:t>es: </w:t>
                    </w:r>
                    <w:r>
                      <w:rPr>
                        <w:w w:val="115"/>
                        <w:sz w:val="8"/>
                      </w:rPr>
                      <w:t>Ratificación de tratados y Derechos de propiedad. </w:t>
                    </w:r>
                    <w:r>
                      <w:rPr>
                        <w:spacing w:val="2"/>
                        <w:w w:val="115"/>
                        <w:sz w:val="8"/>
                      </w:rPr>
                      <w:t>a.Sistema</w:t>
                    </w:r>
                    <w:r>
                      <w:rPr>
                        <w:spacing w:val="-8"/>
                        <w:w w:val="115"/>
                        <w:sz w:val="8"/>
                      </w:rPr>
                      <w:t> </w:t>
                    </w:r>
                    <w:r>
                      <w:rPr>
                        <w:w w:val="115"/>
                        <w:sz w:val="8"/>
                      </w:rPr>
                      <w:t>judicial:</w:t>
                    </w:r>
                    <w:r>
                      <w:rPr>
                        <w:spacing w:val="-4"/>
                        <w:w w:val="115"/>
                        <w:sz w:val="8"/>
                      </w:rPr>
                      <w:t> </w:t>
                    </w:r>
                    <w:r>
                      <w:rPr>
                        <w:w w:val="115"/>
                        <w:sz w:val="8"/>
                      </w:rPr>
                      <w:t>Independencia,</w:t>
                    </w:r>
                    <w:r>
                      <w:rPr>
                        <w:spacing w:val="-4"/>
                        <w:w w:val="115"/>
                        <w:sz w:val="8"/>
                      </w:rPr>
                      <w:t> </w:t>
                    </w:r>
                    <w:r>
                      <w:rPr>
                        <w:spacing w:val="-2"/>
                        <w:w w:val="115"/>
                        <w:sz w:val="8"/>
                      </w:rPr>
                      <w:t>Efectividad,</w:t>
                    </w:r>
                    <w:r>
                      <w:rPr>
                        <w:spacing w:val="-4"/>
                        <w:w w:val="115"/>
                        <w:sz w:val="8"/>
                      </w:rPr>
                      <w:t> </w:t>
                    </w:r>
                    <w:r>
                      <w:rPr>
                        <w:w w:val="115"/>
                        <w:sz w:val="8"/>
                      </w:rPr>
                      <w:t>y</w:t>
                    </w:r>
                    <w:r>
                      <w:rPr>
                        <w:spacing w:val="-13"/>
                        <w:w w:val="115"/>
                        <w:sz w:val="8"/>
                      </w:rPr>
                      <w:t> </w:t>
                    </w:r>
                    <w:r>
                      <w:rPr>
                        <w:w w:val="115"/>
                        <w:sz w:val="8"/>
                      </w:rPr>
                      <w:t>Solución</w:t>
                    </w:r>
                    <w:r>
                      <w:rPr>
                        <w:spacing w:val="-8"/>
                        <w:w w:val="115"/>
                        <w:sz w:val="8"/>
                      </w:rPr>
                      <w:t> </w:t>
                    </w:r>
                    <w:r>
                      <w:rPr>
                        <w:w w:val="115"/>
                        <w:sz w:val="8"/>
                      </w:rPr>
                      <w:t>de</w:t>
                    </w:r>
                    <w:r>
                      <w:rPr>
                        <w:spacing w:val="-8"/>
                        <w:w w:val="115"/>
                        <w:sz w:val="8"/>
                      </w:rPr>
                      <w:t> </w:t>
                    </w:r>
                    <w:r>
                      <w:rPr>
                        <w:w w:val="115"/>
                        <w:sz w:val="8"/>
                      </w:rPr>
                      <w:t>controversias contractuales</w:t>
                    </w:r>
                  </w:p>
                  <w:p>
                    <w:pPr>
                      <w:spacing w:line="89" w:lineRule="exact" w:before="0"/>
                      <w:ind w:left="58" w:right="0" w:firstLine="0"/>
                      <w:jc w:val="left"/>
                      <w:rPr>
                        <w:sz w:val="8"/>
                      </w:rPr>
                    </w:pPr>
                    <w:r>
                      <w:rPr>
                        <w:w w:val="115"/>
                        <w:sz w:val="8"/>
                      </w:rPr>
                      <w:t>b.Corrupción: Índice de percepción de la corrupción</w:t>
                    </w:r>
                  </w:p>
                  <w:p>
                    <w:pPr>
                      <w:spacing w:line="90" w:lineRule="exact" w:before="0"/>
                      <w:ind w:left="58" w:right="0" w:firstLine="0"/>
                      <w:jc w:val="left"/>
                      <w:rPr>
                        <w:i/>
                        <w:sz w:val="8"/>
                      </w:rPr>
                    </w:pPr>
                    <w:r>
                      <w:rPr>
                        <w:i/>
                        <w:w w:val="115"/>
                        <w:sz w:val="8"/>
                      </w:rPr>
                      <w:t>Derechos humanos y participación</w:t>
                    </w:r>
                  </w:p>
                  <w:p>
                    <w:pPr>
                      <w:numPr>
                        <w:ilvl w:val="0"/>
                        <w:numId w:val="28"/>
                      </w:numPr>
                      <w:tabs>
                        <w:tab w:pos="162" w:val="left" w:leader="none"/>
                      </w:tabs>
                      <w:spacing w:before="0"/>
                      <w:ind w:left="58" w:right="95" w:firstLine="0"/>
                      <w:jc w:val="left"/>
                      <w:rPr>
                        <w:sz w:val="8"/>
                      </w:rPr>
                    </w:pPr>
                    <w:r>
                      <w:rPr>
                        <w:w w:val="115"/>
                        <w:sz w:val="8"/>
                      </w:rPr>
                      <w:t>Derechos humanos y participación: Respeto a los derechos civiles, Respecto</w:t>
                    </w:r>
                    <w:r>
                      <w:rPr>
                        <w:spacing w:val="-5"/>
                        <w:w w:val="115"/>
                        <w:sz w:val="8"/>
                      </w:rPr>
                      <w:t> </w:t>
                    </w:r>
                    <w:r>
                      <w:rPr>
                        <w:w w:val="115"/>
                        <w:sz w:val="8"/>
                      </w:rPr>
                      <w:t>a</w:t>
                    </w:r>
                    <w:r>
                      <w:rPr>
                        <w:spacing w:val="-5"/>
                        <w:w w:val="115"/>
                        <w:sz w:val="8"/>
                      </w:rPr>
                      <w:t> </w:t>
                    </w:r>
                    <w:r>
                      <w:rPr>
                        <w:w w:val="115"/>
                        <w:sz w:val="8"/>
                      </w:rPr>
                      <w:t>los</w:t>
                    </w:r>
                    <w:r>
                      <w:rPr>
                        <w:spacing w:val="-10"/>
                        <w:w w:val="115"/>
                        <w:sz w:val="8"/>
                      </w:rPr>
                      <w:t> </w:t>
                    </w:r>
                    <w:r>
                      <w:rPr>
                        <w:w w:val="115"/>
                        <w:sz w:val="8"/>
                      </w:rPr>
                      <w:t>derechos</w:t>
                    </w:r>
                    <w:r>
                      <w:rPr>
                        <w:spacing w:val="-10"/>
                        <w:w w:val="115"/>
                        <w:sz w:val="8"/>
                      </w:rPr>
                      <w:t> </w:t>
                    </w:r>
                    <w:r>
                      <w:rPr>
                        <w:w w:val="115"/>
                        <w:sz w:val="8"/>
                      </w:rPr>
                      <w:t>de</w:t>
                    </w:r>
                    <w:r>
                      <w:rPr>
                        <w:spacing w:val="-6"/>
                        <w:w w:val="115"/>
                        <w:sz w:val="8"/>
                      </w:rPr>
                      <w:t> </w:t>
                    </w:r>
                    <w:r>
                      <w:rPr>
                        <w:w w:val="115"/>
                        <w:sz w:val="8"/>
                      </w:rPr>
                      <w:t>integridad</w:t>
                    </w:r>
                    <w:r>
                      <w:rPr>
                        <w:spacing w:val="-5"/>
                        <w:w w:val="115"/>
                        <w:sz w:val="8"/>
                      </w:rPr>
                      <w:t> </w:t>
                    </w:r>
                    <w:r>
                      <w:rPr>
                        <w:w w:val="115"/>
                        <w:sz w:val="8"/>
                      </w:rPr>
                      <w:t>física,</w:t>
                    </w:r>
                    <w:r>
                      <w:rPr>
                        <w:spacing w:val="-11"/>
                        <w:w w:val="115"/>
                        <w:sz w:val="8"/>
                      </w:rPr>
                      <w:t> </w:t>
                    </w:r>
                    <w:r>
                      <w:rPr>
                        <w:w w:val="115"/>
                        <w:sz w:val="8"/>
                      </w:rPr>
                      <w:t>Libertad</w:t>
                    </w:r>
                    <w:r>
                      <w:rPr>
                        <w:spacing w:val="-6"/>
                        <w:w w:val="115"/>
                        <w:sz w:val="8"/>
                      </w:rPr>
                      <w:t> </w:t>
                    </w:r>
                    <w:r>
                      <w:rPr>
                        <w:w w:val="115"/>
                        <w:sz w:val="8"/>
                      </w:rPr>
                      <w:t>de</w:t>
                    </w:r>
                    <w:r>
                      <w:rPr>
                        <w:spacing w:val="-6"/>
                        <w:w w:val="115"/>
                        <w:sz w:val="8"/>
                      </w:rPr>
                      <w:t> </w:t>
                    </w:r>
                    <w:r>
                      <w:rPr>
                        <w:w w:val="115"/>
                        <w:sz w:val="8"/>
                      </w:rPr>
                      <w:t>prensa,</w:t>
                    </w:r>
                    <w:r>
                      <w:rPr>
                        <w:spacing w:val="-11"/>
                        <w:w w:val="115"/>
                        <w:sz w:val="8"/>
                      </w:rPr>
                      <w:t> </w:t>
                    </w:r>
                    <w:r>
                      <w:rPr>
                        <w:w w:val="115"/>
                        <w:sz w:val="8"/>
                      </w:rPr>
                      <w:t>y Violencia contra la</w:t>
                    </w:r>
                    <w:r>
                      <w:rPr>
                        <w:spacing w:val="10"/>
                        <w:w w:val="115"/>
                        <w:sz w:val="8"/>
                      </w:rPr>
                      <w:t> </w:t>
                    </w:r>
                    <w:r>
                      <w:rPr>
                        <w:w w:val="115"/>
                        <w:sz w:val="8"/>
                      </w:rPr>
                      <w:t>prensa.</w:t>
                    </w:r>
                  </w:p>
                  <w:p>
                    <w:pPr>
                      <w:numPr>
                        <w:ilvl w:val="0"/>
                        <w:numId w:val="28"/>
                      </w:numPr>
                      <w:tabs>
                        <w:tab w:pos="143" w:val="left" w:leader="none"/>
                      </w:tabs>
                      <w:spacing w:line="80" w:lineRule="exact" w:before="0"/>
                      <w:ind w:left="142" w:right="0" w:hanging="84"/>
                      <w:jc w:val="left"/>
                      <w:rPr>
                        <w:sz w:val="8"/>
                      </w:rPr>
                    </w:pPr>
                    <w:r>
                      <w:rPr>
                        <w:w w:val="115"/>
                        <w:sz w:val="8"/>
                      </w:rPr>
                      <w:t>Participación:</w:t>
                    </w:r>
                    <w:r>
                      <w:rPr>
                        <w:spacing w:val="-5"/>
                        <w:w w:val="115"/>
                        <w:sz w:val="8"/>
                      </w:rPr>
                      <w:t> </w:t>
                    </w:r>
                    <w:r>
                      <w:rPr>
                        <w:w w:val="115"/>
                        <w:sz w:val="8"/>
                      </w:rPr>
                      <w:t>Participación</w:t>
                    </w:r>
                    <w:r>
                      <w:rPr>
                        <w:spacing w:val="-9"/>
                        <w:w w:val="115"/>
                        <w:sz w:val="8"/>
                      </w:rPr>
                      <w:t> </w:t>
                    </w:r>
                    <w:r>
                      <w:rPr>
                        <w:w w:val="115"/>
                        <w:sz w:val="8"/>
                      </w:rPr>
                      <w:t>en</w:t>
                    </w:r>
                    <w:r>
                      <w:rPr>
                        <w:spacing w:val="-10"/>
                        <w:w w:val="115"/>
                        <w:sz w:val="8"/>
                      </w:rPr>
                      <w:t> </w:t>
                    </w:r>
                    <w:r>
                      <w:rPr>
                        <w:w w:val="115"/>
                        <w:sz w:val="8"/>
                      </w:rPr>
                      <w:t>la</w:t>
                    </w:r>
                    <w:r>
                      <w:rPr>
                        <w:spacing w:val="-9"/>
                        <w:w w:val="115"/>
                        <w:sz w:val="8"/>
                      </w:rPr>
                      <w:t> </w:t>
                    </w:r>
                    <w:r>
                      <w:rPr>
                        <w:w w:val="115"/>
                        <w:sz w:val="8"/>
                      </w:rPr>
                      <w:t>vida</w:t>
                    </w:r>
                    <w:r>
                      <w:rPr>
                        <w:spacing w:val="-9"/>
                        <w:w w:val="115"/>
                        <w:sz w:val="8"/>
                      </w:rPr>
                      <w:t> </w:t>
                    </w:r>
                    <w:r>
                      <w:rPr>
                        <w:w w:val="115"/>
                        <w:sz w:val="8"/>
                      </w:rPr>
                      <w:t>política,</w:t>
                    </w:r>
                    <w:r>
                      <w:rPr>
                        <w:spacing w:val="-5"/>
                        <w:w w:val="115"/>
                        <w:sz w:val="8"/>
                      </w:rPr>
                      <w:t> </w:t>
                    </w:r>
                    <w:r>
                      <w:rPr>
                        <w:w w:val="115"/>
                        <w:sz w:val="8"/>
                      </w:rPr>
                      <w:t>Proceso</w:t>
                    </w:r>
                    <w:r>
                      <w:rPr>
                        <w:spacing w:val="-9"/>
                        <w:w w:val="115"/>
                        <w:sz w:val="8"/>
                      </w:rPr>
                      <w:t> </w:t>
                    </w:r>
                    <w:r>
                      <w:rPr>
                        <w:w w:val="115"/>
                        <w:sz w:val="8"/>
                      </w:rPr>
                      <w:t>electoral</w:t>
                    </w:r>
                    <w:r>
                      <w:rPr>
                        <w:spacing w:val="-9"/>
                        <w:w w:val="115"/>
                        <w:sz w:val="8"/>
                      </w:rPr>
                      <w:t> </w:t>
                    </w:r>
                    <w:r>
                      <w:rPr>
                        <w:w w:val="115"/>
                        <w:sz w:val="8"/>
                      </w:rPr>
                      <w:t>y</w:t>
                    </w:r>
                  </w:p>
                  <w:p>
                    <w:pPr>
                      <w:spacing w:line="90" w:lineRule="exact" w:before="0"/>
                      <w:ind w:left="58" w:right="0" w:firstLine="0"/>
                      <w:jc w:val="left"/>
                      <w:rPr>
                        <w:sz w:val="8"/>
                      </w:rPr>
                    </w:pPr>
                    <w:r>
                      <w:rPr>
                        <w:w w:val="115"/>
                        <w:sz w:val="8"/>
                      </w:rPr>
                      <w:t>pluralismo, y Cultura política.</w:t>
                    </w:r>
                  </w:p>
                  <w:p>
                    <w:pPr>
                      <w:numPr>
                        <w:ilvl w:val="0"/>
                        <w:numId w:val="28"/>
                      </w:numPr>
                      <w:tabs>
                        <w:tab w:pos="143" w:val="left" w:leader="none"/>
                      </w:tabs>
                      <w:spacing w:before="0"/>
                      <w:ind w:left="58" w:right="95" w:firstLine="0"/>
                      <w:jc w:val="left"/>
                      <w:rPr>
                        <w:sz w:val="8"/>
                      </w:rPr>
                    </w:pPr>
                    <w:r>
                      <w:rPr>
                        <w:w w:val="115"/>
                        <w:sz w:val="8"/>
                      </w:rPr>
                      <w:t>Discriminación de género/equidad: Derechos políticos de la mujer, Derechos</w:t>
                    </w:r>
                    <w:r>
                      <w:rPr>
                        <w:spacing w:val="-1"/>
                        <w:w w:val="115"/>
                        <w:sz w:val="8"/>
                      </w:rPr>
                      <w:t> </w:t>
                    </w:r>
                    <w:r>
                      <w:rPr>
                        <w:w w:val="115"/>
                        <w:sz w:val="8"/>
                      </w:rPr>
                      <w:t>sociales</w:t>
                    </w:r>
                    <w:r>
                      <w:rPr>
                        <w:spacing w:val="-1"/>
                        <w:w w:val="115"/>
                        <w:sz w:val="8"/>
                      </w:rPr>
                      <w:t> </w:t>
                    </w:r>
                    <w:r>
                      <w:rPr>
                        <w:w w:val="115"/>
                        <w:sz w:val="8"/>
                      </w:rPr>
                      <w:t>de</w:t>
                    </w:r>
                    <w:r>
                      <w:rPr>
                        <w:spacing w:val="-6"/>
                        <w:w w:val="115"/>
                        <w:sz w:val="8"/>
                      </w:rPr>
                      <w:t> </w:t>
                    </w:r>
                    <w:r>
                      <w:rPr>
                        <w:w w:val="115"/>
                        <w:sz w:val="8"/>
                      </w:rPr>
                      <w:t>la</w:t>
                    </w:r>
                    <w:r>
                      <w:rPr>
                        <w:spacing w:val="-6"/>
                        <w:w w:val="115"/>
                        <w:sz w:val="8"/>
                      </w:rPr>
                      <w:t> </w:t>
                    </w:r>
                    <w:r>
                      <w:rPr>
                        <w:w w:val="115"/>
                        <w:sz w:val="8"/>
                      </w:rPr>
                      <w:t>mujer,</w:t>
                    </w:r>
                    <w:r>
                      <w:rPr>
                        <w:spacing w:val="-11"/>
                        <w:w w:val="115"/>
                        <w:sz w:val="8"/>
                      </w:rPr>
                      <w:t> </w:t>
                    </w:r>
                    <w:r>
                      <w:rPr>
                        <w:w w:val="115"/>
                        <w:sz w:val="8"/>
                      </w:rPr>
                      <w:t>Derechos</w:t>
                    </w:r>
                    <w:r>
                      <w:rPr>
                        <w:spacing w:val="-11"/>
                        <w:w w:val="115"/>
                        <w:sz w:val="8"/>
                      </w:rPr>
                      <w:t> </w:t>
                    </w:r>
                    <w:r>
                      <w:rPr>
                        <w:w w:val="115"/>
                        <w:sz w:val="8"/>
                      </w:rPr>
                      <w:t>económicos</w:t>
                    </w:r>
                    <w:r>
                      <w:rPr>
                        <w:spacing w:val="-1"/>
                        <w:w w:val="115"/>
                        <w:sz w:val="8"/>
                      </w:rPr>
                      <w:t> </w:t>
                    </w:r>
                    <w:r>
                      <w:rPr>
                        <w:w w:val="115"/>
                        <w:sz w:val="8"/>
                      </w:rPr>
                      <w:t>de</w:t>
                    </w:r>
                    <w:r>
                      <w:rPr>
                        <w:spacing w:val="-6"/>
                        <w:w w:val="115"/>
                        <w:sz w:val="8"/>
                      </w:rPr>
                      <w:t> </w:t>
                    </w:r>
                    <w:r>
                      <w:rPr>
                        <w:w w:val="115"/>
                        <w:sz w:val="8"/>
                      </w:rPr>
                      <w:t>la</w:t>
                    </w:r>
                    <w:r>
                      <w:rPr>
                        <w:spacing w:val="-6"/>
                        <w:w w:val="115"/>
                        <w:sz w:val="8"/>
                      </w:rPr>
                      <w:t> </w:t>
                    </w:r>
                    <w:r>
                      <w:rPr>
                        <w:w w:val="115"/>
                        <w:sz w:val="8"/>
                      </w:rPr>
                      <w:t>mujer,</w:t>
                    </w:r>
                    <w:r>
                      <w:rPr>
                        <w:spacing w:val="-11"/>
                        <w:w w:val="115"/>
                        <w:sz w:val="8"/>
                      </w:rPr>
                      <w:t> </w:t>
                    </w:r>
                    <w:r>
                      <w:rPr>
                        <w:w w:val="115"/>
                        <w:sz w:val="8"/>
                      </w:rPr>
                      <w:t>y</w:t>
                    </w:r>
                    <w:r>
                      <w:rPr>
                        <w:spacing w:val="-1"/>
                        <w:w w:val="115"/>
                        <w:sz w:val="8"/>
                      </w:rPr>
                      <w:t> </w:t>
                    </w:r>
                    <w:r>
                      <w:rPr>
                        <w:w w:val="115"/>
                        <w:sz w:val="8"/>
                      </w:rPr>
                      <w:t>Tasa</w:t>
                    </w:r>
                    <w:r>
                      <w:rPr>
                        <w:spacing w:val="-6"/>
                        <w:w w:val="115"/>
                        <w:sz w:val="8"/>
                      </w:rPr>
                      <w:t> </w:t>
                    </w:r>
                    <w:r>
                      <w:rPr>
                        <w:w w:val="115"/>
                        <w:sz w:val="8"/>
                      </w:rPr>
                      <w:t>de representación</w:t>
                    </w:r>
                    <w:r>
                      <w:rPr>
                        <w:spacing w:val="-21"/>
                        <w:w w:val="115"/>
                        <w:sz w:val="8"/>
                      </w:rPr>
                      <w:t> </w:t>
                    </w:r>
                    <w:r>
                      <w:rPr>
                        <w:w w:val="115"/>
                        <w:sz w:val="8"/>
                      </w:rPr>
                      <w:t>en los congresos o parlamentos </w:t>
                    </w:r>
                    <w:r>
                      <w:rPr>
                        <w:spacing w:val="-3"/>
                        <w:w w:val="115"/>
                        <w:sz w:val="8"/>
                      </w:rPr>
                      <w:t>nacionales.</w:t>
                    </w:r>
                  </w:p>
                  <w:p>
                    <w:pPr>
                      <w:spacing w:line="89" w:lineRule="exact" w:before="0"/>
                      <w:ind w:left="58" w:right="0" w:firstLine="0"/>
                      <w:jc w:val="left"/>
                      <w:rPr>
                        <w:i/>
                        <w:sz w:val="8"/>
                      </w:rPr>
                    </w:pPr>
                    <w:r>
                      <w:rPr>
                        <w:i/>
                        <w:w w:val="115"/>
                        <w:sz w:val="8"/>
                      </w:rPr>
                      <w:t>Desarrollo sustentable</w:t>
                    </w:r>
                  </w:p>
                  <w:p>
                    <w:pPr>
                      <w:numPr>
                        <w:ilvl w:val="0"/>
                        <w:numId w:val="28"/>
                      </w:numPr>
                      <w:tabs>
                        <w:tab w:pos="143" w:val="left" w:leader="none"/>
                      </w:tabs>
                      <w:spacing w:before="0"/>
                      <w:ind w:left="58" w:right="214" w:firstLine="0"/>
                      <w:jc w:val="left"/>
                      <w:rPr>
                        <w:sz w:val="8"/>
                      </w:rPr>
                    </w:pPr>
                    <w:r>
                      <w:rPr>
                        <w:w w:val="115"/>
                        <w:sz w:val="8"/>
                      </w:rPr>
                      <w:t>Sector económico: Producto Interno Bruto (PIB) per cápita, Tasa de crecimiento</w:t>
                    </w:r>
                    <w:r>
                      <w:rPr>
                        <w:spacing w:val="-5"/>
                        <w:w w:val="115"/>
                        <w:sz w:val="8"/>
                      </w:rPr>
                      <w:t> </w:t>
                    </w:r>
                    <w:r>
                      <w:rPr>
                        <w:w w:val="115"/>
                        <w:sz w:val="8"/>
                      </w:rPr>
                      <w:t>del</w:t>
                    </w:r>
                    <w:r>
                      <w:rPr>
                        <w:spacing w:val="-5"/>
                        <w:w w:val="115"/>
                        <w:sz w:val="8"/>
                      </w:rPr>
                      <w:t> </w:t>
                    </w:r>
                    <w:r>
                      <w:rPr>
                        <w:w w:val="115"/>
                        <w:sz w:val="8"/>
                      </w:rPr>
                      <w:t>PIB,</w:t>
                    </w:r>
                    <w:r>
                      <w:rPr>
                        <w:spacing w:val="-10"/>
                        <w:w w:val="115"/>
                        <w:sz w:val="8"/>
                      </w:rPr>
                      <w:t> </w:t>
                    </w:r>
                    <w:r>
                      <w:rPr>
                        <w:w w:val="115"/>
                        <w:sz w:val="8"/>
                      </w:rPr>
                      <w:t>Grado/nivel</w:t>
                    </w:r>
                    <w:r>
                      <w:rPr>
                        <w:spacing w:val="-5"/>
                        <w:w w:val="115"/>
                        <w:sz w:val="8"/>
                      </w:rPr>
                      <w:t> </w:t>
                    </w:r>
                    <w:r>
                      <w:rPr>
                        <w:w w:val="115"/>
                        <w:sz w:val="8"/>
                      </w:rPr>
                      <w:t>de</w:t>
                    </w:r>
                    <w:r>
                      <w:rPr>
                        <w:spacing w:val="-5"/>
                        <w:w w:val="115"/>
                        <w:sz w:val="8"/>
                      </w:rPr>
                      <w:t> </w:t>
                    </w:r>
                    <w:r>
                      <w:rPr>
                        <w:w w:val="115"/>
                        <w:sz w:val="8"/>
                      </w:rPr>
                      <w:t>apertura</w:t>
                    </w:r>
                    <w:r>
                      <w:rPr>
                        <w:spacing w:val="-5"/>
                        <w:w w:val="115"/>
                        <w:sz w:val="8"/>
                      </w:rPr>
                      <w:t> </w:t>
                    </w:r>
                    <w:r>
                      <w:rPr>
                        <w:w w:val="115"/>
                        <w:sz w:val="8"/>
                      </w:rPr>
                      <w:t>económica,</w:t>
                    </w:r>
                    <w:r>
                      <w:rPr>
                        <w:spacing w:val="-10"/>
                        <w:w w:val="115"/>
                        <w:sz w:val="8"/>
                      </w:rPr>
                      <w:t> </w:t>
                    </w:r>
                    <w:r>
                      <w:rPr>
                        <w:w w:val="115"/>
                        <w:sz w:val="8"/>
                      </w:rPr>
                      <w:t>Tasas</w:t>
                    </w:r>
                    <w:r>
                      <w:rPr>
                        <w:spacing w:val="-10"/>
                        <w:w w:val="115"/>
                        <w:sz w:val="8"/>
                      </w:rPr>
                      <w:t> </w:t>
                    </w:r>
                    <w:r>
                      <w:rPr>
                        <w:w w:val="115"/>
                        <w:sz w:val="8"/>
                      </w:rPr>
                      <w:t>de</w:t>
                    </w:r>
                    <w:r>
                      <w:rPr>
                        <w:spacing w:val="-5"/>
                        <w:w w:val="115"/>
                        <w:sz w:val="8"/>
                      </w:rPr>
                      <w:t> </w:t>
                    </w:r>
                    <w:r>
                      <w:rPr>
                        <w:w w:val="115"/>
                        <w:sz w:val="8"/>
                      </w:rPr>
                      <w:t>interés internacionales (</w:t>
                    </w:r>
                    <w:r>
                      <w:rPr>
                        <w:i/>
                        <w:w w:val="115"/>
                        <w:sz w:val="8"/>
                      </w:rPr>
                      <w:t>cover rate</w:t>
                    </w:r>
                    <w:r>
                      <w:rPr>
                        <w:w w:val="115"/>
                        <w:sz w:val="8"/>
                      </w:rPr>
                      <w:t>), Tasa inflacionaria y Facilidad para hacer negocios</w:t>
                    </w:r>
                  </w:p>
                  <w:p>
                    <w:pPr>
                      <w:numPr>
                        <w:ilvl w:val="0"/>
                        <w:numId w:val="28"/>
                      </w:numPr>
                      <w:tabs>
                        <w:tab w:pos="143" w:val="left" w:leader="none"/>
                      </w:tabs>
                      <w:spacing w:before="0"/>
                      <w:ind w:left="58" w:right="292" w:firstLine="0"/>
                      <w:jc w:val="left"/>
                      <w:rPr>
                        <w:sz w:val="8"/>
                      </w:rPr>
                    </w:pPr>
                    <w:r>
                      <w:rPr>
                        <w:w w:val="115"/>
                        <w:sz w:val="8"/>
                      </w:rPr>
                      <w:t>Dimensión</w:t>
                    </w:r>
                    <w:r>
                      <w:rPr>
                        <w:spacing w:val="-5"/>
                        <w:w w:val="115"/>
                        <w:sz w:val="8"/>
                      </w:rPr>
                      <w:t> </w:t>
                    </w:r>
                    <w:r>
                      <w:rPr>
                        <w:w w:val="115"/>
                        <w:sz w:val="8"/>
                      </w:rPr>
                      <w:t>social: Coeficiente</w:t>
                    </w:r>
                    <w:r>
                      <w:rPr>
                        <w:spacing w:val="-17"/>
                        <w:w w:val="115"/>
                        <w:sz w:val="8"/>
                      </w:rPr>
                      <w:t> </w:t>
                    </w:r>
                    <w:r>
                      <w:rPr>
                        <w:w w:val="115"/>
                        <w:sz w:val="8"/>
                      </w:rPr>
                      <w:t>de</w:t>
                    </w:r>
                    <w:r>
                      <w:rPr>
                        <w:spacing w:val="-6"/>
                        <w:w w:val="115"/>
                        <w:sz w:val="8"/>
                      </w:rPr>
                      <w:t> </w:t>
                    </w:r>
                    <w:r>
                      <w:rPr>
                        <w:w w:val="115"/>
                        <w:sz w:val="8"/>
                      </w:rPr>
                      <w:t>GINI </w:t>
                    </w:r>
                    <w:r>
                      <w:rPr>
                        <w:spacing w:val="-3"/>
                        <w:w w:val="115"/>
                        <w:sz w:val="8"/>
                      </w:rPr>
                      <w:t>(pobreza</w:t>
                    </w:r>
                    <w:r>
                      <w:rPr>
                        <w:spacing w:val="-5"/>
                        <w:w w:val="115"/>
                        <w:sz w:val="8"/>
                      </w:rPr>
                      <w:t> </w:t>
                    </w:r>
                    <w:r>
                      <w:rPr>
                        <w:w w:val="115"/>
                        <w:sz w:val="8"/>
                      </w:rPr>
                      <w:t>e</w:t>
                    </w:r>
                    <w:r>
                      <w:rPr>
                        <w:spacing w:val="-5"/>
                        <w:w w:val="115"/>
                        <w:sz w:val="8"/>
                      </w:rPr>
                      <w:t> </w:t>
                    </w:r>
                    <w:r>
                      <w:rPr>
                        <w:w w:val="115"/>
                        <w:sz w:val="8"/>
                      </w:rPr>
                      <w:t>inequidad), Tasa</w:t>
                    </w:r>
                    <w:r>
                      <w:rPr>
                        <w:spacing w:val="-17"/>
                        <w:w w:val="115"/>
                        <w:sz w:val="8"/>
                      </w:rPr>
                      <w:t> </w:t>
                    </w:r>
                    <w:r>
                      <w:rPr>
                        <w:w w:val="115"/>
                        <w:sz w:val="8"/>
                      </w:rPr>
                      <w:t>de desempleo, y Ratificación internacional de los documentos de derecho laboral.</w:t>
                    </w:r>
                  </w:p>
                  <w:p>
                    <w:pPr>
                      <w:numPr>
                        <w:ilvl w:val="0"/>
                        <w:numId w:val="28"/>
                      </w:numPr>
                      <w:tabs>
                        <w:tab w:pos="143" w:val="left" w:leader="none"/>
                      </w:tabs>
                      <w:spacing w:line="89" w:lineRule="exact" w:before="0"/>
                      <w:ind w:left="142" w:right="0" w:hanging="84"/>
                      <w:jc w:val="left"/>
                      <w:rPr>
                        <w:sz w:val="8"/>
                      </w:rPr>
                    </w:pPr>
                    <w:r>
                      <w:rPr>
                        <w:w w:val="115"/>
                        <w:sz w:val="8"/>
                      </w:rPr>
                      <w:t>Dimensión</w:t>
                    </w:r>
                    <w:r>
                      <w:rPr>
                        <w:spacing w:val="-10"/>
                        <w:w w:val="115"/>
                        <w:sz w:val="8"/>
                      </w:rPr>
                      <w:t> </w:t>
                    </w:r>
                    <w:r>
                      <w:rPr>
                        <w:w w:val="115"/>
                        <w:sz w:val="8"/>
                      </w:rPr>
                      <w:t>ambiental:</w:t>
                    </w:r>
                    <w:r>
                      <w:rPr>
                        <w:spacing w:val="-14"/>
                        <w:w w:val="115"/>
                        <w:sz w:val="8"/>
                      </w:rPr>
                      <w:t> </w:t>
                    </w:r>
                    <w:r>
                      <w:rPr>
                        <w:w w:val="115"/>
                        <w:sz w:val="8"/>
                      </w:rPr>
                      <w:t>Huella</w:t>
                    </w:r>
                    <w:r>
                      <w:rPr>
                        <w:spacing w:val="-10"/>
                        <w:w w:val="115"/>
                        <w:sz w:val="8"/>
                      </w:rPr>
                      <w:t> </w:t>
                    </w:r>
                    <w:r>
                      <w:rPr>
                        <w:w w:val="115"/>
                        <w:sz w:val="8"/>
                      </w:rPr>
                      <w:t>ecológica</w:t>
                    </w:r>
                    <w:r>
                      <w:rPr>
                        <w:spacing w:val="-10"/>
                        <w:w w:val="115"/>
                        <w:sz w:val="8"/>
                      </w:rPr>
                      <w:t> </w:t>
                    </w:r>
                    <w:r>
                      <w:rPr>
                        <w:w w:val="115"/>
                        <w:sz w:val="8"/>
                      </w:rPr>
                      <w:t>y</w:t>
                    </w:r>
                    <w:r>
                      <w:rPr>
                        <w:spacing w:val="-5"/>
                        <w:w w:val="115"/>
                        <w:sz w:val="8"/>
                      </w:rPr>
                      <w:t> </w:t>
                    </w:r>
                    <w:r>
                      <w:rPr>
                        <w:w w:val="115"/>
                        <w:sz w:val="8"/>
                      </w:rPr>
                      <w:t>biocapacidad,</w:t>
                    </w:r>
                    <w:r>
                      <w:rPr>
                        <w:spacing w:val="-5"/>
                        <w:w w:val="115"/>
                        <w:sz w:val="8"/>
                      </w:rPr>
                      <w:t> </w:t>
                    </w:r>
                    <w:r>
                      <w:rPr>
                        <w:w w:val="115"/>
                        <w:sz w:val="8"/>
                      </w:rPr>
                      <w:t>Sustentabilidad</w:t>
                    </w:r>
                  </w:p>
                  <w:p>
                    <w:pPr>
                      <w:spacing w:line="90" w:lineRule="exact" w:before="0"/>
                      <w:ind w:left="58" w:right="0" w:firstLine="0"/>
                      <w:jc w:val="left"/>
                      <w:rPr>
                        <w:sz w:val="8"/>
                      </w:rPr>
                    </w:pPr>
                    <w:r>
                      <w:rPr>
                        <w:w w:val="115"/>
                        <w:sz w:val="8"/>
                      </w:rPr>
                      <w:t>ecológica, Tasa per cápita de emisión de CO2 y Desempeño ambiental.</w:t>
                    </w:r>
                  </w:p>
                  <w:p>
                    <w:pPr>
                      <w:spacing w:before="0"/>
                      <w:ind w:left="58" w:right="368" w:firstLine="0"/>
                      <w:jc w:val="left"/>
                      <w:rPr>
                        <w:sz w:val="8"/>
                      </w:rPr>
                    </w:pPr>
                    <w:r>
                      <w:rPr>
                        <w:i/>
                        <w:w w:val="115"/>
                        <w:sz w:val="8"/>
                      </w:rPr>
                      <w:t>Desarrollo </w:t>
                    </w:r>
                    <w:r>
                      <w:rPr>
                        <w:i/>
                        <w:spacing w:val="-3"/>
                        <w:w w:val="115"/>
                        <w:sz w:val="8"/>
                      </w:rPr>
                      <w:t>humano: </w:t>
                    </w:r>
                    <w:r>
                      <w:rPr>
                        <w:w w:val="115"/>
                        <w:sz w:val="8"/>
                      </w:rPr>
                      <w:t>Bienestar y felicidad </w:t>
                    </w:r>
                    <w:r>
                      <w:rPr>
                        <w:spacing w:val="-3"/>
                        <w:w w:val="115"/>
                        <w:sz w:val="8"/>
                      </w:rPr>
                      <w:t>(Calidad </w:t>
                    </w:r>
                    <w:r>
                      <w:rPr>
                        <w:w w:val="115"/>
                        <w:sz w:val="8"/>
                      </w:rPr>
                      <w:t>de vida, Bienestar y f elicidad).</w:t>
                    </w:r>
                  </w:p>
                  <w:p>
                    <w:pPr>
                      <w:spacing w:line="240" w:lineRule="auto" w:before="0"/>
                      <w:rPr>
                        <w:sz w:val="8"/>
                      </w:rPr>
                    </w:pPr>
                  </w:p>
                  <w:p>
                    <w:pPr>
                      <w:spacing w:line="240" w:lineRule="auto" w:before="0"/>
                      <w:rPr>
                        <w:sz w:val="8"/>
                      </w:rPr>
                    </w:pPr>
                  </w:p>
                  <w:p>
                    <w:pPr>
                      <w:spacing w:line="240" w:lineRule="auto" w:before="4"/>
                      <w:rPr>
                        <w:sz w:val="7"/>
                      </w:rPr>
                    </w:pPr>
                  </w:p>
                  <w:p>
                    <w:pPr>
                      <w:spacing w:before="0"/>
                      <w:ind w:left="638" w:right="0" w:firstLine="0"/>
                      <w:jc w:val="left"/>
                      <w:rPr>
                        <w:b/>
                        <w:sz w:val="8"/>
                      </w:rPr>
                    </w:pPr>
                    <w:r>
                      <w:rPr>
                        <w:b/>
                        <w:w w:val="115"/>
                        <w:sz w:val="8"/>
                      </w:rPr>
                      <w:t>(2) Indicadores Mundiales de Gobernabilidad</w:t>
                    </w:r>
                  </w:p>
                  <w:p>
                    <w:pPr>
                      <w:spacing w:line="240" w:lineRule="auto" w:before="7"/>
                      <w:rPr>
                        <w:sz w:val="7"/>
                      </w:rPr>
                    </w:pPr>
                  </w:p>
                  <w:p>
                    <w:pPr>
                      <w:numPr>
                        <w:ilvl w:val="0"/>
                        <w:numId w:val="29"/>
                      </w:numPr>
                      <w:tabs>
                        <w:tab w:pos="162" w:val="left" w:leader="none"/>
                      </w:tabs>
                      <w:spacing w:line="91" w:lineRule="exact" w:before="1"/>
                      <w:ind w:left="58" w:right="0" w:firstLine="0"/>
                      <w:jc w:val="left"/>
                      <w:rPr>
                        <w:sz w:val="8"/>
                      </w:rPr>
                    </w:pPr>
                    <w:r>
                      <w:rPr>
                        <w:w w:val="115"/>
                        <w:sz w:val="8"/>
                      </w:rPr>
                      <w:t>Voz</w:t>
                    </w:r>
                    <w:r>
                      <w:rPr>
                        <w:spacing w:val="-10"/>
                        <w:w w:val="115"/>
                        <w:sz w:val="8"/>
                      </w:rPr>
                      <w:t> </w:t>
                    </w:r>
                    <w:r>
                      <w:rPr>
                        <w:w w:val="115"/>
                        <w:sz w:val="8"/>
                      </w:rPr>
                      <w:t>y</w:t>
                    </w:r>
                    <w:r>
                      <w:rPr>
                        <w:spacing w:val="11"/>
                        <w:w w:val="115"/>
                        <w:sz w:val="8"/>
                      </w:rPr>
                      <w:t> </w:t>
                    </w:r>
                    <w:r>
                      <w:rPr>
                        <w:w w:val="115"/>
                        <w:sz w:val="8"/>
                      </w:rPr>
                      <w:t>Rendición</w:t>
                    </w:r>
                    <w:r>
                      <w:rPr>
                        <w:spacing w:val="-5"/>
                        <w:w w:val="115"/>
                        <w:sz w:val="8"/>
                      </w:rPr>
                      <w:t> </w:t>
                    </w:r>
                    <w:r>
                      <w:rPr>
                        <w:w w:val="115"/>
                        <w:sz w:val="8"/>
                      </w:rPr>
                      <w:t>de</w:t>
                    </w:r>
                    <w:r>
                      <w:rPr>
                        <w:spacing w:val="-5"/>
                        <w:w w:val="115"/>
                        <w:sz w:val="8"/>
                      </w:rPr>
                      <w:t> </w:t>
                    </w:r>
                    <w:r>
                      <w:rPr>
                        <w:spacing w:val="-3"/>
                        <w:w w:val="115"/>
                        <w:sz w:val="8"/>
                      </w:rPr>
                      <w:t>Cuentas:</w:t>
                    </w:r>
                    <w:r>
                      <w:rPr>
                        <w:w w:val="115"/>
                        <w:sz w:val="8"/>
                      </w:rPr>
                      <w:t> derechos</w:t>
                    </w:r>
                    <w:r>
                      <w:rPr>
                        <w:spacing w:val="-10"/>
                        <w:w w:val="115"/>
                        <w:sz w:val="8"/>
                      </w:rPr>
                      <w:t> </w:t>
                    </w:r>
                    <w:r>
                      <w:rPr>
                        <w:w w:val="115"/>
                        <w:sz w:val="8"/>
                      </w:rPr>
                      <w:t>políticos, civiles y</w:t>
                    </w:r>
                    <w:r>
                      <w:rPr>
                        <w:spacing w:val="-10"/>
                        <w:w w:val="115"/>
                        <w:sz w:val="8"/>
                      </w:rPr>
                      <w:t> </w:t>
                    </w:r>
                    <w:r>
                      <w:rPr>
                        <w:w w:val="115"/>
                        <w:sz w:val="8"/>
                      </w:rPr>
                      <w:t>humanos, </w:t>
                    </w:r>
                    <w:r>
                      <w:rPr>
                        <w:spacing w:val="-5"/>
                        <w:w w:val="115"/>
                        <w:sz w:val="8"/>
                      </w:rPr>
                      <w:t>libertad</w:t>
                    </w:r>
                  </w:p>
                  <w:p>
                    <w:pPr>
                      <w:spacing w:line="90" w:lineRule="exact" w:before="0"/>
                      <w:ind w:left="58" w:right="0" w:firstLine="0"/>
                      <w:jc w:val="left"/>
                      <w:rPr>
                        <w:sz w:val="8"/>
                      </w:rPr>
                    </w:pPr>
                    <w:r>
                      <w:rPr>
                        <w:w w:val="115"/>
                        <w:sz w:val="8"/>
                      </w:rPr>
                      <w:t>de expresión, de asociación y de prensa.</w:t>
                    </w:r>
                  </w:p>
                  <w:p>
                    <w:pPr>
                      <w:numPr>
                        <w:ilvl w:val="0"/>
                        <w:numId w:val="29"/>
                      </w:numPr>
                      <w:tabs>
                        <w:tab w:pos="143" w:val="left" w:leader="none"/>
                      </w:tabs>
                      <w:spacing w:line="90" w:lineRule="exact" w:before="0"/>
                      <w:ind w:left="142" w:right="0" w:hanging="84"/>
                      <w:jc w:val="left"/>
                      <w:rPr>
                        <w:sz w:val="8"/>
                      </w:rPr>
                    </w:pPr>
                    <w:r>
                      <w:rPr>
                        <w:w w:val="115"/>
                        <w:sz w:val="8"/>
                      </w:rPr>
                      <w:t>Estabilidad</w:t>
                    </w:r>
                    <w:r>
                      <w:rPr>
                        <w:spacing w:val="-10"/>
                        <w:w w:val="115"/>
                        <w:sz w:val="8"/>
                      </w:rPr>
                      <w:t> </w:t>
                    </w:r>
                    <w:r>
                      <w:rPr>
                        <w:w w:val="115"/>
                        <w:sz w:val="8"/>
                      </w:rPr>
                      <w:t>Política</w:t>
                    </w:r>
                    <w:r>
                      <w:rPr>
                        <w:spacing w:val="-10"/>
                        <w:w w:val="115"/>
                        <w:sz w:val="8"/>
                      </w:rPr>
                      <w:t> </w:t>
                    </w:r>
                    <w:r>
                      <w:rPr>
                        <w:w w:val="115"/>
                        <w:sz w:val="8"/>
                      </w:rPr>
                      <w:t>y</w:t>
                    </w:r>
                    <w:r>
                      <w:rPr>
                        <w:spacing w:val="-6"/>
                        <w:w w:val="115"/>
                        <w:sz w:val="8"/>
                      </w:rPr>
                      <w:t> </w:t>
                    </w:r>
                    <w:r>
                      <w:rPr>
                        <w:w w:val="115"/>
                        <w:sz w:val="8"/>
                      </w:rPr>
                      <w:t>ausencia</w:t>
                    </w:r>
                    <w:r>
                      <w:rPr>
                        <w:spacing w:val="-10"/>
                        <w:w w:val="115"/>
                        <w:sz w:val="8"/>
                      </w:rPr>
                      <w:t> </w:t>
                    </w:r>
                    <w:r>
                      <w:rPr>
                        <w:w w:val="115"/>
                        <w:sz w:val="8"/>
                      </w:rPr>
                      <w:t>de</w:t>
                    </w:r>
                    <w:r>
                      <w:rPr>
                        <w:spacing w:val="-10"/>
                        <w:w w:val="115"/>
                        <w:sz w:val="8"/>
                      </w:rPr>
                      <w:t> </w:t>
                    </w:r>
                    <w:r>
                      <w:rPr>
                        <w:w w:val="115"/>
                        <w:sz w:val="8"/>
                      </w:rPr>
                      <w:t>violencia/terrorismo:</w:t>
                    </w:r>
                    <w:r>
                      <w:rPr>
                        <w:spacing w:val="-6"/>
                        <w:w w:val="115"/>
                        <w:sz w:val="8"/>
                      </w:rPr>
                      <w:t> </w:t>
                    </w:r>
                    <w:r>
                      <w:rPr>
                        <w:w w:val="115"/>
                        <w:sz w:val="8"/>
                      </w:rPr>
                      <w:t>gobierno</w:t>
                    </w:r>
                    <w:r>
                      <w:rPr>
                        <w:spacing w:val="-10"/>
                        <w:w w:val="115"/>
                        <w:sz w:val="8"/>
                      </w:rPr>
                      <w:t> </w:t>
                    </w:r>
                    <w:r>
                      <w:rPr>
                        <w:w w:val="115"/>
                        <w:sz w:val="8"/>
                      </w:rPr>
                      <w:t>esté</w:t>
                    </w:r>
                    <w:r>
                      <w:rPr>
                        <w:spacing w:val="-10"/>
                        <w:w w:val="115"/>
                        <w:sz w:val="8"/>
                      </w:rPr>
                      <w:t> </w:t>
                    </w:r>
                    <w:r>
                      <w:rPr>
                        <w:w w:val="115"/>
                        <w:sz w:val="8"/>
                      </w:rPr>
                      <w:t>sujeto</w:t>
                    </w:r>
                  </w:p>
                  <w:p>
                    <w:pPr>
                      <w:spacing w:line="90" w:lineRule="exact" w:before="0"/>
                      <w:ind w:left="58" w:right="0" w:firstLine="0"/>
                      <w:jc w:val="left"/>
                      <w:rPr>
                        <w:sz w:val="8"/>
                      </w:rPr>
                    </w:pPr>
                    <w:r>
                      <w:rPr>
                        <w:w w:val="115"/>
                        <w:sz w:val="8"/>
                      </w:rPr>
                      <w:t>a amenazas v iolentas o cambios, incluidos actos de terrorismo.</w:t>
                    </w:r>
                  </w:p>
                  <w:p>
                    <w:pPr>
                      <w:numPr>
                        <w:ilvl w:val="0"/>
                        <w:numId w:val="29"/>
                      </w:numPr>
                      <w:tabs>
                        <w:tab w:pos="143" w:val="left" w:leader="none"/>
                      </w:tabs>
                      <w:spacing w:line="90" w:lineRule="exact" w:before="0"/>
                      <w:ind w:left="142" w:right="0" w:hanging="84"/>
                      <w:jc w:val="left"/>
                      <w:rPr>
                        <w:sz w:val="8"/>
                      </w:rPr>
                    </w:pPr>
                    <w:r>
                      <w:rPr>
                        <w:w w:val="115"/>
                        <w:sz w:val="8"/>
                      </w:rPr>
                      <w:t>Ef</w:t>
                    </w:r>
                    <w:r>
                      <w:rPr>
                        <w:spacing w:val="-12"/>
                        <w:w w:val="115"/>
                        <w:sz w:val="8"/>
                      </w:rPr>
                      <w:t> </w:t>
                    </w:r>
                    <w:r>
                      <w:rPr>
                        <w:w w:val="115"/>
                        <w:sz w:val="8"/>
                      </w:rPr>
                      <w:t>ectividad</w:t>
                    </w:r>
                    <w:r>
                      <w:rPr>
                        <w:spacing w:val="-8"/>
                        <w:w w:val="115"/>
                        <w:sz w:val="8"/>
                      </w:rPr>
                      <w:t> </w:t>
                    </w:r>
                    <w:r>
                      <w:rPr>
                        <w:w w:val="115"/>
                        <w:sz w:val="8"/>
                      </w:rPr>
                      <w:t>Gubernamental:</w:t>
                    </w:r>
                    <w:r>
                      <w:rPr>
                        <w:spacing w:val="-3"/>
                        <w:w w:val="115"/>
                        <w:sz w:val="8"/>
                      </w:rPr>
                      <w:t> grado</w:t>
                    </w:r>
                    <w:r>
                      <w:rPr>
                        <w:spacing w:val="-8"/>
                        <w:w w:val="115"/>
                        <w:sz w:val="8"/>
                      </w:rPr>
                      <w:t> </w:t>
                    </w:r>
                    <w:r>
                      <w:rPr>
                        <w:w w:val="115"/>
                        <w:sz w:val="8"/>
                      </w:rPr>
                      <w:t>de</w:t>
                    </w:r>
                    <w:r>
                      <w:rPr>
                        <w:spacing w:val="-8"/>
                        <w:w w:val="115"/>
                        <w:sz w:val="8"/>
                      </w:rPr>
                      <w:t> </w:t>
                    </w:r>
                    <w:r>
                      <w:rPr>
                        <w:w w:val="115"/>
                        <w:sz w:val="8"/>
                      </w:rPr>
                      <w:t>competencia</w:t>
                    </w:r>
                    <w:r>
                      <w:rPr>
                        <w:spacing w:val="-8"/>
                        <w:w w:val="115"/>
                        <w:sz w:val="8"/>
                      </w:rPr>
                      <w:t> </w:t>
                    </w:r>
                    <w:r>
                      <w:rPr>
                        <w:w w:val="115"/>
                        <w:sz w:val="8"/>
                      </w:rPr>
                      <w:t>de</w:t>
                    </w:r>
                    <w:r>
                      <w:rPr>
                        <w:spacing w:val="-8"/>
                        <w:w w:val="115"/>
                        <w:sz w:val="8"/>
                      </w:rPr>
                      <w:t> </w:t>
                    </w:r>
                    <w:r>
                      <w:rPr>
                        <w:w w:val="115"/>
                        <w:sz w:val="8"/>
                      </w:rPr>
                      <w:t>la</w:t>
                    </w:r>
                    <w:r>
                      <w:rPr>
                        <w:spacing w:val="-8"/>
                        <w:w w:val="115"/>
                        <w:sz w:val="8"/>
                      </w:rPr>
                      <w:t> </w:t>
                    </w:r>
                    <w:r>
                      <w:rPr>
                        <w:w w:val="115"/>
                        <w:sz w:val="8"/>
                      </w:rPr>
                      <w:t>burocracia</w:t>
                    </w:r>
                    <w:r>
                      <w:rPr>
                        <w:spacing w:val="-8"/>
                        <w:w w:val="115"/>
                        <w:sz w:val="8"/>
                      </w:rPr>
                      <w:t> </w:t>
                    </w:r>
                    <w:r>
                      <w:rPr>
                        <w:w w:val="115"/>
                        <w:sz w:val="8"/>
                      </w:rPr>
                      <w:t>y</w:t>
                    </w:r>
                    <w:r>
                      <w:rPr>
                        <w:spacing w:val="-3"/>
                        <w:w w:val="115"/>
                        <w:sz w:val="8"/>
                      </w:rPr>
                      <w:t> </w:t>
                    </w:r>
                    <w:r>
                      <w:rPr>
                        <w:w w:val="115"/>
                        <w:sz w:val="8"/>
                      </w:rPr>
                      <w:t>la</w:t>
                    </w:r>
                  </w:p>
                  <w:p>
                    <w:pPr>
                      <w:spacing w:line="90" w:lineRule="exact" w:before="0"/>
                      <w:ind w:left="58" w:right="0" w:firstLine="0"/>
                      <w:jc w:val="left"/>
                      <w:rPr>
                        <w:sz w:val="8"/>
                      </w:rPr>
                    </w:pPr>
                    <w:r>
                      <w:rPr>
                        <w:w w:val="115"/>
                        <w:sz w:val="8"/>
                      </w:rPr>
                      <w:t>calidad de la prestación de servicios públicos.</w:t>
                    </w:r>
                  </w:p>
                  <w:p>
                    <w:pPr>
                      <w:numPr>
                        <w:ilvl w:val="0"/>
                        <w:numId w:val="29"/>
                      </w:numPr>
                      <w:tabs>
                        <w:tab w:pos="143" w:val="left" w:leader="none"/>
                      </w:tabs>
                      <w:spacing w:line="223" w:lineRule="auto" w:before="4"/>
                      <w:ind w:left="58" w:right="235" w:firstLine="0"/>
                      <w:jc w:val="left"/>
                      <w:rPr>
                        <w:sz w:val="8"/>
                      </w:rPr>
                    </w:pPr>
                    <w:r>
                      <w:rPr>
                        <w:w w:val="115"/>
                        <w:sz w:val="8"/>
                      </w:rPr>
                      <w:t>Calidad</w:t>
                    </w:r>
                    <w:r>
                      <w:rPr>
                        <w:spacing w:val="-6"/>
                        <w:w w:val="115"/>
                        <w:sz w:val="8"/>
                      </w:rPr>
                      <w:t> </w:t>
                    </w:r>
                    <w:r>
                      <w:rPr>
                        <w:w w:val="115"/>
                        <w:sz w:val="8"/>
                      </w:rPr>
                      <w:t>Regulatoria:</w:t>
                    </w:r>
                    <w:r>
                      <w:rPr>
                        <w:spacing w:val="-11"/>
                        <w:w w:val="115"/>
                        <w:sz w:val="8"/>
                      </w:rPr>
                      <w:t> </w:t>
                    </w:r>
                    <w:r>
                      <w:rPr>
                        <w:w w:val="115"/>
                        <w:sz w:val="8"/>
                      </w:rPr>
                      <w:t>capacidad</w:t>
                    </w:r>
                    <w:r>
                      <w:rPr>
                        <w:spacing w:val="-6"/>
                        <w:w w:val="115"/>
                        <w:sz w:val="8"/>
                      </w:rPr>
                      <w:t> </w:t>
                    </w:r>
                    <w:r>
                      <w:rPr>
                        <w:w w:val="115"/>
                        <w:sz w:val="8"/>
                      </w:rPr>
                      <w:t>del</w:t>
                    </w:r>
                    <w:r>
                      <w:rPr>
                        <w:spacing w:val="-6"/>
                        <w:w w:val="115"/>
                        <w:sz w:val="8"/>
                      </w:rPr>
                      <w:t> </w:t>
                    </w:r>
                    <w:r>
                      <w:rPr>
                        <w:w w:val="115"/>
                        <w:sz w:val="8"/>
                      </w:rPr>
                      <w:t>gobierno</w:t>
                    </w:r>
                    <w:r>
                      <w:rPr>
                        <w:spacing w:val="-6"/>
                        <w:w w:val="115"/>
                        <w:sz w:val="8"/>
                      </w:rPr>
                      <w:t> </w:t>
                    </w:r>
                    <w:r>
                      <w:rPr>
                        <w:w w:val="115"/>
                        <w:sz w:val="8"/>
                      </w:rPr>
                      <w:t>para</w:t>
                    </w:r>
                    <w:r>
                      <w:rPr>
                        <w:spacing w:val="-6"/>
                        <w:w w:val="115"/>
                        <w:sz w:val="8"/>
                      </w:rPr>
                      <w:t> </w:t>
                    </w:r>
                    <w:r>
                      <w:rPr>
                        <w:w w:val="115"/>
                        <w:sz w:val="8"/>
                      </w:rPr>
                      <w:t>establecer</w:t>
                    </w:r>
                    <w:r>
                      <w:rPr>
                        <w:spacing w:val="-16"/>
                        <w:w w:val="115"/>
                        <w:sz w:val="8"/>
                      </w:rPr>
                      <w:t> </w:t>
                    </w:r>
                    <w:r>
                      <w:rPr>
                        <w:w w:val="115"/>
                        <w:sz w:val="8"/>
                      </w:rPr>
                      <w:t>políticas</w:t>
                    </w:r>
                    <w:r>
                      <w:rPr>
                        <w:spacing w:val="-1"/>
                        <w:w w:val="115"/>
                        <w:sz w:val="8"/>
                      </w:rPr>
                      <w:t> </w:t>
                    </w:r>
                    <w:r>
                      <w:rPr>
                        <w:w w:val="115"/>
                        <w:sz w:val="8"/>
                      </w:rPr>
                      <w:t>y reglamentaciones acertadas que permitan y promuevan el desarrollo del </w:t>
                    </w:r>
                    <w:r>
                      <w:rPr>
                        <w:spacing w:val="2"/>
                        <w:w w:val="115"/>
                        <w:sz w:val="8"/>
                      </w:rPr>
                      <w:t>sector</w:t>
                    </w:r>
                    <w:r>
                      <w:rPr>
                        <w:spacing w:val="-2"/>
                        <w:w w:val="115"/>
                        <w:sz w:val="8"/>
                      </w:rPr>
                      <w:t> </w:t>
                    </w:r>
                    <w:r>
                      <w:rPr>
                        <w:w w:val="115"/>
                        <w:sz w:val="8"/>
                      </w:rPr>
                      <w:t>privado.</w:t>
                    </w:r>
                  </w:p>
                  <w:p>
                    <w:pPr>
                      <w:numPr>
                        <w:ilvl w:val="0"/>
                        <w:numId w:val="29"/>
                      </w:numPr>
                      <w:tabs>
                        <w:tab w:pos="143" w:val="left" w:leader="none"/>
                      </w:tabs>
                      <w:spacing w:before="0"/>
                      <w:ind w:left="58" w:right="214" w:firstLine="0"/>
                      <w:jc w:val="both"/>
                      <w:rPr>
                        <w:sz w:val="8"/>
                      </w:rPr>
                    </w:pPr>
                    <w:r>
                      <w:rPr>
                        <w:w w:val="115"/>
                        <w:sz w:val="8"/>
                      </w:rPr>
                      <w:t>Estado</w:t>
                    </w:r>
                    <w:r>
                      <w:rPr>
                        <w:spacing w:val="-4"/>
                        <w:w w:val="115"/>
                        <w:sz w:val="8"/>
                      </w:rPr>
                      <w:t> </w:t>
                    </w:r>
                    <w:r>
                      <w:rPr>
                        <w:w w:val="115"/>
                        <w:sz w:val="8"/>
                      </w:rPr>
                      <w:t>de</w:t>
                    </w:r>
                    <w:r>
                      <w:rPr>
                        <w:spacing w:val="-5"/>
                        <w:w w:val="115"/>
                        <w:sz w:val="8"/>
                      </w:rPr>
                      <w:t> </w:t>
                    </w:r>
                    <w:r>
                      <w:rPr>
                        <w:w w:val="115"/>
                        <w:sz w:val="8"/>
                      </w:rPr>
                      <w:t>Derecho:</w:t>
                    </w:r>
                    <w:r>
                      <w:rPr>
                        <w:spacing w:val="-10"/>
                        <w:w w:val="115"/>
                        <w:sz w:val="8"/>
                      </w:rPr>
                      <w:t> </w:t>
                    </w:r>
                    <w:r>
                      <w:rPr>
                        <w:w w:val="115"/>
                        <w:sz w:val="8"/>
                      </w:rPr>
                      <w:t>calidad</w:t>
                    </w:r>
                    <w:r>
                      <w:rPr>
                        <w:spacing w:val="-4"/>
                        <w:w w:val="115"/>
                        <w:sz w:val="8"/>
                      </w:rPr>
                      <w:t> </w:t>
                    </w:r>
                    <w:r>
                      <w:rPr>
                        <w:w w:val="115"/>
                        <w:sz w:val="8"/>
                      </w:rPr>
                      <w:t>de</w:t>
                    </w:r>
                    <w:r>
                      <w:rPr>
                        <w:spacing w:val="-5"/>
                        <w:w w:val="115"/>
                        <w:sz w:val="8"/>
                      </w:rPr>
                      <w:t> </w:t>
                    </w:r>
                    <w:r>
                      <w:rPr>
                        <w:w w:val="115"/>
                        <w:sz w:val="8"/>
                      </w:rPr>
                      <w:t>la</w:t>
                    </w:r>
                    <w:r>
                      <w:rPr>
                        <w:spacing w:val="-4"/>
                        <w:w w:val="115"/>
                        <w:sz w:val="8"/>
                      </w:rPr>
                      <w:t> </w:t>
                    </w:r>
                    <w:r>
                      <w:rPr>
                        <w:w w:val="115"/>
                        <w:sz w:val="8"/>
                      </w:rPr>
                      <w:t>ejecución</w:t>
                    </w:r>
                    <w:r>
                      <w:rPr>
                        <w:spacing w:val="-16"/>
                        <w:w w:val="115"/>
                        <w:sz w:val="8"/>
                      </w:rPr>
                      <w:t> </w:t>
                    </w:r>
                    <w:r>
                      <w:rPr>
                        <w:w w:val="115"/>
                        <w:sz w:val="8"/>
                      </w:rPr>
                      <w:t>de</w:t>
                    </w:r>
                    <w:r>
                      <w:rPr>
                        <w:spacing w:val="-5"/>
                        <w:w w:val="115"/>
                        <w:sz w:val="8"/>
                      </w:rPr>
                      <w:t> </w:t>
                    </w:r>
                    <w:r>
                      <w:rPr>
                        <w:w w:val="115"/>
                        <w:sz w:val="8"/>
                      </w:rPr>
                      <w:t>contratos,</w:t>
                    </w:r>
                    <w:r>
                      <w:rPr>
                        <w:spacing w:val="-10"/>
                        <w:w w:val="115"/>
                        <w:sz w:val="8"/>
                      </w:rPr>
                      <w:t> </w:t>
                    </w:r>
                    <w:r>
                      <w:rPr>
                        <w:w w:val="115"/>
                        <w:sz w:val="8"/>
                      </w:rPr>
                      <w:t>la</w:t>
                    </w:r>
                    <w:r>
                      <w:rPr>
                        <w:spacing w:val="-4"/>
                        <w:w w:val="115"/>
                        <w:sz w:val="8"/>
                      </w:rPr>
                      <w:t> </w:t>
                    </w:r>
                    <w:r>
                      <w:rPr>
                        <w:w w:val="115"/>
                        <w:sz w:val="8"/>
                      </w:rPr>
                      <w:t>policía</w:t>
                    </w:r>
                    <w:r>
                      <w:rPr>
                        <w:spacing w:val="-4"/>
                        <w:w w:val="115"/>
                        <w:sz w:val="8"/>
                      </w:rPr>
                      <w:t> </w:t>
                    </w:r>
                    <w:r>
                      <w:rPr>
                        <w:w w:val="115"/>
                        <w:sz w:val="8"/>
                      </w:rPr>
                      <w:t>y</w:t>
                    </w:r>
                    <w:r>
                      <w:rPr>
                        <w:spacing w:val="-10"/>
                        <w:w w:val="115"/>
                        <w:sz w:val="8"/>
                      </w:rPr>
                      <w:t> </w:t>
                    </w:r>
                    <w:r>
                      <w:rPr>
                        <w:w w:val="115"/>
                        <w:sz w:val="8"/>
                      </w:rPr>
                      <w:t>los tribunales</w:t>
                    </w:r>
                    <w:r>
                      <w:rPr>
                        <w:spacing w:val="-1"/>
                        <w:w w:val="115"/>
                        <w:sz w:val="8"/>
                      </w:rPr>
                      <w:t> </w:t>
                    </w:r>
                    <w:r>
                      <w:rPr>
                        <w:w w:val="115"/>
                        <w:sz w:val="8"/>
                      </w:rPr>
                      <w:t>(Control</w:t>
                    </w:r>
                    <w:r>
                      <w:rPr>
                        <w:spacing w:val="-6"/>
                        <w:w w:val="115"/>
                        <w:sz w:val="8"/>
                      </w:rPr>
                      <w:t> </w:t>
                    </w:r>
                    <w:r>
                      <w:rPr>
                        <w:w w:val="115"/>
                        <w:sz w:val="8"/>
                      </w:rPr>
                      <w:t>de</w:t>
                    </w:r>
                    <w:r>
                      <w:rPr>
                        <w:spacing w:val="-6"/>
                        <w:w w:val="115"/>
                        <w:sz w:val="8"/>
                      </w:rPr>
                      <w:t> </w:t>
                    </w:r>
                    <w:r>
                      <w:rPr>
                        <w:w w:val="115"/>
                        <w:sz w:val="8"/>
                      </w:rPr>
                      <w:t>la</w:t>
                    </w:r>
                    <w:r>
                      <w:rPr>
                        <w:spacing w:val="-6"/>
                        <w:w w:val="115"/>
                        <w:sz w:val="8"/>
                      </w:rPr>
                      <w:t> </w:t>
                    </w:r>
                    <w:r>
                      <w:rPr>
                        <w:w w:val="115"/>
                        <w:sz w:val="8"/>
                      </w:rPr>
                      <w:t>Corrupción:</w:t>
                    </w:r>
                    <w:r>
                      <w:rPr>
                        <w:spacing w:val="-11"/>
                        <w:w w:val="115"/>
                        <w:sz w:val="8"/>
                      </w:rPr>
                      <w:t> </w:t>
                    </w:r>
                    <w:r>
                      <w:rPr>
                        <w:w w:val="115"/>
                        <w:sz w:val="8"/>
                      </w:rPr>
                      <w:t>abuso</w:t>
                    </w:r>
                    <w:r>
                      <w:rPr>
                        <w:spacing w:val="-6"/>
                        <w:w w:val="115"/>
                        <w:sz w:val="8"/>
                      </w:rPr>
                      <w:t> </w:t>
                    </w:r>
                    <w:r>
                      <w:rPr>
                        <w:w w:val="115"/>
                        <w:sz w:val="8"/>
                      </w:rPr>
                      <w:t>del</w:t>
                    </w:r>
                    <w:r>
                      <w:rPr>
                        <w:spacing w:val="-6"/>
                        <w:w w:val="115"/>
                        <w:sz w:val="8"/>
                      </w:rPr>
                      <w:t> </w:t>
                    </w:r>
                    <w:r>
                      <w:rPr>
                        <w:w w:val="115"/>
                        <w:sz w:val="8"/>
                      </w:rPr>
                      <w:t>poder</w:t>
                    </w:r>
                    <w:r>
                      <w:rPr>
                        <w:spacing w:val="-6"/>
                        <w:w w:val="115"/>
                        <w:sz w:val="8"/>
                      </w:rPr>
                      <w:t> </w:t>
                    </w:r>
                    <w:r>
                      <w:rPr>
                        <w:w w:val="115"/>
                        <w:sz w:val="8"/>
                      </w:rPr>
                      <w:t>público</w:t>
                    </w:r>
                    <w:r>
                      <w:rPr>
                        <w:spacing w:val="-6"/>
                        <w:w w:val="115"/>
                        <w:sz w:val="8"/>
                      </w:rPr>
                      <w:t> </w:t>
                    </w:r>
                    <w:r>
                      <w:rPr>
                        <w:w w:val="115"/>
                        <w:sz w:val="8"/>
                      </w:rPr>
                      <w:t>en</w:t>
                    </w:r>
                    <w:r>
                      <w:rPr>
                        <w:spacing w:val="-6"/>
                        <w:w w:val="115"/>
                        <w:sz w:val="8"/>
                      </w:rPr>
                      <w:t> </w:t>
                    </w:r>
                    <w:r>
                      <w:rPr>
                        <w:w w:val="115"/>
                        <w:sz w:val="8"/>
                      </w:rPr>
                      <w:t>beneficio priv</w:t>
                    </w:r>
                    <w:r>
                      <w:rPr>
                        <w:spacing w:val="-8"/>
                        <w:w w:val="115"/>
                        <w:sz w:val="8"/>
                      </w:rPr>
                      <w:t> </w:t>
                    </w:r>
                    <w:r>
                      <w:rPr>
                        <w:w w:val="115"/>
                        <w:sz w:val="8"/>
                      </w:rPr>
                      <w:t>ado.</w:t>
                    </w:r>
                  </w:p>
                  <w:p>
                    <w:pPr>
                      <w:numPr>
                        <w:ilvl w:val="0"/>
                        <w:numId w:val="29"/>
                      </w:numPr>
                      <w:tabs>
                        <w:tab w:pos="162" w:val="left" w:leader="none"/>
                      </w:tabs>
                      <w:spacing w:line="90" w:lineRule="exact" w:before="0"/>
                      <w:ind w:left="161" w:right="0" w:hanging="103"/>
                      <w:jc w:val="left"/>
                      <w:rPr>
                        <w:sz w:val="8"/>
                      </w:rPr>
                    </w:pPr>
                    <w:r>
                      <w:rPr>
                        <w:w w:val="115"/>
                        <w:sz w:val="8"/>
                      </w:rPr>
                      <w:t>Control</w:t>
                    </w:r>
                    <w:r>
                      <w:rPr>
                        <w:spacing w:val="-3"/>
                        <w:w w:val="115"/>
                        <w:sz w:val="8"/>
                      </w:rPr>
                      <w:t> </w:t>
                    </w:r>
                    <w:r>
                      <w:rPr>
                        <w:w w:val="115"/>
                        <w:sz w:val="8"/>
                      </w:rPr>
                      <w:t>de</w:t>
                    </w:r>
                    <w:r>
                      <w:rPr>
                        <w:spacing w:val="-3"/>
                        <w:w w:val="115"/>
                        <w:sz w:val="8"/>
                      </w:rPr>
                      <w:t> </w:t>
                    </w:r>
                    <w:r>
                      <w:rPr>
                        <w:w w:val="115"/>
                        <w:sz w:val="8"/>
                      </w:rPr>
                      <w:t>la</w:t>
                    </w:r>
                    <w:r>
                      <w:rPr>
                        <w:spacing w:val="-3"/>
                        <w:w w:val="115"/>
                        <w:sz w:val="8"/>
                      </w:rPr>
                      <w:t> </w:t>
                    </w:r>
                    <w:r>
                      <w:rPr>
                        <w:w w:val="115"/>
                        <w:sz w:val="8"/>
                      </w:rPr>
                      <w:t>corrupción:</w:t>
                    </w:r>
                    <w:r>
                      <w:rPr>
                        <w:spacing w:val="2"/>
                        <w:w w:val="115"/>
                        <w:sz w:val="8"/>
                      </w:rPr>
                      <w:t> </w:t>
                    </w:r>
                    <w:r>
                      <w:rPr>
                        <w:w w:val="115"/>
                        <w:sz w:val="8"/>
                      </w:rPr>
                      <w:t>corrupción</w:t>
                    </w:r>
                    <w:r>
                      <w:rPr>
                        <w:spacing w:val="-14"/>
                        <w:w w:val="115"/>
                        <w:sz w:val="8"/>
                      </w:rPr>
                      <w:t> </w:t>
                    </w:r>
                    <w:r>
                      <w:rPr>
                        <w:w w:val="115"/>
                        <w:sz w:val="8"/>
                      </w:rPr>
                      <w:t>en</w:t>
                    </w:r>
                    <w:r>
                      <w:rPr>
                        <w:spacing w:val="-3"/>
                        <w:w w:val="115"/>
                        <w:sz w:val="8"/>
                      </w:rPr>
                      <w:t> </w:t>
                    </w:r>
                    <w:r>
                      <w:rPr>
                        <w:w w:val="115"/>
                        <w:sz w:val="8"/>
                      </w:rPr>
                      <w:t>pequeña</w:t>
                    </w:r>
                    <w:r>
                      <w:rPr>
                        <w:spacing w:val="-3"/>
                        <w:w w:val="115"/>
                        <w:sz w:val="8"/>
                      </w:rPr>
                      <w:t> </w:t>
                    </w:r>
                    <w:r>
                      <w:rPr>
                        <w:w w:val="115"/>
                        <w:sz w:val="8"/>
                      </w:rPr>
                      <w:t>y</w:t>
                    </w:r>
                    <w:r>
                      <w:rPr>
                        <w:spacing w:val="-9"/>
                        <w:w w:val="115"/>
                        <w:sz w:val="8"/>
                      </w:rPr>
                      <w:t> </w:t>
                    </w:r>
                    <w:r>
                      <w:rPr>
                        <w:w w:val="115"/>
                        <w:sz w:val="8"/>
                      </w:rPr>
                      <w:t>gran</w:t>
                    </w:r>
                    <w:r>
                      <w:rPr>
                        <w:spacing w:val="-3"/>
                        <w:w w:val="115"/>
                        <w:sz w:val="8"/>
                      </w:rPr>
                      <w:t> </w:t>
                    </w:r>
                    <w:r>
                      <w:rPr>
                        <w:w w:val="115"/>
                        <w:sz w:val="8"/>
                      </w:rPr>
                      <w:t>escala</w:t>
                    </w:r>
                  </w:p>
                </w:txbxContent>
              </v:textbox>
              <v:fill type="solid"/>
              <w10:wrap type="none"/>
            </v:shape>
            <v:shape style="position:absolute;left:8192;top:2488;width:2628;height:487" type="#_x0000_t202" filled="false" stroked="false">
              <v:textbox inset="0,0,0,0">
                <w:txbxContent>
                  <w:p>
                    <w:pPr>
                      <w:spacing w:line="91" w:lineRule="exact" w:before="58"/>
                      <w:ind w:left="733" w:right="0" w:firstLine="0"/>
                      <w:jc w:val="left"/>
                      <w:rPr>
                        <w:b/>
                        <w:sz w:val="8"/>
                      </w:rPr>
                    </w:pPr>
                    <w:r>
                      <w:rPr>
                        <w:b/>
                        <w:w w:val="115"/>
                        <w:sz w:val="8"/>
                      </w:rPr>
                      <w:t>(13) Índice de Planeta Feliz</w:t>
                    </w:r>
                  </w:p>
                  <w:p>
                    <w:pPr>
                      <w:spacing w:before="0"/>
                      <w:ind w:left="101" w:right="1381" w:firstLine="0"/>
                      <w:jc w:val="left"/>
                      <w:rPr>
                        <w:sz w:val="8"/>
                      </w:rPr>
                    </w:pPr>
                    <w:r>
                      <w:rPr>
                        <w:w w:val="115"/>
                        <w:sz w:val="8"/>
                      </w:rPr>
                      <w:t>1.Esperanza de vida 2.Bienestar experimentado. 3.Huella ecológica</w:t>
                    </w:r>
                  </w:p>
                </w:txbxContent>
              </v:textbox>
              <w10:wrap type="none"/>
            </v:shape>
            <v:shape style="position:absolute;left:5357;top:245;width:2628;height:2145" type="#_x0000_t202" filled="false" stroked="false">
              <v:textbox inset="0,0,0,0">
                <w:txbxContent>
                  <w:p>
                    <w:pPr>
                      <w:spacing w:line="91" w:lineRule="exact" w:before="36"/>
                      <w:ind w:left="657" w:right="636" w:firstLine="0"/>
                      <w:jc w:val="center"/>
                      <w:rPr>
                        <w:b/>
                        <w:sz w:val="8"/>
                      </w:rPr>
                    </w:pPr>
                    <w:r>
                      <w:rPr>
                        <w:b/>
                        <w:w w:val="115"/>
                        <w:sz w:val="8"/>
                      </w:rPr>
                      <w:t>(3) Índice de Estados Fallidos</w:t>
                    </w:r>
                  </w:p>
                  <w:p>
                    <w:pPr>
                      <w:spacing w:line="90" w:lineRule="exact" w:before="0"/>
                      <w:ind w:left="118" w:right="0" w:firstLine="0"/>
                      <w:jc w:val="left"/>
                      <w:rPr>
                        <w:i/>
                        <w:sz w:val="8"/>
                      </w:rPr>
                    </w:pPr>
                    <w:r>
                      <w:rPr>
                        <w:i/>
                        <w:w w:val="115"/>
                        <w:sz w:val="8"/>
                      </w:rPr>
                      <w:t>Indicadores sociales y económicos</w:t>
                    </w:r>
                  </w:p>
                  <w:p>
                    <w:pPr>
                      <w:numPr>
                        <w:ilvl w:val="0"/>
                        <w:numId w:val="30"/>
                      </w:numPr>
                      <w:tabs>
                        <w:tab w:pos="223" w:val="left" w:leader="none"/>
                      </w:tabs>
                      <w:spacing w:line="90" w:lineRule="exact" w:before="0"/>
                      <w:ind w:left="222" w:right="0" w:hanging="104"/>
                      <w:jc w:val="left"/>
                      <w:rPr>
                        <w:sz w:val="8"/>
                      </w:rPr>
                    </w:pPr>
                    <w:r>
                      <w:rPr>
                        <w:w w:val="115"/>
                        <w:sz w:val="8"/>
                      </w:rPr>
                      <w:t>Crecientes presiones</w:t>
                    </w:r>
                    <w:r>
                      <w:rPr>
                        <w:spacing w:val="13"/>
                        <w:w w:val="115"/>
                        <w:sz w:val="8"/>
                      </w:rPr>
                      <w:t> </w:t>
                    </w:r>
                    <w:r>
                      <w:rPr>
                        <w:spacing w:val="-3"/>
                        <w:w w:val="115"/>
                        <w:sz w:val="8"/>
                      </w:rPr>
                      <w:t>demográficas.</w:t>
                    </w:r>
                  </w:p>
                  <w:p>
                    <w:pPr>
                      <w:numPr>
                        <w:ilvl w:val="0"/>
                        <w:numId w:val="30"/>
                      </w:numPr>
                      <w:tabs>
                        <w:tab w:pos="223" w:val="left" w:leader="none"/>
                      </w:tabs>
                      <w:spacing w:line="90" w:lineRule="exact" w:before="0"/>
                      <w:ind w:left="222" w:right="0" w:hanging="104"/>
                      <w:jc w:val="left"/>
                      <w:rPr>
                        <w:sz w:val="8"/>
                      </w:rPr>
                    </w:pPr>
                    <w:r>
                      <w:rPr>
                        <w:w w:val="115"/>
                        <w:sz w:val="8"/>
                      </w:rPr>
                      <w:t>Mov</w:t>
                    </w:r>
                    <w:r>
                      <w:rPr>
                        <w:spacing w:val="-13"/>
                        <w:w w:val="115"/>
                        <w:sz w:val="8"/>
                      </w:rPr>
                      <w:t> </w:t>
                    </w:r>
                    <w:r>
                      <w:rPr>
                        <w:w w:val="115"/>
                        <w:sz w:val="8"/>
                      </w:rPr>
                      <w:t>imiento</w:t>
                    </w:r>
                    <w:r>
                      <w:rPr>
                        <w:spacing w:val="-9"/>
                        <w:w w:val="115"/>
                        <w:sz w:val="8"/>
                      </w:rPr>
                      <w:t> </w:t>
                    </w:r>
                    <w:r>
                      <w:rPr>
                        <w:w w:val="115"/>
                        <w:sz w:val="8"/>
                      </w:rPr>
                      <w:t>masivo</w:t>
                    </w:r>
                    <w:r>
                      <w:rPr>
                        <w:spacing w:val="-9"/>
                        <w:w w:val="115"/>
                        <w:sz w:val="8"/>
                      </w:rPr>
                      <w:t> </w:t>
                    </w:r>
                    <w:r>
                      <w:rPr>
                        <w:w w:val="115"/>
                        <w:sz w:val="8"/>
                      </w:rPr>
                      <w:t>de</w:t>
                    </w:r>
                    <w:r>
                      <w:rPr>
                        <w:spacing w:val="-9"/>
                        <w:w w:val="115"/>
                        <w:sz w:val="8"/>
                      </w:rPr>
                      <w:t> </w:t>
                    </w:r>
                    <w:r>
                      <w:rPr>
                        <w:w w:val="115"/>
                        <w:sz w:val="8"/>
                      </w:rPr>
                      <w:t>refugiados</w:t>
                    </w:r>
                    <w:r>
                      <w:rPr>
                        <w:spacing w:val="-4"/>
                        <w:w w:val="115"/>
                        <w:sz w:val="8"/>
                      </w:rPr>
                      <w:t> </w:t>
                    </w:r>
                    <w:r>
                      <w:rPr>
                        <w:w w:val="115"/>
                        <w:sz w:val="8"/>
                      </w:rPr>
                      <w:t>o</w:t>
                    </w:r>
                    <w:r>
                      <w:rPr>
                        <w:spacing w:val="-9"/>
                        <w:w w:val="115"/>
                        <w:sz w:val="8"/>
                      </w:rPr>
                      <w:t> </w:t>
                    </w:r>
                    <w:r>
                      <w:rPr>
                        <w:w w:val="115"/>
                        <w:sz w:val="8"/>
                      </w:rPr>
                      <w:t>personas</w:t>
                    </w:r>
                  </w:p>
                  <w:p>
                    <w:pPr>
                      <w:spacing w:line="90" w:lineRule="exact" w:before="0"/>
                      <w:ind w:left="118" w:right="0" w:firstLine="0"/>
                      <w:jc w:val="left"/>
                      <w:rPr>
                        <w:sz w:val="8"/>
                      </w:rPr>
                    </w:pPr>
                    <w:r>
                      <w:rPr>
                        <w:w w:val="115"/>
                        <w:sz w:val="8"/>
                      </w:rPr>
                      <w:t>desplazadas internamente.</w:t>
                    </w:r>
                  </w:p>
                  <w:p>
                    <w:pPr>
                      <w:numPr>
                        <w:ilvl w:val="0"/>
                        <w:numId w:val="30"/>
                      </w:numPr>
                      <w:tabs>
                        <w:tab w:pos="223" w:val="left" w:leader="none"/>
                      </w:tabs>
                      <w:spacing w:line="90" w:lineRule="exact" w:before="0"/>
                      <w:ind w:left="222" w:right="0" w:hanging="104"/>
                      <w:jc w:val="left"/>
                      <w:rPr>
                        <w:sz w:val="8"/>
                      </w:rPr>
                    </w:pPr>
                    <w:r>
                      <w:rPr>
                        <w:w w:val="115"/>
                        <w:sz w:val="8"/>
                      </w:rPr>
                      <w:t>Desarrollo económico</w:t>
                    </w:r>
                    <w:r>
                      <w:rPr>
                        <w:spacing w:val="-9"/>
                        <w:w w:val="115"/>
                        <w:sz w:val="8"/>
                      </w:rPr>
                      <w:t> </w:t>
                    </w:r>
                    <w:r>
                      <w:rPr>
                        <w:w w:val="115"/>
                        <w:sz w:val="8"/>
                      </w:rPr>
                      <w:t>desigual.</w:t>
                    </w:r>
                  </w:p>
                  <w:p>
                    <w:pPr>
                      <w:spacing w:line="90" w:lineRule="exact" w:before="0"/>
                      <w:ind w:left="118" w:right="0" w:firstLine="0"/>
                      <w:jc w:val="left"/>
                      <w:rPr>
                        <w:sz w:val="8"/>
                      </w:rPr>
                    </w:pPr>
                    <w:r>
                      <w:rPr>
                        <w:w w:val="115"/>
                        <w:sz w:val="8"/>
                      </w:rPr>
                      <w:t>Grupo de quejas.</w:t>
                    </w:r>
                  </w:p>
                  <w:p>
                    <w:pPr>
                      <w:numPr>
                        <w:ilvl w:val="0"/>
                        <w:numId w:val="30"/>
                      </w:numPr>
                      <w:tabs>
                        <w:tab w:pos="223" w:val="left" w:leader="none"/>
                      </w:tabs>
                      <w:spacing w:line="90" w:lineRule="exact" w:before="0"/>
                      <w:ind w:left="222" w:right="0" w:hanging="104"/>
                      <w:jc w:val="left"/>
                      <w:rPr>
                        <w:sz w:val="8"/>
                      </w:rPr>
                    </w:pPr>
                    <w:r>
                      <w:rPr>
                        <w:w w:val="115"/>
                        <w:sz w:val="8"/>
                      </w:rPr>
                      <w:t>Migración y fuga de</w:t>
                    </w:r>
                    <w:r>
                      <w:rPr>
                        <w:spacing w:val="-12"/>
                        <w:w w:val="115"/>
                        <w:sz w:val="8"/>
                      </w:rPr>
                      <w:t> </w:t>
                    </w:r>
                    <w:r>
                      <w:rPr>
                        <w:w w:val="115"/>
                        <w:sz w:val="8"/>
                      </w:rPr>
                      <w:t>cerebros.</w:t>
                    </w:r>
                  </w:p>
                  <w:p>
                    <w:pPr>
                      <w:numPr>
                        <w:ilvl w:val="0"/>
                        <w:numId w:val="30"/>
                      </w:numPr>
                      <w:tabs>
                        <w:tab w:pos="223" w:val="left" w:leader="none"/>
                      </w:tabs>
                      <w:spacing w:line="90" w:lineRule="exact" w:before="0"/>
                      <w:ind w:left="222" w:right="0" w:hanging="104"/>
                      <w:jc w:val="left"/>
                      <w:rPr>
                        <w:sz w:val="8"/>
                      </w:rPr>
                    </w:pPr>
                    <w:r>
                      <w:rPr>
                        <w:w w:val="115"/>
                        <w:sz w:val="8"/>
                      </w:rPr>
                      <w:t>Pobreza y deterioro</w:t>
                    </w:r>
                    <w:r>
                      <w:rPr>
                        <w:spacing w:val="-11"/>
                        <w:w w:val="115"/>
                        <w:sz w:val="8"/>
                      </w:rPr>
                      <w:t> </w:t>
                    </w:r>
                    <w:r>
                      <w:rPr>
                        <w:w w:val="115"/>
                        <w:sz w:val="8"/>
                      </w:rPr>
                      <w:t>económico</w:t>
                    </w:r>
                  </w:p>
                  <w:p>
                    <w:pPr>
                      <w:numPr>
                        <w:ilvl w:val="0"/>
                        <w:numId w:val="30"/>
                      </w:numPr>
                      <w:tabs>
                        <w:tab w:pos="223" w:val="left" w:leader="none"/>
                      </w:tabs>
                      <w:spacing w:line="90" w:lineRule="exact" w:before="0"/>
                      <w:ind w:left="222" w:right="0" w:hanging="104"/>
                      <w:jc w:val="left"/>
                      <w:rPr>
                        <w:sz w:val="8"/>
                      </w:rPr>
                    </w:pPr>
                    <w:r>
                      <w:rPr>
                        <w:w w:val="115"/>
                        <w:sz w:val="8"/>
                      </w:rPr>
                      <w:t>Pobreza</w:t>
                    </w:r>
                    <w:r>
                      <w:rPr>
                        <w:spacing w:val="-8"/>
                        <w:w w:val="115"/>
                        <w:sz w:val="8"/>
                      </w:rPr>
                      <w:t> </w:t>
                    </w:r>
                    <w:r>
                      <w:rPr>
                        <w:spacing w:val="2"/>
                        <w:w w:val="115"/>
                        <w:sz w:val="8"/>
                      </w:rPr>
                      <w:t>extrema</w:t>
                    </w:r>
                    <w:r>
                      <w:rPr>
                        <w:spacing w:val="-8"/>
                        <w:w w:val="115"/>
                        <w:sz w:val="8"/>
                      </w:rPr>
                      <w:t> </w:t>
                    </w:r>
                    <w:r>
                      <w:rPr>
                        <w:w w:val="115"/>
                        <w:sz w:val="8"/>
                      </w:rPr>
                      <w:t>y/o</w:t>
                    </w:r>
                    <w:r>
                      <w:rPr>
                        <w:spacing w:val="-8"/>
                        <w:w w:val="115"/>
                        <w:sz w:val="8"/>
                      </w:rPr>
                      <w:t> </w:t>
                    </w:r>
                    <w:r>
                      <w:rPr>
                        <w:w w:val="115"/>
                        <w:sz w:val="8"/>
                      </w:rPr>
                      <w:t>decline</w:t>
                    </w:r>
                    <w:r>
                      <w:rPr>
                        <w:spacing w:val="-17"/>
                        <w:w w:val="115"/>
                        <w:sz w:val="8"/>
                      </w:rPr>
                      <w:t> </w:t>
                    </w:r>
                    <w:r>
                      <w:rPr>
                        <w:w w:val="115"/>
                        <w:sz w:val="8"/>
                      </w:rPr>
                      <w:t>económico</w:t>
                    </w:r>
                    <w:r>
                      <w:rPr>
                        <w:spacing w:val="-8"/>
                        <w:w w:val="115"/>
                        <w:sz w:val="8"/>
                      </w:rPr>
                      <w:t> </w:t>
                    </w:r>
                    <w:r>
                      <w:rPr>
                        <w:w w:val="115"/>
                        <w:sz w:val="8"/>
                      </w:rPr>
                      <w:t>severo.</w:t>
                    </w:r>
                  </w:p>
                  <w:p>
                    <w:pPr>
                      <w:spacing w:line="90" w:lineRule="exact" w:before="0"/>
                      <w:ind w:left="118" w:right="0" w:firstLine="0"/>
                      <w:jc w:val="left"/>
                      <w:rPr>
                        <w:i/>
                        <w:sz w:val="8"/>
                      </w:rPr>
                    </w:pPr>
                    <w:r>
                      <w:rPr>
                        <w:i/>
                        <w:w w:val="115"/>
                        <w:sz w:val="8"/>
                      </w:rPr>
                      <w:t>Indicadores políticos/militares</w:t>
                    </w:r>
                  </w:p>
                  <w:p>
                    <w:pPr>
                      <w:numPr>
                        <w:ilvl w:val="0"/>
                        <w:numId w:val="30"/>
                      </w:numPr>
                      <w:tabs>
                        <w:tab w:pos="223" w:val="left" w:leader="none"/>
                      </w:tabs>
                      <w:spacing w:line="90" w:lineRule="exact" w:before="0"/>
                      <w:ind w:left="222" w:right="0" w:hanging="104"/>
                      <w:jc w:val="left"/>
                      <w:rPr>
                        <w:sz w:val="8"/>
                      </w:rPr>
                    </w:pPr>
                    <w:r>
                      <w:rPr>
                        <w:w w:val="115"/>
                        <w:sz w:val="8"/>
                      </w:rPr>
                      <w:t>Legitimidad del</w:t>
                    </w:r>
                    <w:r>
                      <w:rPr>
                        <w:spacing w:val="-3"/>
                        <w:w w:val="115"/>
                        <w:sz w:val="8"/>
                      </w:rPr>
                      <w:t> </w:t>
                    </w:r>
                    <w:r>
                      <w:rPr>
                        <w:w w:val="115"/>
                        <w:sz w:val="8"/>
                      </w:rPr>
                      <w:t>Estado.</w:t>
                    </w:r>
                  </w:p>
                  <w:p>
                    <w:pPr>
                      <w:numPr>
                        <w:ilvl w:val="0"/>
                        <w:numId w:val="31"/>
                      </w:numPr>
                      <w:tabs>
                        <w:tab w:pos="192" w:val="left" w:leader="none"/>
                      </w:tabs>
                      <w:spacing w:line="90" w:lineRule="exact" w:before="0"/>
                      <w:ind w:left="191" w:right="0" w:hanging="73"/>
                      <w:jc w:val="left"/>
                      <w:rPr>
                        <w:sz w:val="8"/>
                      </w:rPr>
                    </w:pPr>
                    <w:r>
                      <w:rPr>
                        <w:w w:val="115"/>
                        <w:sz w:val="8"/>
                      </w:rPr>
                      <w:t>Deterioro</w:t>
                    </w:r>
                    <w:r>
                      <w:rPr>
                        <w:spacing w:val="-3"/>
                        <w:w w:val="115"/>
                        <w:sz w:val="8"/>
                      </w:rPr>
                      <w:t> </w:t>
                    </w:r>
                    <w:r>
                      <w:rPr>
                        <w:w w:val="115"/>
                        <w:sz w:val="8"/>
                      </w:rPr>
                      <w:t>progresivo</w:t>
                    </w:r>
                    <w:r>
                      <w:rPr>
                        <w:spacing w:val="-3"/>
                        <w:w w:val="115"/>
                        <w:sz w:val="8"/>
                      </w:rPr>
                      <w:t> </w:t>
                    </w:r>
                    <w:r>
                      <w:rPr>
                        <w:w w:val="115"/>
                        <w:sz w:val="8"/>
                      </w:rPr>
                      <w:t>de</w:t>
                    </w:r>
                    <w:r>
                      <w:rPr>
                        <w:spacing w:val="-4"/>
                        <w:w w:val="115"/>
                        <w:sz w:val="8"/>
                      </w:rPr>
                      <w:t> </w:t>
                    </w:r>
                    <w:r>
                      <w:rPr>
                        <w:w w:val="115"/>
                        <w:sz w:val="8"/>
                      </w:rPr>
                      <w:t>los</w:t>
                    </w:r>
                    <w:r>
                      <w:rPr>
                        <w:spacing w:val="-9"/>
                        <w:w w:val="115"/>
                        <w:sz w:val="8"/>
                      </w:rPr>
                      <w:t> </w:t>
                    </w:r>
                    <w:r>
                      <w:rPr>
                        <w:w w:val="115"/>
                        <w:sz w:val="8"/>
                      </w:rPr>
                      <w:t>servicios</w:t>
                    </w:r>
                    <w:r>
                      <w:rPr>
                        <w:spacing w:val="-9"/>
                        <w:w w:val="115"/>
                        <w:sz w:val="8"/>
                      </w:rPr>
                      <w:t> </w:t>
                    </w:r>
                    <w:r>
                      <w:rPr>
                        <w:w w:val="115"/>
                        <w:sz w:val="8"/>
                      </w:rPr>
                      <w:t>públicos.</w:t>
                    </w:r>
                  </w:p>
                  <w:p>
                    <w:pPr>
                      <w:numPr>
                        <w:ilvl w:val="0"/>
                        <w:numId w:val="31"/>
                      </w:numPr>
                      <w:tabs>
                        <w:tab w:pos="192" w:val="left" w:leader="none"/>
                      </w:tabs>
                      <w:spacing w:line="90" w:lineRule="exact" w:before="0"/>
                      <w:ind w:left="191" w:right="0" w:hanging="73"/>
                      <w:jc w:val="left"/>
                      <w:rPr>
                        <w:sz w:val="8"/>
                      </w:rPr>
                    </w:pPr>
                    <w:r>
                      <w:rPr>
                        <w:w w:val="115"/>
                        <w:sz w:val="8"/>
                      </w:rPr>
                      <w:t>Violación de los Derechos Humanos y </w:t>
                    </w:r>
                    <w:r>
                      <w:rPr>
                        <w:spacing w:val="-2"/>
                        <w:w w:val="115"/>
                        <w:sz w:val="8"/>
                      </w:rPr>
                      <w:t>Estado </w:t>
                    </w:r>
                    <w:r>
                      <w:rPr>
                        <w:w w:val="115"/>
                        <w:sz w:val="8"/>
                      </w:rPr>
                      <w:t>de</w:t>
                    </w:r>
                    <w:r>
                      <w:rPr>
                        <w:spacing w:val="-6"/>
                        <w:w w:val="115"/>
                        <w:sz w:val="8"/>
                      </w:rPr>
                      <w:t> </w:t>
                    </w:r>
                    <w:r>
                      <w:rPr>
                        <w:spacing w:val="-5"/>
                        <w:w w:val="115"/>
                        <w:sz w:val="8"/>
                      </w:rPr>
                      <w:t>Derecho.</w:t>
                    </w:r>
                  </w:p>
                  <w:p>
                    <w:pPr>
                      <w:numPr>
                        <w:ilvl w:val="0"/>
                        <w:numId w:val="31"/>
                      </w:numPr>
                      <w:tabs>
                        <w:tab w:pos="244" w:val="left" w:leader="none"/>
                      </w:tabs>
                      <w:spacing w:line="90" w:lineRule="exact" w:before="0"/>
                      <w:ind w:left="243" w:right="0" w:hanging="125"/>
                      <w:jc w:val="left"/>
                      <w:rPr>
                        <w:sz w:val="8"/>
                      </w:rPr>
                    </w:pPr>
                    <w:r>
                      <w:rPr>
                        <w:w w:val="115"/>
                        <w:sz w:val="8"/>
                      </w:rPr>
                      <w:t>Aparato de</w:t>
                    </w:r>
                    <w:r>
                      <w:rPr>
                        <w:spacing w:val="-1"/>
                        <w:w w:val="115"/>
                        <w:sz w:val="8"/>
                      </w:rPr>
                      <w:t> </w:t>
                    </w:r>
                    <w:r>
                      <w:rPr>
                        <w:w w:val="115"/>
                        <w:sz w:val="8"/>
                      </w:rPr>
                      <w:t>Seguridad.</w:t>
                    </w:r>
                  </w:p>
                  <w:p>
                    <w:pPr>
                      <w:numPr>
                        <w:ilvl w:val="0"/>
                        <w:numId w:val="31"/>
                      </w:numPr>
                      <w:tabs>
                        <w:tab w:pos="244" w:val="left" w:leader="none"/>
                      </w:tabs>
                      <w:spacing w:line="91" w:lineRule="exact" w:before="0"/>
                      <w:ind w:left="243" w:right="0" w:hanging="125"/>
                      <w:jc w:val="left"/>
                      <w:rPr>
                        <w:sz w:val="8"/>
                      </w:rPr>
                    </w:pPr>
                    <w:r>
                      <w:rPr>
                        <w:w w:val="115"/>
                        <w:sz w:val="8"/>
                      </w:rPr>
                      <w:t>Aumento de las élites</w:t>
                    </w:r>
                    <w:r>
                      <w:rPr>
                        <w:spacing w:val="-6"/>
                        <w:w w:val="115"/>
                        <w:sz w:val="8"/>
                      </w:rPr>
                      <w:t> </w:t>
                    </w:r>
                    <w:r>
                      <w:rPr>
                        <w:w w:val="115"/>
                        <w:sz w:val="8"/>
                      </w:rPr>
                      <w:t>facciones.</w:t>
                    </w:r>
                  </w:p>
                  <w:p>
                    <w:pPr>
                      <w:spacing w:line="240" w:lineRule="auto" w:before="0"/>
                      <w:rPr>
                        <w:sz w:val="8"/>
                      </w:rPr>
                    </w:pPr>
                  </w:p>
                  <w:p>
                    <w:pPr>
                      <w:numPr>
                        <w:ilvl w:val="0"/>
                        <w:numId w:val="32"/>
                      </w:numPr>
                      <w:tabs>
                        <w:tab w:pos="233" w:val="left" w:leader="none"/>
                      </w:tabs>
                      <w:spacing w:line="91" w:lineRule="exact" w:before="68"/>
                      <w:ind w:left="232" w:right="0" w:hanging="134"/>
                      <w:jc w:val="left"/>
                      <w:rPr>
                        <w:b/>
                        <w:sz w:val="8"/>
                      </w:rPr>
                    </w:pPr>
                    <w:r>
                      <w:rPr>
                        <w:b/>
                        <w:spacing w:val="3"/>
                        <w:w w:val="115"/>
                        <w:sz w:val="8"/>
                      </w:rPr>
                      <w:t>Índice </w:t>
                    </w:r>
                    <w:r>
                      <w:rPr>
                        <w:b/>
                        <w:spacing w:val="2"/>
                        <w:w w:val="115"/>
                        <w:sz w:val="8"/>
                      </w:rPr>
                      <w:t>de </w:t>
                    </w:r>
                    <w:r>
                      <w:rPr>
                        <w:b/>
                        <w:spacing w:val="-3"/>
                        <w:w w:val="115"/>
                        <w:sz w:val="8"/>
                      </w:rPr>
                      <w:t>Opacidad:</w:t>
                    </w:r>
                  </w:p>
                  <w:p>
                    <w:pPr>
                      <w:spacing w:before="0"/>
                      <w:ind w:left="98" w:right="0" w:firstLine="0"/>
                      <w:jc w:val="left"/>
                      <w:rPr>
                        <w:sz w:val="8"/>
                      </w:rPr>
                    </w:pPr>
                    <w:r>
                      <w:rPr>
                        <w:b/>
                        <w:w w:val="115"/>
                        <w:sz w:val="8"/>
                      </w:rPr>
                      <w:t>C</w:t>
                    </w:r>
                    <w:r>
                      <w:rPr>
                        <w:w w:val="115"/>
                        <w:sz w:val="8"/>
                      </w:rPr>
                      <w:t>orrupción, deficiencias del sistema judicial, aplicación de políticas económicas, estándares de contabilidad y gobierno corporativo y calidad regulatoria.</w:t>
                    </w:r>
                  </w:p>
                  <w:p>
                    <w:pPr>
                      <w:numPr>
                        <w:ilvl w:val="0"/>
                        <w:numId w:val="32"/>
                      </w:numPr>
                      <w:tabs>
                        <w:tab w:pos="233" w:val="left" w:leader="none"/>
                      </w:tabs>
                      <w:spacing w:line="90" w:lineRule="exact" w:before="0"/>
                      <w:ind w:left="232" w:right="0" w:hanging="134"/>
                      <w:jc w:val="left"/>
                      <w:rPr>
                        <w:b/>
                        <w:sz w:val="8"/>
                      </w:rPr>
                    </w:pPr>
                    <w:r>
                      <w:rPr>
                        <w:b/>
                        <w:spacing w:val="3"/>
                        <w:w w:val="115"/>
                        <w:sz w:val="8"/>
                      </w:rPr>
                      <w:t>Índice</w:t>
                    </w:r>
                    <w:r>
                      <w:rPr>
                        <w:b/>
                        <w:spacing w:val="-6"/>
                        <w:w w:val="115"/>
                        <w:sz w:val="8"/>
                      </w:rPr>
                      <w:t> </w:t>
                    </w:r>
                    <w:r>
                      <w:rPr>
                        <w:b/>
                        <w:w w:val="115"/>
                        <w:sz w:val="8"/>
                      </w:rPr>
                      <w:t>Internacional</w:t>
                    </w:r>
                    <w:r>
                      <w:rPr>
                        <w:b/>
                        <w:spacing w:val="-11"/>
                        <w:w w:val="115"/>
                        <w:sz w:val="8"/>
                      </w:rPr>
                      <w:t> </w:t>
                    </w:r>
                    <w:r>
                      <w:rPr>
                        <w:b/>
                        <w:spacing w:val="2"/>
                        <w:w w:val="115"/>
                        <w:sz w:val="8"/>
                      </w:rPr>
                      <w:t>de</w:t>
                    </w:r>
                    <w:r>
                      <w:rPr>
                        <w:b/>
                        <w:spacing w:val="-6"/>
                        <w:w w:val="115"/>
                        <w:sz w:val="8"/>
                      </w:rPr>
                      <w:t> </w:t>
                    </w:r>
                    <w:r>
                      <w:rPr>
                        <w:b/>
                        <w:spacing w:val="-3"/>
                        <w:w w:val="115"/>
                        <w:sz w:val="8"/>
                      </w:rPr>
                      <w:t>Percepción</w:t>
                    </w:r>
                    <w:r>
                      <w:rPr>
                        <w:b/>
                        <w:spacing w:val="-1"/>
                        <w:w w:val="115"/>
                        <w:sz w:val="8"/>
                      </w:rPr>
                      <w:t> </w:t>
                    </w:r>
                    <w:r>
                      <w:rPr>
                        <w:b/>
                        <w:spacing w:val="2"/>
                        <w:w w:val="115"/>
                        <w:sz w:val="8"/>
                      </w:rPr>
                      <w:t>de</w:t>
                    </w:r>
                    <w:r>
                      <w:rPr>
                        <w:b/>
                        <w:spacing w:val="-6"/>
                        <w:w w:val="115"/>
                        <w:sz w:val="8"/>
                      </w:rPr>
                      <w:t> </w:t>
                    </w:r>
                    <w:r>
                      <w:rPr>
                        <w:b/>
                        <w:spacing w:val="-3"/>
                        <w:w w:val="115"/>
                        <w:sz w:val="8"/>
                      </w:rPr>
                      <w:t>la</w:t>
                    </w:r>
                    <w:r>
                      <w:rPr>
                        <w:b/>
                        <w:spacing w:val="-6"/>
                        <w:w w:val="115"/>
                        <w:sz w:val="8"/>
                      </w:rPr>
                      <w:t> </w:t>
                    </w:r>
                    <w:r>
                      <w:rPr>
                        <w:b/>
                        <w:w w:val="115"/>
                        <w:sz w:val="8"/>
                      </w:rPr>
                      <w:t>Corrupción</w:t>
                    </w:r>
                  </w:p>
                </w:txbxContent>
              </v:textbox>
              <w10:wrap type="none"/>
            </v:shape>
            <v:shape style="position:absolute;left:8192;top:362;width:2649;height:172" type="#_x0000_t202" filled="true" fillcolor="#ffffff" stroked="false">
              <v:textbox inset="0,0,0,0">
                <w:txbxContent>
                  <w:p>
                    <w:pPr>
                      <w:spacing w:before="36"/>
                      <w:ind w:left="101" w:right="0" w:firstLine="0"/>
                      <w:jc w:val="left"/>
                      <w:rPr>
                        <w:b/>
                        <w:sz w:val="8"/>
                      </w:rPr>
                    </w:pPr>
                    <w:r>
                      <w:rPr>
                        <w:b/>
                        <w:w w:val="115"/>
                        <w:sz w:val="8"/>
                      </w:rPr>
                      <w:t>(11) Participación en Elecciones</w:t>
                    </w:r>
                  </w:p>
                </w:txbxContent>
              </v:textbox>
              <v:fill type="solid"/>
              <w10:wrap type="none"/>
            </v:shape>
            <v:shape style="position:absolute;left:8192;top:614;width:2649;height:1857" type="#_x0000_t202" filled="true" fillcolor="#ffffff" stroked="false">
              <v:textbox inset="0,0,0,0">
                <w:txbxContent>
                  <w:p>
                    <w:pPr>
                      <w:spacing w:line="91" w:lineRule="exact" w:before="39"/>
                      <w:ind w:left="101" w:right="0" w:firstLine="0"/>
                      <w:jc w:val="left"/>
                      <w:rPr>
                        <w:b/>
                        <w:sz w:val="8"/>
                      </w:rPr>
                    </w:pPr>
                    <w:r>
                      <w:rPr>
                        <w:b/>
                        <w:w w:val="115"/>
                        <w:sz w:val="8"/>
                      </w:rPr>
                      <w:t>(12) Índice de Mejor vida</w:t>
                    </w:r>
                  </w:p>
                  <w:p>
                    <w:pPr>
                      <w:numPr>
                        <w:ilvl w:val="0"/>
                        <w:numId w:val="33"/>
                      </w:numPr>
                      <w:tabs>
                        <w:tab w:pos="185" w:val="left" w:leader="none"/>
                      </w:tabs>
                      <w:spacing w:line="90" w:lineRule="exact" w:before="0"/>
                      <w:ind w:left="101" w:right="0" w:firstLine="0"/>
                      <w:jc w:val="left"/>
                      <w:rPr>
                        <w:sz w:val="8"/>
                      </w:rPr>
                    </w:pPr>
                    <w:r>
                      <w:rPr>
                        <w:w w:val="115"/>
                        <w:sz w:val="8"/>
                      </w:rPr>
                      <w:t>Viv</w:t>
                    </w:r>
                    <w:r>
                      <w:rPr>
                        <w:spacing w:val="-12"/>
                        <w:w w:val="115"/>
                        <w:sz w:val="8"/>
                      </w:rPr>
                      <w:t> </w:t>
                    </w:r>
                    <w:r>
                      <w:rPr>
                        <w:w w:val="115"/>
                        <w:sz w:val="8"/>
                      </w:rPr>
                      <w:t>iendas</w:t>
                    </w:r>
                    <w:r>
                      <w:rPr>
                        <w:spacing w:val="-2"/>
                        <w:w w:val="115"/>
                        <w:sz w:val="8"/>
                      </w:rPr>
                      <w:t> con</w:t>
                    </w:r>
                    <w:r>
                      <w:rPr>
                        <w:spacing w:val="-7"/>
                        <w:w w:val="115"/>
                        <w:sz w:val="8"/>
                      </w:rPr>
                      <w:t> </w:t>
                    </w:r>
                    <w:r>
                      <w:rPr>
                        <w:w w:val="115"/>
                        <w:sz w:val="8"/>
                      </w:rPr>
                      <w:t>servicios</w:t>
                    </w:r>
                    <w:r>
                      <w:rPr>
                        <w:spacing w:val="-12"/>
                        <w:w w:val="115"/>
                        <w:sz w:val="8"/>
                      </w:rPr>
                      <w:t> </w:t>
                    </w:r>
                    <w:r>
                      <w:rPr>
                        <w:w w:val="115"/>
                        <w:sz w:val="8"/>
                      </w:rPr>
                      <w:t>básicos</w:t>
                    </w:r>
                  </w:p>
                  <w:p>
                    <w:pPr>
                      <w:numPr>
                        <w:ilvl w:val="0"/>
                        <w:numId w:val="33"/>
                      </w:numPr>
                      <w:tabs>
                        <w:tab w:pos="185" w:val="left" w:leader="none"/>
                      </w:tabs>
                      <w:spacing w:before="0"/>
                      <w:ind w:left="101" w:right="99" w:firstLine="0"/>
                      <w:jc w:val="left"/>
                      <w:rPr>
                        <w:sz w:val="8"/>
                      </w:rPr>
                    </w:pPr>
                    <w:r>
                      <w:rPr>
                        <w:w w:val="115"/>
                        <w:sz w:val="8"/>
                      </w:rPr>
                      <w:t>Hogares con</w:t>
                    </w:r>
                    <w:r>
                      <w:rPr>
                        <w:spacing w:val="-21"/>
                        <w:w w:val="115"/>
                        <w:sz w:val="8"/>
                      </w:rPr>
                      <w:t> </w:t>
                    </w:r>
                    <w:r>
                      <w:rPr>
                        <w:w w:val="115"/>
                        <w:sz w:val="8"/>
                      </w:rPr>
                      <w:t>ingresos disponibles y num. de habitaciones. 3.Hogares con abundancia</w:t>
                    </w:r>
                    <w:r>
                      <w:rPr>
                        <w:spacing w:val="-8"/>
                        <w:w w:val="115"/>
                        <w:sz w:val="8"/>
                      </w:rPr>
                      <w:t> </w:t>
                    </w:r>
                    <w:r>
                      <w:rPr>
                        <w:w w:val="115"/>
                        <w:sz w:val="8"/>
                      </w:rPr>
                      <w:t>financiera.</w:t>
                    </w:r>
                  </w:p>
                  <w:p>
                    <w:pPr>
                      <w:numPr>
                        <w:ilvl w:val="0"/>
                        <w:numId w:val="34"/>
                      </w:numPr>
                      <w:tabs>
                        <w:tab w:pos="185" w:val="left" w:leader="none"/>
                      </w:tabs>
                      <w:spacing w:line="90" w:lineRule="exact" w:before="0"/>
                      <w:ind w:left="101" w:right="0" w:firstLine="0"/>
                      <w:jc w:val="left"/>
                      <w:rPr>
                        <w:sz w:val="8"/>
                      </w:rPr>
                    </w:pPr>
                    <w:r>
                      <w:rPr>
                        <w:w w:val="115"/>
                        <w:sz w:val="8"/>
                      </w:rPr>
                      <w:t>Tasa de</w:t>
                    </w:r>
                    <w:r>
                      <w:rPr>
                        <w:spacing w:val="-2"/>
                        <w:w w:val="115"/>
                        <w:sz w:val="8"/>
                      </w:rPr>
                      <w:t> </w:t>
                    </w:r>
                    <w:r>
                      <w:rPr>
                        <w:w w:val="115"/>
                        <w:sz w:val="8"/>
                      </w:rPr>
                      <w:t>empleo.</w:t>
                    </w:r>
                  </w:p>
                  <w:p>
                    <w:pPr>
                      <w:numPr>
                        <w:ilvl w:val="0"/>
                        <w:numId w:val="34"/>
                      </w:numPr>
                      <w:tabs>
                        <w:tab w:pos="185" w:val="left" w:leader="none"/>
                      </w:tabs>
                      <w:spacing w:line="90" w:lineRule="exact" w:before="0"/>
                      <w:ind w:left="184" w:right="0" w:hanging="83"/>
                      <w:jc w:val="left"/>
                      <w:rPr>
                        <w:sz w:val="8"/>
                      </w:rPr>
                    </w:pPr>
                    <w:r>
                      <w:rPr>
                        <w:w w:val="115"/>
                        <w:sz w:val="8"/>
                      </w:rPr>
                      <w:t>Tasa de desempleo</w:t>
                    </w:r>
                    <w:r>
                      <w:rPr>
                        <w:spacing w:val="-19"/>
                        <w:w w:val="115"/>
                        <w:sz w:val="8"/>
                      </w:rPr>
                      <w:t> </w:t>
                    </w:r>
                    <w:r>
                      <w:rPr>
                        <w:w w:val="115"/>
                        <w:sz w:val="8"/>
                      </w:rPr>
                      <w:t>a largo plazo.</w:t>
                    </w:r>
                  </w:p>
                  <w:p>
                    <w:pPr>
                      <w:numPr>
                        <w:ilvl w:val="0"/>
                        <w:numId w:val="34"/>
                      </w:numPr>
                      <w:tabs>
                        <w:tab w:pos="185" w:val="left" w:leader="none"/>
                      </w:tabs>
                      <w:spacing w:line="90" w:lineRule="exact" w:before="0"/>
                      <w:ind w:left="184" w:right="0" w:hanging="83"/>
                      <w:jc w:val="left"/>
                      <w:rPr>
                        <w:sz w:val="8"/>
                      </w:rPr>
                    </w:pPr>
                    <w:r>
                      <w:rPr>
                        <w:w w:val="115"/>
                        <w:sz w:val="8"/>
                      </w:rPr>
                      <w:t>Calidad de la red de</w:t>
                    </w:r>
                    <w:r>
                      <w:rPr>
                        <w:spacing w:val="-11"/>
                        <w:w w:val="115"/>
                        <w:sz w:val="8"/>
                      </w:rPr>
                      <w:t> </w:t>
                    </w:r>
                    <w:r>
                      <w:rPr>
                        <w:w w:val="115"/>
                        <w:sz w:val="8"/>
                      </w:rPr>
                      <w:t>apoyo.</w:t>
                    </w:r>
                  </w:p>
                  <w:p>
                    <w:pPr>
                      <w:numPr>
                        <w:ilvl w:val="0"/>
                        <w:numId w:val="34"/>
                      </w:numPr>
                      <w:tabs>
                        <w:tab w:pos="185" w:val="left" w:leader="none"/>
                      </w:tabs>
                      <w:spacing w:line="90" w:lineRule="exact" w:before="0"/>
                      <w:ind w:left="184" w:right="0" w:hanging="83"/>
                      <w:jc w:val="left"/>
                      <w:rPr>
                        <w:sz w:val="8"/>
                      </w:rPr>
                    </w:pPr>
                    <w:r>
                      <w:rPr>
                        <w:w w:val="115"/>
                        <w:sz w:val="8"/>
                      </w:rPr>
                      <w:t>Niv el</w:t>
                    </w:r>
                    <w:r>
                      <w:rPr>
                        <w:spacing w:val="-22"/>
                        <w:w w:val="115"/>
                        <w:sz w:val="8"/>
                      </w:rPr>
                      <w:t> </w:t>
                    </w:r>
                    <w:r>
                      <w:rPr>
                        <w:w w:val="115"/>
                        <w:sz w:val="8"/>
                      </w:rPr>
                      <w:t>educativo.</w:t>
                    </w:r>
                  </w:p>
                  <w:p>
                    <w:pPr>
                      <w:numPr>
                        <w:ilvl w:val="0"/>
                        <w:numId w:val="34"/>
                      </w:numPr>
                      <w:tabs>
                        <w:tab w:pos="185" w:val="left" w:leader="none"/>
                      </w:tabs>
                      <w:spacing w:line="90" w:lineRule="exact" w:before="0"/>
                      <w:ind w:left="184" w:right="0" w:hanging="83"/>
                      <w:jc w:val="left"/>
                      <w:rPr>
                        <w:sz w:val="8"/>
                      </w:rPr>
                    </w:pPr>
                    <w:r>
                      <w:rPr>
                        <w:w w:val="115"/>
                        <w:sz w:val="8"/>
                      </w:rPr>
                      <w:t>Estudiantes</w:t>
                    </w:r>
                    <w:r>
                      <w:rPr>
                        <w:spacing w:val="-1"/>
                        <w:w w:val="115"/>
                        <w:sz w:val="8"/>
                      </w:rPr>
                      <w:t> </w:t>
                    </w:r>
                    <w:r>
                      <w:rPr>
                        <w:w w:val="115"/>
                        <w:sz w:val="8"/>
                      </w:rPr>
                      <w:t>con</w:t>
                    </w:r>
                    <w:r>
                      <w:rPr>
                        <w:spacing w:val="-7"/>
                        <w:w w:val="115"/>
                        <w:sz w:val="8"/>
                      </w:rPr>
                      <w:t> </w:t>
                    </w:r>
                    <w:r>
                      <w:rPr>
                        <w:w w:val="115"/>
                        <w:sz w:val="8"/>
                      </w:rPr>
                      <w:t>habilidades</w:t>
                    </w:r>
                    <w:r>
                      <w:rPr>
                        <w:spacing w:val="-12"/>
                        <w:w w:val="115"/>
                        <w:sz w:val="8"/>
                      </w:rPr>
                      <w:t> </w:t>
                    </w:r>
                    <w:r>
                      <w:rPr>
                        <w:w w:val="115"/>
                        <w:sz w:val="8"/>
                      </w:rPr>
                      <w:t>en</w:t>
                    </w:r>
                    <w:r>
                      <w:rPr>
                        <w:spacing w:val="-7"/>
                        <w:w w:val="115"/>
                        <w:sz w:val="8"/>
                      </w:rPr>
                      <w:t> </w:t>
                    </w:r>
                    <w:r>
                      <w:rPr>
                        <w:w w:val="115"/>
                        <w:sz w:val="8"/>
                      </w:rPr>
                      <w:t>lectura.</w:t>
                    </w:r>
                  </w:p>
                  <w:p>
                    <w:pPr>
                      <w:numPr>
                        <w:ilvl w:val="0"/>
                        <w:numId w:val="34"/>
                      </w:numPr>
                      <w:tabs>
                        <w:tab w:pos="185" w:val="left" w:leader="none"/>
                      </w:tabs>
                      <w:spacing w:line="90" w:lineRule="exact" w:before="0"/>
                      <w:ind w:left="184" w:right="0" w:hanging="83"/>
                      <w:jc w:val="left"/>
                      <w:rPr>
                        <w:sz w:val="8"/>
                      </w:rPr>
                    </w:pPr>
                    <w:r>
                      <w:rPr>
                        <w:w w:val="115"/>
                        <w:sz w:val="8"/>
                      </w:rPr>
                      <w:t>Contaminación del</w:t>
                    </w:r>
                    <w:r>
                      <w:rPr>
                        <w:spacing w:val="-3"/>
                        <w:w w:val="115"/>
                        <w:sz w:val="8"/>
                      </w:rPr>
                      <w:t> </w:t>
                    </w:r>
                    <w:r>
                      <w:rPr>
                        <w:w w:val="115"/>
                        <w:sz w:val="8"/>
                      </w:rPr>
                      <w:t>aire.</w:t>
                    </w:r>
                  </w:p>
                  <w:p>
                    <w:pPr>
                      <w:numPr>
                        <w:ilvl w:val="0"/>
                        <w:numId w:val="34"/>
                      </w:numPr>
                      <w:tabs>
                        <w:tab w:pos="236" w:val="left" w:leader="none"/>
                      </w:tabs>
                      <w:spacing w:line="90" w:lineRule="exact" w:before="0"/>
                      <w:ind w:left="235" w:right="0" w:hanging="134"/>
                      <w:jc w:val="left"/>
                      <w:rPr>
                        <w:sz w:val="8"/>
                      </w:rPr>
                    </w:pPr>
                    <w:r>
                      <w:rPr>
                        <w:w w:val="115"/>
                        <w:sz w:val="8"/>
                      </w:rPr>
                      <w:t>Consulta</w:t>
                    </w:r>
                    <w:r>
                      <w:rPr>
                        <w:spacing w:val="-5"/>
                        <w:w w:val="115"/>
                        <w:sz w:val="8"/>
                      </w:rPr>
                      <w:t> </w:t>
                    </w:r>
                    <w:r>
                      <w:rPr>
                        <w:w w:val="115"/>
                        <w:sz w:val="8"/>
                      </w:rPr>
                      <w:t>sobre</w:t>
                    </w:r>
                    <w:r>
                      <w:rPr>
                        <w:spacing w:val="-16"/>
                        <w:w w:val="115"/>
                        <w:sz w:val="8"/>
                      </w:rPr>
                      <w:t> </w:t>
                    </w:r>
                    <w:r>
                      <w:rPr>
                        <w:w w:val="115"/>
                        <w:sz w:val="8"/>
                      </w:rPr>
                      <w:t>elaboración</w:t>
                    </w:r>
                    <w:r>
                      <w:rPr>
                        <w:spacing w:val="-5"/>
                        <w:w w:val="115"/>
                        <w:sz w:val="8"/>
                      </w:rPr>
                      <w:t> </w:t>
                    </w:r>
                    <w:r>
                      <w:rPr>
                        <w:w w:val="115"/>
                        <w:sz w:val="8"/>
                      </w:rPr>
                      <w:t>de</w:t>
                    </w:r>
                    <w:r>
                      <w:rPr>
                        <w:spacing w:val="-6"/>
                        <w:w w:val="115"/>
                        <w:sz w:val="8"/>
                      </w:rPr>
                      <w:t> </w:t>
                    </w:r>
                    <w:r>
                      <w:rPr>
                        <w:w w:val="115"/>
                        <w:sz w:val="8"/>
                      </w:rPr>
                      <w:t>normas.</w:t>
                    </w:r>
                  </w:p>
                  <w:p>
                    <w:pPr>
                      <w:numPr>
                        <w:ilvl w:val="0"/>
                        <w:numId w:val="34"/>
                      </w:numPr>
                      <w:tabs>
                        <w:tab w:pos="236" w:val="left" w:leader="none"/>
                      </w:tabs>
                      <w:spacing w:line="90" w:lineRule="exact" w:before="0"/>
                      <w:ind w:left="235" w:right="0" w:hanging="134"/>
                      <w:jc w:val="left"/>
                      <w:rPr>
                        <w:sz w:val="8"/>
                      </w:rPr>
                    </w:pPr>
                    <w:r>
                      <w:rPr>
                        <w:w w:val="115"/>
                        <w:sz w:val="8"/>
                      </w:rPr>
                      <w:t>Participación</w:t>
                    </w:r>
                    <w:r>
                      <w:rPr>
                        <w:spacing w:val="-3"/>
                        <w:w w:val="115"/>
                        <w:sz w:val="8"/>
                      </w:rPr>
                      <w:t> </w:t>
                    </w:r>
                    <w:r>
                      <w:rPr>
                        <w:w w:val="115"/>
                        <w:sz w:val="8"/>
                      </w:rPr>
                      <w:t>electoral.</w:t>
                    </w:r>
                  </w:p>
                  <w:p>
                    <w:pPr>
                      <w:numPr>
                        <w:ilvl w:val="0"/>
                        <w:numId w:val="34"/>
                      </w:numPr>
                      <w:tabs>
                        <w:tab w:pos="236" w:val="left" w:leader="none"/>
                      </w:tabs>
                      <w:spacing w:before="0"/>
                      <w:ind w:left="101" w:right="1454" w:firstLine="0"/>
                      <w:jc w:val="left"/>
                      <w:rPr>
                        <w:sz w:val="8"/>
                      </w:rPr>
                    </w:pPr>
                    <w:r>
                      <w:rPr>
                        <w:w w:val="115"/>
                        <w:sz w:val="8"/>
                      </w:rPr>
                      <w:t>Esperanza de vida. 13.Comunicados de salud. 14.Satisfacción de</w:t>
                    </w:r>
                    <w:r>
                      <w:rPr>
                        <w:spacing w:val="-5"/>
                        <w:w w:val="115"/>
                        <w:sz w:val="8"/>
                      </w:rPr>
                      <w:t> </w:t>
                    </w:r>
                    <w:r>
                      <w:rPr>
                        <w:w w:val="115"/>
                        <w:sz w:val="8"/>
                      </w:rPr>
                      <w:t>vida.</w:t>
                    </w:r>
                  </w:p>
                  <w:p>
                    <w:pPr>
                      <w:numPr>
                        <w:ilvl w:val="0"/>
                        <w:numId w:val="35"/>
                      </w:numPr>
                      <w:tabs>
                        <w:tab w:pos="236" w:val="left" w:leader="none"/>
                      </w:tabs>
                      <w:spacing w:line="89" w:lineRule="exact" w:before="0"/>
                      <w:ind w:left="101" w:right="0" w:firstLine="0"/>
                      <w:jc w:val="left"/>
                      <w:rPr>
                        <w:sz w:val="8"/>
                      </w:rPr>
                    </w:pPr>
                    <w:r>
                      <w:rPr>
                        <w:w w:val="115"/>
                        <w:sz w:val="8"/>
                      </w:rPr>
                      <w:t>Tasa de</w:t>
                    </w:r>
                    <w:r>
                      <w:rPr>
                        <w:spacing w:val="1"/>
                        <w:w w:val="115"/>
                        <w:sz w:val="8"/>
                      </w:rPr>
                      <w:t> </w:t>
                    </w:r>
                    <w:r>
                      <w:rPr>
                        <w:w w:val="115"/>
                        <w:sz w:val="8"/>
                      </w:rPr>
                      <w:t>homicidios.</w:t>
                    </w:r>
                  </w:p>
                  <w:p>
                    <w:pPr>
                      <w:numPr>
                        <w:ilvl w:val="0"/>
                        <w:numId w:val="35"/>
                      </w:numPr>
                      <w:tabs>
                        <w:tab w:pos="236" w:val="left" w:leader="none"/>
                      </w:tabs>
                      <w:spacing w:before="0"/>
                      <w:ind w:left="101" w:right="802" w:firstLine="0"/>
                      <w:jc w:val="left"/>
                      <w:rPr>
                        <w:sz w:val="8"/>
                      </w:rPr>
                    </w:pPr>
                    <w:r>
                      <w:rPr>
                        <w:w w:val="115"/>
                        <w:sz w:val="8"/>
                      </w:rPr>
                      <w:t>Tasa de agresión y/o ataques. 17.Empleados con largas horas de</w:t>
                    </w:r>
                    <w:r>
                      <w:rPr>
                        <w:spacing w:val="-17"/>
                        <w:w w:val="115"/>
                        <w:sz w:val="8"/>
                      </w:rPr>
                      <w:t> </w:t>
                    </w:r>
                    <w:r>
                      <w:rPr>
                        <w:w w:val="115"/>
                        <w:sz w:val="8"/>
                      </w:rPr>
                      <w:t>trabajo. 18.Tasa</w:t>
                    </w:r>
                    <w:r>
                      <w:rPr>
                        <w:spacing w:val="-3"/>
                        <w:w w:val="115"/>
                        <w:sz w:val="8"/>
                      </w:rPr>
                      <w:t> </w:t>
                    </w:r>
                    <w:r>
                      <w:rPr>
                        <w:w w:val="115"/>
                        <w:sz w:val="8"/>
                      </w:rPr>
                      <w:t>de</w:t>
                    </w:r>
                    <w:r>
                      <w:rPr>
                        <w:spacing w:val="-4"/>
                        <w:w w:val="115"/>
                        <w:sz w:val="8"/>
                      </w:rPr>
                      <w:t> </w:t>
                    </w:r>
                    <w:r>
                      <w:rPr>
                        <w:w w:val="115"/>
                        <w:sz w:val="8"/>
                      </w:rPr>
                      <w:t>empleo</w:t>
                    </w:r>
                    <w:r>
                      <w:rPr>
                        <w:spacing w:val="-4"/>
                        <w:w w:val="115"/>
                        <w:sz w:val="8"/>
                      </w:rPr>
                      <w:t> </w:t>
                    </w:r>
                    <w:r>
                      <w:rPr>
                        <w:w w:val="115"/>
                        <w:sz w:val="8"/>
                      </w:rPr>
                      <w:t>de</w:t>
                    </w:r>
                    <w:r>
                      <w:rPr>
                        <w:spacing w:val="-4"/>
                        <w:w w:val="115"/>
                        <w:sz w:val="8"/>
                      </w:rPr>
                      <w:t> </w:t>
                    </w:r>
                    <w:r>
                      <w:rPr>
                        <w:w w:val="115"/>
                        <w:sz w:val="8"/>
                      </w:rPr>
                      <w:t>mujeres</w:t>
                    </w:r>
                    <w:r>
                      <w:rPr>
                        <w:spacing w:val="-9"/>
                        <w:w w:val="115"/>
                        <w:sz w:val="8"/>
                      </w:rPr>
                      <w:t> </w:t>
                    </w:r>
                    <w:r>
                      <w:rPr>
                        <w:w w:val="115"/>
                        <w:sz w:val="8"/>
                      </w:rPr>
                      <w:t>con</w:t>
                    </w:r>
                    <w:r>
                      <w:rPr>
                        <w:spacing w:val="-4"/>
                        <w:w w:val="115"/>
                        <w:sz w:val="8"/>
                      </w:rPr>
                      <w:t> </w:t>
                    </w:r>
                    <w:r>
                      <w:rPr>
                        <w:w w:val="115"/>
                        <w:sz w:val="8"/>
                      </w:rPr>
                      <w:t>hijos.</w:t>
                    </w:r>
                  </w:p>
                  <w:p>
                    <w:pPr>
                      <w:spacing w:line="90" w:lineRule="exact" w:before="0"/>
                      <w:ind w:left="101" w:right="0" w:firstLine="0"/>
                      <w:jc w:val="left"/>
                      <w:rPr>
                        <w:sz w:val="8"/>
                      </w:rPr>
                    </w:pPr>
                    <w:r>
                      <w:rPr>
                        <w:w w:val="115"/>
                        <w:sz w:val="8"/>
                      </w:rPr>
                      <w:t>19.Tiempo dedicado al ocio y al cuidado personal.</w:t>
                    </w:r>
                  </w:p>
                </w:txbxContent>
              </v:textbox>
              <v:fill type="solid"/>
              <w10:wrap type="none"/>
            </v:shape>
            <v:shape style="position:absolute;left:5368;top:2425;width:2628;height:1325" type="#_x0000_t202" filled="true" fillcolor="#ffffff" stroked="false">
              <v:textbox inset="0,0,0,0">
                <w:txbxContent>
                  <w:p>
                    <w:pPr>
                      <w:spacing w:before="37"/>
                      <w:ind w:left="98" w:right="0" w:firstLine="0"/>
                      <w:jc w:val="left"/>
                      <w:rPr>
                        <w:b/>
                        <w:sz w:val="8"/>
                      </w:rPr>
                    </w:pPr>
                    <w:r>
                      <w:rPr>
                        <w:b/>
                        <w:w w:val="115"/>
                        <w:sz w:val="7"/>
                      </w:rPr>
                      <w:t>(</w:t>
                    </w:r>
                    <w:r>
                      <w:rPr>
                        <w:b/>
                        <w:w w:val="115"/>
                        <w:sz w:val="8"/>
                      </w:rPr>
                      <w:t>6) Barómetro Global dela Corrupción</w:t>
                    </w:r>
                  </w:p>
                  <w:p>
                    <w:pPr>
                      <w:spacing w:line="240" w:lineRule="auto" w:before="7"/>
                      <w:rPr>
                        <w:sz w:val="7"/>
                      </w:rPr>
                    </w:pPr>
                  </w:p>
                  <w:p>
                    <w:pPr>
                      <w:spacing w:before="1"/>
                      <w:ind w:left="98" w:right="1512" w:firstLine="0"/>
                      <w:jc w:val="left"/>
                      <w:rPr>
                        <w:sz w:val="8"/>
                      </w:rPr>
                    </w:pPr>
                    <w:r>
                      <w:rPr>
                        <w:w w:val="115"/>
                        <w:sz w:val="8"/>
                      </w:rPr>
                      <w:t>1.Partidos Políticos. 2.Parlamento/Congreso. 3.Política.</w:t>
                    </w:r>
                  </w:p>
                  <w:p>
                    <w:pPr>
                      <w:spacing w:before="0"/>
                      <w:ind w:left="98" w:right="1052" w:firstLine="0"/>
                      <w:jc w:val="left"/>
                      <w:rPr>
                        <w:sz w:val="8"/>
                      </w:rPr>
                    </w:pPr>
                    <w:r>
                      <w:rPr>
                        <w:w w:val="115"/>
                        <w:sz w:val="8"/>
                      </w:rPr>
                      <w:t>4.Negocios/Sector privado. 5.Medios de comunicación. 6.Funcionarios/Servidores públicos. 7.Sistema Judicial.</w:t>
                    </w:r>
                  </w:p>
                  <w:p>
                    <w:pPr>
                      <w:numPr>
                        <w:ilvl w:val="0"/>
                        <w:numId w:val="36"/>
                      </w:numPr>
                      <w:tabs>
                        <w:tab w:pos="181" w:val="left" w:leader="none"/>
                      </w:tabs>
                      <w:spacing w:line="89" w:lineRule="exact" w:before="0"/>
                      <w:ind w:left="180" w:right="0" w:hanging="82"/>
                      <w:jc w:val="left"/>
                      <w:rPr>
                        <w:sz w:val="8"/>
                      </w:rPr>
                    </w:pPr>
                    <w:r>
                      <w:rPr>
                        <w:spacing w:val="-1"/>
                        <w:w w:val="115"/>
                        <w:sz w:val="8"/>
                      </w:rPr>
                      <w:t>Organizaciones </w:t>
                    </w:r>
                    <w:r>
                      <w:rPr>
                        <w:w w:val="115"/>
                        <w:sz w:val="8"/>
                      </w:rPr>
                      <w:t>No</w:t>
                    </w:r>
                    <w:r>
                      <w:rPr>
                        <w:spacing w:val="-8"/>
                        <w:w w:val="115"/>
                        <w:sz w:val="8"/>
                      </w:rPr>
                      <w:t> </w:t>
                    </w:r>
                    <w:r>
                      <w:rPr>
                        <w:w w:val="115"/>
                        <w:sz w:val="8"/>
                      </w:rPr>
                      <w:t>Gubernamentales.</w:t>
                    </w:r>
                  </w:p>
                  <w:p>
                    <w:pPr>
                      <w:numPr>
                        <w:ilvl w:val="0"/>
                        <w:numId w:val="36"/>
                      </w:numPr>
                      <w:tabs>
                        <w:tab w:pos="181" w:val="left" w:leader="none"/>
                      </w:tabs>
                      <w:spacing w:line="90" w:lineRule="exact" w:before="0"/>
                      <w:ind w:left="180" w:right="0" w:hanging="82"/>
                      <w:jc w:val="left"/>
                      <w:rPr>
                        <w:sz w:val="8"/>
                      </w:rPr>
                    </w:pPr>
                    <w:r>
                      <w:rPr>
                        <w:spacing w:val="-1"/>
                        <w:w w:val="115"/>
                        <w:sz w:val="8"/>
                      </w:rPr>
                      <w:t>Organizaciones</w:t>
                    </w:r>
                    <w:r>
                      <w:rPr>
                        <w:spacing w:val="2"/>
                        <w:w w:val="115"/>
                        <w:sz w:val="8"/>
                      </w:rPr>
                      <w:t> </w:t>
                    </w:r>
                    <w:r>
                      <w:rPr>
                        <w:w w:val="115"/>
                        <w:sz w:val="8"/>
                      </w:rPr>
                      <w:t>Religiosas.</w:t>
                    </w:r>
                  </w:p>
                  <w:p>
                    <w:pPr>
                      <w:numPr>
                        <w:ilvl w:val="0"/>
                        <w:numId w:val="36"/>
                      </w:numPr>
                      <w:tabs>
                        <w:tab w:pos="233" w:val="left" w:leader="none"/>
                      </w:tabs>
                      <w:spacing w:line="90" w:lineRule="exact" w:before="0"/>
                      <w:ind w:left="232" w:right="0" w:hanging="134"/>
                      <w:jc w:val="left"/>
                      <w:rPr>
                        <w:sz w:val="8"/>
                      </w:rPr>
                    </w:pPr>
                    <w:r>
                      <w:rPr>
                        <w:w w:val="115"/>
                        <w:sz w:val="8"/>
                      </w:rPr>
                      <w:t>Ejército.</w:t>
                    </w:r>
                  </w:p>
                  <w:p>
                    <w:pPr>
                      <w:numPr>
                        <w:ilvl w:val="0"/>
                        <w:numId w:val="36"/>
                      </w:numPr>
                      <w:tabs>
                        <w:tab w:pos="233" w:val="left" w:leader="none"/>
                      </w:tabs>
                      <w:spacing w:line="91" w:lineRule="exact" w:before="0"/>
                      <w:ind w:left="232" w:right="0" w:hanging="134"/>
                      <w:jc w:val="left"/>
                      <w:rPr>
                        <w:sz w:val="7"/>
                      </w:rPr>
                    </w:pPr>
                    <w:r>
                      <w:rPr>
                        <w:w w:val="115"/>
                        <w:sz w:val="8"/>
                      </w:rPr>
                      <w:t>Sistema</w:t>
                    </w:r>
                    <w:r>
                      <w:rPr>
                        <w:spacing w:val="-4"/>
                        <w:w w:val="115"/>
                        <w:sz w:val="8"/>
                      </w:rPr>
                      <w:t> </w:t>
                    </w:r>
                    <w:r>
                      <w:rPr>
                        <w:w w:val="115"/>
                        <w:sz w:val="8"/>
                      </w:rPr>
                      <w:t>Educativo</w:t>
                    </w:r>
                    <w:r>
                      <w:rPr>
                        <w:w w:val="115"/>
                        <w:sz w:val="7"/>
                      </w:rPr>
                      <w:t>.</w:t>
                    </w:r>
                  </w:p>
                </w:txbxContent>
              </v:textbox>
              <v:fill type="solid"/>
              <w10:wrap type="none"/>
            </v:shape>
            <v:shape style="position:absolute;left:8202;top:2993;width:2618;height:2704" type="#_x0000_t202" filled="true" fillcolor="#ffffff" stroked="false">
              <v:textbox inset="0,0,0,0">
                <w:txbxContent>
                  <w:p>
                    <w:pPr>
                      <w:spacing w:line="91" w:lineRule="exact" w:before="39"/>
                      <w:ind w:left="609" w:right="29" w:firstLine="0"/>
                      <w:jc w:val="left"/>
                      <w:rPr>
                        <w:b/>
                        <w:sz w:val="8"/>
                      </w:rPr>
                    </w:pPr>
                    <w:r>
                      <w:rPr>
                        <w:b/>
                        <w:w w:val="115"/>
                        <w:sz w:val="8"/>
                      </w:rPr>
                      <w:t>(14) Índice de Integridad Pública</w:t>
                    </w:r>
                  </w:p>
                  <w:p>
                    <w:pPr>
                      <w:spacing w:before="0"/>
                      <w:ind w:left="101" w:right="29" w:firstLine="0"/>
                      <w:jc w:val="left"/>
                      <w:rPr>
                        <w:sz w:val="8"/>
                      </w:rPr>
                    </w:pPr>
                    <w:r>
                      <w:rPr>
                        <w:b/>
                        <w:w w:val="115"/>
                        <w:sz w:val="8"/>
                      </w:rPr>
                      <w:t>1. ONG, información pública y medios de comunicación: </w:t>
                    </w:r>
                    <w:r>
                      <w:rPr>
                        <w:w w:val="115"/>
                        <w:sz w:val="8"/>
                      </w:rPr>
                      <w:t>ONG-Anticorrupción Capacidad de los medios para informar sobre corrupción. Requerimentos de información gubernamental.</w:t>
                    </w:r>
                  </w:p>
                  <w:p>
                    <w:pPr>
                      <w:spacing w:before="0"/>
                      <w:ind w:left="101" w:right="29" w:firstLine="0"/>
                      <w:jc w:val="left"/>
                      <w:rPr>
                        <w:sz w:val="8"/>
                      </w:rPr>
                    </w:pPr>
                    <w:r>
                      <w:rPr>
                        <w:b/>
                        <w:w w:val="115"/>
                        <w:sz w:val="8"/>
                      </w:rPr>
                      <w:t>Elecciones: </w:t>
                    </w:r>
                    <w:r>
                      <w:rPr>
                        <w:w w:val="115"/>
                        <w:sz w:val="8"/>
                      </w:rPr>
                      <w:t>Votaciones y formación de partidos ,Integridad electoral y Transparencia del financiamiento político </w:t>
                    </w:r>
                    <w:r>
                      <w:rPr>
                        <w:b/>
                        <w:w w:val="115"/>
                        <w:sz w:val="8"/>
                      </w:rPr>
                      <w:t>Prevención del conflicto de intereses del gobierno, controles y equilibrios </w:t>
                    </w:r>
                    <w:r>
                      <w:rPr>
                        <w:w w:val="115"/>
                        <w:sz w:val="8"/>
                      </w:rPr>
                      <w:t>:Poder Ejecutivo, Poder Legislativo, Poder Judicial, Supervisión del proceso presupuestario y transparencia</w:t>
                    </w:r>
                  </w:p>
                  <w:p>
                    <w:pPr>
                      <w:spacing w:before="0"/>
                      <w:ind w:left="101" w:right="37" w:firstLine="0"/>
                      <w:jc w:val="left"/>
                      <w:rPr>
                        <w:sz w:val="8"/>
                      </w:rPr>
                    </w:pPr>
                    <w:r>
                      <w:rPr>
                        <w:b/>
                        <w:w w:val="115"/>
                        <w:sz w:val="8"/>
                      </w:rPr>
                      <w:t>Administración Pública y profesionalismo</w:t>
                    </w:r>
                    <w:r>
                      <w:rPr>
                        <w:w w:val="115"/>
                        <w:sz w:val="8"/>
                      </w:rPr>
                      <w:t>: Servicio civil (Prev enir el conflicto de intereses e independencia política), Protección a denunciantes de delitos, Procesos gubernamentales: transparencia, justicia y prevención del conf licto de intereses y Privatización de funciones públicas (transparencia, justicia y prevención del conflicto de intereses).</w:t>
                    </w:r>
                  </w:p>
                  <w:p>
                    <w:pPr>
                      <w:spacing w:line="228" w:lineRule="auto" w:before="2"/>
                      <w:ind w:left="101" w:right="21" w:firstLine="0"/>
                      <w:jc w:val="left"/>
                      <w:rPr>
                        <w:sz w:val="8"/>
                      </w:rPr>
                    </w:pPr>
                    <w:r>
                      <w:rPr>
                        <w:b/>
                        <w:w w:val="115"/>
                        <w:sz w:val="8"/>
                      </w:rPr>
                      <w:t>Vigilancia y control gubernamental</w:t>
                    </w:r>
                    <w:r>
                      <w:rPr>
                        <w:w w:val="115"/>
                        <w:sz w:val="8"/>
                      </w:rPr>
                      <w:t>: Defensor de la nación (Ombudsman national) Entidad de Fiscalización Superior Impuestos y Derechos ( equidad y capacidad Supervisión de paraestatales, Licencias empresariales y regulación).</w:t>
                    </w:r>
                  </w:p>
                  <w:p>
                    <w:pPr>
                      <w:spacing w:line="90" w:lineRule="exact" w:before="0"/>
                      <w:ind w:left="101" w:right="29" w:firstLine="0"/>
                      <w:jc w:val="left"/>
                      <w:rPr>
                        <w:b/>
                        <w:sz w:val="8"/>
                      </w:rPr>
                    </w:pPr>
                    <w:r>
                      <w:rPr>
                        <w:b/>
                        <w:w w:val="115"/>
                        <w:sz w:val="8"/>
                      </w:rPr>
                      <w:t>Lucha legal contra la corrupción, impartición de justicia</w:t>
                    </w:r>
                  </w:p>
                  <w:p>
                    <w:pPr>
                      <w:spacing w:before="0"/>
                      <w:ind w:left="101" w:right="231" w:firstLine="0"/>
                      <w:jc w:val="left"/>
                      <w:rPr>
                        <w:sz w:val="8"/>
                      </w:rPr>
                    </w:pPr>
                    <w:r>
                      <w:rPr>
                        <w:b/>
                        <w:w w:val="115"/>
                        <w:sz w:val="8"/>
                      </w:rPr>
                      <w:t>y aplicación profesional de la ley: </w:t>
                    </w:r>
                    <w:r>
                      <w:rPr>
                        <w:w w:val="115"/>
                        <w:sz w:val="8"/>
                      </w:rPr>
                      <w:t>Ley anticorrupción Of icina anticorrupción o mecanismo equivalente Independencia judicial, justicia y acceso ciudadano a la justicia Aplicación de la ley (prevención de conflictos de intereses y profesionalismo).</w:t>
                    </w:r>
                  </w:p>
                </w:txbxContent>
              </v:textbox>
              <v:fill type="solid"/>
              <w10:wrap type="none"/>
            </v:shape>
            <w10:wrap type="topAndBottom"/>
          </v:group>
        </w:pict>
      </w:r>
    </w:p>
    <w:p>
      <w:pPr>
        <w:spacing w:after="0"/>
        <w:rPr>
          <w:sz w:val="15"/>
        </w:rPr>
        <w:sectPr>
          <w:pgSz w:w="12240" w:h="15840"/>
          <w:pgMar w:header="0" w:footer="998" w:top="1360" w:bottom="1180" w:left="1640" w:right="1140"/>
        </w:sectPr>
      </w:pPr>
    </w:p>
    <w:p>
      <w:pPr>
        <w:spacing w:before="51"/>
        <w:ind w:left="100" w:right="132" w:firstLine="0"/>
        <w:jc w:val="left"/>
        <w:rPr>
          <w:i/>
          <w:sz w:val="24"/>
        </w:rPr>
      </w:pPr>
      <w:r>
        <w:rPr>
          <w:i/>
          <w:sz w:val="24"/>
        </w:rPr>
        <w:t>Indicador líder: Índice de Gobernanza Mundial, 2011</w:t>
      </w:r>
    </w:p>
    <w:p>
      <w:pPr>
        <w:pStyle w:val="BodyText"/>
        <w:spacing w:before="6"/>
        <w:rPr>
          <w:i/>
          <w:sz w:val="29"/>
        </w:rPr>
      </w:pPr>
    </w:p>
    <w:p>
      <w:pPr>
        <w:pStyle w:val="BodyText"/>
        <w:spacing w:line="360" w:lineRule="auto"/>
        <w:ind w:left="100" w:right="117" w:firstLine="427"/>
        <w:jc w:val="both"/>
      </w:pPr>
      <w:r>
        <w:rPr/>
        <w:t>El FnGM, publicó en junio de 2012</w:t>
      </w:r>
      <w:r>
        <w:rPr>
          <w:i/>
        </w:rPr>
        <w:t>GovernanceIndex. Why Should World </w:t>
      </w:r>
      <w:r>
        <w:rPr>
          <w:i/>
        </w:rPr>
        <w:t>Governance</w:t>
      </w:r>
      <w:r>
        <w:rPr>
          <w:i/>
          <w:spacing w:val="-16"/>
        </w:rPr>
        <w:t> </w:t>
      </w:r>
      <w:r>
        <w:rPr>
          <w:i/>
        </w:rPr>
        <w:t>Be</w:t>
      </w:r>
      <w:r>
        <w:rPr>
          <w:i/>
          <w:spacing w:val="-16"/>
        </w:rPr>
        <w:t> </w:t>
      </w:r>
      <w:r>
        <w:rPr>
          <w:i/>
        </w:rPr>
        <w:t>Evaluated,</w:t>
      </w:r>
      <w:r>
        <w:rPr>
          <w:i/>
          <w:spacing w:val="-14"/>
        </w:rPr>
        <w:t> </w:t>
      </w:r>
      <w:r>
        <w:rPr>
          <w:i/>
        </w:rPr>
        <w:t>and</w:t>
      </w:r>
      <w:r>
        <w:rPr>
          <w:i/>
          <w:spacing w:val="-16"/>
        </w:rPr>
        <w:t> </w:t>
      </w:r>
      <w:r>
        <w:rPr>
          <w:i/>
        </w:rPr>
        <w:t>for</w:t>
      </w:r>
      <w:r>
        <w:rPr>
          <w:i/>
          <w:spacing w:val="-15"/>
        </w:rPr>
        <w:t> </w:t>
      </w:r>
      <w:r>
        <w:rPr>
          <w:i/>
        </w:rPr>
        <w:t>What</w:t>
      </w:r>
      <w:r>
        <w:rPr>
          <w:i/>
          <w:spacing w:val="-14"/>
        </w:rPr>
        <w:t> </w:t>
      </w:r>
      <w:r>
        <w:rPr>
          <w:i/>
        </w:rPr>
        <w:t>Purpose?</w:t>
      </w:r>
      <w:r>
        <w:rPr>
          <w:i/>
          <w:spacing w:val="-12"/>
        </w:rPr>
        <w:t> </w:t>
      </w:r>
      <w:r>
        <w:rPr>
          <w:i/>
        </w:rPr>
        <w:t>(</w:t>
      </w:r>
      <w:r>
        <w:rPr/>
        <w:t>Índice</w:t>
      </w:r>
      <w:r>
        <w:rPr>
          <w:spacing w:val="-16"/>
        </w:rPr>
        <w:t> </w:t>
      </w:r>
      <w:r>
        <w:rPr/>
        <w:t>de</w:t>
      </w:r>
      <w:r>
        <w:rPr>
          <w:spacing w:val="-16"/>
        </w:rPr>
        <w:t> </w:t>
      </w:r>
      <w:r>
        <w:rPr/>
        <w:t>Gobernanza</w:t>
      </w:r>
      <w:r>
        <w:rPr>
          <w:spacing w:val="-16"/>
        </w:rPr>
        <w:t> </w:t>
      </w:r>
      <w:r>
        <w:rPr/>
        <w:t>¿Por</w:t>
      </w:r>
      <w:r>
        <w:rPr>
          <w:spacing w:val="-15"/>
        </w:rPr>
        <w:t> </w:t>
      </w:r>
      <w:r>
        <w:rPr/>
        <w:t>qué y para qué propósito se debería evaluar la gobernanza?), en el cual se evalúa la gobernanza mundial de 179 (de los 192) países pertenecientes a la ONU. Los resultados de presentan en la escala de 0 a 1, donde valores cercanos a 0 indican menor gobernanza y valores próximos a 1 mayor</w:t>
      </w:r>
      <w:r>
        <w:rPr>
          <w:spacing w:val="-35"/>
        </w:rPr>
        <w:t> </w:t>
      </w:r>
      <w:r>
        <w:rPr/>
        <w:t>gobernanza.</w:t>
      </w:r>
    </w:p>
    <w:p>
      <w:pPr>
        <w:pStyle w:val="BodyText"/>
        <w:spacing w:line="360" w:lineRule="auto" w:before="6"/>
        <w:ind w:left="100" w:right="125" w:firstLine="427"/>
        <w:jc w:val="both"/>
      </w:pPr>
      <w:r>
        <w:rPr/>
        <w:t>El estudio se publicó por primera vez en 2008, pero debido al cambio en la metodología, solo es posible presentar el análisis para 2011. De los 34 países integrantes de la OCDE, los 5 países analizados se encuentran por arriba del promedio de la OCDE y promedio mundial (además de los dos primeros lugares mostrados). México presentó el menor índice (posición 66 de 192), mientras que Noruega, Suecia y Finlandia presentaron las primeras tres posiciones.</w:t>
      </w:r>
    </w:p>
    <w:p>
      <w:pPr>
        <w:pStyle w:val="BodyText"/>
        <w:spacing w:before="9"/>
        <w:rPr>
          <w:sz w:val="27"/>
        </w:rPr>
      </w:pPr>
    </w:p>
    <w:p>
      <w:pPr>
        <w:spacing w:before="0"/>
        <w:ind w:left="2357" w:right="132" w:firstLine="0"/>
        <w:jc w:val="left"/>
        <w:rPr>
          <w:sz w:val="20"/>
        </w:rPr>
      </w:pPr>
      <w:bookmarkStart w:name="_bookmark24" w:id="37"/>
      <w:bookmarkEnd w:id="37"/>
      <w:r>
        <w:rPr/>
      </w:r>
      <w:r>
        <w:rPr>
          <w:sz w:val="20"/>
        </w:rPr>
        <w:t>Grafica 1.1. Índice de gobernanza mundial, 2011</w:t>
      </w:r>
    </w:p>
    <w:p>
      <w:pPr>
        <w:pStyle w:val="BodyText"/>
        <w:spacing w:before="1"/>
        <w:rPr>
          <w:sz w:val="14"/>
        </w:rPr>
      </w:pPr>
      <w:r>
        <w:rPr/>
        <w:pict>
          <v:group style="position:absolute;margin-left:109.544106pt;margin-top:10.057782pt;width:392.9pt;height:186.05pt;mso-position-horizontal-relative:page;mso-position-vertical-relative:paragraph;z-index:3496;mso-wrap-distance-left:0;mso-wrap-distance-right:0" coordorigin="2191,201" coordsize="7858,3721">
            <v:shape style="position:absolute;left:2757;top:319;width:5868;height:2726" type="#_x0000_t75" stroked="false">
              <v:imagedata r:id="rId47" o:title=""/>
            </v:shape>
            <v:line style="position:absolute" from="2786,3023" to="2737,3023" stroked="true" strokeweight=".418141pt" strokecolor="#858585"/>
            <v:line style="position:absolute" from="2786,2748" to="2737,2748" stroked="true" strokeweight=".418141pt" strokecolor="#858585"/>
            <v:line style="position:absolute" from="2786,2473" to="2737,2473" stroked="true" strokeweight=".418141pt" strokecolor="#858585"/>
            <v:line style="position:absolute" from="2786,2197" to="2737,2197" stroked="true" strokeweight=".418141pt" strokecolor="#858585"/>
            <v:line style="position:absolute" from="2786,1923" to="2737,1923" stroked="true" strokeweight=".418141pt" strokecolor="#858585"/>
            <v:line style="position:absolute" from="2786,1648" to="2737,1648" stroked="true" strokeweight=".418141pt" strokecolor="#858585"/>
            <v:line style="position:absolute" from="2786,1374" to="2737,1374" stroked="true" strokeweight=".418141pt" strokecolor="#858585"/>
            <v:line style="position:absolute" from="2786,1098" to="2737,1098" stroked="true" strokeweight=".418141pt" strokecolor="#858585"/>
            <v:line style="position:absolute" from="2786,823" to="2737,823" stroked="true" strokeweight=".418141pt" strokecolor="#858585"/>
            <v:line style="position:absolute" from="2786,549" to="2737,549" stroked="true" strokeweight=".418141pt" strokecolor="#858585"/>
            <v:line style="position:absolute" from="2786,3023" to="2786,3060" stroked="true" strokeweight=".53821pt" strokecolor="#858585"/>
            <v:line style="position:absolute" from="3467,3023" to="3467,3060" stroked="true" strokeweight=".53821pt" strokecolor="#858585"/>
            <v:line style="position:absolute" from="4151,3023" to="4151,3060" stroked="true" strokeweight=".53821pt" strokecolor="#858585"/>
            <v:line style="position:absolute" from="4833,3023" to="4833,3060" stroked="true" strokeweight=".53821pt" strokecolor="#858585"/>
            <v:line style="position:absolute" from="5514,3023" to="5514,3060" stroked="true" strokeweight=".53821pt" strokecolor="#858585"/>
            <v:line style="position:absolute" from="6198,3023" to="6198,3060" stroked="true" strokeweight=".53821pt" strokecolor="#858585"/>
            <v:line style="position:absolute" from="6880,3023" to="6880,3060" stroked="true" strokeweight=".53821pt" strokecolor="#858585"/>
            <v:line style="position:absolute" from="7561,3023" to="7561,3060" stroked="true" strokeweight=".53821pt" strokecolor="#858585"/>
            <v:line style="position:absolute" from="8243,3023" to="8243,3060" stroked="true" strokeweight=".53821pt" strokecolor="#858585"/>
            <v:shape style="position:absolute;left:2628;top:3152;width:521;height:332" coordorigin="2628,3152" coordsize="521,332" path="m2660,3425l2643,3425,2688,3468,2672,3478,2672,3478,2672,3479,2672,3480,2672,3480,2673,3481,2673,3481,2674,3482,2675,3484,2679,3484,2714,3461,2698,3461,2660,3425xm2714,3453l2711,3453,2698,3461,2714,3461,2717,3459,2718,3459,2718,3458,2718,3458,2717,3457,2717,3456,2716,3456,2716,3454,2715,3454,2714,3453xm2645,3411l2643,3411,2642,3413,2641,3413,2640,3414,2638,3415,2637,3415,2637,3416,2636,3416,2628,3436,2628,3436,2628,3437,2628,3438,2628,3438,2629,3439,2629,3439,2630,3441,2631,3442,2632,3442,2633,3443,2634,3443,2635,3442,2635,3441,2636,3441,2643,3425,2660,3425,2645,3411xm2722,3367l2715,3367,2713,3369,2712,3369,2705,3373,2704,3375,2705,3377,2761,3431,2764,3431,2765,3430,2766,3430,2768,3429,2768,3428,2770,3427,2770,3427,2770,3425,2771,3425,2770,3424,2734,3391,2730,3386,2725,3381,2721,3378,2751,3378,2723,3369,2722,3367xm2751,3378l2721,3378,2724,3379,2727,3379,2733,3381,2736,3382,2795,3402,2797,3402,2798,3403,2808,3403,2809,3402,2813,3400,2814,3399,2814,3399,2815,3396,2814,3394,2814,3394,2812,3393,2797,3393,2794,3392,2780,3387,2775,3386,2751,3378xm2759,3341l2756,3341,2756,3342,2754,3342,2754,3343,2752,3344,2751,3344,2750,3345,2749,3345,2749,3346,2749,3346,2749,3348,2781,3379,2794,3391,2797,3393,2812,3393,2759,3342,2759,3341xm2834,3322l2830,3322,2818,3326,2810,3331,2806,3334,2802,3341,2801,3344,2801,3350,2802,3353,2805,3360,2808,3364,2814,3370,2818,3373,2826,3377,2829,3378,2837,3379,2841,3379,2854,3375,2862,3370,2838,3370,2832,3369,2830,3367,2825,3364,2822,3363,2818,3358,2816,3356,2813,3351,2812,3349,2812,3344,2813,3343,2815,3338,2817,3336,2823,3333,2826,3331,2859,3331,2858,3330,2854,3328,2846,3324,2842,3323,2834,3322xm2859,3331l2834,3331,2840,3333,2842,3334,2847,3337,2850,3338,2852,3341,2854,3343,2856,3345,2859,3350,2860,3352,2860,3357,2859,3358,2857,3363,2855,3364,2849,3369,2846,3370,2862,3370,2866,3367,2870,3360,2871,3357,2871,3351,2870,3348,2867,3341,2864,3337,2861,3334,2859,3331xm2899,3345l2897,3345,2898,3346,2899,3345xm2863,3300l2860,3300,2859,3301,2859,3301,2857,3302,2856,3302,2855,3303,2855,3303,2854,3305,2855,3306,2896,3345,2900,3345,2901,3344,2903,3343,2904,3343,2905,3342,2905,3342,2906,3341,2906,3341,2906,3339,2878,3314,2878,3312,2878,3309,2878,3306,2869,3306,2863,3300xm2904,3274l2901,3274,2900,3276,2899,3276,2897,3277,2897,3278,2896,3278,2895,3279,2895,3279,2895,3280,2895,3280,2923,3307,2926,3309,2931,3313,2934,3314,2940,3315,2943,3315,2950,3314,2953,3313,2959,3309,2962,3307,2962,3306,2942,3306,2939,3305,2937,3303,2933,3302,2931,3300,2904,3274xm2887,3290l2876,3290,2874,3291,2873,3292,2871,3293,2871,3294,2870,3297,2869,3299,2869,3301,2869,3303,2869,3306,2878,3306,2878,3303,2878,3301,2879,3300,2880,3299,2881,3298,2882,3297,2883,3297,2884,3295,2887,3295,2889,3294,2890,3294,2890,3293,2890,3293,2890,3292,2889,3292,2889,3291,2887,3290xm2939,3252l2936,3252,2936,3254,2934,3254,2932,3255,2931,3256,2930,3257,2930,3257,2929,3258,2929,3258,2958,3286,2958,3291,2958,3294,2956,3300,2954,3301,2950,3305,2948,3305,2944,3306,2962,3306,2965,3301,2966,3297,2966,3293,2980,3293,2939,3252xm2980,3293l2966,3293,2972,3298,2972,3299,2974,3299,2974,3298,2976,3298,2978,3297,2979,3295,2980,3295,2980,3294,2980,3294,2980,3293xm2885,3287l2880,3287,2878,3288,2878,3288,2876,3290,2887,3290,2885,3288,2885,3287xm2995,3221l2991,3221,2984,3222,2980,3224,2972,3229,2969,3231,2965,3237,2964,3241,2964,3247,2964,3250,2968,3257,2970,3260,2978,3267,2982,3270,2989,3274,2993,3276,3001,3277,3005,3276,3014,3274,3018,3272,3024,3267,3002,3267,2997,3266,2994,3266,2990,3263,2987,3262,2985,3259,2994,3254,2979,3254,2978,3252,2977,3250,2975,3247,2974,3244,2974,3241,2975,3240,2977,3236,2979,3234,2986,3230,2990,3229,3015,3229,3012,3227,3005,3223,3002,3222,2995,3221xm3034,3250l3029,3250,3028,3252,3027,3254,3025,3256,3024,3257,3021,3260,3019,3262,3014,3265,3011,3266,3005,3267,3024,3267,3026,3266,3030,3263,3032,3262,3034,3259,3035,3258,3036,3256,3037,3255,3037,3254,3036,3254,3035,3252,3035,3251,3034,3251,3034,3250xm3046,3226l3035,3226,3037,3227,3037,3230,3038,3234,3039,3236,3042,3240,3044,3240,3048,3241,3053,3241,3053,3242,3052,3247,3052,3248,3053,3250,3053,3251,3054,3254,3055,3255,3058,3257,3060,3258,3064,3259,3066,3260,3072,3259,3075,3259,3082,3256,3086,3255,3091,3251,3067,3251,3064,3249,3063,3248,3062,3247,3062,3244,3062,3241,3062,3240,3063,3237,3072,3233,3049,3233,3047,3230,3046,3229,3046,3228,3046,3226xm3015,3229l2990,3229,2999,3230,3003,3233,3007,3236,2979,3254,2994,3254,3019,3237,3020,3237,3021,3235,3020,3234,3019,3233,3015,3229xm3104,3227l3090,3227,3092,3229,3093,3230,3094,3231,3094,3234,3094,3235,3094,3237,3093,3240,3090,3242,3088,3244,3080,3249,3076,3250,3069,3251,3091,3251,3098,3247,3102,3241,3104,3238,3105,3234,3105,3231,3104,3227xm3032,3249l3031,3249,3030,3250,3033,3250,3032,3249xm3090,3218l3085,3218,3083,3219,3077,3220,3075,3221,3072,3223,3056,3231,3054,3233,3072,3233,3076,3230,3079,3228,3082,3227,3104,3227,3103,3224,3099,3221,3097,3220,3092,3219,3090,3218xm3054,3190l3035,3190,3032,3192,3031,3192,3026,3195,3024,3197,3020,3201,3019,3204,3019,3207,3018,3209,3019,3211,3020,3215,3022,3218,3026,3222,3033,3226,3050,3226,3054,3223,3056,3223,3061,3220,3063,3219,3039,3219,3036,3218,3032,3213,3031,3212,3030,3209,3029,3208,3029,3205,3030,3204,3031,3201,3033,3200,3038,3197,3042,3195,3064,3195,3062,3193,3060,3192,3057,3191,3054,3190xm3064,3195l3042,3195,3048,3197,3052,3198,3054,3200,3056,3201,3057,3202,3058,3206,3058,3207,3058,3209,3058,3211,3056,3214,3055,3215,3049,3219,3063,3219,3064,3218,3067,3213,3068,3212,3069,3207,3069,3205,3067,3199,3066,3197,3064,3195xm3120,3161l3099,3161,3103,3162,3105,3162,3109,3165,3114,3170,3103,3177,3100,3179,3095,3184,3093,3186,3091,3192,3091,3194,3092,3199,3093,3201,3097,3205,3100,3207,3104,3208,3107,3209,3112,3209,3115,3208,3120,3207,3123,3206,3129,3202,3131,3200,3109,3200,3107,3199,3103,3195,3103,3194,3102,3192,3102,3191,3103,3187,3104,3186,3107,3183,3109,3182,3120,3175,3134,3175,3120,3161xm3134,3175l3120,3175,3128,3184,3128,3187,3128,3190,3125,3194,3124,3197,3118,3200,3131,3200,3134,3194,3135,3192,3136,3188,3148,3188,3148,3187,3148,3187,3134,3175xm3148,3188l3136,3188,3140,3192,3140,3193,3142,3193,3143,3192,3144,3192,3146,3191,3147,3190,3148,3188xm3056,3179l3054,3179,3038,3188,3036,3190,3052,3190,3060,3185,3060,3184,3060,3183,3059,3182,3058,3182,3057,3180,3056,3179xm3107,3152l3098,3152,3091,3155,3088,3156,3082,3159,3081,3161,3077,3164,3076,3165,3074,3168,3073,3170,3071,3172,3071,3173,3071,3175,3071,3176,3072,3177,3073,3178,3074,3178,3074,3179,3078,3179,3079,3176,3080,3175,3082,3172,3083,3171,3086,3168,3087,3166,3092,3163,3094,3163,3098,3162,3099,3161,3120,3161,3117,3158,3115,3156,3110,3154,3107,3152xe" filled="true" fillcolor="#000000" stroked="false">
              <v:path arrowok="t"/>
              <v:fill type="solid"/>
            </v:shape>
            <v:shape style="position:absolute;left:3405;top:3152;width:426;height:270" coordorigin="3405,3152" coordsize="426,270" path="m3458,3356l3439,3356,3440,3358,3444,3359,3445,3360,3448,3362,3449,3363,3451,3367,3452,3369,3454,3374,3454,3377,3455,3382,3455,3387,3455,3388,3452,3413,3451,3416,3452,3417,3452,3417,3452,3418,3453,3419,3454,3419,3455,3420,3455,3421,3460,3421,3479,3410,3463,3410,3464,3392,3465,3387,3465,3382,3465,3374,3465,3370,3463,3365,3462,3361,3459,3358,3458,3356xm3497,3389l3495,3389,3463,3410,3479,3410,3502,3396,3502,3395,3502,3395,3502,3394,3502,3394,3501,3392,3501,3391,3500,3391,3499,3390,3498,3390,3497,3389xm3436,3346l3433,3347,3426,3348,3422,3349,3417,3354,3415,3355,3411,3359,3410,3360,3408,3363,3407,3365,3406,3367,3405,3368,3405,3369,3405,3370,3406,3370,3406,3371,3406,3371,3408,3374,3408,3374,3410,3375,3413,3375,3414,3371,3415,3370,3416,3368,3418,3366,3420,3362,3422,3361,3427,3359,3429,3358,3433,3356,3458,3356,3457,3355,3453,3352,3451,3349,3445,3347,3442,3347,3436,3346xm3571,3330l3549,3330,3551,3331,3556,3332,3558,3333,3561,3335,3563,3340,3563,3342,3561,3347,3559,3349,3557,3352,3552,3354,3549,3355,3544,3358,3542,3358,3537,3359,3533,3359,3532,3360,3531,3360,3530,3361,3531,3361,3531,3362,3532,3363,3532,3363,3534,3365,3535,3366,3536,3367,3543,3367,3545,3366,3549,3365,3551,3365,3559,3361,3565,3358,3568,3355,3572,3349,3574,3347,3575,3341,3575,3338,3573,3332,3571,3330xm3526,3293l3518,3293,3517,3294,3513,3294,3511,3295,3508,3296,3506,3297,3501,3301,3498,3303,3494,3308,3493,3310,3492,3315,3492,3317,3493,3323,3495,3325,3500,3330,3502,3331,3508,3333,3511,3334,3525,3334,3528,3333,3542,3331,3544,3331,3549,3330,3571,3330,3569,3327,3566,3325,3565,3324,3514,3324,3510,3323,3508,3322,3505,3319,3505,3318,3504,3316,3503,3315,3504,3311,3505,3310,3507,3308,3508,3306,3513,3304,3519,3301,3525,3301,3526,3299,3530,3299,3531,3298,3531,3298,3530,3297,3530,3297,3529,3296,3529,3296,3527,3294,3526,3293xm3564,3288l3562,3288,3561,3289,3560,3289,3559,3290,3558,3291,3557,3291,3556,3293,3555,3293,3555,3294,3555,3294,3555,3295,3583,3322,3586,3324,3591,3327,3594,3329,3600,3330,3603,3330,3610,3329,3613,3326,3620,3323,3622,3320,3622,3319,3599,3319,3593,3316,3591,3313,3564,3288xm3556,3320l3541,3320,3538,3322,3533,3323,3524,3324,3565,3324,3564,3323,3558,3322,3556,3320xm3599,3267l3595,3267,3594,3268,3592,3269,3591,3269,3590,3270,3590,3270,3589,3272,3589,3272,3589,3273,3618,3301,3618,3304,3618,3308,3616,3313,3614,3316,3610,3318,3608,3319,3622,3319,3625,3315,3626,3311,3626,3306,3640,3306,3599,3267xm3640,3306l3626,3306,3632,3312,3635,3312,3636,3311,3637,3311,3638,3310,3639,3310,3640,3309,3640,3309,3641,3308,3641,3308,3640,3306xm3655,3234l3651,3234,3640,3238,3632,3243,3629,3246,3625,3252,3624,3254,3624,3261,3625,3265,3628,3270,3631,3274,3638,3281,3642,3284,3650,3288,3654,3289,3662,3290,3666,3290,3674,3288,3678,3286,3684,3282,3662,3282,3657,3281,3655,3280,3650,3277,3648,3275,3645,3273,3653,3268,3640,3268,3638,3266,3637,3265,3635,3259,3635,3255,3635,3253,3637,3250,3639,3248,3646,3244,3650,3243,3675,3243,3672,3240,3666,3237,3662,3236,3655,3234xm3695,3265l3689,3265,3688,3266,3687,3268,3686,3269,3684,3270,3681,3274,3679,3275,3674,3279,3671,3280,3665,3281,3662,3282,3684,3282,3687,3280,3692,3275,3695,3272,3697,3269,3697,3269,3697,3268,3696,3267,3695,3266,3695,3265xm3675,3243l3650,3243,3659,3244,3664,3246,3667,3251,3640,3268,3653,3268,3680,3252,3680,3251,3681,3248,3680,3247,3679,3246,3675,3243xm3693,3263l3690,3263,3690,3265,3694,3265,3693,3263xm3717,3201l3700,3201,3697,3202,3690,3207,3688,3209,3686,3211,3684,3215,3682,3217,3682,3223,3683,3226,3684,3230,3686,3233,3689,3238,3697,3245,3700,3247,3708,3252,3711,3253,3719,3254,3723,3254,3726,3253,3730,3252,3734,3251,3739,3247,3741,3246,3742,3245,3720,3245,3715,3244,3713,3243,3710,3241,3708,3239,3705,3238,3702,3234,3697,3230,3694,3225,3693,3217,3695,3214,3700,3210,3702,3209,3704,3208,3708,3207,3719,3207,3720,3205,3720,3205,3720,3204,3719,3203,3718,3202,3717,3201xm3745,3227l3741,3227,3740,3230,3740,3232,3739,3234,3738,3236,3736,3239,3735,3240,3728,3244,3723,3245,3742,3245,3744,3244,3745,3243,3746,3240,3747,3239,3748,3238,3749,3236,3749,3234,3749,3232,3749,3232,3749,3231,3748,3231,3748,3230,3747,3230,3746,3229,3746,3229,3745,3227xm3768,3227l3766,3227,3766,3229,3767,3229,3768,3227xm3742,3226l3742,3227,3743,3227,3742,3226xm3733,3182l3730,3182,3729,3183,3728,3183,3727,3184,3726,3184,3725,3186,3724,3187,3724,3187,3724,3188,3724,3188,3765,3227,3770,3227,3771,3226,3771,3226,3773,3225,3774,3225,3774,3224,3775,3224,3775,3223,3775,3222,3775,3222,3733,3182xm3803,3161l3785,3161,3787,3162,3790,3164,3792,3165,3794,3167,3797,3169,3790,3174,3786,3176,3783,3179,3780,3181,3777,3184,3775,3187,3773,3191,3773,3194,3774,3196,3774,3198,3776,3201,3780,3205,3782,3207,3787,3209,3797,3209,3800,3208,3808,3204,3811,3202,3812,3201,3798,3201,3792,3200,3789,3198,3787,3197,3786,3196,3785,3194,3785,3193,3784,3191,3784,3190,3785,3188,3787,3186,3790,3183,3792,3181,3802,3175,3818,3175,3803,3161xm3716,3200l3704,3200,3702,3201,3716,3201,3716,3200xm3818,3175l3802,3175,3811,3183,3811,3187,3810,3189,3808,3194,3806,3196,3804,3197,3801,3200,3798,3201,3812,3201,3813,3200,3817,3194,3818,3191,3818,3188,3830,3188,3831,3187,3830,3187,3818,3175xm3710,3198l3707,3200,3714,3200,3710,3198xm3830,3188l3818,3188,3822,3193,3825,3193,3826,3191,3827,3191,3828,3190,3829,3189,3830,3189,3830,3188xm3760,3179l3757,3179,3758,3180,3759,3180,3760,3179xm3717,3166l3713,3166,3708,3169,3707,3171,3707,3173,3707,3174,3711,3178,3713,3179,3715,3179,3717,3178,3719,3176,3722,3175,3723,3174,3723,3173,3723,3172,3722,3171,3721,3168,3719,3167,3717,3166xm3789,3152l3780,3152,3777,3153,3774,3154,3771,3155,3767,3158,3765,3159,3763,3161,3761,3162,3758,3165,3756,3168,3755,3169,3754,3171,3753,3173,3753,3174,3753,3175,3754,3176,3754,3176,3756,3178,3756,3179,3760,3179,3761,3178,3761,3178,3762,3175,3763,3174,3764,3172,3765,3171,3768,3167,3770,3166,3772,3165,3776,3162,3778,3161,3803,3161,3800,3158,3797,3155,3795,3154,3792,3153,3789,3152xe" filled="true" fillcolor="#000000" stroked="false">
              <v:path arrowok="t"/>
              <v:fill type="solid"/>
            </v:shape>
            <v:shape style="position:absolute;left:3963;top:3152;width:550;height:345" coordorigin="3963,3152" coordsize="550,345" path="m4047,3459l4027,3459,4029,3460,4031,3461,4033,3462,4036,3465,4037,3467,4039,3470,4039,3473,4038,3474,4037,3477,4034,3480,4032,3482,4030,3483,4027,3486,4022,3488,4019,3488,4017,3489,4015,3489,4013,3490,4007,3490,4006,3491,4006,3491,4006,3492,4006,3492,4007,3494,4008,3495,4008,3495,4009,3496,4011,3497,4020,3497,4024,3496,4031,3492,4034,3491,4036,3490,4040,3488,4043,3484,4048,3479,4050,3476,4050,3473,4051,3470,4051,3468,4050,3465,4049,3462,4047,3459xm3997,3469l3995,3469,3996,3470,3997,3469xm4015,3434l3995,3434,3997,3436,4000,3437,4001,3438,4003,3439,4004,3440,4005,3443,4006,3444,4007,3446,4007,3448,4006,3449,4005,3453,4002,3456,4000,3458,3998,3460,3991,3463,3991,3463,3990,3465,3990,3466,3990,3466,3991,3467,3992,3467,3992,3468,3993,3468,3993,3469,3997,3469,4008,3463,4011,3461,4016,3460,4019,3459,4047,3459,4044,3456,4042,3455,4041,3454,4013,3454,4015,3452,4016,3451,4017,3448,4018,3446,4018,3445,4018,3440,4017,3439,4016,3437,4015,3434xm4032,3451l4024,3451,4018,3452,4016,3453,4013,3454,4041,3454,4040,3453,4038,3452,4035,3452,4032,3451xm3993,3424l3990,3425,3984,3426,3980,3429,3975,3432,3973,3433,3971,3436,3969,3437,3968,3438,3967,3440,3965,3441,3965,3443,3964,3444,3963,3446,3963,3447,3963,3448,3964,3448,3965,3449,3965,3451,3965,3451,3966,3452,3968,3453,3971,3453,3971,3452,3972,3449,3972,3448,3973,3447,3974,3446,3975,3444,3976,3443,3978,3440,3979,3439,3982,3438,3986,3436,3988,3436,3990,3434,4015,3434,4014,3433,4012,3431,4010,3430,4008,3427,4002,3425,3999,3425,3993,3424xm4084,3366l4081,3366,4048,3387,4048,3387,4047,3388,4046,3390,4047,3391,4103,3445,4106,3445,4108,3444,4109,3443,4110,3443,4111,3441,4112,3441,4112,3440,4113,3440,4113,3439,4113,3439,4113,3438,4088,3415,4097,3409,4081,3409,4061,3389,4088,3373,4088,3372,4089,3372,4089,3371,4088,3371,4088,3369,4087,3368,4087,3368,4086,3367,4085,3367,4084,3366xm4123,3366l4121,3366,4120,3367,4118,3367,4117,3368,4115,3369,4115,3369,4114,3371,4114,3371,4113,3372,4113,3372,4113,3373,4114,3373,4155,3412,4158,3412,4159,3411,4160,3411,4161,3410,4163,3409,4164,3409,4164,3408,4164,3408,4164,3407,4164,3407,4123,3367,4123,3366xm4110,3393l4107,3393,4081,3409,4097,3409,4113,3398,4114,3398,4114,3397,4113,3396,4112,3395,4112,3395,4111,3394,4110,3393xm4150,3350l4146,3350,4145,3351,4143,3352,4142,3352,4142,3353,4141,3353,4141,3354,4141,3354,4141,3355,4183,3395,4186,3395,4186,3394,4188,3394,4189,3393,4190,3393,4190,3391,4192,3391,4192,3390,4192,3390,4192,3389,4192,3389,4163,3361,4163,3357,4163,3355,4155,3355,4150,3350xm4200,3341l4179,3341,4183,3343,4187,3345,4189,3346,4191,3347,4217,3373,4221,3373,4222,3372,4222,3372,4224,3371,4225,3369,4226,3369,4227,3368,4227,3368,4227,3367,4227,3367,4201,3343,4200,3341xm4107,3350l4104,3350,4102,3351,4098,3353,4096,3354,4096,3357,4097,3358,4099,3360,4102,3362,4107,3362,4111,3359,4112,3358,4113,3355,4112,3354,4110,3353,4108,3351,4107,3350xm4191,3292l4188,3292,4187,3293,4186,3293,4183,3295,4183,3295,4182,3296,4181,3296,4181,3297,4181,3297,4182,3299,4243,3357,4247,3357,4249,3355,4250,3354,4250,3354,4251,3353,4252,3353,4252,3352,4252,3351,4252,3351,4191,3293,4191,3292xm4181,3332l4178,3332,4175,3333,4172,3333,4168,3335,4165,3337,4162,3339,4160,3341,4157,3347,4156,3351,4155,3355,4163,3355,4164,3353,4165,3351,4166,3348,4167,3346,4170,3344,4172,3343,4173,3343,4177,3341,4200,3341,4198,3340,4196,3338,4190,3335,4187,3333,4181,3332xm4281,3290l4264,3290,4268,3293,4269,3294,4271,3295,4274,3299,4267,3303,4263,3305,4260,3308,4257,3310,4254,3312,4253,3316,4251,3321,4250,3323,4251,3325,4251,3328,4253,3330,4255,3332,4257,3335,4259,3336,4262,3337,4264,3337,4267,3338,4275,3338,4285,3333,4288,3331,4291,3329,4269,3329,4266,3328,4263,3324,4262,3323,4262,3322,4262,3321,4262,3319,4262,3318,4263,3316,4264,3315,4265,3314,4267,3312,4269,3310,4271,3309,4279,3304,4295,3304,4281,3290xm4295,3304l4279,3304,4288,3312,4288,3316,4287,3318,4285,3323,4283,3325,4278,3329,4291,3329,4292,3326,4294,3323,4295,3321,4295,3317,4308,3317,4308,3316,4308,3316,4295,3304xm4308,3317l4295,3317,4299,3321,4300,3322,4302,3322,4303,3321,4306,3319,4307,3318,4307,3318,4308,3317xm4239,3305l4232,3305,4233,3307,4233,3307,4234,3308,4238,3308,4238,3307,4239,3305xm4267,3281l4258,3281,4251,3283,4248,3285,4242,3288,4240,3289,4237,3293,4236,3294,4233,3297,4232,3299,4232,3300,4231,3301,4231,3302,4230,3303,4230,3304,4231,3304,4231,3305,4239,3305,4241,3301,4243,3300,4245,3296,4247,3295,4252,3293,4256,3290,4281,3290,4280,3289,4277,3287,4275,3285,4272,3283,4267,3281xm4324,3243l4317,3243,4311,3245,4307,3247,4304,3250,4302,3252,4299,3258,4298,3261,4298,3265,4283,3265,4284,3266,4325,3305,4328,3305,4329,3304,4330,3304,4331,3303,4332,3303,4333,3302,4334,3302,4334,3301,4334,3301,4334,3300,4334,3300,4305,3272,4306,3266,4306,3264,4307,3261,4308,3258,4310,3257,4312,3254,4314,3253,4315,3253,4319,3252,4342,3252,4341,3251,4338,3249,4332,3245,4330,3244,4324,3243xm4342,3252l4321,3252,4325,3253,4327,3254,4329,3256,4331,3257,4333,3258,4335,3260,4359,3283,4363,3283,4364,3282,4365,3282,4366,3281,4367,3281,4368,3280,4369,3280,4369,3279,4369,3278,4369,3278,4344,3253,4342,3252xm4292,3260l4289,3260,4287,3261,4286,3261,4286,3262,4285,3262,4284,3264,4283,3264,4283,3265,4298,3265,4292,3260xm4369,3180l4366,3180,4365,3181,4364,3181,4363,3182,4362,3182,4361,3184,4360,3184,4360,3185,4359,3185,4359,3186,4359,3186,4383,3209,4375,3209,4368,3210,4365,3211,4358,3215,4356,3218,4352,3223,4352,3225,4352,3229,4352,3232,4353,3236,4357,3243,4359,3246,4363,3249,4366,3252,4369,3254,4376,3259,4383,3261,4387,3262,4391,3262,4398,3261,4402,3260,4409,3256,4411,3253,4391,3253,4388,3252,4386,3252,4383,3251,4381,3250,4376,3246,4374,3244,4372,3243,4370,3240,4368,3238,4367,3236,4365,3235,4364,3232,4363,3228,4364,3225,4365,3222,4367,3221,4369,3218,4372,3217,4375,3216,4406,3216,4369,3180xm4406,3216l4386,3216,4391,3217,4408,3232,4408,3236,4408,3237,4407,3240,4407,3243,4405,3246,4403,3249,4402,3250,4401,3250,4398,3252,4396,3252,4391,3253,4411,3253,4413,3250,4415,3246,4416,3243,4416,3239,4430,3239,4406,3216xm4424,3244l4422,3244,4422,3245,4424,3245,4424,3244xm4430,3239l4416,3239,4421,3244,4426,3244,4428,3243,4429,3242,4429,3242,4430,3240,4430,3240,4430,3239xm4450,3228l4448,3228,4449,3229,4450,3228xm4416,3182l4411,3182,4411,3184,4409,3185,4407,3186,4407,3186,4406,3187,4406,3187,4406,3188,4406,3188,4448,3228,4452,3228,4453,3226,4454,3226,4455,3225,4456,3224,4457,3224,4457,3223,4457,3223,4457,3222,4457,3222,4416,3182xm4486,3161l4469,3161,4471,3163,4476,3166,4479,3170,4472,3174,4468,3177,4465,3179,4462,3181,4459,3184,4458,3187,4456,3192,4455,3194,4456,3196,4456,3199,4458,3201,4460,3203,4462,3206,4464,3207,4467,3208,4469,3208,4472,3209,4479,3209,4490,3204,4493,3202,4496,3200,4474,3200,4471,3199,4469,3196,4468,3195,4467,3194,4467,3193,4466,3192,4467,3190,4467,3189,4468,3187,4469,3186,4470,3185,4472,3184,4474,3181,4476,3180,4484,3175,4500,3175,4486,3161xm4500,3175l4484,3175,4493,3184,4493,3187,4492,3189,4490,3194,4488,3196,4486,3197,4483,3200,4496,3200,4497,3197,4499,3194,4500,3192,4500,3188,4513,3188,4513,3187,4512,3187,4500,3175xm4513,3188l4500,3188,4504,3192,4505,3193,4507,3193,4507,3192,4508,3192,4511,3190,4511,3189,4512,3189,4513,3188xm4400,3166l4395,3166,4393,3167,4391,3170,4389,3171,4389,3172,4389,3173,4390,3174,4393,3178,4395,3178,4398,3179,4400,3178,4402,3177,4404,3175,4405,3174,4405,3173,4405,3172,4405,3170,4401,3167,4400,3166xm4444,3177l4437,3177,4438,3178,4438,3178,4439,3179,4443,3179,4443,3178,4444,3177xm4471,3152l4463,3152,4459,3153,4456,3154,4453,3156,4447,3159,4445,3160,4442,3164,4441,3165,4440,3166,4438,3168,4437,3170,4437,3171,4436,3172,4436,3173,4435,3175,4436,3177,4444,3177,4445,3175,4446,3173,4446,3172,4447,3171,4450,3167,4452,3166,4456,3164,4459,3163,4460,3161,4486,3161,4482,3158,4479,3156,4477,3154,4474,3153,4471,3152xe" filled="true" fillcolor="#000000" stroked="false">
              <v:path arrowok="t"/>
              <v:fill type="solid"/>
            </v:shape>
            <v:shape style="position:absolute;left:4578;top:3152;width:618;height:393" coordorigin="4578,3152" coordsize="618,393" path="m4609,3485l4593,3485,4638,3528,4623,3538,4622,3538,4622,3540,4622,3540,4623,3541,4624,3542,4625,3543,4626,3544,4627,3544,4628,3544,4629,3544,4629,3544,4664,3522,4648,3522,4609,3485xm4662,3514l4661,3514,4648,3522,4664,3522,4667,3520,4668,3520,4668,3520,4668,3519,4668,3518,4667,3517,4667,3516,4665,3515,4665,3514,4664,3514,4663,3514,4663,3514,4662,3514xm4664,3432l4655,3434,4650,3435,4641,3441,4637,3445,4636,3448,4634,3452,4633,3454,4633,3456,4634,3459,4634,3463,4636,3467,4642,3475,4646,3480,4651,3485,4655,3489,4660,3493,4664,3496,4669,3499,4673,3501,4682,3504,4687,3504,4696,3502,4700,3501,4705,3498,4710,3495,4710,3495,4688,3495,4685,3494,4679,3492,4675,3490,4672,3488,4668,3485,4664,3481,4659,3477,4656,3474,4653,3471,4651,3468,4648,3465,4647,3462,4645,3457,4645,3454,4646,3449,4648,3447,4652,3445,4653,3444,4655,3443,4657,3442,4659,3442,4661,3442,4688,3442,4682,3437,4677,3435,4668,3432,4664,3432xm4594,3472l4594,3472,4593,3472,4592,3473,4592,3473,4591,3473,4590,3474,4589,3474,4589,3475,4587,3476,4587,3476,4587,3476,4587,3476,4586,3477,4578,3496,4578,3497,4578,3498,4578,3499,4579,3500,4579,3500,4580,3500,4581,3501,4581,3502,4582,3502,4582,3502,4583,3503,4584,3503,4584,3503,4585,3502,4585,3501,4586,3500,4593,3485,4609,3485,4596,3472,4596,3472,4595,3472,4594,3472xm4688,3442l4661,3442,4665,3442,4667,3442,4671,3444,4673,3445,4675,3446,4678,3448,4680,3449,4683,3451,4685,3453,4688,3456,4693,3461,4697,3465,4699,3467,4701,3469,4702,3471,4703,3473,4704,3475,4705,3477,4705,3479,4706,3480,4706,3481,4706,3482,4705,3484,4705,3485,4703,3488,4701,3490,4696,3493,4694,3494,4688,3495,4710,3495,4713,3491,4715,3488,4717,3484,4717,3481,4717,3480,4717,3476,4716,3473,4714,3469,4709,3461,4705,3456,4700,3452,4696,3447,4691,3443,4688,3442xm4742,3381l4740,3381,4739,3382,4737,3382,4736,3383,4734,3384,4733,3384,4732,3385,4732,3385,4731,3386,4731,3386,4730,3388,4730,3388,4729,3389,4730,3390,4760,3457,4761,3458,4761,3460,4764,3460,4766,3458,4768,3457,4770,3456,4771,3455,4771,3455,4771,3454,4763,3435,4774,3428,4759,3428,4742,3392,4767,3392,4742,3381xm4767,3392l4742,3392,4784,3412,4759,3428,4774,3428,4793,3417,4817,3417,4767,3392xm4817,3417l4793,3417,4814,3427,4817,3427,4818,3426,4819,3426,4822,3424,4823,3422,4824,3422,4825,3421,4825,3420,4824,3420,4823,3419,4822,3419,4817,3417xm4785,3348l4780,3348,4779,3349,4777,3350,4776,3352,4775,3352,4775,3353,4775,3354,4836,3412,4837,3413,4839,3413,4839,3412,4842,3412,4843,3411,4845,3410,4845,3408,4846,3408,4846,3407,4846,3407,4846,3406,4785,3348xm4860,3335l4856,3335,4852,3336,4849,3336,4837,3343,4834,3346,4830,3352,4829,3355,4829,3359,4829,3361,4829,3364,4831,3368,4833,3371,4836,3375,4839,3378,4843,3382,4854,3389,4858,3390,4866,3391,4870,3390,4874,3390,4879,3389,4883,3386,4889,3382,4862,3382,4860,3381,4855,3377,4852,3376,4850,3374,4859,3368,4845,3368,4843,3367,4840,3361,4839,3359,4839,3355,4840,3354,4842,3350,4844,3348,4851,3345,4855,3343,4880,3343,4877,3341,4874,3339,4867,3336,4860,3335xm4899,3364l4894,3364,4894,3366,4893,3367,4892,3369,4890,3370,4889,3371,4888,3372,4886,3375,4884,3376,4879,3379,4876,3381,4870,3382,4889,3382,4892,3381,4897,3376,4900,3372,4901,3370,4902,3369,4902,3368,4901,3368,4901,3367,4900,3366,4899,3366,4899,3364xm4880,3343l4855,3343,4864,3345,4868,3347,4872,3350,4845,3368,4859,3368,4884,3353,4884,3352,4885,3352,4885,3350,4886,3349,4885,3348,4884,3347,4880,3343xm4897,3363l4896,3363,4895,3364,4897,3364,4897,3363xm4922,3360l4921,3360,4922,3361,4922,3360xm4887,3314l4884,3314,4884,3316,4883,3316,4881,3317,4880,3318,4879,3318,4879,3319,4878,3319,4879,3320,4920,3360,4924,3360,4926,3359,4927,3357,4928,3357,4928,3356,4929,3356,4929,3355,4930,3354,4929,3354,4901,3326,4900,3323,4901,3320,4893,3320,4887,3314xm4784,3347l4783,3347,4782,3348,4784,3348,4784,3347xm4956,3339l4954,3339,4955,3340,4956,3339xm4936,3307l4915,3307,4917,3309,4919,3309,4921,3310,4923,3311,4926,3313,4928,3314,4953,3339,4957,3339,4958,3338,4959,3338,4961,3336,4962,3335,4963,3335,4963,3334,4963,3333,4962,3333,4936,3307xm4918,3298l4912,3298,4910,3299,4906,3300,4904,3302,4899,3304,4897,3306,4894,3312,4893,3316,4893,3320,4901,3320,4901,3319,4902,3317,4903,3313,4904,3311,4906,3310,4908,3309,4910,3309,4913,3307,4936,3307,4934,3305,4934,3300,4925,3300,4924,3299,4922,3299,4918,3298xm4989,3318l4986,3318,4987,3319,4989,3319,4989,3318xm4968,3287l4948,3287,4950,3288,4952,3288,4954,3289,4959,3292,4961,3295,4986,3318,4990,3318,4991,3317,4993,3316,4994,3316,4995,3314,4995,3314,4996,3313,4996,3312,4995,3312,4969,3288,4968,3287xm4951,3277l4948,3277,4941,3278,4938,3280,4933,3283,4932,3284,4930,3285,4929,3288,4928,3290,4927,3292,4926,3293,4926,3296,4925,3300,4934,3300,4934,3298,4935,3296,4936,3292,4937,3291,4939,3289,4941,3288,4943,3288,4947,3287,4968,3287,4967,3285,4965,3283,4959,3280,4957,3278,4951,3277xm5024,3251l5003,3251,5007,3252,5009,3252,5015,3256,5018,3260,5011,3264,5007,3267,5004,3269,5001,3271,4999,3274,4997,3276,4995,3282,4995,3284,4995,3287,4996,3289,4997,3291,5001,3295,5004,3297,5008,3298,5011,3299,5016,3299,5019,3298,5022,3298,5027,3296,5030,3293,5033,3292,5035,3290,5013,3290,5011,3289,5009,3287,5007,3285,5007,3284,5006,3283,5006,3282,5006,3281,5007,3277,5008,3276,5011,3273,5013,3271,5024,3264,5038,3264,5024,3251xm5038,3264l5024,3264,5032,3273,5032,3276,5032,3280,5030,3284,5028,3285,5025,3288,5019,3290,5035,3290,5038,3284,5039,3281,5040,3278,5052,3278,5052,3277,5052,3277,5038,3264xm5046,3282l5044,3282,5045,3283,5046,3283,5046,3282xm5052,3278l5040,3278,5044,3282,5048,3282,5049,3281,5051,3280,5052,3278xm5011,3242l5002,3242,4999,3244,4996,3244,4992,3246,4988,3248,4986,3249,4985,3251,4983,3252,4980,3255,4978,3257,4977,3260,4976,3261,4975,3263,4975,3264,4975,3264,4976,3267,4977,3268,4978,3268,4979,3269,4982,3269,4983,3267,4984,3264,4985,3263,4986,3262,4987,3261,4990,3257,4991,3256,4994,3254,4998,3252,5000,3252,5002,3251,5024,3251,5019,3246,5016,3245,5014,3244,5011,3242xm5072,3266l5069,3266,5070,3267,5072,3267,5072,3266xm5068,3204l5062,3204,5058,3205,5055,3206,5052,3209,5049,3210,5046,3212,5043,3218,5042,3221,5042,3226,5028,3226,5069,3266,5074,3266,5074,3264,5075,3264,5077,3263,5078,3262,5079,3262,5079,3261,5079,3260,5079,3260,5050,3232,5050,3228,5050,3225,5051,3223,5052,3219,5054,3217,5056,3216,5058,3215,5060,3215,5064,3213,5087,3213,5085,3211,5082,3209,5077,3206,5074,3205,5068,3204xm5087,3213l5067,3213,5069,3215,5071,3215,5073,3216,5075,3217,5077,3219,5104,3245,5107,3245,5109,3244,5111,3241,5112,3241,5113,3240,5113,3240,5113,3239,5113,3239,5088,3215,5087,3213xm5097,3183l5093,3183,5092,3184,5090,3185,5089,3185,5088,3187,5088,3187,5088,3188,5088,3189,5129,3228,5133,3228,5134,3227,5134,3227,5136,3226,5138,3225,5138,3224,5139,3224,5139,3223,5138,3223,5097,3183xm5036,3220l5034,3220,5032,3221,5032,3221,5030,3223,5029,3224,5028,3224,5028,3225,5028,3225,5028,3226,5042,3226,5037,3221,5036,3220xm5169,3161l5152,3161,5157,3165,5159,3166,5162,3169,5155,3174,5151,3176,5148,3179,5143,3183,5141,3187,5138,3191,5138,3194,5139,3198,5141,3201,5143,3203,5145,3204,5147,3206,5152,3208,5155,3209,5162,3209,5165,3208,5168,3206,5173,3204,5176,3202,5179,3199,5157,3199,5154,3198,5151,3195,5150,3194,5150,3192,5149,3191,5150,3190,5150,3189,5151,3187,5152,3185,5153,3184,5155,3183,5157,3181,5167,3174,5182,3174,5169,3161xm5182,3174l5167,3174,5176,3183,5176,3187,5175,3189,5174,3191,5173,3194,5171,3196,5169,3197,5166,3199,5179,3199,5182,3194,5183,3191,5183,3188,5196,3188,5196,3187,5195,3187,5182,3174xm5196,3188l5183,3188,5187,3191,5188,3192,5190,3192,5190,3191,5192,3191,5193,3190,5194,3190,5195,3189,5195,3189,5196,3188xm5097,3182l5095,3182,5094,3183,5097,3183,5097,3182xm5081,3166l5078,3166,5076,3167,5074,3168,5072,3169,5071,3170,5071,3172,5070,3173,5071,3175,5075,3177,5076,3179,5081,3179,5083,3177,5085,3175,5087,3174,5087,3173,5087,3172,5086,3170,5085,3169,5083,3167,5081,3166xm5154,3152l5146,3152,5142,3153,5139,3154,5136,3155,5130,3159,5128,3160,5125,3163,5124,3165,5121,3168,5120,3169,5119,3172,5118,3173,5118,3175,5119,3175,5120,3176,5121,3177,5121,3177,5122,3179,5126,3179,5126,3177,5127,3176,5128,3174,5129,3172,5130,3170,5132,3168,5133,3167,5135,3166,5137,3165,5140,3162,5141,3162,5143,3161,5169,3161,5168,3160,5165,3158,5162,3155,5160,3154,5154,3152xe" filled="true" fillcolor="#000000" stroked="false">
              <v:path arrowok="t"/>
              <v:fill type="solid"/>
            </v:shape>
            <v:shape style="position:absolute;left:5123;top:3152;width:747;height:479" coordorigin="5123,3152" coordsize="747,479" path="m5154,3573l5138,3573,5183,3616,5167,3625,5167,3626,5167,3627,5168,3628,5169,3628,5169,3630,5170,3630,5170,3631,5174,3631,5210,3609,5193,3609,5154,3573xm5209,3600l5206,3600,5193,3609,5210,3609,5212,3607,5213,3606,5213,3606,5213,3605,5213,3605,5213,3604,5212,3604,5212,3603,5211,3603,5211,3602,5210,3602,5209,3600xm5216,3519l5205,3519,5198,3522,5194,3523,5191,3525,5187,3527,5184,3530,5179,3535,5178,3538,5178,3540,5177,3542,5177,3545,5179,3549,5181,3552,5184,3555,5186,3556,5188,3558,5190,3559,5192,3560,5212,3560,5210,3562,5209,3564,5207,3569,5207,3571,5206,3576,5207,3578,5208,3582,5210,3584,5211,3585,5214,3588,5216,3590,5219,3590,5222,3591,5225,3592,5232,3592,5243,3589,5246,3587,5252,3583,5227,3583,5223,3582,5220,3578,5219,3577,5218,3576,5218,3575,5217,3573,5217,3569,5217,3568,5219,3564,5219,3562,5221,3560,5222,3558,5226,3558,5229,3556,5262,3556,5262,3555,5259,3553,5257,3552,5199,3552,5197,3551,5194,3549,5193,3548,5192,3547,5189,3545,5188,3542,5189,3537,5192,3534,5196,3532,5200,3530,5204,3528,5228,3528,5227,3526,5226,3525,5224,3523,5221,3522,5216,3519xm5140,3559l5138,3559,5137,3560,5137,3560,5135,3561,5134,3561,5133,3562,5133,3562,5132,3563,5132,3563,5131,3564,5123,3583,5123,3584,5123,3584,5124,3587,5124,3587,5125,3588,5126,3589,5127,3589,5128,3590,5129,3590,5130,3589,5130,3588,5131,3588,5138,3573,5154,3573,5141,3560,5140,3559xm5262,3556l5244,3556,5247,3558,5250,3560,5253,3563,5254,3566,5253,3569,5252,3573,5250,3575,5240,3581,5235,3583,5252,3583,5254,3582,5257,3580,5260,3577,5262,3574,5264,3571,5265,3566,5265,3563,5264,3561,5264,3559,5262,3556xm5228,3528l5212,3528,5214,3530,5215,3531,5219,3534,5220,3537,5220,3538,5220,3542,5219,3546,5217,3551,5213,3551,5210,3552,5257,3552,5256,3551,5253,3549,5251,3548,5227,3548,5228,3546,5229,3544,5230,3541,5230,3540,5230,3539,5230,3533,5229,3530,5228,3528xm5243,3547l5234,3547,5230,3548,5249,3548,5243,3547xm5304,3466l5290,3466,5287,3467,5284,3468,5281,3469,5280,3470,5279,3472,5277,3472,5275,3473,5260,3483,5259,3483,5258,3484,5258,3487,5258,3488,5314,3541,5318,3541,5320,3540,5320,3539,5321,3539,5322,3538,5323,3538,5324,3537,5324,3537,5324,3535,5324,3535,5299,3511,5307,3505,5310,3504,5292,3504,5272,3485,5282,3479,5285,3477,5287,3477,5288,3476,5293,3475,5296,3474,5318,3474,5316,3473,5314,3470,5312,3469,5309,3468,5307,3467,5304,3466xm5347,3503l5316,3503,5320,3504,5322,3504,5324,3505,5327,3505,5329,3506,5331,3508,5352,3517,5357,3517,5357,3516,5358,3516,5359,3515,5360,3515,5361,3513,5362,3512,5363,3512,5363,3511,5363,3510,5362,3510,5361,3509,5358,3508,5347,3503xm5318,3474l5296,3474,5302,3476,5304,3477,5307,3480,5308,3481,5309,3482,5310,3485,5310,3488,5310,3489,5310,3490,5309,3492,5306,3495,5304,3497,5292,3504,5310,3504,5314,3503,5347,3503,5336,3498,5334,3498,5330,3496,5317,3496,5318,3494,5320,3491,5320,3490,5321,3488,5322,3485,5322,3482,5321,3480,5320,3476,5318,3474xm5325,3495l5318,3495,5317,3496,5329,3496,5325,3495xm5381,3441l5371,3441,5363,3443,5359,3444,5355,3447,5351,3449,5348,3452,5345,3458,5343,3460,5343,3467,5344,3470,5346,3474,5347,3477,5350,3481,5353,3484,5357,3488,5361,3490,5369,3495,5373,3496,5385,3496,5393,3494,5397,3492,5404,3488,5382,3488,5376,3487,5374,3485,5369,3483,5367,3481,5364,3480,5373,3474,5359,3474,5357,3473,5356,3470,5354,3467,5354,3465,5354,3461,5354,3459,5356,3455,5358,3454,5361,3453,5365,3449,5369,3448,5394,3448,5391,3446,5388,3445,5385,3443,5381,3441xm5412,3469l5409,3469,5409,3470,5408,3472,5406,3474,5405,3475,5402,3479,5400,3480,5398,3482,5396,3483,5393,3485,5390,3487,5384,3488,5404,3488,5406,3487,5408,3484,5410,3483,5412,3480,5414,3479,5415,3476,5416,3476,5416,3475,5416,3474,5416,3474,5416,3473,5415,3473,5415,3472,5414,3472,5414,3470,5412,3469xm5394,3448l5369,3448,5379,3451,5383,3453,5387,3456,5359,3474,5373,3474,5398,3458,5399,3458,5400,3456,5400,3455,5400,3455,5400,3454,5398,3453,5397,3452,5394,3448xm5299,3465l5296,3466,5302,3466,5299,3465xm5402,3419l5400,3419,5400,3420,5397,3420,5397,3422,5395,3422,5395,3423,5394,3424,5393,3424,5393,3425,5393,3426,5434,3466,5438,3466,5439,3465,5442,3462,5443,3462,5444,3461,5444,3461,5444,3460,5444,3460,5403,3420,5402,3419xm5460,3387l5456,3387,5450,3388,5447,3389,5443,3391,5440,3393,5438,3395,5435,3401,5434,3405,5434,3409,5420,3409,5461,3448,5461,3449,5463,3449,5464,3448,5465,3448,5469,3446,5470,3445,5470,3445,5471,3444,5471,3443,5470,3443,5441,3416,5442,3410,5442,3408,5444,3402,5446,3400,5448,3398,5450,3397,5452,3397,5455,3396,5479,3396,5477,3394,5474,3393,5468,3389,5466,3388,5460,3387xm5479,3396l5459,3396,5463,3398,5465,3398,5467,3400,5469,3402,5495,3427,5498,3427,5499,3426,5501,3426,5503,3424,5504,3424,5505,3423,5505,3423,5505,3422,5505,3422,5480,3397,5479,3396xm5386,3403l5384,3403,5382,3404,5377,3407,5376,3408,5376,3410,5377,3411,5380,3415,5382,3416,5386,3416,5388,3413,5391,3412,5392,3411,5392,3410,5392,3409,5391,3408,5390,3407,5388,3404,5386,3403xm5428,3404l5423,3404,5422,3405,5421,3407,5420,3407,5420,3408,5419,3408,5419,3409,5434,3409,5428,3404xm5530,3348l5518,3348,5514,3350,5510,3350,5506,3352,5497,3358,5494,3360,5490,3367,5488,3369,5488,3376,5489,3380,5491,3383,5493,3387,5495,3390,5498,3393,5502,3396,5506,3400,5509,3401,5513,3403,5517,3404,5525,3405,5529,3405,5533,3404,5537,3403,5541,3402,5550,3396,5525,3396,5520,3395,5517,3394,5512,3390,5510,3389,5508,3387,5505,3384,5503,3382,5501,3377,5500,3375,5500,3371,5500,3368,5503,3365,5505,3362,5507,3361,5510,3359,5513,3358,5516,3358,5519,3357,5545,3357,5541,3354,5534,3351,5530,3348xm5428,3403l5426,3403,5425,3404,5428,3404,5428,3403xm5545,3357l5522,3357,5527,3359,5535,3362,5539,3367,5542,3369,5544,3372,5546,3376,5547,3379,5547,3382,5547,3384,5544,3389,5542,3390,5540,3393,5534,3395,5531,3396,5550,3396,5553,3393,5557,3387,5558,3383,5559,3376,5558,3374,5556,3371,5554,3367,5552,3364,5549,3360,5545,3357xm5564,3294l5560,3294,5558,3295,5558,3295,5557,3296,5555,3297,5555,3297,5554,3298,5554,3298,5554,3299,5554,3299,5591,3335,5595,3339,5598,3341,5602,3344,5607,3345,5611,3346,5623,3346,5628,3345,5632,3344,5636,3341,5640,3339,5644,3337,5614,3337,5605,3333,5600,3328,5564,3294xm5609,3265l5606,3265,5605,3266,5604,3266,5602,3267,5601,3268,5600,3269,5599,3269,5599,3270,5600,3272,5636,3306,5638,3309,5640,3311,5643,3316,5643,3318,5643,3323,5642,3325,5641,3326,5639,3328,5637,3331,5634,3332,5631,3334,5628,3335,5625,3337,5644,3337,5648,3333,5650,3331,5653,3327,5654,3324,5655,3317,5655,3313,5652,3306,5649,3303,5645,3299,5609,3265xm5651,3263l5647,3263,5647,3265,5645,3266,5644,3266,5643,3267,5643,3267,5642,3268,5643,3269,5684,3309,5688,3309,5688,3308,5690,3306,5691,3306,5692,3305,5693,3305,5693,3304,5694,3304,5694,3303,5693,3303,5665,3275,5664,3270,5665,3269,5657,3269,5651,3263xm5701,3255l5680,3255,5684,3256,5688,3259,5690,3260,5692,3261,5718,3287,5722,3287,5724,3285,5726,3284,5727,3283,5728,3283,5728,3282,5728,3282,5728,3281,5728,3281,5703,3256,5701,3255xm5713,3224l5711,3224,5710,3225,5708,3225,5706,3227,5705,3227,5704,3229,5704,3229,5704,3230,5704,3230,5745,3269,5746,3270,5748,3270,5749,3269,5751,3269,5752,3268,5753,3267,5754,3267,5754,3266,5755,3266,5755,3265,5755,3265,5755,3263,5713,3224xm5683,3246l5680,3246,5673,3247,5670,3248,5666,3251,5663,3253,5661,3255,5658,3261,5657,3265,5657,3269,5665,3269,5665,3267,5666,3265,5667,3262,5669,3260,5671,3259,5675,3256,5678,3255,5701,3255,5700,3254,5697,3252,5692,3248,5689,3247,5683,3246xm5754,3167l5751,3167,5750,3168,5749,3168,5748,3169,5747,3169,5747,3170,5746,3170,5745,3172,5745,3172,5745,3173,5745,3173,5769,3196,5761,3196,5754,3197,5750,3198,5744,3202,5741,3204,5738,3210,5737,3213,5737,3219,5738,3223,5740,3226,5742,3229,5745,3232,5748,3236,5751,3239,5755,3241,5762,3246,5765,3247,5772,3248,5776,3249,5784,3248,5788,3246,5791,3244,5795,3242,5797,3239,5774,3239,5769,3238,5766,3237,5762,3233,5759,3231,5755,3227,5754,3225,5752,3223,5751,3220,5750,3219,5749,3215,5749,3212,5751,3209,5752,3208,5755,3205,5757,3204,5760,3203,5792,3203,5754,3167xm5792,3203l5772,3203,5777,3204,5793,3219,5793,3224,5793,3227,5792,3230,5791,3232,5790,3234,5789,3236,5788,3236,5786,3237,5784,3238,5782,3239,5797,3239,5799,3237,5800,3233,5801,3230,5802,3226,5815,3226,5792,3203xm5810,3231l5808,3231,5809,3232,5810,3231xm5816,3226l5802,3226,5807,3231,5811,3231,5812,3230,5814,3230,5814,3229,5815,3227,5816,3227,5816,3226xm5697,3208l5694,3208,5693,3209,5688,3211,5687,3212,5687,3215,5687,3216,5689,3218,5693,3220,5695,3220,5697,3219,5702,3217,5703,3216,5703,3213,5702,3212,5701,3210,5697,3208xm5833,3152l5829,3153,5825,3153,5821,3154,5816,3157,5808,3161,5805,3165,5803,3168,5800,3170,5799,3174,5799,3181,5800,3184,5802,3188,5803,3191,5806,3194,5813,3201,5816,3203,5824,3208,5828,3209,5836,3210,5840,3210,5844,3209,5848,3208,5861,3201,5836,3201,5831,3200,5828,3198,5826,3196,5823,3195,5821,3193,5819,3190,5816,3189,5814,3187,5812,3182,5811,3180,5811,3175,5811,3173,5814,3169,5815,3167,5818,3166,5821,3164,5824,3162,5830,3161,5856,3161,5852,3159,5849,3157,5845,3154,5841,3153,5833,3152xm5856,3161l5833,3161,5838,3162,5841,3164,5843,3166,5846,3167,5848,3169,5850,3172,5853,3174,5854,3176,5856,3177,5857,3180,5858,3182,5858,3187,5858,3189,5855,3193,5853,3195,5851,3197,5845,3200,5839,3201,5861,3201,5864,3197,5868,3191,5869,3188,5870,3181,5869,3177,5867,3174,5865,3172,5863,3168,5856,3161xe" filled="true" fillcolor="#000000" stroked="false">
              <v:path arrowok="t"/>
              <v:fill type="solid"/>
            </v:shape>
            <v:shape style="position:absolute;left:6050;top:3152;width:510;height:325" coordorigin="6050,3152" coordsize="510,325" path="m6082,3418l6066,3418,6111,3461,6095,3471,6095,3471,6095,3472,6095,3473,6095,3474,6096,3474,6097,3475,6098,3476,6102,3476,6138,3454,6120,3454,6082,3418xm6136,3446l6134,3446,6120,3454,6138,3454,6140,3453,6140,3452,6141,3452,6140,3451,6140,3450,6139,3449,6139,3449,6138,3447,6137,3447,6136,3446xm6156,3440l6153,3440,6154,3442,6156,3440xm6161,3439l6151,3439,6152,3440,6159,3440,6161,3439xm6179,3395l6165,3395,6167,3397,6169,3401,6171,3403,6173,3407,6174,3409,6174,3413,6174,3415,6174,3418,6172,3421,6171,3423,6168,3427,6165,3429,6163,3430,6161,3430,6157,3432,6156,3432,6154,3433,6152,3433,6151,3435,6149,3435,6148,3436,6148,3436,6148,3437,6149,3437,6149,3438,6149,3438,6150,3439,6162,3439,6164,3438,6167,3437,6169,3436,6175,3432,6178,3429,6180,3427,6182,3424,6184,3421,6185,3415,6185,3411,6184,3406,6183,3403,6180,3397,6179,3395xm6068,3404l6065,3404,6065,3406,6063,3406,6062,3407,6062,3407,6061,3408,6060,3408,6059,3409,6059,3409,6050,3430,6051,3432,6052,3432,6052,3433,6054,3435,6055,3435,6055,3436,6057,3436,6057,3435,6058,3433,6058,3433,6066,3418,6082,3418,6068,3406,6068,3404xm6141,3366l6129,3366,6120,3370,6117,3372,6113,3374,6110,3377,6108,3380,6106,3384,6104,3386,6104,3392,6105,3395,6106,3397,6108,3401,6110,3403,6112,3406,6115,3408,6117,3410,6123,3414,6126,3415,6136,3415,6140,3414,6143,3414,6147,3411,6155,3407,6156,3406,6131,3406,6129,3404,6127,3403,6125,3402,6123,3401,6121,3399,6120,3397,6118,3396,6117,3394,6117,3392,6116,3390,6116,3388,6116,3387,6116,3385,6118,3381,6120,3380,6123,3378,6125,3377,6127,3375,6132,3374,6158,3374,6155,3373,6149,3370,6141,3366xm6158,3374l6132,3374,6135,3375,6138,3375,6144,3378,6147,3380,6151,3382,6154,3386,6158,3389,6157,3392,6156,3394,6152,3399,6150,3400,6147,3402,6142,3404,6137,3406,6156,3406,6158,3404,6162,3400,6163,3397,6165,3395,6179,3395,6178,3394,6174,3388,6171,3386,6169,3384,6166,3381,6163,3379,6161,3377,6158,3374xm6224,3307l6222,3307,6187,3329,6186,3329,6186,3330,6185,3332,6186,3334,6241,3386,6242,3387,6245,3387,6246,3386,6246,3386,6263,3375,6246,3375,6225,3356,6235,3349,6218,3349,6200,3331,6229,3313,6229,3313,6229,3312,6229,3310,6228,3310,6227,3309,6227,3308,6226,3308,6224,3307xm6278,3357l6275,3357,6246,3375,6263,3375,6282,3364,6282,3363,6282,3363,6282,3361,6282,3361,6282,3360,6281,3360,6280,3359,6280,3359,6279,3358,6278,3358,6278,3357xm6322,3324l6304,3324,6307,3325,6309,3325,6310,3327,6311,3328,6312,3329,6312,3331,6312,3332,6312,3334,6311,3335,6311,3336,6309,3338,6307,3339,6306,3341,6302,3343,6300,3343,6298,3344,6292,3344,6291,3345,6287,3345,6287,3346,6287,3348,6288,3349,6288,3349,6289,3350,6291,3351,6292,3352,6298,3352,6299,3351,6303,3350,6304,3350,6306,3349,6308,3348,6310,3348,6312,3346,6315,3344,6317,3342,6319,3341,6321,3338,6322,3336,6323,3331,6323,3329,6323,3327,6322,3324xm6246,3334l6243,3334,6218,3349,6235,3349,6250,3339,6250,3339,6250,3338,6250,3337,6249,3337,6249,3336,6248,3335,6246,3335,6246,3334xm6363,3338l6361,3338,6362,3339,6363,3338xm6311,3278l6307,3278,6306,3279,6304,3280,6303,3280,6303,3281,6302,3281,6302,3282,6303,3284,6360,3338,6363,3338,6365,3337,6366,3337,6368,3336,6368,3335,6369,3335,6370,3334,6370,3334,6370,3332,6369,3332,6349,3313,6363,3313,6364,3312,6367,3310,6369,3310,6371,3309,6374,3307,6375,3306,6346,3306,6341,3305,6324,3289,6325,3285,6325,3284,6316,3284,6311,3278xm6285,3328l6272,3328,6274,3329,6280,3329,6285,3328xm6291,3299l6272,3299,6270,3300,6267,3302,6265,3305,6261,3308,6260,3310,6260,3313,6260,3315,6260,3316,6261,3321,6262,3322,6264,3323,6266,3325,6270,3328,6287,3328,6293,3327,6297,3325,6299,3325,6303,3324,6322,3324,6321,3323,6318,3321,6318,3320,6275,3320,6274,3318,6272,3317,6272,3316,6271,3316,6271,3315,6270,3314,6270,3313,6271,3312,6271,3312,6271,3310,6273,3308,6274,3307,6276,3306,6280,3303,6283,3303,6284,3302,6288,3302,6290,3301,6292,3301,6292,3300,6291,3299xm6311,3316l6298,3316,6296,3317,6289,3318,6287,3318,6285,3320,6318,3320,6317,3318,6315,3317,6313,3317,6311,3316xm6304,3315l6302,3316,6309,3316,6304,3315xm6366,3270l6344,3270,6346,3271,6349,3271,6351,3272,6356,3276,6358,3278,6361,3280,6362,3281,6364,3284,6367,3288,6368,3289,6369,3294,6369,3296,6367,3300,6365,3302,6363,3303,6361,3305,6358,3306,6375,3306,6377,3305,6380,3299,6381,3295,6380,3289,6380,3286,6376,3280,6373,3277,6369,3273,6366,3270xm6290,3298l6275,3298,6273,3299,6291,3299,6290,3298xm6288,3295l6280,3295,6278,3296,6276,3298,6290,3298,6289,3296,6288,3296,6288,3295xm6342,3259l6334,3260,6327,3265,6325,3265,6324,3267,6321,3270,6320,3271,6319,3272,6319,3273,6318,3276,6317,3277,6317,3279,6316,3284,6325,3284,6325,3281,6326,3279,6327,3277,6327,3276,6329,3273,6330,3273,6334,3271,6336,3270,6366,3270,6363,3267,6356,3263,6353,3262,6349,3260,6345,3260,6342,3259xm6415,3235l6397,3235,6399,3236,6402,3237,6404,3238,6405,3241,6409,3243,6401,3248,6398,3250,6394,3252,6392,3256,6389,3258,6387,3260,6385,3265,6385,3267,6385,3270,6386,3272,6387,3274,6392,3279,6394,3280,6399,3282,6409,3282,6412,3281,6415,3281,6417,3279,6420,3278,6423,3276,6424,3274,6409,3274,6404,3273,6401,3273,6399,3271,6398,3270,6397,3269,6396,3267,6396,3265,6396,3264,6397,3262,6398,3259,6401,3257,6403,3256,6414,3249,6430,3249,6415,3235xm6430,3249l6414,3249,6423,3257,6422,3260,6422,3263,6420,3267,6418,3270,6415,3271,6412,3273,6409,3274,6424,3274,6425,3273,6429,3269,6430,3265,6430,3262,6442,3262,6442,3260,6430,3249xm6442,3262l6430,3262,6434,3266,6438,3266,6438,3265,6439,3265,6441,3264,6442,3263,6442,3263,6442,3262xm6372,3252l6369,3252,6370,3253,6371,3253,6372,3252xm6395,3226l6392,3226,6389,3227,6386,3228,6382,3229,6379,3231,6377,3234,6375,3235,6373,3236,6370,3238,6368,3242,6367,3243,6366,3244,6365,3246,6365,3249,6366,3250,6366,3250,6367,3251,6368,3252,6373,3252,6373,3251,6374,3249,6375,3248,6376,3245,6377,3244,6380,3242,6382,3239,6384,3238,6388,3236,6390,3236,6392,3235,6415,3235,6412,3231,6409,3230,6406,3228,6404,3227,6401,3227,6395,3226xm6427,3205l6424,3205,6423,3206,6422,3206,6420,3207,6420,3207,6419,3208,6418,3208,6418,3209,6418,3209,6418,3210,6460,3250,6463,3250,6464,3249,6465,3249,6467,3248,6468,3246,6469,3245,6469,3245,6469,3244,6469,3244,6440,3216,6440,3212,6440,3210,6432,3210,6427,3205xm6496,3228l6494,3228,6496,3229,6496,3228xm6478,3198l6460,3198,6462,3199,6463,3200,6465,3201,6467,3202,6494,3228,6497,3228,6499,3227,6502,3226,6502,3226,6503,3224,6503,3224,6504,3223,6503,3222,6478,3198xm6458,3187l6455,3187,6449,3188,6445,3190,6442,3192,6439,3194,6437,3197,6433,3202,6432,3206,6432,3210,6440,3210,6441,3206,6442,3203,6444,3201,6446,3200,6450,3198,6478,3198,6475,3195,6472,3193,6467,3190,6464,3188,6458,3187xm6533,3162l6516,3162,6519,3164,6521,3165,6522,3166,6526,3170,6519,3174,6515,3177,6511,3179,6509,3181,6506,3184,6504,3186,6502,3192,6502,3194,6503,3197,6503,3199,6505,3201,6507,3203,6509,3205,6511,3207,6513,3207,6518,3209,6526,3209,6537,3205,6540,3202,6542,3200,6521,3200,6518,3199,6515,3195,6514,3194,6514,3193,6513,3192,6513,3191,6514,3190,6514,3187,6515,3186,6517,3185,6519,3183,6520,3181,6523,3180,6531,3174,6546,3174,6533,3162xm6416,3199l6412,3199,6413,3200,6415,3200,6416,3199xm6546,3174l6531,3174,6540,3184,6540,3187,6539,3190,6537,3194,6535,3197,6530,3200,6542,3200,6546,3194,6547,3192,6547,3188,6559,3188,6560,3187,6559,3187,6546,3174xm6440,3166l6438,3166,6437,3167,6436,3167,6434,3169,6434,3170,6433,3170,6433,3171,6434,3171,6435,3172,6436,3174,6436,3176,6436,3177,6436,3178,6433,3179,6432,3179,6423,3180,6417,3180,6415,3181,6413,3183,6409,3185,6407,3187,6407,3193,6409,3197,6412,3199,6417,3199,6418,3198,6419,3198,6419,3197,6420,3197,6419,3195,6417,3194,6417,3193,6416,3192,6416,3191,6417,3190,6418,3188,6419,3187,6433,3187,6435,3186,6437,3186,6439,3185,6440,3184,6444,3181,6445,3179,6446,3173,6444,3171,6441,3167,6440,3166xm6559,3188l6547,3188,6551,3192,6551,3193,6553,3193,6554,3192,6555,3192,6558,3191,6558,3190,6559,3190,6559,3188xm6518,3152l6509,3152,6503,3155,6499,3156,6494,3159,6492,3161,6489,3164,6487,3165,6485,3169,6484,3170,6483,3171,6483,3172,6482,3173,6482,3173,6482,3176,6483,3176,6483,3177,6484,3178,6485,3178,6486,3179,6489,3179,6490,3178,6490,3177,6491,3176,6491,3174,6493,3172,6494,3171,6496,3169,6497,3167,6499,3166,6501,3165,6503,3163,6505,3163,6507,3162,6533,3162,6531,3161,6529,3158,6526,3156,6524,3155,6518,3152xe" filled="true" fillcolor="#000000" stroked="false">
              <v:path arrowok="t"/>
              <v:fill type="solid"/>
            </v:shape>
            <v:shape style="position:absolute;left:6341;top:3148;width:899;height:571" coordorigin="6341,3148" coordsize="899,571" path="m6424,3680l6404,3680,6406,3681,6408,3682,6410,3684,6414,3686,6415,3688,6416,3692,6416,3693,6416,3695,6415,3696,6414,3698,6413,3700,6412,3701,6410,3703,6407,3705,6404,3707,6399,3709,6397,3709,6394,3710,6392,3710,6390,3712,6384,3712,6384,3713,6383,3713,6383,3714,6384,3715,6385,3716,6386,3716,6387,3717,6388,3718,6397,3718,6401,3717,6408,3714,6411,3713,6413,3712,6417,3709,6420,3706,6425,3700,6427,3698,6428,3692,6428,3689,6427,3686,6426,3684,6424,3680xm6374,3691l6372,3691,6373,3692,6374,3691xm6393,3656l6372,3656,6374,3657,6377,3658,6379,3659,6381,3662,6383,3664,6384,3667,6384,3670,6384,3671,6382,3674,6379,3678,6377,3679,6375,3681,6369,3685,6368,3685,6368,3687,6368,3688,6369,3688,6369,3689,6370,3689,6371,3691,6375,3691,6385,3685,6388,3682,6394,3681,6397,3680,6424,3680,6421,3678,6419,3677,6418,3676,6390,3676,6392,3673,6393,3672,6394,3670,6395,3667,6395,3666,6395,3662,6394,3660,6394,3658,6393,3656xm6454,3684l6449,3684,6451,3685,6454,3685,6454,3684xm6451,3619l6431,3619,6432,3620,6434,3620,6436,3621,6438,3621,6439,3622,6441,3623,6442,3624,6443,3627,6445,3630,6446,3631,6448,3637,6448,3640,6448,3644,6449,3648,6448,3651,6445,3678,6446,3680,6446,3681,6447,3681,6448,3682,6448,3682,6449,3684,6455,3684,6473,3672,6457,3672,6459,3649,6459,3644,6459,3636,6459,3633,6458,3629,6457,3627,6456,3624,6453,3620,6451,3619xm6410,3672l6399,3672,6396,3673,6393,3674,6390,3676,6418,3676,6417,3674,6415,3673,6412,3673,6410,3672xm6379,3646l6364,3646,6361,3648,6358,3650,6354,3651,6352,3653,6350,3655,6348,3657,6346,3658,6345,3659,6344,3662,6343,3663,6342,3664,6341,3665,6341,3667,6341,3670,6341,3670,6342,3671,6342,3672,6343,3672,6343,3673,6345,3674,6348,3674,6348,3673,6349,3671,6350,3670,6350,3669,6351,3667,6352,3665,6354,3664,6355,3662,6357,3660,6361,3658,6363,3657,6365,3657,6367,3656,6393,3656,6391,3655,6387,3651,6385,3649,6382,3648,6379,3646xm6490,3651l6490,3651,6489,3652,6457,3672,6473,3672,6495,3658,6496,3658,6496,3656,6495,3655,6494,3655,6494,3653,6493,3653,6493,3652,6491,3652,6490,3651xm6371,3645l6367,3646,6377,3646,6371,3645xm6407,3637l6404,3637,6405,3638,6406,3638,6407,3637xm6436,3609l6427,3609,6423,3610,6420,3610,6416,3613,6409,3617,6405,3621,6404,3622,6403,3624,6402,3626,6401,3627,6400,3629,6399,3631,6399,3633,6399,3633,6400,3635,6401,3635,6402,3636,6402,3636,6403,3637,6407,3637,6408,3635,6409,3634,6410,3631,6410,3630,6412,3629,6414,3626,6416,3623,6418,3622,6423,3620,6425,3620,6427,3619,6451,3619,6449,3616,6447,3614,6445,3613,6439,3610,6436,3609xm6522,3549l6519,3549,6484,3571,6483,3572,6483,3572,6482,3574,6483,3576,6538,3628,6539,3629,6543,3629,6544,3628,6560,3617,6543,3617,6522,3598,6531,3592,6515,3592,6497,3573,6525,3556,6526,3555,6526,3555,6526,3554,6526,3554,6525,3552,6525,3552,6524,3551,6524,3551,6522,3549xm6574,3599l6572,3599,6543,3617,6560,3617,6579,3606,6579,3606,6579,3605,6579,3604,6579,3604,6578,3602,6577,3601,6577,3601,6576,3600,6575,3600,6574,3599xm6603,3591l6585,3591,6586,3592,6588,3593,6589,3594,6595,3594,6596,3593,6600,3593,6601,3592,6603,3591xm6543,3576l6540,3576,6515,3592,6531,3592,6547,3581,6547,3581,6547,3580,6547,3580,6546,3579,6546,3578,6545,3578,6544,3577,6543,3577,6543,3576xm6618,3566l6600,3566,6601,3567,6604,3567,6606,3569,6607,3570,6608,3571,6609,3572,6609,3573,6609,3574,6609,3576,6609,3577,6608,3578,6606,3580,6605,3581,6603,3583,6599,3585,6597,3585,6595,3586,6591,3586,6589,3587,6585,3587,6584,3588,6584,3588,6584,3590,6584,3590,6585,3591,6605,3591,6609,3588,6612,3586,6614,3585,6616,3583,6618,3580,6619,3578,6620,3573,6620,3571,6620,3570,6619,3567,6618,3566xm6589,3542l6567,3542,6564,3544,6562,3547,6558,3551,6557,3552,6557,3556,6557,3558,6558,3563,6559,3564,6561,3566,6567,3570,6569,3571,6582,3571,6584,3570,6590,3569,6594,3567,6596,3567,6600,3566,6618,3566,6618,3565,6615,3563,6575,3563,6572,3562,6571,3561,6569,3559,6569,3559,6568,3558,6568,3557,6567,3555,6568,3554,6568,3552,6570,3550,6571,3549,6573,3548,6575,3547,6577,3547,6578,3545,6580,3545,6581,3544,6588,3544,6588,3543,6589,3543,6589,3542xm6608,3558l6595,3558,6593,3559,6586,3561,6584,3562,6580,3562,6577,3563,6615,3563,6614,3562,6612,3561,6610,3559,6608,3558xm6600,3507l6597,3507,6596,3508,6595,3508,6593,3509,6592,3511,6591,3511,6591,3512,6590,3512,6590,3513,6591,3513,6601,3523,6593,3528,6593,3528,6593,3529,6607,3529,6633,3555,6636,3556,6638,3557,6640,3558,6643,3559,6647,3561,6650,3561,6652,3559,6655,3559,6657,3558,6660,3556,6661,3556,6661,3555,6664,3554,6666,3551,6650,3551,6647,3550,6645,3550,6642,3548,6616,3523,6626,3518,6610,3518,6600,3507xm6666,3548l6656,3548,6652,3550,6650,3551,6666,3551,6666,3550,6667,3550,6666,3548xm6666,3547l6658,3547,6657,3548,6666,3548,6666,3547xm6664,3545l6658,3545,6658,3547,6665,3547,6664,3545xm6662,3543l6660,3543,6660,3544,6659,3544,6659,3545,6664,3545,6662,3543xm6587,3540l6572,3540,6570,3541,6569,3542,6589,3542,6588,3541,6587,3541,6587,3540xm6586,3538l6575,3538,6573,3540,6586,3540,6586,3538xm6584,3537l6579,3537,6577,3538,6585,3538,6584,3537xm6692,3491l6675,3491,6682,3495,6685,3499,6678,3504,6674,3506,6670,3508,6668,3511,6665,3513,6663,3516,6661,3521,6661,3523,6662,3526,6662,3528,6664,3530,6666,3533,6668,3534,6670,3536,6675,3537,6677,3538,6685,3538,6696,3534,6699,3531,6701,3529,6680,3529,6677,3528,6675,3526,6674,3525,6673,3523,6673,3522,6672,3521,6672,3520,6673,3516,6674,3515,6677,3512,6680,3511,6682,3509,6690,3504,6705,3504,6692,3491xm6607,3529l6593,3529,6594,3530,6594,3531,6595,3531,6597,3534,6599,3534,6607,3529xm6705,3504l6690,3504,6699,3513,6699,3516,6698,3519,6696,3523,6694,3526,6692,3527,6689,3529,6701,3529,6703,3527,6705,3523,6706,3521,6706,3518,6719,3518,6719,3516,6718,3516,6705,3504xm6718,3518l6706,3518,6710,3521,6711,3522,6712,3522,6713,3521,6714,3521,6716,3520,6717,3519,6718,3518xm6625,3508l6623,3508,6610,3518,6626,3518,6629,3515,6630,3514,6630,3514,6630,3513,6629,3512,6628,3511,6627,3509,6626,3509,6625,3508xm6677,3482l6668,3482,6665,3483,6662,3484,6658,3485,6655,3487,6653,3489,6651,3490,6650,3492,6648,3493,6646,3494,6645,3495,6644,3498,6643,3499,6642,3500,6641,3502,6641,3505,6642,3505,6642,3506,6644,3507,6644,3507,6645,3508,6648,3508,6649,3506,6650,3504,6651,3502,6652,3501,6653,3500,6656,3497,6658,3495,6662,3492,6664,3492,6666,3491,6692,3491,6690,3490,6688,3487,6685,3485,6683,3484,6680,3483,6677,3482xm6717,3420l6713,3420,6712,3421,6712,3421,6709,3423,6708,3423,6708,3425,6707,3425,6707,3426,6707,3426,6731,3449,6723,3449,6716,3450,6713,3451,6706,3455,6703,3457,6700,3463,6699,3466,6700,3472,6701,3476,6705,3483,6707,3485,6714,3492,6717,3494,6724,3499,6731,3501,6735,3501,6739,3502,6746,3501,6750,3499,6757,3495,6760,3492,6736,3492,6734,3491,6731,3491,6729,3490,6724,3486,6722,3484,6718,3480,6716,3478,6715,3476,6713,3473,6712,3472,6711,3468,6712,3465,6713,3462,6715,3461,6717,3458,6719,3457,6723,3456,6754,3456,6717,3420xm6754,3456l6734,3456,6739,3457,6756,3472,6756,3476,6756,3477,6755,3480,6755,3483,6753,3486,6751,3489,6750,3489,6749,3490,6746,3492,6760,3492,6761,3490,6763,3486,6764,3483,6764,3479,6778,3479,6754,3456xm6772,3484l6770,3484,6771,3485,6772,3484xm6778,3479l6764,3479,6769,3484,6774,3484,6774,3483,6776,3483,6776,3482,6777,3482,6778,3480,6778,3480,6778,3479xm6795,3405l6791,3406,6787,3406,6783,3407,6779,3410,6770,3414,6767,3418,6765,3421,6763,3423,6762,3427,6761,3434,6762,3437,6764,3441,6766,3444,6768,3447,6775,3454,6779,3456,6786,3461,6790,3462,6798,3463,6802,3463,6806,3462,6811,3461,6823,3454,6798,3454,6796,3453,6793,3453,6791,3451,6788,3449,6786,3448,6783,3446,6781,3444,6779,3442,6777,3440,6774,3435,6773,3433,6773,3428,6773,3426,6776,3422,6778,3420,6781,3419,6784,3417,6787,3415,6792,3414,6818,3414,6815,3412,6807,3407,6803,3406,6795,3405xm6818,3414l6795,3414,6801,3415,6803,3417,6806,3419,6808,3420,6810,3422,6813,3425,6815,3427,6817,3429,6820,3433,6820,3435,6821,3440,6820,3442,6818,3446,6816,3448,6813,3450,6810,3451,6807,3453,6801,3454,6823,3454,6826,3450,6831,3444,6832,3441,6832,3434,6831,3430,6829,3428,6828,3425,6825,3421,6818,3414xm6865,3426l6847,3426,6848,3427,6850,3428,6851,3429,6857,3429,6860,3428,6862,3428,6863,3427,6865,3426xm6881,3403l6866,3403,6868,3404,6870,3406,6871,3407,6871,3407,6871,3410,6871,3411,6871,3412,6870,3413,6869,3414,6868,3415,6867,3417,6865,3418,6861,3420,6859,3420,6857,3421,6855,3421,6852,3422,6847,3422,6846,3423,6846,3425,6846,3425,6847,3426,6867,3426,6869,3425,6871,3423,6874,3421,6876,3420,6878,3418,6880,3415,6881,3413,6882,3408,6882,3406,6882,3405,6881,3403xm6848,3374l6837,3374,6835,3375,6832,3376,6831,3377,6826,3379,6824,3382,6821,3386,6820,3387,6819,3391,6819,3394,6820,3396,6820,3398,6821,3399,6823,3401,6825,3403,6827,3404,6829,3405,6831,3406,6844,3406,6846,3405,6848,3405,6850,3404,6854,3404,6856,3403,6881,3403,6880,3400,6878,3398,6837,3398,6836,3397,6834,3397,6833,3396,6831,3394,6830,3393,6830,3392,6829,3391,6830,3390,6830,3389,6830,3387,6832,3385,6834,3384,6835,3383,6837,3382,6839,3382,6840,3380,6842,3380,6844,3379,6850,3379,6851,3378,6851,3377,6851,3377,6850,3376,6850,3376,6849,3375,6849,3375,6848,3374xm6870,3393l6857,3393,6855,3394,6853,3394,6849,3396,6847,3397,6843,3397,6839,3398,6878,3398,6876,3397,6872,3394,6870,3393xm6883,3322l6879,3322,6877,3324,6876,3325,6875,3325,6874,3326,6874,3326,6873,3327,6873,3327,6873,3328,6873,3328,6910,3363,6914,3367,6918,3370,6926,3374,6930,3375,6943,3375,6947,3374,6951,3372,6959,3368,6964,3365,6933,3365,6930,3364,6927,3363,6924,3361,6922,3360,6919,3356,6883,3322xm6846,3372l6841,3372,6839,3374,6847,3374,6846,3372xm6929,3293l6925,3293,6924,3295,6923,3295,6922,3296,6921,3296,6920,3297,6920,3297,6919,3298,6918,3298,6918,3299,6919,3299,6955,3334,6958,3336,6960,3340,6961,3342,6962,3344,6963,3347,6962,3349,6962,3351,6961,3353,6958,3357,6956,3360,6953,3361,6950,3363,6948,3364,6945,3364,6942,3365,6964,3365,6967,3362,6970,3358,6972,3356,6973,3353,6974,3347,6974,3344,6974,3342,6971,3335,6968,3332,6929,3293xm7002,3275l6999,3275,6992,3276,6989,3277,6986,3279,6983,3281,6981,3283,6977,3290,6976,3293,6976,3297,6962,3297,7003,3336,7004,3338,7006,3338,7007,3336,7008,3336,7010,3335,7012,3334,7012,3333,7013,3333,7013,3332,7013,3331,6984,3304,6984,3298,6984,3296,6985,3293,6986,3290,6988,3289,6990,3286,6992,3285,6994,3285,6998,3284,7021,3284,7016,3281,7014,3278,7008,3276,7002,3275xm6883,3321l6881,3321,6880,3322,6883,3322,6883,3321xm7021,3284l7000,3284,7004,3285,7005,3286,7009,3288,7011,3290,7038,3315,7042,3315,7042,3314,7043,3314,7044,3313,7045,3313,7046,3312,7047,3312,7047,3311,7047,3311,7047,3310,7047,3310,7022,3285,7021,3284xm7067,3298l7065,3298,7065,3299,7066,3299,7067,3298xm7033,3253l7029,3253,7028,3254,7028,3254,7025,3255,7024,3256,7024,3256,7024,3257,7023,3257,7023,3259,7023,3259,7065,3298,7069,3298,7070,3297,7072,3296,7074,3295,7074,3295,7074,3292,7074,3292,7033,3253xm6971,3292l6966,3292,6965,3293,6963,3295,6962,3295,6962,3296,6962,3297,6976,3297,6971,3292xm6968,3291l6968,3292,6970,3292,6968,3291xm7084,3224l7080,3224,7073,3225,7070,3226,7063,3231,7060,3233,7057,3239,7056,3241,7056,3243,7057,3246,7057,3248,7058,3250,7062,3257,7064,3261,7068,3264,7071,3267,7074,3270,7078,3271,7084,3276,7088,3276,7092,3277,7095,3277,7103,3276,7107,3275,7114,3270,7117,3268,7093,3268,7088,3266,7086,3264,7081,3261,7079,3260,7077,3257,7075,3255,7073,3254,7072,3252,7070,3249,7069,3247,7068,3243,7068,3241,7070,3238,7072,3235,7074,3234,7077,3233,7079,3232,7087,3231,7110,3231,7104,3225,7088,3225,7084,3224xm7110,3231l7087,3231,7091,3232,7096,3232,7113,3248,7113,3253,7112,3256,7112,3257,7111,3260,7111,3261,7110,3262,7108,3263,7107,3264,7106,3266,7103,3267,7101,3268,7117,3268,7118,3264,7120,3262,7121,3259,7121,3254,7135,3254,7110,3231xm7135,3254l7121,3254,7126,3260,7129,3260,7131,3259,7132,3259,7133,3257,7133,3257,7134,3256,7135,3256,7135,3255,7135,3254xm7017,3236l7012,3236,7010,3238,7008,3240,7006,3241,7006,3242,7006,3243,7007,3245,7010,3248,7012,3249,7015,3249,7017,3248,7019,3247,7021,3246,7022,3245,7022,3243,7023,3242,7022,3241,7020,3239,7018,3238,7017,3236xm7152,3181l7148,3181,7144,3182,7140,3183,7136,3185,7127,3190,7124,3193,7120,3199,7119,3203,7119,3210,7119,3212,7123,3219,7125,3223,7132,3229,7136,3232,7143,3235,7147,3238,7159,3238,7163,3236,7167,3236,7176,3232,7179,3229,7155,3229,7150,3227,7142,3224,7140,3221,7136,3217,7134,3214,7131,3210,7130,3207,7130,3204,7130,3202,7132,3199,7133,3197,7135,3196,7137,3193,7143,3191,7149,3190,7175,3190,7172,3187,7164,3183,7160,3182,7152,3181xm7175,3190l7152,3190,7157,3191,7160,3192,7165,3196,7167,3197,7169,3199,7172,3202,7174,3204,7177,3209,7177,3211,7178,3216,7177,3218,7176,3219,7175,3221,7173,3224,7167,3227,7164,3228,7158,3229,7179,3229,7180,3228,7183,3226,7185,3223,7188,3219,7189,3217,7189,3210,7188,3206,7186,3203,7185,3199,7182,3196,7179,3193,7175,3190xm7074,3196l7070,3196,7068,3197,7066,3198,7065,3199,7065,3199,7064,3200,7064,3202,7064,3202,7088,3225,7104,3225,7074,3196xm7219,3203l7206,3203,7207,3204,7208,3205,7211,3205,7214,3204,7215,3204,7219,3203xm7224,3200l7203,3200,7204,3202,7204,3202,7205,3203,7220,3203,7222,3202,7224,3200xm7238,3177l7220,3177,7222,3178,7225,3178,7226,3180,7227,3181,7228,3182,7228,3184,7228,3185,7227,3188,7227,3189,7225,3191,7223,3192,7222,3192,7220,3195,7218,3195,7216,3196,7214,3197,7209,3197,7207,3198,7203,3198,7203,3199,7203,3200,7226,3200,7231,3197,7233,3195,7235,3192,7237,3191,7238,3189,7239,3187,7239,3184,7239,3182,7238,3177xm7072,3195l7072,3196,7073,3196,7072,3195xm7207,3152l7188,3152,7183,3155,7181,3157,7178,3161,7177,3163,7176,3167,7176,3169,7177,3173,7178,3175,7180,3176,7182,3178,7184,3180,7188,3181,7190,3182,7199,3182,7201,3181,7203,3181,7209,3180,7213,3178,7215,3177,7238,3177,7237,3176,7235,3174,7234,3173,7191,3173,7190,3171,7188,3170,7188,3169,7187,3169,7186,3167,7187,3164,7187,3163,7187,3163,7189,3161,7190,3160,7192,3159,7194,3157,7196,3156,7197,3156,7199,3155,7203,3155,7204,3154,7208,3154,7208,3153,7208,3153,7207,3152xm7227,3169l7214,3169,7212,3170,7203,3171,7201,3173,7234,3173,7233,3171,7231,3170,7229,3170,7227,3169xm7220,3168l7218,3169,7225,3169,7220,3168xm7206,3149l7194,3149,7191,3151,7189,3152,7207,3152,7206,3149xm7204,3148l7196,3148,7195,3149,7204,3149,7204,3148xe" filled="true" fillcolor="#000000" stroked="false">
              <v:path arrowok="t"/>
              <v:fill type="solid"/>
            </v:shape>
            <v:shape style="position:absolute;left:7381;top:3169;width:510;height:325" type="#_x0000_t75" stroked="false">
              <v:imagedata r:id="rId48" o:title=""/>
            </v:shape>
            <v:rect style="position:absolute;left:2195;top:206;width:7849;height:3712" filled="false" stroked="true" strokeweight=".440085pt" strokecolor="#858585"/>
            <v:shape style="position:absolute;left:2899;top:1460;width:5554;height:121" type="#_x0000_t75" stroked="false">
              <v:imagedata r:id="rId49" o:title=""/>
            </v:shape>
            <v:line style="position:absolute" from="2950,1504" to="8403,1496" stroked="true" strokeweight="1.742256pt" strokecolor="#ff0000"/>
            <v:shape style="position:absolute;left:2933;top:1054;width:5554;height:121" type="#_x0000_t75" stroked="false">
              <v:imagedata r:id="rId49" o:title=""/>
            </v:shape>
            <v:line style="position:absolute" from="2984,1098" to="8437,1090" stroked="true" strokeweight="1.742256pt" strokecolor="#ff0000"/>
            <v:shape style="position:absolute;left:2456;top:501;width:189;height:391" type="#_x0000_t202" filled="false" stroked="false">
              <v:textbox inset="0,0,0,0">
                <w:txbxContent>
                  <w:p>
                    <w:pPr>
                      <w:spacing w:line="116" w:lineRule="exact" w:before="0"/>
                      <w:ind w:left="0" w:right="-19" w:firstLine="0"/>
                      <w:jc w:val="left"/>
                      <w:rPr>
                        <w:rFonts w:ascii="Calibri"/>
                        <w:sz w:val="11"/>
                      </w:rPr>
                    </w:pPr>
                    <w:r>
                      <w:rPr>
                        <w:rFonts w:ascii="Calibri"/>
                        <w:w w:val="135"/>
                        <w:sz w:val="11"/>
                      </w:rPr>
                      <w:t>0.9</w:t>
                    </w:r>
                  </w:p>
                  <w:p>
                    <w:pPr>
                      <w:spacing w:line="240" w:lineRule="auto" w:before="2"/>
                      <w:rPr>
                        <w:sz w:val="12"/>
                      </w:rPr>
                    </w:pPr>
                  </w:p>
                  <w:p>
                    <w:pPr>
                      <w:spacing w:line="134" w:lineRule="exact" w:before="0"/>
                      <w:ind w:left="0" w:right="-19" w:firstLine="0"/>
                      <w:jc w:val="left"/>
                      <w:rPr>
                        <w:rFonts w:ascii="Calibri"/>
                        <w:sz w:val="11"/>
                      </w:rPr>
                    </w:pPr>
                    <w:r>
                      <w:rPr>
                        <w:rFonts w:ascii="Calibri"/>
                        <w:w w:val="135"/>
                        <w:sz w:val="11"/>
                      </w:rPr>
                      <w:t>0.8</w:t>
                    </w:r>
                  </w:p>
                </w:txbxContent>
              </v:textbox>
              <w10:wrap type="none"/>
            </v:shape>
            <v:shape style="position:absolute;left:3085;top:752;width:372;height:116" type="#_x0000_t202" filled="false" stroked="false">
              <v:textbox inset="0,0,0,0">
                <w:txbxContent>
                  <w:p>
                    <w:pPr>
                      <w:spacing w:line="116" w:lineRule="exact" w:before="0"/>
                      <w:ind w:left="0" w:right="-20" w:firstLine="0"/>
                      <w:jc w:val="left"/>
                      <w:rPr>
                        <w:b/>
                        <w:sz w:val="11"/>
                      </w:rPr>
                    </w:pPr>
                    <w:r>
                      <w:rPr>
                        <w:b/>
                        <w:color w:val="FFFFFF"/>
                        <w:w w:val="135"/>
                        <w:sz w:val="11"/>
                      </w:rPr>
                      <w:t>0.844</w:t>
                    </w:r>
                  </w:p>
                </w:txbxContent>
              </v:textbox>
              <w10:wrap type="none"/>
            </v:shape>
            <v:shape style="position:absolute;left:3737;top:778;width:372;height:116" type="#_x0000_t202" filled="false" stroked="false">
              <v:textbox inset="0,0,0,0">
                <w:txbxContent>
                  <w:p>
                    <w:pPr>
                      <w:spacing w:line="116" w:lineRule="exact" w:before="0"/>
                      <w:ind w:left="0" w:right="-20" w:firstLine="0"/>
                      <w:jc w:val="left"/>
                      <w:rPr>
                        <w:b/>
                        <w:sz w:val="11"/>
                      </w:rPr>
                    </w:pPr>
                    <w:r>
                      <w:rPr>
                        <w:b/>
                        <w:color w:val="FFFFFF"/>
                        <w:w w:val="135"/>
                        <w:sz w:val="11"/>
                      </w:rPr>
                      <w:t>0.843</w:t>
                    </w:r>
                  </w:p>
                </w:txbxContent>
              </v:textbox>
              <w10:wrap type="none"/>
            </v:shape>
            <v:shape style="position:absolute;left:4450;top:854;width:372;height:116" type="#_x0000_t202" filled="false" stroked="false">
              <v:textbox inset="0,0,0,0">
                <w:txbxContent>
                  <w:p>
                    <w:pPr>
                      <w:spacing w:line="116" w:lineRule="exact" w:before="0"/>
                      <w:ind w:left="0" w:right="-20" w:firstLine="0"/>
                      <w:jc w:val="left"/>
                      <w:rPr>
                        <w:b/>
                        <w:sz w:val="11"/>
                      </w:rPr>
                    </w:pPr>
                    <w:r>
                      <w:rPr>
                        <w:b/>
                        <w:color w:val="FFFFFF"/>
                        <w:w w:val="135"/>
                        <w:sz w:val="11"/>
                      </w:rPr>
                      <w:t>0.832</w:t>
                    </w:r>
                  </w:p>
                </w:txbxContent>
              </v:textbox>
              <w10:wrap type="none"/>
            </v:shape>
            <v:shape style="position:absolute;left:5132;top:893;width:372;height:116" type="#_x0000_t202" filled="false" stroked="false">
              <v:textbox inset="0,0,0,0">
                <w:txbxContent>
                  <w:p>
                    <w:pPr>
                      <w:spacing w:line="116" w:lineRule="exact" w:before="0"/>
                      <w:ind w:left="0" w:right="-20" w:firstLine="0"/>
                      <w:jc w:val="left"/>
                      <w:rPr>
                        <w:b/>
                        <w:sz w:val="11"/>
                      </w:rPr>
                    </w:pPr>
                    <w:r>
                      <w:rPr>
                        <w:b/>
                        <w:color w:val="FFFFFF"/>
                        <w:w w:val="135"/>
                        <w:sz w:val="11"/>
                      </w:rPr>
                      <w:t>0.801</w:t>
                    </w:r>
                  </w:p>
                </w:txbxContent>
              </v:textbox>
              <w10:wrap type="none"/>
            </v:shape>
            <v:shape style="position:absolute;left:5814;top:917;width:372;height:116" type="#_x0000_t202" filled="false" stroked="false">
              <v:textbox inset="0,0,0,0">
                <w:txbxContent>
                  <w:p>
                    <w:pPr>
                      <w:spacing w:line="116" w:lineRule="exact" w:before="0"/>
                      <w:ind w:left="0" w:right="-20" w:firstLine="0"/>
                      <w:jc w:val="left"/>
                      <w:rPr>
                        <w:b/>
                        <w:sz w:val="11"/>
                      </w:rPr>
                    </w:pPr>
                    <w:r>
                      <w:rPr>
                        <w:b/>
                        <w:color w:val="FFFFFF"/>
                        <w:w w:val="135"/>
                        <w:sz w:val="11"/>
                      </w:rPr>
                      <w:t>0.750</w:t>
                    </w:r>
                  </w:p>
                </w:txbxContent>
              </v:textbox>
              <w10:wrap type="none"/>
            </v:shape>
            <v:shape style="position:absolute;left:6482;top:929;width:372;height:116" type="#_x0000_t202" filled="false" stroked="false">
              <v:textbox inset="0,0,0,0">
                <w:txbxContent>
                  <w:p>
                    <w:pPr>
                      <w:spacing w:line="116" w:lineRule="exact" w:before="0"/>
                      <w:ind w:left="0" w:right="-20" w:firstLine="0"/>
                      <w:jc w:val="left"/>
                      <w:rPr>
                        <w:b/>
                        <w:sz w:val="11"/>
                      </w:rPr>
                    </w:pPr>
                    <w:r>
                      <w:rPr>
                        <w:b/>
                        <w:color w:val="FFFFFF"/>
                        <w:w w:val="135"/>
                        <w:sz w:val="11"/>
                      </w:rPr>
                      <w:t>0.750</w:t>
                    </w:r>
                  </w:p>
                </w:txbxContent>
              </v:textbox>
              <w10:wrap type="none"/>
            </v:shape>
            <v:shape style="position:absolute;left:2456;top:1051;width:190;height:116" type="#_x0000_t202" filled="false" stroked="false">
              <v:textbox inset="0,0,0,0">
                <w:txbxContent>
                  <w:p>
                    <w:pPr>
                      <w:spacing w:line="116" w:lineRule="exact" w:before="0"/>
                      <w:ind w:left="0" w:right="-18" w:firstLine="0"/>
                      <w:jc w:val="left"/>
                      <w:rPr>
                        <w:rFonts w:ascii="Calibri"/>
                        <w:sz w:val="11"/>
                      </w:rPr>
                    </w:pPr>
                    <w:r>
                      <w:rPr>
                        <w:rFonts w:ascii="Calibri"/>
                        <w:w w:val="135"/>
                        <w:sz w:val="11"/>
                      </w:rPr>
                      <w:t>0.7</w:t>
                    </w:r>
                  </w:p>
                </w:txbxContent>
              </v:textbox>
              <w10:wrap type="none"/>
            </v:shape>
            <v:shape style="position:absolute;left:8536;top:1033;width:896;height:116" type="#_x0000_t202" filled="false" stroked="false">
              <v:textbox inset="0,0,0,0">
                <w:txbxContent>
                  <w:p>
                    <w:pPr>
                      <w:spacing w:line="116" w:lineRule="exact" w:before="0"/>
                      <w:ind w:left="0" w:right="-16" w:firstLine="0"/>
                      <w:jc w:val="left"/>
                      <w:rPr>
                        <w:b/>
                        <w:sz w:val="11"/>
                      </w:rPr>
                    </w:pPr>
                    <w:r>
                      <w:rPr>
                        <w:b/>
                        <w:w w:val="135"/>
                        <w:sz w:val="11"/>
                      </w:rPr>
                      <w:t>OCDE: 0.744</w:t>
                    </w:r>
                  </w:p>
                </w:txbxContent>
              </v:textbox>
              <w10:wrap type="none"/>
            </v:shape>
            <v:shape style="position:absolute;left:7164;top:1162;width:372;height:116" type="#_x0000_t202" filled="false" stroked="false">
              <v:textbox inset="0,0,0,0">
                <w:txbxContent>
                  <w:p>
                    <w:pPr>
                      <w:spacing w:line="116" w:lineRule="exact" w:before="0"/>
                      <w:ind w:left="0" w:right="-20" w:firstLine="0"/>
                      <w:jc w:val="left"/>
                      <w:rPr>
                        <w:b/>
                        <w:sz w:val="11"/>
                      </w:rPr>
                    </w:pPr>
                    <w:r>
                      <w:rPr>
                        <w:b/>
                        <w:color w:val="FFFFFF"/>
                        <w:w w:val="135"/>
                        <w:sz w:val="11"/>
                      </w:rPr>
                      <w:t>0.720</w:t>
                    </w:r>
                  </w:p>
                </w:txbxContent>
              </v:textbox>
              <w10:wrap type="none"/>
            </v:shape>
            <v:shape style="position:absolute;left:2456;top:1326;width:189;height:116" type="#_x0000_t202" filled="false" stroked="false">
              <v:textbox inset="0,0,0,0">
                <w:txbxContent>
                  <w:p>
                    <w:pPr>
                      <w:spacing w:line="116" w:lineRule="exact" w:before="0"/>
                      <w:ind w:left="0" w:right="-19" w:firstLine="0"/>
                      <w:jc w:val="left"/>
                      <w:rPr>
                        <w:rFonts w:ascii="Calibri"/>
                        <w:sz w:val="11"/>
                      </w:rPr>
                    </w:pPr>
                    <w:r>
                      <w:rPr>
                        <w:rFonts w:ascii="Calibri"/>
                        <w:w w:val="135"/>
                        <w:sz w:val="11"/>
                      </w:rPr>
                      <w:t>0.6</w:t>
                    </w:r>
                  </w:p>
                </w:txbxContent>
              </v:textbox>
              <w10:wrap type="none"/>
            </v:shape>
            <v:shape style="position:absolute;left:7847;top:1345;width:372;height:116" type="#_x0000_t202" filled="false" stroked="false">
              <v:textbox inset="0,0,0,0">
                <w:txbxContent>
                  <w:p>
                    <w:pPr>
                      <w:spacing w:line="116" w:lineRule="exact" w:before="0"/>
                      <w:ind w:left="0" w:right="-20" w:firstLine="0"/>
                      <w:jc w:val="left"/>
                      <w:rPr>
                        <w:b/>
                        <w:sz w:val="11"/>
                      </w:rPr>
                    </w:pPr>
                    <w:r>
                      <w:rPr>
                        <w:b/>
                        <w:color w:val="FFFFFF"/>
                        <w:w w:val="135"/>
                        <w:sz w:val="11"/>
                      </w:rPr>
                      <w:t>0.641</w:t>
                    </w:r>
                  </w:p>
                </w:txbxContent>
              </v:textbox>
              <w10:wrap type="none"/>
            </v:shape>
            <v:shape style="position:absolute;left:8533;top:1458;width:1028;height:116" type="#_x0000_t202" filled="false" stroked="false">
              <v:textbox inset="0,0,0,0">
                <w:txbxContent>
                  <w:p>
                    <w:pPr>
                      <w:spacing w:line="116" w:lineRule="exact" w:before="0"/>
                      <w:ind w:left="0" w:right="-16" w:firstLine="0"/>
                      <w:jc w:val="left"/>
                      <w:rPr>
                        <w:b/>
                        <w:sz w:val="11"/>
                      </w:rPr>
                    </w:pPr>
                    <w:r>
                      <w:rPr>
                        <w:b/>
                        <w:w w:val="135"/>
                        <w:sz w:val="11"/>
                      </w:rPr>
                      <w:t>Mundial: 0.616</w:t>
                    </w:r>
                  </w:p>
                </w:txbxContent>
              </v:textbox>
              <w10:wrap type="none"/>
            </v:shape>
            <v:shape style="position:absolute;left:2456;top:1601;width:189;height:1491" type="#_x0000_t202" filled="false" stroked="false">
              <v:textbox inset="0,0,0,0">
                <w:txbxContent>
                  <w:p>
                    <w:pPr>
                      <w:spacing w:line="116" w:lineRule="exact" w:before="0"/>
                      <w:ind w:left="0" w:right="-19" w:firstLine="0"/>
                      <w:jc w:val="left"/>
                      <w:rPr>
                        <w:rFonts w:ascii="Calibri"/>
                        <w:sz w:val="11"/>
                      </w:rPr>
                    </w:pPr>
                    <w:r>
                      <w:rPr>
                        <w:rFonts w:ascii="Calibri"/>
                        <w:w w:val="135"/>
                        <w:sz w:val="11"/>
                      </w:rPr>
                      <w:t>0.5</w:t>
                    </w:r>
                  </w:p>
                  <w:p>
                    <w:pPr>
                      <w:spacing w:line="240" w:lineRule="auto" w:before="2"/>
                      <w:rPr>
                        <w:sz w:val="12"/>
                      </w:rPr>
                    </w:pPr>
                  </w:p>
                  <w:p>
                    <w:pPr>
                      <w:spacing w:before="0"/>
                      <w:ind w:left="0" w:right="-19" w:firstLine="0"/>
                      <w:jc w:val="left"/>
                      <w:rPr>
                        <w:rFonts w:ascii="Calibri"/>
                        <w:sz w:val="11"/>
                      </w:rPr>
                    </w:pPr>
                    <w:r>
                      <w:rPr>
                        <w:rFonts w:ascii="Calibri"/>
                        <w:w w:val="135"/>
                        <w:sz w:val="11"/>
                      </w:rPr>
                      <w:t>0.4</w:t>
                    </w:r>
                  </w:p>
                  <w:p>
                    <w:pPr>
                      <w:spacing w:line="240" w:lineRule="auto" w:before="2"/>
                      <w:rPr>
                        <w:sz w:val="12"/>
                      </w:rPr>
                    </w:pPr>
                  </w:p>
                  <w:p>
                    <w:pPr>
                      <w:spacing w:before="1"/>
                      <w:ind w:left="0" w:right="-19" w:firstLine="0"/>
                      <w:jc w:val="left"/>
                      <w:rPr>
                        <w:rFonts w:ascii="Calibri"/>
                        <w:sz w:val="11"/>
                      </w:rPr>
                    </w:pPr>
                    <w:r>
                      <w:rPr>
                        <w:rFonts w:ascii="Calibri"/>
                        <w:w w:val="135"/>
                        <w:sz w:val="11"/>
                      </w:rPr>
                      <w:t>0.3</w:t>
                    </w:r>
                  </w:p>
                  <w:p>
                    <w:pPr>
                      <w:spacing w:line="240" w:lineRule="auto" w:before="2"/>
                      <w:rPr>
                        <w:sz w:val="12"/>
                      </w:rPr>
                    </w:pPr>
                  </w:p>
                  <w:p>
                    <w:pPr>
                      <w:spacing w:before="0"/>
                      <w:ind w:left="0" w:right="-19" w:firstLine="0"/>
                      <w:jc w:val="left"/>
                      <w:rPr>
                        <w:rFonts w:ascii="Calibri"/>
                        <w:sz w:val="11"/>
                      </w:rPr>
                    </w:pPr>
                    <w:r>
                      <w:rPr>
                        <w:rFonts w:ascii="Calibri"/>
                        <w:w w:val="135"/>
                        <w:sz w:val="11"/>
                      </w:rPr>
                      <w:t>0.2</w:t>
                    </w:r>
                  </w:p>
                  <w:p>
                    <w:pPr>
                      <w:spacing w:line="240" w:lineRule="auto" w:before="2"/>
                      <w:rPr>
                        <w:sz w:val="12"/>
                      </w:rPr>
                    </w:pPr>
                  </w:p>
                  <w:p>
                    <w:pPr>
                      <w:spacing w:before="1"/>
                      <w:ind w:left="0" w:right="-19" w:firstLine="0"/>
                      <w:jc w:val="left"/>
                      <w:rPr>
                        <w:rFonts w:ascii="Calibri"/>
                        <w:sz w:val="11"/>
                      </w:rPr>
                    </w:pPr>
                    <w:r>
                      <w:rPr>
                        <w:rFonts w:ascii="Calibri"/>
                        <w:w w:val="135"/>
                        <w:sz w:val="11"/>
                      </w:rPr>
                      <w:t>0.1</w:t>
                    </w:r>
                  </w:p>
                  <w:p>
                    <w:pPr>
                      <w:spacing w:line="240" w:lineRule="auto" w:before="2"/>
                      <w:rPr>
                        <w:sz w:val="12"/>
                      </w:rPr>
                    </w:pPr>
                  </w:p>
                  <w:p>
                    <w:pPr>
                      <w:spacing w:line="134" w:lineRule="exact" w:before="0"/>
                      <w:ind w:left="0" w:right="-19" w:firstLine="0"/>
                      <w:jc w:val="left"/>
                      <w:rPr>
                        <w:rFonts w:ascii="Calibri"/>
                        <w:sz w:val="11"/>
                      </w:rPr>
                    </w:pPr>
                    <w:r>
                      <w:rPr>
                        <w:rFonts w:ascii="Calibri"/>
                        <w:w w:val="135"/>
                        <w:sz w:val="11"/>
                      </w:rPr>
                      <w:t>0.0</w:t>
                    </w:r>
                  </w:p>
                </w:txbxContent>
              </v:textbox>
              <w10:wrap type="none"/>
            </v:shape>
            <w10:wrap type="topAndBottom"/>
          </v:group>
        </w:pict>
      </w:r>
    </w:p>
    <w:p>
      <w:pPr>
        <w:spacing w:line="137" w:lineRule="exact" w:before="107"/>
        <w:ind w:left="100" w:right="132" w:firstLine="0"/>
        <w:jc w:val="left"/>
        <w:rPr>
          <w:sz w:val="12"/>
        </w:rPr>
      </w:pPr>
      <w:r>
        <w:rPr>
          <w:sz w:val="12"/>
        </w:rPr>
        <w:t>FUENTE:     Forum for a new World Governance, World Governance Index</w:t>
      </w:r>
    </w:p>
    <w:p>
      <w:pPr>
        <w:spacing w:line="242" w:lineRule="auto" w:before="0"/>
        <w:ind w:left="809" w:right="3301" w:firstLine="0"/>
        <w:jc w:val="left"/>
        <w:rPr>
          <w:sz w:val="12"/>
        </w:rPr>
      </w:pPr>
      <w:r>
        <w:rPr>
          <w:sz w:val="12"/>
        </w:rPr>
        <w:t>Disponible en: </w:t>
      </w:r>
      <w:hyperlink r:id="rId50">
        <w:r>
          <w:rPr>
            <w:sz w:val="12"/>
          </w:rPr>
          <w:t>http://www.world-governance.org/IMG/pdf_WGI_short_version_EN_web-2.pdf</w:t>
        </w:r>
      </w:hyperlink>
      <w:r>
        <w:rPr>
          <w:sz w:val="12"/>
        </w:rPr>
        <w:t> [Fecha de consulta: 24 de marzo, 2013]</w:t>
      </w:r>
    </w:p>
    <w:p>
      <w:pPr>
        <w:pStyle w:val="BodyText"/>
        <w:rPr>
          <w:sz w:val="12"/>
        </w:rPr>
      </w:pPr>
    </w:p>
    <w:p>
      <w:pPr>
        <w:pStyle w:val="BodyText"/>
        <w:spacing w:line="360" w:lineRule="auto" w:before="94"/>
        <w:ind w:left="100" w:right="118" w:firstLine="427"/>
        <w:jc w:val="both"/>
      </w:pPr>
      <w:r>
        <w:rPr/>
        <w:t>El FnGM considera que la problemática de la gobernanza mundial se caracteriza por el hecho de que los objetivos se definen a través de un vacío institucional a nivel internacional, ya que la ONU (y de manera más general el derecho</w:t>
      </w:r>
      <w:r>
        <w:rPr>
          <w:spacing w:val="-13"/>
        </w:rPr>
        <w:t> </w:t>
      </w:r>
      <w:r>
        <w:rPr/>
        <w:t>público</w:t>
      </w:r>
      <w:r>
        <w:rPr>
          <w:spacing w:val="-13"/>
        </w:rPr>
        <w:t> </w:t>
      </w:r>
      <w:r>
        <w:rPr/>
        <w:t>internacional)</w:t>
      </w:r>
      <w:r>
        <w:rPr>
          <w:spacing w:val="-11"/>
        </w:rPr>
        <w:t> </w:t>
      </w:r>
      <w:r>
        <w:rPr/>
        <w:t>hace</w:t>
      </w:r>
      <w:r>
        <w:rPr>
          <w:spacing w:val="-13"/>
        </w:rPr>
        <w:t> </w:t>
      </w:r>
      <w:r>
        <w:rPr/>
        <w:t>que</w:t>
      </w:r>
      <w:r>
        <w:rPr>
          <w:spacing w:val="-13"/>
        </w:rPr>
        <w:t> </w:t>
      </w:r>
      <w:r>
        <w:rPr/>
        <w:t>los</w:t>
      </w:r>
      <w:r>
        <w:rPr>
          <w:spacing w:val="-11"/>
        </w:rPr>
        <w:t> </w:t>
      </w:r>
      <w:r>
        <w:rPr/>
        <w:t>estados</w:t>
      </w:r>
      <w:r>
        <w:rPr>
          <w:spacing w:val="-11"/>
        </w:rPr>
        <w:t> </w:t>
      </w:r>
      <w:r>
        <w:rPr/>
        <w:t>tengan</w:t>
      </w:r>
      <w:r>
        <w:rPr>
          <w:spacing w:val="-13"/>
        </w:rPr>
        <w:t> </w:t>
      </w:r>
      <w:r>
        <w:rPr/>
        <w:t>que</w:t>
      </w:r>
      <w:r>
        <w:rPr>
          <w:spacing w:val="-13"/>
        </w:rPr>
        <w:t> </w:t>
      </w:r>
      <w:r>
        <w:rPr/>
        <w:t>resolver</w:t>
      </w:r>
      <w:r>
        <w:rPr>
          <w:spacing w:val="-11"/>
        </w:rPr>
        <w:t> </w:t>
      </w:r>
      <w:r>
        <w:rPr/>
        <w:t>problemas que superan sus competencias e incluso su</w:t>
      </w:r>
      <w:r>
        <w:rPr>
          <w:spacing w:val="-22"/>
        </w:rPr>
        <w:t> </w:t>
      </w:r>
      <w:r>
        <w:rPr/>
        <w:t>comprensión.</w:t>
      </w:r>
    </w:p>
    <w:p>
      <w:pPr>
        <w:spacing w:after="0" w:line="360" w:lineRule="auto"/>
        <w:jc w:val="both"/>
        <w:sectPr>
          <w:pgSz w:w="12240" w:h="15840"/>
          <w:pgMar w:header="0" w:footer="998" w:top="1360" w:bottom="1180" w:left="1600" w:right="1580"/>
        </w:sectPr>
      </w:pPr>
    </w:p>
    <w:p>
      <w:pPr>
        <w:pStyle w:val="BodyText"/>
        <w:spacing w:before="4"/>
        <w:rPr>
          <w:sz w:val="22"/>
        </w:rPr>
      </w:pPr>
    </w:p>
    <w:p>
      <w:pPr>
        <w:spacing w:before="70"/>
        <w:ind w:left="100" w:right="132" w:firstLine="0"/>
        <w:jc w:val="left"/>
        <w:rPr>
          <w:i/>
          <w:sz w:val="24"/>
        </w:rPr>
      </w:pPr>
      <w:r>
        <w:rPr>
          <w:i/>
          <w:sz w:val="24"/>
        </w:rPr>
        <w:t>Indicador líder: Indicadores Mundiales de Gobernabilidad, 2012</w:t>
      </w:r>
    </w:p>
    <w:p>
      <w:pPr>
        <w:pStyle w:val="BodyText"/>
        <w:rPr>
          <w:i/>
        </w:rPr>
      </w:pPr>
    </w:p>
    <w:p>
      <w:pPr>
        <w:pStyle w:val="BodyText"/>
        <w:spacing w:before="4"/>
        <w:rPr>
          <w:i/>
        </w:rPr>
      </w:pPr>
    </w:p>
    <w:p>
      <w:pPr>
        <w:pStyle w:val="BodyText"/>
        <w:spacing w:line="360" w:lineRule="auto"/>
        <w:ind w:left="100" w:right="114" w:firstLine="427"/>
        <w:jc w:val="both"/>
      </w:pPr>
      <w:r>
        <w:rPr/>
        <w:t>El Banco Mundial considera un elevado número de indicadores orientados a medir el buen gobierno y la lucha contra la corrupción. Los indicadores presentan información de 215 países. La escala de evaluación es de 0 a 100 puntos, donde los valores altos, cercanos a 100 reflejan mayor gobernabilidad y cercanos a 0 menor gobernabilidad. De los 6 grupos de indicadores, aquéllos con mayor valor fueron “control de la corrupción” y “voz y rendición de cuentas” de Alemania.</w:t>
      </w:r>
    </w:p>
    <w:p>
      <w:pPr>
        <w:pStyle w:val="BodyText"/>
        <w:spacing w:line="360" w:lineRule="auto" w:before="6"/>
        <w:ind w:left="100" w:right="114" w:firstLine="427"/>
        <w:jc w:val="both"/>
      </w:pPr>
      <w:r>
        <w:rPr/>
        <w:t>México presentó en “efectividad gubernamental” un puntaje de 64 (62 el ejercicio previo) valor cercano a lo registrado por Sudáfrica, y en “efectividad política” registró el puntaje de 25, (24 el estudio anterior) con ello se infiere que existe</w:t>
      </w:r>
      <w:r>
        <w:rPr>
          <w:spacing w:val="-9"/>
        </w:rPr>
        <w:t> </w:t>
      </w:r>
      <w:r>
        <w:rPr/>
        <w:t>una</w:t>
      </w:r>
      <w:r>
        <w:rPr>
          <w:spacing w:val="-9"/>
        </w:rPr>
        <w:t> </w:t>
      </w:r>
      <w:r>
        <w:rPr/>
        <w:t>correlación</w:t>
      </w:r>
      <w:r>
        <w:rPr>
          <w:spacing w:val="-9"/>
        </w:rPr>
        <w:t> </w:t>
      </w:r>
      <w:r>
        <w:rPr/>
        <w:t>negativa</w:t>
      </w:r>
      <w:r>
        <w:rPr>
          <w:spacing w:val="-9"/>
        </w:rPr>
        <w:t> </w:t>
      </w:r>
      <w:r>
        <w:rPr/>
        <w:t>en</w:t>
      </w:r>
      <w:r>
        <w:rPr>
          <w:spacing w:val="-5"/>
        </w:rPr>
        <w:t> </w:t>
      </w:r>
      <w:r>
        <w:rPr/>
        <w:t>ambos</w:t>
      </w:r>
      <w:r>
        <w:rPr>
          <w:spacing w:val="-7"/>
        </w:rPr>
        <w:t> </w:t>
      </w:r>
      <w:r>
        <w:rPr/>
        <w:t>indicadores</w:t>
      </w:r>
      <w:r>
        <w:rPr>
          <w:spacing w:val="-3"/>
        </w:rPr>
        <w:t> </w:t>
      </w:r>
      <w:r>
        <w:rPr/>
        <w:t>y</w:t>
      </w:r>
      <w:r>
        <w:rPr>
          <w:spacing w:val="-8"/>
        </w:rPr>
        <w:t> </w:t>
      </w:r>
      <w:r>
        <w:rPr/>
        <w:t>positiva</w:t>
      </w:r>
      <w:r>
        <w:rPr>
          <w:spacing w:val="-9"/>
        </w:rPr>
        <w:t> </w:t>
      </w:r>
      <w:r>
        <w:rPr/>
        <w:t>entre</w:t>
      </w:r>
      <w:r>
        <w:rPr>
          <w:spacing w:val="-5"/>
        </w:rPr>
        <w:t> </w:t>
      </w:r>
      <w:r>
        <w:rPr/>
        <w:t>la</w:t>
      </w:r>
      <w:r>
        <w:rPr>
          <w:spacing w:val="-9"/>
        </w:rPr>
        <w:t> </w:t>
      </w:r>
      <w:r>
        <w:rPr/>
        <w:t>estabilidad política</w:t>
      </w:r>
      <w:r>
        <w:rPr>
          <w:spacing w:val="-8"/>
        </w:rPr>
        <w:t> </w:t>
      </w:r>
      <w:r>
        <w:rPr/>
        <w:t>(25</w:t>
      </w:r>
      <w:r>
        <w:rPr>
          <w:spacing w:val="-7"/>
        </w:rPr>
        <w:t> </w:t>
      </w:r>
      <w:r>
        <w:rPr/>
        <w:t>puntos,</w:t>
      </w:r>
      <w:r>
        <w:rPr>
          <w:spacing w:val="-6"/>
        </w:rPr>
        <w:t> </w:t>
      </w:r>
      <w:r>
        <w:rPr/>
        <w:t>al</w:t>
      </w:r>
      <w:r>
        <w:rPr>
          <w:spacing w:val="-7"/>
        </w:rPr>
        <w:t> </w:t>
      </w:r>
      <w:r>
        <w:rPr/>
        <w:t>igual</w:t>
      </w:r>
      <w:r>
        <w:rPr>
          <w:spacing w:val="-7"/>
        </w:rPr>
        <w:t> </w:t>
      </w:r>
      <w:r>
        <w:rPr/>
        <w:t>a</w:t>
      </w:r>
      <w:r>
        <w:rPr>
          <w:spacing w:val="-8"/>
        </w:rPr>
        <w:t> </w:t>
      </w:r>
      <w:r>
        <w:rPr/>
        <w:t>China),</w:t>
      </w:r>
      <w:r>
        <w:rPr>
          <w:spacing w:val="-6"/>
        </w:rPr>
        <w:t> </w:t>
      </w:r>
      <w:r>
        <w:rPr/>
        <w:t>calidad</w:t>
      </w:r>
      <w:r>
        <w:rPr>
          <w:spacing w:val="-8"/>
        </w:rPr>
        <w:t> </w:t>
      </w:r>
      <w:r>
        <w:rPr/>
        <w:t>regulatoria</w:t>
      </w:r>
      <w:r>
        <w:rPr>
          <w:spacing w:val="-8"/>
        </w:rPr>
        <w:t> </w:t>
      </w:r>
      <w:r>
        <w:rPr/>
        <w:t>(61,</w:t>
      </w:r>
      <w:r>
        <w:rPr>
          <w:spacing w:val="-6"/>
        </w:rPr>
        <w:t> </w:t>
      </w:r>
      <w:r>
        <w:rPr/>
        <w:t>menor</w:t>
      </w:r>
      <w:r>
        <w:rPr>
          <w:spacing w:val="-3"/>
        </w:rPr>
        <w:t> </w:t>
      </w:r>
      <w:r>
        <w:rPr/>
        <w:t>a</w:t>
      </w:r>
      <w:r>
        <w:rPr>
          <w:spacing w:val="-8"/>
        </w:rPr>
        <w:t> </w:t>
      </w:r>
      <w:r>
        <w:rPr/>
        <w:t>Sudáfrica</w:t>
      </w:r>
      <w:r>
        <w:rPr>
          <w:spacing w:val="-8"/>
        </w:rPr>
        <w:t> </w:t>
      </w:r>
      <w:r>
        <w:rPr/>
        <w:t>con 66), control de la corrupción (45, menor a Grecia con 56) y voz y rendición de cuentas (54, menor a India con</w:t>
      </w:r>
      <w:r>
        <w:rPr>
          <w:spacing w:val="-19"/>
        </w:rPr>
        <w:t> </w:t>
      </w:r>
      <w:r>
        <w:rPr/>
        <w:t>59).</w:t>
      </w:r>
    </w:p>
    <w:p>
      <w:pPr>
        <w:pStyle w:val="BodyText"/>
        <w:spacing w:line="360" w:lineRule="auto" w:before="2"/>
        <w:ind w:left="100" w:right="118" w:firstLine="427"/>
        <w:jc w:val="both"/>
      </w:pPr>
      <w:r>
        <w:rPr/>
        <w:t>De acuerdo con el Banco Mundial, las posiciones bajas en “Control de la corrupción”</w:t>
      </w:r>
      <w:r>
        <w:rPr>
          <w:spacing w:val="-18"/>
        </w:rPr>
        <w:t> </w:t>
      </w:r>
      <w:r>
        <w:rPr/>
        <w:t>(45)</w:t>
      </w:r>
      <w:r>
        <w:rPr>
          <w:spacing w:val="-18"/>
        </w:rPr>
        <w:t> </w:t>
      </w:r>
      <w:r>
        <w:rPr/>
        <w:t>implican</w:t>
      </w:r>
      <w:r>
        <w:rPr>
          <w:spacing w:val="-20"/>
        </w:rPr>
        <w:t> </w:t>
      </w:r>
      <w:r>
        <w:rPr/>
        <w:t>una</w:t>
      </w:r>
      <w:r>
        <w:rPr>
          <w:spacing w:val="-20"/>
        </w:rPr>
        <w:t> </w:t>
      </w:r>
      <w:r>
        <w:rPr/>
        <w:t>crisis</w:t>
      </w:r>
      <w:r>
        <w:rPr>
          <w:spacing w:val="-18"/>
        </w:rPr>
        <w:t> </w:t>
      </w:r>
      <w:r>
        <w:rPr/>
        <w:t>de</w:t>
      </w:r>
      <w:r>
        <w:rPr>
          <w:spacing w:val="-16"/>
        </w:rPr>
        <w:t> </w:t>
      </w:r>
      <w:r>
        <w:rPr/>
        <w:t>gobernanza.</w:t>
      </w:r>
      <w:r>
        <w:rPr>
          <w:spacing w:val="-17"/>
        </w:rPr>
        <w:t> </w:t>
      </w:r>
      <w:r>
        <w:rPr/>
        <w:t>México</w:t>
      </w:r>
      <w:r>
        <w:rPr>
          <w:spacing w:val="-20"/>
        </w:rPr>
        <w:t> </w:t>
      </w:r>
      <w:r>
        <w:rPr/>
        <w:t>presentó</w:t>
      </w:r>
      <w:r>
        <w:rPr>
          <w:spacing w:val="-20"/>
        </w:rPr>
        <w:t> </w:t>
      </w:r>
      <w:r>
        <w:rPr/>
        <w:t>la</w:t>
      </w:r>
      <w:r>
        <w:rPr>
          <w:spacing w:val="-20"/>
        </w:rPr>
        <w:t> </w:t>
      </w:r>
      <w:r>
        <w:rPr/>
        <w:t>posición</w:t>
      </w:r>
      <w:r>
        <w:rPr>
          <w:spacing w:val="-16"/>
        </w:rPr>
        <w:t> </w:t>
      </w:r>
      <w:r>
        <w:rPr>
          <w:spacing w:val="-2"/>
        </w:rPr>
        <w:t>más </w:t>
      </w:r>
      <w:r>
        <w:rPr/>
        <w:t>baja entre los países del panel de estudio, sólo superó a India (35), China (29), Indonesia (27), Rusia (13) y Venezuela</w:t>
      </w:r>
      <w:r>
        <w:rPr>
          <w:spacing w:val="-20"/>
        </w:rPr>
        <w:t> </w:t>
      </w:r>
      <w:r>
        <w:rPr/>
        <w:t>(8).</w:t>
      </w:r>
    </w:p>
    <w:p>
      <w:pPr>
        <w:pStyle w:val="BodyText"/>
        <w:spacing w:line="360" w:lineRule="auto" w:before="1"/>
        <w:ind w:left="100" w:right="116" w:firstLine="427"/>
        <w:jc w:val="both"/>
      </w:pPr>
      <w:r>
        <w:rPr/>
        <w:t>El Banco Mundial consideró que México (indicador “Control de la corrupción”) refleja los problemas de seguridad pública debido a la lucha contra el tráfico de drogas. Referente al “Estado de Derecho”, que mide, entre otros aspectos, la independencia</w:t>
      </w:r>
      <w:r>
        <w:rPr>
          <w:spacing w:val="-9"/>
        </w:rPr>
        <w:t> </w:t>
      </w:r>
      <w:r>
        <w:rPr/>
        <w:t>del</w:t>
      </w:r>
      <w:r>
        <w:rPr>
          <w:spacing w:val="-8"/>
        </w:rPr>
        <w:t> </w:t>
      </w:r>
      <w:r>
        <w:rPr/>
        <w:t>Poder</w:t>
      </w:r>
      <w:r>
        <w:rPr>
          <w:spacing w:val="-7"/>
        </w:rPr>
        <w:t> </w:t>
      </w:r>
      <w:r>
        <w:rPr/>
        <w:t>Judicial,</w:t>
      </w:r>
      <w:r>
        <w:rPr>
          <w:spacing w:val="-6"/>
        </w:rPr>
        <w:t> </w:t>
      </w:r>
      <w:r>
        <w:rPr/>
        <w:t>es</w:t>
      </w:r>
      <w:r>
        <w:rPr>
          <w:spacing w:val="-7"/>
        </w:rPr>
        <w:t> </w:t>
      </w:r>
      <w:r>
        <w:rPr/>
        <w:t>el</w:t>
      </w:r>
      <w:r>
        <w:rPr>
          <w:spacing w:val="-8"/>
        </w:rPr>
        <w:t> </w:t>
      </w:r>
      <w:r>
        <w:rPr/>
        <w:t>segundo</w:t>
      </w:r>
      <w:r>
        <w:rPr>
          <w:spacing w:val="-9"/>
        </w:rPr>
        <w:t> </w:t>
      </w:r>
      <w:r>
        <w:rPr/>
        <w:t>indicador</w:t>
      </w:r>
      <w:r>
        <w:rPr>
          <w:spacing w:val="-7"/>
        </w:rPr>
        <w:t> </w:t>
      </w:r>
      <w:r>
        <w:rPr/>
        <w:t>con</w:t>
      </w:r>
      <w:r>
        <w:rPr>
          <w:spacing w:val="-9"/>
        </w:rPr>
        <w:t> </w:t>
      </w:r>
      <w:r>
        <w:rPr/>
        <w:t>menor</w:t>
      </w:r>
      <w:r>
        <w:rPr>
          <w:spacing w:val="-7"/>
        </w:rPr>
        <w:t> </w:t>
      </w:r>
      <w:r>
        <w:rPr/>
        <w:t>posición</w:t>
      </w:r>
      <w:r>
        <w:rPr>
          <w:spacing w:val="-8"/>
        </w:rPr>
        <w:t> </w:t>
      </w:r>
      <w:r>
        <w:rPr/>
        <w:t>para este</w:t>
      </w:r>
      <w:r>
        <w:rPr>
          <w:spacing w:val="-15"/>
        </w:rPr>
        <w:t> </w:t>
      </w:r>
      <w:r>
        <w:rPr/>
        <w:t>país,</w:t>
      </w:r>
      <w:r>
        <w:rPr>
          <w:spacing w:val="-12"/>
        </w:rPr>
        <w:t> </w:t>
      </w:r>
      <w:r>
        <w:rPr/>
        <w:t>lo</w:t>
      </w:r>
      <w:r>
        <w:rPr>
          <w:spacing w:val="-11"/>
        </w:rPr>
        <w:t> </w:t>
      </w:r>
      <w:r>
        <w:rPr/>
        <w:t>que,</w:t>
      </w:r>
      <w:r>
        <w:rPr>
          <w:spacing w:val="-12"/>
        </w:rPr>
        <w:t> </w:t>
      </w:r>
      <w:r>
        <w:rPr/>
        <w:t>de</w:t>
      </w:r>
      <w:r>
        <w:rPr>
          <w:spacing w:val="-11"/>
        </w:rPr>
        <w:t> </w:t>
      </w:r>
      <w:r>
        <w:rPr/>
        <w:t>acuerdo</w:t>
      </w:r>
      <w:r>
        <w:rPr>
          <w:spacing w:val="-15"/>
        </w:rPr>
        <w:t> </w:t>
      </w:r>
      <w:r>
        <w:rPr/>
        <w:t>con</w:t>
      </w:r>
      <w:r>
        <w:rPr>
          <w:spacing w:val="-11"/>
        </w:rPr>
        <w:t> </w:t>
      </w:r>
      <w:r>
        <w:rPr/>
        <w:t>el</w:t>
      </w:r>
      <w:r>
        <w:rPr>
          <w:spacing w:val="-14"/>
        </w:rPr>
        <w:t> </w:t>
      </w:r>
      <w:r>
        <w:rPr/>
        <w:t>Banco</w:t>
      </w:r>
      <w:r>
        <w:rPr>
          <w:spacing w:val="-11"/>
        </w:rPr>
        <w:t> </w:t>
      </w:r>
      <w:r>
        <w:rPr/>
        <w:t>Mundial,</w:t>
      </w:r>
      <w:r>
        <w:rPr>
          <w:spacing w:val="-9"/>
        </w:rPr>
        <w:t> </w:t>
      </w:r>
      <w:r>
        <w:rPr/>
        <w:t>podría</w:t>
      </w:r>
      <w:r>
        <w:rPr>
          <w:spacing w:val="-15"/>
        </w:rPr>
        <w:t> </w:t>
      </w:r>
      <w:r>
        <w:rPr/>
        <w:t>sugerir</w:t>
      </w:r>
      <w:r>
        <w:rPr>
          <w:spacing w:val="-13"/>
        </w:rPr>
        <w:t> </w:t>
      </w:r>
      <w:r>
        <w:rPr/>
        <w:t>una</w:t>
      </w:r>
      <w:r>
        <w:rPr>
          <w:spacing w:val="-15"/>
        </w:rPr>
        <w:t> </w:t>
      </w:r>
      <w:r>
        <w:rPr/>
        <w:t>débil</w:t>
      </w:r>
      <w:r>
        <w:rPr>
          <w:spacing w:val="-14"/>
        </w:rPr>
        <w:t> </w:t>
      </w:r>
      <w:r>
        <w:rPr/>
        <w:t>división de poderes. Este indicador está directamente correlacionado con una baja calificación de “Voz y rendición de</w:t>
      </w:r>
      <w:r>
        <w:rPr>
          <w:spacing w:val="-20"/>
        </w:rPr>
        <w:t> </w:t>
      </w:r>
      <w:r>
        <w:rPr/>
        <w:t>cuentas”.</w:t>
      </w:r>
    </w:p>
    <w:p>
      <w:pPr>
        <w:pStyle w:val="BodyText"/>
      </w:pPr>
    </w:p>
    <w:p>
      <w:pPr>
        <w:pStyle w:val="BodyText"/>
        <w:spacing w:line="360" w:lineRule="auto" w:before="142"/>
        <w:ind w:left="100" w:right="117" w:firstLine="427"/>
        <w:jc w:val="both"/>
      </w:pPr>
      <w:r>
        <w:rPr/>
        <w:t>De acuerdo con el Banco mundial, las posiciones 91 a 100 implican buena gobernanza</w:t>
      </w:r>
      <w:r>
        <w:rPr>
          <w:spacing w:val="-5"/>
        </w:rPr>
        <w:t> </w:t>
      </w:r>
      <w:r>
        <w:rPr/>
        <w:t>y</w:t>
      </w:r>
      <w:r>
        <w:rPr>
          <w:spacing w:val="-8"/>
        </w:rPr>
        <w:t> </w:t>
      </w:r>
      <w:r>
        <w:rPr/>
        <w:t>posiciones</w:t>
      </w:r>
      <w:r>
        <w:rPr>
          <w:spacing w:val="-3"/>
        </w:rPr>
        <w:t> </w:t>
      </w:r>
      <w:r>
        <w:rPr/>
        <w:t>cercanas</w:t>
      </w:r>
      <w:r>
        <w:rPr>
          <w:spacing w:val="-3"/>
        </w:rPr>
        <w:t> </w:t>
      </w:r>
      <w:r>
        <w:rPr/>
        <w:t>a</w:t>
      </w:r>
      <w:r>
        <w:rPr>
          <w:spacing w:val="-5"/>
        </w:rPr>
        <w:t> </w:t>
      </w:r>
      <w:r>
        <w:rPr/>
        <w:t>0</w:t>
      </w:r>
      <w:r>
        <w:rPr>
          <w:spacing w:val="-5"/>
        </w:rPr>
        <w:t> </w:t>
      </w:r>
      <w:r>
        <w:rPr/>
        <w:t>una</w:t>
      </w:r>
      <w:r>
        <w:rPr>
          <w:spacing w:val="-5"/>
        </w:rPr>
        <w:t> </w:t>
      </w:r>
      <w:r>
        <w:rPr/>
        <w:t>crisis</w:t>
      </w:r>
      <w:r>
        <w:rPr>
          <w:spacing w:val="-3"/>
        </w:rPr>
        <w:t> </w:t>
      </w:r>
      <w:r>
        <w:rPr/>
        <w:t>de</w:t>
      </w:r>
      <w:r>
        <w:rPr>
          <w:spacing w:val="-5"/>
        </w:rPr>
        <w:t> </w:t>
      </w:r>
      <w:r>
        <w:rPr/>
        <w:t>gobernanza.</w:t>
      </w:r>
      <w:r>
        <w:rPr>
          <w:spacing w:val="-3"/>
        </w:rPr>
        <w:t> </w:t>
      </w:r>
      <w:r>
        <w:rPr/>
        <w:t>Los</w:t>
      </w:r>
      <w:r>
        <w:rPr>
          <w:spacing w:val="-3"/>
        </w:rPr>
        <w:t> </w:t>
      </w:r>
      <w:r>
        <w:rPr/>
        <w:t>resultados</w:t>
      </w:r>
      <w:r>
        <w:rPr>
          <w:spacing w:val="-3"/>
        </w:rPr>
        <w:t> </w:t>
      </w:r>
      <w:r>
        <w:rPr/>
        <w:t>se presentan en el cuadro</w:t>
      </w:r>
      <w:r>
        <w:rPr>
          <w:spacing w:val="-17"/>
        </w:rPr>
        <w:t> </w:t>
      </w:r>
      <w:r>
        <w:rPr/>
        <w:t>siguiente:</w:t>
      </w:r>
    </w:p>
    <w:p>
      <w:pPr>
        <w:spacing w:after="0" w:line="360" w:lineRule="auto"/>
        <w:jc w:val="both"/>
        <w:sectPr>
          <w:pgSz w:w="12240" w:h="15840"/>
          <w:pgMar w:header="0" w:footer="998" w:top="1500" w:bottom="1180" w:left="1600" w:right="1580"/>
        </w:sectPr>
      </w:pPr>
    </w:p>
    <w:p>
      <w:pPr>
        <w:pStyle w:val="BodyText"/>
        <w:ind w:left="130"/>
        <w:rPr>
          <w:sz w:val="20"/>
        </w:rPr>
      </w:pPr>
      <w:r>
        <w:rPr>
          <w:sz w:val="20"/>
        </w:rPr>
        <w:pict>
          <v:group style="width:441.8pt;height:35.35pt;mso-position-horizontal-relative:char;mso-position-vertical-relative:line" coordorigin="0,0" coordsize="8836,707">
            <v:rect style="position:absolute;left:9;top:32;width:8827;height:391" filled="true" fillcolor="#000000" stroked="false">
              <v:fill type="solid"/>
            </v:rect>
            <v:line style="position:absolute" from="4,430" to="5,695" stroked="true" strokeweight=".412842pt" strokecolor="#dadcdd"/>
            <v:line style="position:absolute" from="5,424" to="5,702" stroked="true" strokeweight=".412838pt" strokecolor="#dadcdd"/>
            <v:shape style="position:absolute;left:25;top:0;width:801;height:380" type="#_x0000_t202" filled="false" stroked="false">
              <v:textbox inset="0,0,0,0">
                <w:txbxContent>
                  <w:p>
                    <w:pPr>
                      <w:spacing w:line="167" w:lineRule="exact" w:before="0"/>
                      <w:ind w:left="7" w:right="7" w:firstLine="0"/>
                      <w:jc w:val="center"/>
                      <w:rPr>
                        <w:b/>
                        <w:sz w:val="16"/>
                      </w:rPr>
                    </w:pPr>
                    <w:r>
                      <w:rPr>
                        <w:b/>
                        <w:color w:val="FFFFFF"/>
                        <w:w w:val="85"/>
                        <w:sz w:val="16"/>
                      </w:rPr>
                      <w:t>Mayor</w:t>
                    </w:r>
                  </w:p>
                  <w:p>
                    <w:pPr>
                      <w:spacing w:line="181" w:lineRule="exact" w:before="31"/>
                      <w:ind w:left="7" w:right="7" w:firstLine="0"/>
                      <w:jc w:val="center"/>
                      <w:rPr>
                        <w:b/>
                        <w:sz w:val="16"/>
                      </w:rPr>
                    </w:pPr>
                    <w:r>
                      <w:rPr>
                        <w:b/>
                        <w:color w:val="FFFFFF"/>
                        <w:w w:val="65"/>
                        <w:sz w:val="16"/>
                      </w:rPr>
                      <w:t>gobernabilidad</w:t>
                    </w:r>
                  </w:p>
                </w:txbxContent>
              </v:textbox>
              <w10:wrap type="none"/>
            </v:shape>
          </v:group>
        </w:pict>
      </w:r>
      <w:r>
        <w:rPr>
          <w:sz w:val="20"/>
        </w:rPr>
      </w:r>
    </w:p>
    <w:p>
      <w:pPr>
        <w:spacing w:before="55"/>
        <w:ind w:left="445" w:right="0" w:firstLine="0"/>
        <w:jc w:val="left"/>
        <w:rPr>
          <w:b/>
          <w:sz w:val="20"/>
        </w:rPr>
      </w:pPr>
      <w:r>
        <w:rPr/>
        <w:pict>
          <v:shape style="position:absolute;margin-left:100.482582pt;margin-top:20.89032pt;width:8.1pt;height:306.5pt;mso-position-horizontal-relative:page;mso-position-vertical-relative:paragraph;z-index:3568;mso-wrap-distance-left:0;mso-wrap-distance-right:0" coordorigin="2010,418" coordsize="162,6130" path="m2036,6317l2020,6331,2017,6346,2022,6358,2094,6547,2113,6497,2078,6497,2078,6447,2078,6404,2050,6333,2046,6321,2036,6317xm2078,6404l2078,6497,2111,6497,2111,6484,2080,6484,2094,6447,2078,6404xm2152,6317l2142,6321,2137,6333,2111,6404,2111,6497,2078,6497,2113,6497,2166,6358,2171,6346,2168,6331,2160,6323,2152,6317xm2094,6447l2080,6484,2108,6484,2094,6447xm2111,6404l2094,6447,2108,6484,2080,6484,2111,6484,2111,6404xm2086,518l2070,561,2070,606,2078,6404,2094,6447,2111,6404,2111,6317,2103,561,2086,518xm2086,418l2032,561,2010,619,2012,634,2028,648,2038,644,2043,632,2070,561,2070,468,2105,468,2086,418xm2105,468l2103,468,2103,561,2130,632,2134,644,2145,648,2152,641,2160,634,2163,618,2158,606,2105,468xm2103,468l2070,468,2070,561,2086,518,2072,481,2103,481,2103,468xm2103,481l2100,481,2086,518,2103,561,2103,481xm2100,481l2072,481,2086,518,2100,481xe" filled="true" fillcolor="#000000" stroked="false">
            <v:path arrowok="t"/>
            <v:fill type="solid"/>
            <w10:wrap type="topAndBottom"/>
          </v:shape>
        </w:pict>
      </w:r>
      <w:r>
        <w:rPr/>
        <w:pict>
          <v:shape style="position:absolute;margin-left:128.282806pt;margin-top:-36.487465pt;width:400.45pt;height:407.75pt;mso-position-horizontal-relative:page;mso-position-vertical-relative:paragraph;z-index:36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9"/>
                    <w:gridCol w:w="1124"/>
                    <w:gridCol w:w="1256"/>
                    <w:gridCol w:w="983"/>
                    <w:gridCol w:w="1281"/>
                    <w:gridCol w:w="1264"/>
                    <w:gridCol w:w="1405"/>
                  </w:tblGrid>
                  <w:tr>
                    <w:trPr>
                      <w:trHeight w:val="385" w:hRule="exact"/>
                    </w:trPr>
                    <w:tc>
                      <w:tcPr>
                        <w:tcW w:w="669" w:type="dxa"/>
                        <w:tcBorders>
                          <w:top w:val="single" w:sz="5" w:space="0" w:color="D7D7D7"/>
                          <w:left w:val="single" w:sz="7" w:space="0" w:color="D7D7D7"/>
                          <w:bottom w:val="single" w:sz="10" w:space="0" w:color="D7D7D7"/>
                          <w:right w:val="single" w:sz="7" w:space="0" w:color="D7D7D7"/>
                        </w:tcBorders>
                        <w:shd w:val="clear" w:color="auto" w:fill="000000"/>
                      </w:tcPr>
                      <w:p>
                        <w:pPr>
                          <w:pStyle w:val="TableParagraph"/>
                          <w:spacing w:before="102"/>
                          <w:ind w:left="99"/>
                          <w:rPr>
                            <w:b/>
                            <w:sz w:val="16"/>
                          </w:rPr>
                        </w:pPr>
                        <w:r>
                          <w:rPr>
                            <w:b/>
                            <w:color w:val="FFFFFF"/>
                            <w:w w:val="75"/>
                            <w:sz w:val="16"/>
                          </w:rPr>
                          <w:t>Posición</w:t>
                        </w:r>
                      </w:p>
                    </w:tc>
                    <w:tc>
                      <w:tcPr>
                        <w:tcW w:w="1124"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140" w:firstLine="123"/>
                          <w:rPr>
                            <w:b/>
                            <w:sz w:val="16"/>
                          </w:rPr>
                        </w:pPr>
                        <w:r>
                          <w:rPr>
                            <w:b/>
                            <w:color w:val="FFFFFF"/>
                            <w:w w:val="75"/>
                            <w:sz w:val="16"/>
                          </w:rPr>
                          <w:t>Efectividad </w:t>
                        </w:r>
                        <w:r>
                          <w:rPr>
                            <w:b/>
                            <w:color w:val="FFFFFF"/>
                            <w:w w:val="65"/>
                            <w:sz w:val="16"/>
                          </w:rPr>
                          <w:t>Gubernamental</w:t>
                        </w:r>
                      </w:p>
                    </w:tc>
                    <w:tc>
                      <w:tcPr>
                        <w:tcW w:w="1256"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421" w:hanging="91"/>
                          <w:rPr>
                            <w:b/>
                            <w:sz w:val="16"/>
                          </w:rPr>
                        </w:pPr>
                        <w:r>
                          <w:rPr>
                            <w:b/>
                            <w:color w:val="FFFFFF"/>
                            <w:w w:val="65"/>
                            <w:sz w:val="16"/>
                          </w:rPr>
                          <w:t>Estabilidad </w:t>
                        </w:r>
                        <w:r>
                          <w:rPr>
                            <w:b/>
                            <w:color w:val="FFFFFF"/>
                            <w:w w:val="75"/>
                            <w:sz w:val="16"/>
                          </w:rPr>
                          <w:t>Política</w:t>
                        </w:r>
                      </w:p>
                    </w:tc>
                    <w:tc>
                      <w:tcPr>
                        <w:tcW w:w="983"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181" w:right="155" w:firstLine="132"/>
                          <w:rPr>
                            <w:b/>
                            <w:sz w:val="16"/>
                          </w:rPr>
                        </w:pPr>
                        <w:r>
                          <w:rPr>
                            <w:b/>
                            <w:color w:val="FFFFFF"/>
                            <w:w w:val="75"/>
                            <w:sz w:val="16"/>
                          </w:rPr>
                          <w:t>Estado </w:t>
                        </w:r>
                        <w:r>
                          <w:rPr>
                            <w:b/>
                            <w:color w:val="FFFFFF"/>
                            <w:w w:val="70"/>
                            <w:sz w:val="16"/>
                          </w:rPr>
                          <w:t>de Derecho</w:t>
                        </w:r>
                      </w:p>
                    </w:tc>
                    <w:tc>
                      <w:tcPr>
                        <w:tcW w:w="1281"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330" w:firstLine="107"/>
                          <w:rPr>
                            <w:b/>
                            <w:sz w:val="16"/>
                          </w:rPr>
                        </w:pPr>
                        <w:r>
                          <w:rPr>
                            <w:b/>
                            <w:color w:val="FFFFFF"/>
                            <w:w w:val="75"/>
                            <w:sz w:val="16"/>
                          </w:rPr>
                          <w:t>Calidad </w:t>
                        </w:r>
                        <w:r>
                          <w:rPr>
                            <w:b/>
                            <w:color w:val="FFFFFF"/>
                            <w:w w:val="65"/>
                            <w:sz w:val="16"/>
                          </w:rPr>
                          <w:t>Regulatoria</w:t>
                        </w:r>
                      </w:p>
                    </w:tc>
                    <w:tc>
                      <w:tcPr>
                        <w:tcW w:w="1264"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338" w:right="-4" w:hanging="50"/>
                          <w:rPr>
                            <w:b/>
                            <w:sz w:val="16"/>
                          </w:rPr>
                        </w:pPr>
                        <w:r>
                          <w:rPr>
                            <w:b/>
                            <w:color w:val="FFFFFF"/>
                            <w:w w:val="70"/>
                            <w:sz w:val="16"/>
                          </w:rPr>
                          <w:t>Control de la Corrupción</w:t>
                        </w:r>
                      </w:p>
                    </w:tc>
                    <w:tc>
                      <w:tcPr>
                        <w:tcW w:w="1405"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404" w:right="141" w:hanging="133"/>
                          <w:rPr>
                            <w:b/>
                            <w:sz w:val="16"/>
                          </w:rPr>
                        </w:pPr>
                        <w:r>
                          <w:rPr>
                            <w:b/>
                            <w:color w:val="FFFFFF"/>
                            <w:w w:val="70"/>
                            <w:sz w:val="16"/>
                          </w:rPr>
                          <w:t>Voz y Rendición de Cuentas</w:t>
                        </w:r>
                      </w:p>
                    </w:tc>
                  </w:tr>
                  <w:tr>
                    <w:trPr>
                      <w:trHeight w:val="1326"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rPr>
                            <w:sz w:val="20"/>
                          </w:rPr>
                        </w:pPr>
                      </w:p>
                      <w:p>
                        <w:pPr>
                          <w:pStyle w:val="TableParagraph"/>
                          <w:spacing w:before="3"/>
                          <w:rPr>
                            <w:sz w:val="26"/>
                          </w:rPr>
                        </w:pPr>
                      </w:p>
                      <w:p>
                        <w:pPr>
                          <w:pStyle w:val="TableParagraph"/>
                          <w:ind w:left="82"/>
                          <w:rPr>
                            <w:b/>
                            <w:sz w:val="20"/>
                          </w:rPr>
                        </w:pPr>
                        <w:r>
                          <w:rPr>
                            <w:b/>
                            <w:color w:val="FFFFFF"/>
                            <w:w w:val="70"/>
                            <w:sz w:val="20"/>
                          </w:rPr>
                          <w:t>91 a 100</w:t>
                        </w:r>
                      </w:p>
                    </w:tc>
                    <w:tc>
                      <w:tcPr>
                        <w:tcW w:w="1124" w:type="dxa"/>
                        <w:tcBorders>
                          <w:top w:val="single" w:sz="10" w:space="0" w:color="000000"/>
                          <w:left w:val="single" w:sz="7" w:space="0" w:color="D7D7D7"/>
                          <w:bottom w:val="single" w:sz="10" w:space="0" w:color="000000"/>
                          <w:right w:val="single" w:sz="7" w:space="0" w:color="000000"/>
                        </w:tcBorders>
                        <w:shd w:val="clear" w:color="auto" w:fill="92D050"/>
                      </w:tcPr>
                      <w:p>
                        <w:pPr>
                          <w:pStyle w:val="TableParagraph"/>
                          <w:spacing w:line="280" w:lineRule="auto" w:before="127"/>
                          <w:ind w:left="132" w:right="128" w:firstLine="7"/>
                          <w:jc w:val="center"/>
                          <w:rPr>
                            <w:b/>
                            <w:sz w:val="16"/>
                          </w:rPr>
                        </w:pPr>
                        <w:r>
                          <w:rPr>
                            <w:b/>
                            <w:w w:val="75"/>
                            <w:sz w:val="16"/>
                          </w:rPr>
                          <w:t>Finlandia y </w:t>
                        </w:r>
                        <w:r>
                          <w:rPr>
                            <w:b/>
                            <w:w w:val="70"/>
                            <w:sz w:val="16"/>
                          </w:rPr>
                          <w:t>Dinamarca</w:t>
                        </w:r>
                        <w:r>
                          <w:rPr>
                            <w:b/>
                            <w:spacing w:val="-13"/>
                            <w:w w:val="70"/>
                            <w:sz w:val="16"/>
                          </w:rPr>
                          <w:t> </w:t>
                        </w:r>
                        <w:r>
                          <w:rPr>
                            <w:b/>
                            <w:spacing w:val="-3"/>
                            <w:w w:val="70"/>
                            <w:sz w:val="16"/>
                          </w:rPr>
                          <w:t>(100)</w:t>
                        </w:r>
                      </w:p>
                      <w:p>
                        <w:pPr>
                          <w:pStyle w:val="TableParagraph"/>
                          <w:ind w:left="206"/>
                          <w:rPr>
                            <w:b/>
                            <w:sz w:val="16"/>
                          </w:rPr>
                        </w:pPr>
                        <w:r>
                          <w:rPr>
                            <w:b/>
                            <w:w w:val="70"/>
                            <w:sz w:val="16"/>
                          </w:rPr>
                          <w:t>Singapur (99)</w:t>
                        </w:r>
                      </w:p>
                      <w:p>
                        <w:pPr>
                          <w:pStyle w:val="TableParagraph"/>
                          <w:spacing w:line="280" w:lineRule="auto" w:before="30"/>
                          <w:ind w:left="9" w:right="6"/>
                          <w:jc w:val="center"/>
                          <w:rPr>
                            <w:b/>
                            <w:sz w:val="16"/>
                          </w:rPr>
                        </w:pPr>
                        <w:r>
                          <w:rPr>
                            <w:b/>
                            <w:w w:val="75"/>
                            <w:sz w:val="16"/>
                          </w:rPr>
                          <w:t>Suecia (99) </w:t>
                        </w:r>
                        <w:r>
                          <w:rPr>
                            <w:b/>
                            <w:w w:val="70"/>
                            <w:sz w:val="16"/>
                          </w:rPr>
                          <w:t>Alemania y R.U. (92)</w:t>
                        </w:r>
                      </w:p>
                    </w:tc>
                    <w:tc>
                      <w:tcPr>
                        <w:tcW w:w="1256"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rPr>
                            <w:sz w:val="16"/>
                          </w:rPr>
                        </w:pPr>
                      </w:p>
                      <w:p>
                        <w:pPr>
                          <w:pStyle w:val="TableParagraph"/>
                          <w:spacing w:before="9"/>
                          <w:rPr>
                            <w:sz w:val="13"/>
                          </w:rPr>
                        </w:pPr>
                      </w:p>
                      <w:p>
                        <w:pPr>
                          <w:pStyle w:val="TableParagraph"/>
                          <w:ind w:left="264"/>
                          <w:rPr>
                            <w:b/>
                            <w:sz w:val="16"/>
                          </w:rPr>
                        </w:pPr>
                        <w:r>
                          <w:rPr>
                            <w:b/>
                            <w:w w:val="70"/>
                            <w:sz w:val="16"/>
                          </w:rPr>
                          <w:t>Finlandia (98)</w:t>
                        </w:r>
                      </w:p>
                      <w:p>
                        <w:pPr>
                          <w:pStyle w:val="TableParagraph"/>
                          <w:spacing w:line="280" w:lineRule="auto" w:before="30"/>
                          <w:ind w:left="289" w:hanging="58"/>
                          <w:rPr>
                            <w:b/>
                            <w:sz w:val="16"/>
                          </w:rPr>
                        </w:pPr>
                        <w:r>
                          <w:rPr>
                            <w:b/>
                            <w:w w:val="70"/>
                            <w:sz w:val="16"/>
                          </w:rPr>
                          <w:t>N. Zelanda (97) Noruega (97)</w:t>
                        </w:r>
                      </w:p>
                    </w:tc>
                    <w:tc>
                      <w:tcPr>
                        <w:tcW w:w="983"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rPr>
                            <w:sz w:val="21"/>
                          </w:rPr>
                        </w:pPr>
                      </w:p>
                      <w:p>
                        <w:pPr>
                          <w:pStyle w:val="TableParagraph"/>
                          <w:ind w:left="99"/>
                          <w:rPr>
                            <w:b/>
                            <w:sz w:val="16"/>
                          </w:rPr>
                        </w:pPr>
                        <w:r>
                          <w:rPr>
                            <w:b/>
                            <w:w w:val="70"/>
                            <w:sz w:val="16"/>
                          </w:rPr>
                          <w:t>Finlandia (100)</w:t>
                        </w:r>
                      </w:p>
                      <w:p>
                        <w:pPr>
                          <w:pStyle w:val="TableParagraph"/>
                          <w:spacing w:before="30"/>
                          <w:ind w:left="165"/>
                          <w:rPr>
                            <w:b/>
                            <w:sz w:val="16"/>
                          </w:rPr>
                        </w:pPr>
                        <w:r>
                          <w:rPr>
                            <w:b/>
                            <w:w w:val="70"/>
                            <w:sz w:val="16"/>
                          </w:rPr>
                          <w:t>Suecia (100)</w:t>
                        </w:r>
                      </w:p>
                      <w:p>
                        <w:pPr>
                          <w:pStyle w:val="TableParagraph"/>
                          <w:spacing w:before="30"/>
                          <w:ind w:left="90"/>
                          <w:rPr>
                            <w:b/>
                            <w:sz w:val="16"/>
                          </w:rPr>
                        </w:pPr>
                        <w:r>
                          <w:rPr>
                            <w:b/>
                            <w:w w:val="70"/>
                            <w:sz w:val="16"/>
                          </w:rPr>
                          <w:t>Dinamarca (99)</w:t>
                        </w:r>
                      </w:p>
                      <w:p>
                        <w:pPr>
                          <w:pStyle w:val="TableParagraph"/>
                          <w:spacing w:before="31"/>
                          <w:ind w:left="99"/>
                          <w:rPr>
                            <w:b/>
                            <w:sz w:val="16"/>
                          </w:rPr>
                        </w:pPr>
                        <w:r>
                          <w:rPr>
                            <w:b/>
                            <w:w w:val="70"/>
                            <w:sz w:val="16"/>
                          </w:rPr>
                          <w:t>N. Zelanda (99)</w:t>
                        </w:r>
                      </w:p>
                    </w:tc>
                    <w:tc>
                      <w:tcPr>
                        <w:tcW w:w="1281"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spacing w:before="27"/>
                          <w:ind w:left="215"/>
                          <w:rPr>
                            <w:b/>
                            <w:sz w:val="16"/>
                          </w:rPr>
                        </w:pPr>
                        <w:r>
                          <w:rPr>
                            <w:b/>
                            <w:w w:val="70"/>
                            <w:sz w:val="16"/>
                          </w:rPr>
                          <w:t>Dinamarca (100)</w:t>
                        </w:r>
                      </w:p>
                      <w:p>
                        <w:pPr>
                          <w:pStyle w:val="TableParagraph"/>
                          <w:spacing w:line="280" w:lineRule="auto" w:before="31"/>
                          <w:ind w:left="190" w:firstLine="24"/>
                          <w:rPr>
                            <w:b/>
                            <w:sz w:val="16"/>
                          </w:rPr>
                        </w:pPr>
                        <w:r>
                          <w:rPr>
                            <w:b/>
                            <w:w w:val="70"/>
                            <w:sz w:val="16"/>
                          </w:rPr>
                          <w:t>N. Zelanda (100) Luxemburgo (99)</w:t>
                        </w:r>
                      </w:p>
                      <w:p>
                        <w:pPr>
                          <w:pStyle w:val="TableParagraph"/>
                          <w:spacing w:line="280" w:lineRule="auto"/>
                          <w:ind w:left="272" w:firstLine="148"/>
                          <w:rPr>
                            <w:b/>
                            <w:sz w:val="16"/>
                          </w:rPr>
                        </w:pPr>
                        <w:r>
                          <w:rPr>
                            <w:b/>
                            <w:w w:val="75"/>
                            <w:sz w:val="16"/>
                          </w:rPr>
                          <w:t>R.U. (94) </w:t>
                        </w:r>
                        <w:r>
                          <w:rPr>
                            <w:b/>
                            <w:w w:val="70"/>
                            <w:sz w:val="16"/>
                          </w:rPr>
                          <w:t>Alemania (93)</w:t>
                        </w:r>
                      </w:p>
                      <w:p>
                        <w:pPr>
                          <w:pStyle w:val="TableParagraph"/>
                          <w:ind w:left="421"/>
                          <w:rPr>
                            <w:b/>
                            <w:sz w:val="16"/>
                          </w:rPr>
                        </w:pPr>
                        <w:r>
                          <w:rPr>
                            <w:b/>
                            <w:w w:val="70"/>
                            <w:sz w:val="16"/>
                          </w:rPr>
                          <w:t>EUA (92)</w:t>
                        </w:r>
                      </w:p>
                    </w:tc>
                    <w:tc>
                      <w:tcPr>
                        <w:tcW w:w="1264"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spacing w:before="127"/>
                          <w:ind w:left="206" w:right="-4"/>
                          <w:rPr>
                            <w:b/>
                            <w:sz w:val="16"/>
                          </w:rPr>
                        </w:pPr>
                        <w:r>
                          <w:rPr>
                            <w:b/>
                            <w:w w:val="70"/>
                            <w:sz w:val="16"/>
                          </w:rPr>
                          <w:t>Dinamarca (100)</w:t>
                        </w:r>
                      </w:p>
                      <w:p>
                        <w:pPr>
                          <w:pStyle w:val="TableParagraph"/>
                          <w:spacing w:line="280" w:lineRule="auto" w:before="31"/>
                          <w:ind w:left="24" w:right="-4" w:firstLine="198"/>
                          <w:rPr>
                            <w:b/>
                            <w:sz w:val="16"/>
                          </w:rPr>
                        </w:pPr>
                        <w:r>
                          <w:rPr>
                            <w:b/>
                            <w:w w:val="75"/>
                            <w:sz w:val="16"/>
                          </w:rPr>
                          <w:t>N. Zelanda (100) </w:t>
                        </w:r>
                        <w:r>
                          <w:rPr>
                            <w:b/>
                            <w:w w:val="70"/>
                            <w:sz w:val="16"/>
                          </w:rPr>
                          <w:t>Suecia y Finlandia (99)</w:t>
                        </w:r>
                      </w:p>
                      <w:p>
                        <w:pPr>
                          <w:pStyle w:val="TableParagraph"/>
                          <w:ind w:left="264" w:right="-4"/>
                          <w:rPr>
                            <w:b/>
                            <w:sz w:val="16"/>
                          </w:rPr>
                        </w:pPr>
                        <w:r>
                          <w:rPr>
                            <w:b/>
                            <w:w w:val="70"/>
                            <w:sz w:val="16"/>
                          </w:rPr>
                          <w:t>Alemania (93)</w:t>
                        </w:r>
                      </w:p>
                      <w:p>
                        <w:pPr>
                          <w:pStyle w:val="TableParagraph"/>
                          <w:spacing w:before="31"/>
                          <w:ind w:left="413" w:right="-4"/>
                          <w:rPr>
                            <w:b/>
                            <w:sz w:val="16"/>
                          </w:rPr>
                        </w:pPr>
                        <w:r>
                          <w:rPr>
                            <w:b/>
                            <w:w w:val="70"/>
                            <w:sz w:val="16"/>
                          </w:rPr>
                          <w:t>R.U. (91)</w:t>
                        </w:r>
                      </w:p>
                    </w:tc>
                    <w:tc>
                      <w:tcPr>
                        <w:tcW w:w="1405"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rPr>
                            <w:sz w:val="16"/>
                          </w:rPr>
                        </w:pPr>
                      </w:p>
                      <w:p>
                        <w:pPr>
                          <w:pStyle w:val="TableParagraph"/>
                          <w:spacing w:before="9"/>
                          <w:rPr>
                            <w:sz w:val="13"/>
                          </w:rPr>
                        </w:pPr>
                      </w:p>
                      <w:p>
                        <w:pPr>
                          <w:pStyle w:val="TableParagraph"/>
                          <w:spacing w:line="280" w:lineRule="auto"/>
                          <w:ind w:left="33" w:right="22" w:firstLine="8"/>
                          <w:jc w:val="center"/>
                          <w:rPr>
                            <w:b/>
                            <w:sz w:val="16"/>
                          </w:rPr>
                        </w:pPr>
                        <w:r>
                          <w:rPr>
                            <w:b/>
                            <w:w w:val="75"/>
                            <w:sz w:val="16"/>
                          </w:rPr>
                          <w:t>Noruega</w:t>
                        </w:r>
                        <w:r>
                          <w:rPr>
                            <w:b/>
                            <w:spacing w:val="-15"/>
                            <w:w w:val="75"/>
                            <w:sz w:val="16"/>
                          </w:rPr>
                          <w:t> </w:t>
                        </w:r>
                        <w:r>
                          <w:rPr>
                            <w:b/>
                            <w:w w:val="75"/>
                            <w:sz w:val="16"/>
                          </w:rPr>
                          <w:t>y</w:t>
                        </w:r>
                        <w:r>
                          <w:rPr>
                            <w:b/>
                            <w:spacing w:val="-19"/>
                            <w:w w:val="75"/>
                            <w:sz w:val="16"/>
                          </w:rPr>
                          <w:t> </w:t>
                        </w:r>
                        <w:r>
                          <w:rPr>
                            <w:b/>
                            <w:w w:val="75"/>
                            <w:sz w:val="16"/>
                          </w:rPr>
                          <w:t>Suiza</w:t>
                        </w:r>
                        <w:r>
                          <w:rPr>
                            <w:b/>
                            <w:spacing w:val="-15"/>
                            <w:w w:val="75"/>
                            <w:sz w:val="16"/>
                          </w:rPr>
                          <w:t> </w:t>
                        </w:r>
                        <w:r>
                          <w:rPr>
                            <w:b/>
                            <w:spacing w:val="-3"/>
                            <w:w w:val="75"/>
                            <w:sz w:val="16"/>
                          </w:rPr>
                          <w:t>(100) </w:t>
                        </w:r>
                        <w:r>
                          <w:rPr>
                            <w:b/>
                            <w:w w:val="70"/>
                            <w:sz w:val="16"/>
                          </w:rPr>
                          <w:t>Dinamarca y Sucecia</w:t>
                        </w:r>
                        <w:r>
                          <w:rPr>
                            <w:b/>
                            <w:spacing w:val="-15"/>
                            <w:w w:val="70"/>
                            <w:sz w:val="16"/>
                          </w:rPr>
                          <w:t> </w:t>
                        </w:r>
                        <w:r>
                          <w:rPr>
                            <w:b/>
                            <w:spacing w:val="-3"/>
                            <w:w w:val="70"/>
                            <w:sz w:val="16"/>
                          </w:rPr>
                          <w:t>(99) </w:t>
                        </w:r>
                        <w:r>
                          <w:rPr>
                            <w:b/>
                            <w:spacing w:val="2"/>
                            <w:w w:val="70"/>
                            <w:sz w:val="16"/>
                          </w:rPr>
                          <w:t>Alemania</w:t>
                        </w:r>
                        <w:r>
                          <w:rPr>
                            <w:b/>
                            <w:spacing w:val="-8"/>
                            <w:w w:val="70"/>
                            <w:sz w:val="16"/>
                          </w:rPr>
                          <w:t> </w:t>
                        </w:r>
                        <w:r>
                          <w:rPr>
                            <w:b/>
                            <w:w w:val="70"/>
                            <w:sz w:val="16"/>
                          </w:rPr>
                          <w:t>y</w:t>
                        </w:r>
                        <w:r>
                          <w:rPr>
                            <w:b/>
                            <w:spacing w:val="-13"/>
                            <w:w w:val="70"/>
                            <w:sz w:val="16"/>
                          </w:rPr>
                          <w:t> </w:t>
                        </w:r>
                        <w:r>
                          <w:rPr>
                            <w:b/>
                            <w:w w:val="70"/>
                            <w:sz w:val="16"/>
                          </w:rPr>
                          <w:t>R.U.</w:t>
                        </w:r>
                        <w:r>
                          <w:rPr>
                            <w:b/>
                            <w:spacing w:val="-10"/>
                            <w:w w:val="70"/>
                            <w:sz w:val="16"/>
                          </w:rPr>
                          <w:t> </w:t>
                        </w:r>
                        <w:r>
                          <w:rPr>
                            <w:b/>
                            <w:spacing w:val="-3"/>
                            <w:w w:val="70"/>
                            <w:sz w:val="16"/>
                          </w:rPr>
                          <w:t>(92)</w:t>
                        </w:r>
                      </w:p>
                    </w:tc>
                  </w:tr>
                  <w:tr>
                    <w:trPr>
                      <w:trHeight w:val="821"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3"/>
                          <w:rPr>
                            <w:sz w:val="24"/>
                          </w:rPr>
                        </w:pPr>
                      </w:p>
                      <w:p>
                        <w:pPr>
                          <w:pStyle w:val="TableParagraph"/>
                          <w:ind w:left="115"/>
                          <w:rPr>
                            <w:b/>
                            <w:sz w:val="20"/>
                          </w:rPr>
                        </w:pPr>
                        <w:r>
                          <w:rPr>
                            <w:b/>
                            <w:color w:val="FFFFFF"/>
                            <w:w w:val="70"/>
                            <w:sz w:val="20"/>
                          </w:rPr>
                          <w:t>81 a 90</w:t>
                        </w:r>
                      </w:p>
                    </w:tc>
                    <w:tc>
                      <w:tcPr>
                        <w:tcW w:w="1124" w:type="dxa"/>
                        <w:tcBorders>
                          <w:top w:val="single" w:sz="10" w:space="0" w:color="000000"/>
                          <w:left w:val="single" w:sz="7" w:space="0" w:color="D7D7D7"/>
                          <w:bottom w:val="single" w:sz="10" w:space="0" w:color="000000"/>
                          <w:right w:val="single" w:sz="7" w:space="0" w:color="000000"/>
                        </w:tcBorders>
                        <w:shd w:val="clear" w:color="auto" w:fill="FFC000"/>
                      </w:tcPr>
                      <w:p>
                        <w:pPr>
                          <w:pStyle w:val="TableParagraph"/>
                          <w:spacing w:before="3"/>
                          <w:rPr>
                            <w:sz w:val="24"/>
                          </w:rPr>
                        </w:pPr>
                      </w:p>
                      <w:p>
                        <w:pPr>
                          <w:pStyle w:val="TableParagraph"/>
                          <w:ind w:left="181"/>
                          <w:rPr>
                            <w:b/>
                            <w:sz w:val="20"/>
                          </w:rPr>
                        </w:pPr>
                        <w:r>
                          <w:rPr>
                            <w:b/>
                            <w:w w:val="65"/>
                            <w:sz w:val="20"/>
                          </w:rPr>
                          <w:t>España (82)</w:t>
                        </w:r>
                      </w:p>
                    </w:tc>
                    <w:tc>
                      <w:tcPr>
                        <w:tcW w:w="1256" w:type="dxa"/>
                        <w:tcBorders>
                          <w:top w:val="single" w:sz="10" w:space="0" w:color="000000"/>
                          <w:left w:val="single" w:sz="7" w:space="0" w:color="000000"/>
                          <w:bottom w:val="single" w:sz="10" w:space="0" w:color="000000"/>
                          <w:right w:val="single" w:sz="7" w:space="0" w:color="000000"/>
                        </w:tcBorders>
                      </w:tcPr>
                      <w:p>
                        <w:pPr/>
                      </w:p>
                    </w:tc>
                    <w:tc>
                      <w:tcPr>
                        <w:tcW w:w="983"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line="276" w:lineRule="auto" w:before="14"/>
                          <w:ind w:left="65" w:right="36" w:firstLine="173"/>
                          <w:rPr>
                            <w:b/>
                            <w:sz w:val="20"/>
                          </w:rPr>
                        </w:pPr>
                        <w:r>
                          <w:rPr>
                            <w:b/>
                            <w:w w:val="75"/>
                            <w:sz w:val="20"/>
                          </w:rPr>
                          <w:t>R.U. (92) </w:t>
                        </w:r>
                        <w:r>
                          <w:rPr>
                            <w:b/>
                            <w:w w:val="65"/>
                            <w:sz w:val="20"/>
                          </w:rPr>
                          <w:t>Alemania (92)</w:t>
                        </w:r>
                      </w:p>
                      <w:p>
                        <w:pPr>
                          <w:pStyle w:val="TableParagraph"/>
                          <w:spacing w:before="1"/>
                          <w:ind w:left="214" w:right="155"/>
                          <w:rPr>
                            <w:b/>
                            <w:sz w:val="20"/>
                          </w:rPr>
                        </w:pPr>
                        <w:r>
                          <w:rPr>
                            <w:b/>
                            <w:w w:val="65"/>
                            <w:sz w:val="20"/>
                          </w:rPr>
                          <w:t>EUA (91)</w:t>
                        </w:r>
                      </w:p>
                    </w:tc>
                    <w:tc>
                      <w:tcPr>
                        <w:tcW w:w="1281"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3"/>
                          <w:rPr>
                            <w:sz w:val="24"/>
                          </w:rPr>
                        </w:pPr>
                      </w:p>
                      <w:p>
                        <w:pPr>
                          <w:pStyle w:val="TableParagraph"/>
                          <w:ind w:left="264"/>
                          <w:rPr>
                            <w:b/>
                            <w:sz w:val="20"/>
                          </w:rPr>
                        </w:pPr>
                        <w:r>
                          <w:rPr>
                            <w:b/>
                            <w:w w:val="65"/>
                            <w:sz w:val="20"/>
                          </w:rPr>
                          <w:t>España (82)</w:t>
                        </w:r>
                      </w:p>
                    </w:tc>
                    <w:tc>
                      <w:tcPr>
                        <w:tcW w:w="1264"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3"/>
                          <w:rPr>
                            <w:sz w:val="24"/>
                          </w:rPr>
                        </w:pPr>
                      </w:p>
                      <w:p>
                        <w:pPr>
                          <w:pStyle w:val="TableParagraph"/>
                          <w:ind w:left="243" w:right="235"/>
                          <w:jc w:val="center"/>
                          <w:rPr>
                            <w:b/>
                            <w:sz w:val="20"/>
                          </w:rPr>
                        </w:pPr>
                        <w:r>
                          <w:rPr>
                            <w:b/>
                            <w:w w:val="65"/>
                            <w:sz w:val="20"/>
                          </w:rPr>
                          <w:t>España (81)</w:t>
                        </w:r>
                      </w:p>
                    </w:tc>
                    <w:tc>
                      <w:tcPr>
                        <w:tcW w:w="1405"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153"/>
                          <w:ind w:left="421" w:right="141"/>
                          <w:rPr>
                            <w:b/>
                            <w:sz w:val="20"/>
                          </w:rPr>
                        </w:pPr>
                        <w:r>
                          <w:rPr>
                            <w:b/>
                            <w:w w:val="65"/>
                            <w:sz w:val="20"/>
                          </w:rPr>
                          <w:t>EUA (86)</w:t>
                        </w:r>
                      </w:p>
                      <w:p>
                        <w:pPr>
                          <w:pStyle w:val="TableParagraph"/>
                          <w:spacing w:before="35"/>
                          <w:ind w:left="322" w:right="141"/>
                          <w:rPr>
                            <w:b/>
                            <w:sz w:val="20"/>
                          </w:rPr>
                        </w:pPr>
                        <w:r>
                          <w:rPr>
                            <w:b/>
                            <w:w w:val="65"/>
                            <w:sz w:val="20"/>
                          </w:rPr>
                          <w:t>España (84)</w:t>
                        </w:r>
                      </w:p>
                    </w:tc>
                  </w:tr>
                  <w:tr>
                    <w:trPr>
                      <w:trHeight w:val="795"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2"/>
                          <w:rPr>
                            <w:sz w:val="23"/>
                          </w:rPr>
                        </w:pPr>
                      </w:p>
                      <w:p>
                        <w:pPr>
                          <w:pStyle w:val="TableParagraph"/>
                          <w:ind w:left="132"/>
                          <w:rPr>
                            <w:b/>
                            <w:sz w:val="20"/>
                          </w:rPr>
                        </w:pPr>
                        <w:r>
                          <w:rPr>
                            <w:b/>
                            <w:color w:val="FFFFFF"/>
                            <w:w w:val="70"/>
                            <w:sz w:val="20"/>
                          </w:rPr>
                          <w:t>71 a 80</w:t>
                        </w:r>
                      </w:p>
                    </w:tc>
                    <w:tc>
                      <w:tcPr>
                        <w:tcW w:w="1124" w:type="dxa"/>
                        <w:tcBorders>
                          <w:top w:val="single" w:sz="10" w:space="0" w:color="000000"/>
                          <w:left w:val="single" w:sz="7" w:space="0" w:color="D7D7D7"/>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2"/>
                          <w:rPr>
                            <w:sz w:val="23"/>
                          </w:rPr>
                        </w:pPr>
                      </w:p>
                      <w:p>
                        <w:pPr>
                          <w:pStyle w:val="TableParagraph"/>
                          <w:ind w:left="177" w:right="177"/>
                          <w:jc w:val="center"/>
                          <w:rPr>
                            <w:b/>
                            <w:sz w:val="20"/>
                          </w:rPr>
                        </w:pPr>
                        <w:r>
                          <w:rPr>
                            <w:b/>
                            <w:w w:val="65"/>
                            <w:sz w:val="20"/>
                          </w:rPr>
                          <w:t>Alemania (73)</w:t>
                        </w:r>
                      </w:p>
                    </w:tc>
                    <w:tc>
                      <w:tcPr>
                        <w:tcW w:w="983" w:type="dxa"/>
                        <w:tcBorders>
                          <w:top w:val="single" w:sz="10" w:space="0" w:color="000000"/>
                          <w:left w:val="single" w:sz="7" w:space="0" w:color="000000"/>
                          <w:bottom w:val="single" w:sz="10" w:space="0" w:color="000000"/>
                          <w:right w:val="single" w:sz="7" w:space="0" w:color="000000"/>
                        </w:tcBorders>
                      </w:tcPr>
                      <w:p>
                        <w:pPr/>
                      </w:p>
                    </w:tc>
                    <w:tc>
                      <w:tcPr>
                        <w:tcW w:w="1281" w:type="dxa"/>
                        <w:tcBorders>
                          <w:top w:val="single" w:sz="10" w:space="0" w:color="000000"/>
                          <w:left w:val="single" w:sz="7" w:space="0" w:color="000000"/>
                          <w:bottom w:val="single" w:sz="10" w:space="0" w:color="000000"/>
                          <w:right w:val="single" w:sz="7" w:space="0" w:color="000000"/>
                        </w:tcBorders>
                      </w:tcPr>
                      <w:p>
                        <w:pPr/>
                      </w:p>
                    </w:tc>
                    <w:tc>
                      <w:tcPr>
                        <w:tcW w:w="1264"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796" w:hRule="exact"/>
                    </w:trPr>
                    <w:tc>
                      <w:tcPr>
                        <w:tcW w:w="669" w:type="dxa"/>
                        <w:tcBorders>
                          <w:top w:val="single" w:sz="10" w:space="0" w:color="D7D7D7"/>
                          <w:bottom w:val="single" w:sz="10" w:space="0" w:color="D7D7D7"/>
                        </w:tcBorders>
                        <w:shd w:val="clear" w:color="auto" w:fill="000000"/>
                      </w:tcPr>
                      <w:p>
                        <w:pPr>
                          <w:pStyle w:val="TableParagraph"/>
                          <w:spacing w:before="2"/>
                          <w:rPr>
                            <w:sz w:val="23"/>
                          </w:rPr>
                        </w:pPr>
                      </w:p>
                      <w:p>
                        <w:pPr>
                          <w:pStyle w:val="TableParagraph"/>
                          <w:ind w:left="115"/>
                          <w:rPr>
                            <w:b/>
                            <w:sz w:val="20"/>
                          </w:rPr>
                        </w:pPr>
                        <w:r>
                          <w:rPr>
                            <w:b/>
                            <w:color w:val="FFFFFF"/>
                            <w:w w:val="70"/>
                            <w:sz w:val="20"/>
                          </w:rPr>
                          <w:t>61 a 70</w:t>
                        </w:r>
                      </w:p>
                    </w:tc>
                    <w:tc>
                      <w:tcPr>
                        <w:tcW w:w="1124"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ind w:left="198"/>
                          <w:rPr>
                            <w:b/>
                            <w:sz w:val="20"/>
                          </w:rPr>
                        </w:pPr>
                        <w:r>
                          <w:rPr>
                            <w:b/>
                            <w:w w:val="65"/>
                            <w:sz w:val="20"/>
                          </w:rPr>
                          <w:t>México (64)</w:t>
                        </w:r>
                      </w:p>
                    </w:tc>
                    <w:tc>
                      <w:tcPr>
                        <w:tcW w:w="1256"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2"/>
                          <w:rPr>
                            <w:sz w:val="23"/>
                          </w:rPr>
                        </w:pPr>
                      </w:p>
                      <w:p>
                        <w:pPr>
                          <w:pStyle w:val="TableParagraph"/>
                          <w:ind w:left="177" w:right="176"/>
                          <w:jc w:val="center"/>
                          <w:rPr>
                            <w:b/>
                            <w:sz w:val="20"/>
                          </w:rPr>
                        </w:pPr>
                        <w:r>
                          <w:rPr>
                            <w:b/>
                            <w:w w:val="65"/>
                            <w:sz w:val="20"/>
                          </w:rPr>
                          <w:t>EUA (64)</w:t>
                        </w:r>
                      </w:p>
                    </w:tc>
                    <w:tc>
                      <w:tcPr>
                        <w:tcW w:w="983" w:type="dxa"/>
                        <w:tcBorders>
                          <w:top w:val="single" w:sz="10" w:space="0" w:color="000000"/>
                          <w:left w:val="single" w:sz="7" w:space="0" w:color="000000"/>
                          <w:bottom w:val="single" w:sz="10" w:space="0" w:color="000000"/>
                          <w:right w:val="single" w:sz="7" w:space="0" w:color="000000"/>
                        </w:tcBorders>
                      </w:tcPr>
                      <w:p>
                        <w:pPr/>
                      </w:p>
                    </w:tc>
                    <w:tc>
                      <w:tcPr>
                        <w:tcW w:w="1281"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ind w:left="280"/>
                          <w:rPr>
                            <w:b/>
                            <w:sz w:val="20"/>
                          </w:rPr>
                        </w:pPr>
                        <w:r>
                          <w:rPr>
                            <w:b/>
                            <w:w w:val="65"/>
                            <w:sz w:val="20"/>
                          </w:rPr>
                          <w:t>México (61)</w:t>
                        </w:r>
                      </w:p>
                    </w:tc>
                    <w:tc>
                      <w:tcPr>
                        <w:tcW w:w="1264"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796"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2"/>
                          <w:rPr>
                            <w:sz w:val="23"/>
                          </w:rPr>
                        </w:pPr>
                      </w:p>
                      <w:p>
                        <w:pPr>
                          <w:pStyle w:val="TableParagraph"/>
                          <w:ind w:left="115"/>
                          <w:rPr>
                            <w:b/>
                            <w:sz w:val="20"/>
                          </w:rPr>
                        </w:pPr>
                        <w:r>
                          <w:rPr>
                            <w:b/>
                            <w:color w:val="FFFFFF"/>
                            <w:w w:val="70"/>
                            <w:sz w:val="20"/>
                          </w:rPr>
                          <w:t>51 a 60</w:t>
                        </w:r>
                      </w:p>
                    </w:tc>
                    <w:tc>
                      <w:tcPr>
                        <w:tcW w:w="1124" w:type="dxa"/>
                        <w:tcBorders>
                          <w:top w:val="single" w:sz="10" w:space="0" w:color="000000"/>
                          <w:left w:val="single" w:sz="7" w:space="0" w:color="D7D7D7"/>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line="276" w:lineRule="auto" w:before="140"/>
                          <w:ind w:left="247" w:right="242" w:firstLine="107"/>
                          <w:rPr>
                            <w:b/>
                            <w:sz w:val="20"/>
                          </w:rPr>
                        </w:pPr>
                        <w:r>
                          <w:rPr>
                            <w:b/>
                            <w:w w:val="75"/>
                            <w:sz w:val="20"/>
                          </w:rPr>
                          <w:t>R.U. (60) </w:t>
                        </w:r>
                        <w:r>
                          <w:rPr>
                            <w:b/>
                            <w:w w:val="65"/>
                            <w:sz w:val="20"/>
                          </w:rPr>
                          <w:t>España (51)</w:t>
                        </w:r>
                      </w:p>
                    </w:tc>
                    <w:tc>
                      <w:tcPr>
                        <w:tcW w:w="983" w:type="dxa"/>
                        <w:tcBorders>
                          <w:top w:val="single" w:sz="10" w:space="0" w:color="000000"/>
                          <w:left w:val="single" w:sz="7" w:space="0" w:color="000000"/>
                          <w:bottom w:val="single" w:sz="10" w:space="0" w:color="000000"/>
                          <w:right w:val="single" w:sz="7" w:space="0" w:color="000000"/>
                        </w:tcBorders>
                      </w:tcPr>
                      <w:p>
                        <w:pPr/>
                      </w:p>
                    </w:tc>
                    <w:tc>
                      <w:tcPr>
                        <w:tcW w:w="1281" w:type="dxa"/>
                        <w:tcBorders>
                          <w:top w:val="single" w:sz="10" w:space="0" w:color="000000"/>
                          <w:left w:val="single" w:sz="7" w:space="0" w:color="000000"/>
                          <w:bottom w:val="single" w:sz="10" w:space="0" w:color="000000"/>
                          <w:right w:val="single" w:sz="7" w:space="0" w:color="000000"/>
                        </w:tcBorders>
                      </w:tcPr>
                      <w:p>
                        <w:pPr/>
                      </w:p>
                    </w:tc>
                    <w:tc>
                      <w:tcPr>
                        <w:tcW w:w="1264"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ind w:left="338" w:right="141"/>
                          <w:rPr>
                            <w:b/>
                            <w:sz w:val="20"/>
                          </w:rPr>
                        </w:pPr>
                        <w:r>
                          <w:rPr>
                            <w:b/>
                            <w:w w:val="65"/>
                            <w:sz w:val="20"/>
                          </w:rPr>
                          <w:t>México (54)</w:t>
                        </w:r>
                      </w:p>
                    </w:tc>
                  </w:tr>
                  <w:tr>
                    <w:trPr>
                      <w:trHeight w:val="795" w:hRule="exact"/>
                    </w:trPr>
                    <w:tc>
                      <w:tcPr>
                        <w:tcW w:w="669" w:type="dxa"/>
                        <w:tcBorders>
                          <w:top w:val="single" w:sz="10" w:space="0" w:color="D7D7D7"/>
                          <w:bottom w:val="single" w:sz="10" w:space="0" w:color="D7D7D7"/>
                        </w:tcBorders>
                        <w:shd w:val="clear" w:color="auto" w:fill="000000"/>
                      </w:tcPr>
                      <w:p>
                        <w:pPr>
                          <w:pStyle w:val="TableParagraph"/>
                          <w:spacing w:before="2"/>
                          <w:rPr>
                            <w:sz w:val="23"/>
                          </w:rPr>
                        </w:pPr>
                      </w:p>
                      <w:p>
                        <w:pPr>
                          <w:pStyle w:val="TableParagraph"/>
                          <w:ind w:left="115"/>
                          <w:rPr>
                            <w:b/>
                            <w:sz w:val="20"/>
                          </w:rPr>
                        </w:pPr>
                        <w:r>
                          <w:rPr>
                            <w:b/>
                            <w:color w:val="FFFFFF"/>
                            <w:w w:val="70"/>
                            <w:sz w:val="20"/>
                          </w:rPr>
                          <w:t>41 a 50</w:t>
                        </w:r>
                      </w:p>
                    </w:tc>
                    <w:tc>
                      <w:tcPr>
                        <w:tcW w:w="1124" w:type="dxa"/>
                        <w:tcBorders>
                          <w:top w:val="single" w:sz="10" w:space="0" w:color="000000"/>
                          <w:left w:val="single" w:sz="7" w:space="0" w:color="000000"/>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tcPr>
                      <w:p>
                        <w:pPr/>
                      </w:p>
                    </w:tc>
                    <w:tc>
                      <w:tcPr>
                        <w:tcW w:w="983" w:type="dxa"/>
                        <w:tcBorders>
                          <w:top w:val="single" w:sz="10" w:space="0" w:color="000000"/>
                          <w:left w:val="single" w:sz="7" w:space="0" w:color="000000"/>
                          <w:bottom w:val="single" w:sz="10" w:space="0" w:color="000000"/>
                          <w:right w:val="single" w:sz="7" w:space="0" w:color="000000"/>
                        </w:tcBorders>
                      </w:tcPr>
                      <w:p>
                        <w:pPr/>
                      </w:p>
                    </w:tc>
                    <w:tc>
                      <w:tcPr>
                        <w:tcW w:w="1281" w:type="dxa"/>
                        <w:tcBorders>
                          <w:top w:val="single" w:sz="10" w:space="0" w:color="000000"/>
                          <w:left w:val="single" w:sz="7" w:space="0" w:color="000000"/>
                          <w:bottom w:val="single" w:sz="10" w:space="0" w:color="000000"/>
                          <w:right w:val="single" w:sz="7" w:space="0" w:color="000000"/>
                        </w:tcBorders>
                      </w:tcPr>
                      <w:p>
                        <w:pPr/>
                      </w:p>
                    </w:tc>
                    <w:tc>
                      <w:tcPr>
                        <w:tcW w:w="1264"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ind w:left="243" w:right="234"/>
                          <w:jc w:val="center"/>
                          <w:rPr>
                            <w:b/>
                            <w:sz w:val="20"/>
                          </w:rPr>
                        </w:pPr>
                        <w:r>
                          <w:rPr>
                            <w:b/>
                            <w:w w:val="65"/>
                            <w:sz w:val="20"/>
                          </w:rPr>
                          <w:t>México (45)</w:t>
                        </w: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796"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2"/>
                          <w:rPr>
                            <w:sz w:val="23"/>
                          </w:rPr>
                        </w:pPr>
                      </w:p>
                      <w:p>
                        <w:pPr>
                          <w:pStyle w:val="TableParagraph"/>
                          <w:ind w:left="115"/>
                          <w:rPr>
                            <w:b/>
                            <w:sz w:val="20"/>
                          </w:rPr>
                        </w:pPr>
                        <w:r>
                          <w:rPr>
                            <w:b/>
                            <w:color w:val="FFFFFF"/>
                            <w:w w:val="70"/>
                            <w:sz w:val="20"/>
                          </w:rPr>
                          <w:t>31 a 40</w:t>
                        </w:r>
                      </w:p>
                    </w:tc>
                    <w:tc>
                      <w:tcPr>
                        <w:tcW w:w="1124" w:type="dxa"/>
                        <w:tcBorders>
                          <w:top w:val="single" w:sz="10" w:space="0" w:color="000000"/>
                          <w:left w:val="single" w:sz="7" w:space="0" w:color="D7D7D7"/>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tcPr>
                      <w:p>
                        <w:pPr/>
                      </w:p>
                    </w:tc>
                    <w:tc>
                      <w:tcPr>
                        <w:tcW w:w="983" w:type="dxa"/>
                        <w:tcBorders>
                          <w:top w:val="single" w:sz="10" w:space="0" w:color="000000"/>
                          <w:left w:val="single" w:sz="7" w:space="0" w:color="000000"/>
                          <w:bottom w:val="single" w:sz="10" w:space="0" w:color="000000"/>
                          <w:right w:val="single" w:sz="7" w:space="0" w:color="000000"/>
                        </w:tcBorders>
                      </w:tcPr>
                      <w:p>
                        <w:pPr/>
                      </w:p>
                    </w:tc>
                    <w:tc>
                      <w:tcPr>
                        <w:tcW w:w="1281" w:type="dxa"/>
                        <w:tcBorders>
                          <w:top w:val="single" w:sz="10" w:space="0" w:color="000000"/>
                          <w:left w:val="single" w:sz="7" w:space="0" w:color="000000"/>
                          <w:bottom w:val="single" w:sz="10" w:space="0" w:color="000000"/>
                          <w:right w:val="single" w:sz="7" w:space="0" w:color="000000"/>
                        </w:tcBorders>
                      </w:tcPr>
                      <w:p>
                        <w:pPr/>
                      </w:p>
                    </w:tc>
                    <w:tc>
                      <w:tcPr>
                        <w:tcW w:w="1264"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796"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2"/>
                          <w:rPr>
                            <w:sz w:val="23"/>
                          </w:rPr>
                        </w:pPr>
                      </w:p>
                      <w:p>
                        <w:pPr>
                          <w:pStyle w:val="TableParagraph"/>
                          <w:ind w:left="115"/>
                          <w:rPr>
                            <w:b/>
                            <w:sz w:val="20"/>
                          </w:rPr>
                        </w:pPr>
                        <w:r>
                          <w:rPr>
                            <w:b/>
                            <w:color w:val="FFFFFF"/>
                            <w:w w:val="70"/>
                            <w:sz w:val="20"/>
                          </w:rPr>
                          <w:t>21 a 30</w:t>
                        </w:r>
                      </w:p>
                    </w:tc>
                    <w:tc>
                      <w:tcPr>
                        <w:tcW w:w="1124" w:type="dxa"/>
                        <w:tcBorders>
                          <w:top w:val="single" w:sz="10" w:space="0" w:color="000000"/>
                          <w:left w:val="single" w:sz="7" w:space="0" w:color="D7D7D7"/>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ind w:left="177" w:right="176"/>
                          <w:jc w:val="center"/>
                          <w:rPr>
                            <w:b/>
                            <w:sz w:val="20"/>
                          </w:rPr>
                        </w:pPr>
                        <w:r>
                          <w:rPr>
                            <w:b/>
                            <w:w w:val="65"/>
                            <w:sz w:val="20"/>
                          </w:rPr>
                          <w:t>México (25)</w:t>
                        </w:r>
                      </w:p>
                    </w:tc>
                    <w:tc>
                      <w:tcPr>
                        <w:tcW w:w="983"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ind w:left="132"/>
                          <w:rPr>
                            <w:b/>
                            <w:sz w:val="20"/>
                          </w:rPr>
                        </w:pPr>
                        <w:r>
                          <w:rPr>
                            <w:b/>
                            <w:w w:val="65"/>
                            <w:sz w:val="20"/>
                          </w:rPr>
                          <w:t>México (39)</w:t>
                        </w:r>
                      </w:p>
                    </w:tc>
                    <w:tc>
                      <w:tcPr>
                        <w:tcW w:w="1281" w:type="dxa"/>
                        <w:tcBorders>
                          <w:top w:val="single" w:sz="10" w:space="0" w:color="000000"/>
                          <w:left w:val="single" w:sz="7" w:space="0" w:color="000000"/>
                          <w:bottom w:val="single" w:sz="10" w:space="0" w:color="000000"/>
                          <w:right w:val="single" w:sz="7" w:space="0" w:color="000000"/>
                        </w:tcBorders>
                      </w:tcPr>
                      <w:p>
                        <w:pPr/>
                      </w:p>
                    </w:tc>
                    <w:tc>
                      <w:tcPr>
                        <w:tcW w:w="1264"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834" w:hRule="exact"/>
                    </w:trPr>
                    <w:tc>
                      <w:tcPr>
                        <w:tcW w:w="669" w:type="dxa"/>
                        <w:tcBorders>
                          <w:top w:val="single" w:sz="10" w:space="0" w:color="D7D7D7"/>
                          <w:right w:val="single" w:sz="7" w:space="0" w:color="D7D7D7"/>
                        </w:tcBorders>
                        <w:shd w:val="clear" w:color="auto" w:fill="000000"/>
                      </w:tcPr>
                      <w:p>
                        <w:pPr>
                          <w:pStyle w:val="TableParagraph"/>
                          <w:spacing w:before="3"/>
                          <w:rPr>
                            <w:sz w:val="24"/>
                          </w:rPr>
                        </w:pPr>
                      </w:p>
                      <w:p>
                        <w:pPr>
                          <w:pStyle w:val="TableParagraph"/>
                          <w:ind w:left="115"/>
                          <w:rPr>
                            <w:b/>
                            <w:sz w:val="20"/>
                          </w:rPr>
                        </w:pPr>
                        <w:r>
                          <w:rPr>
                            <w:b/>
                            <w:color w:val="FFFFFF"/>
                            <w:w w:val="70"/>
                            <w:sz w:val="20"/>
                          </w:rPr>
                          <w:t>11 a 20</w:t>
                        </w:r>
                      </w:p>
                    </w:tc>
                    <w:tc>
                      <w:tcPr>
                        <w:tcW w:w="1124" w:type="dxa"/>
                        <w:tcBorders>
                          <w:top w:val="single" w:sz="10" w:space="0" w:color="000000"/>
                          <w:left w:val="single" w:sz="7" w:space="0" w:color="D7D7D7"/>
                          <w:right w:val="single" w:sz="7" w:space="0" w:color="000000"/>
                        </w:tcBorders>
                      </w:tcPr>
                      <w:p>
                        <w:pPr/>
                      </w:p>
                    </w:tc>
                    <w:tc>
                      <w:tcPr>
                        <w:tcW w:w="1256" w:type="dxa"/>
                        <w:tcBorders>
                          <w:top w:val="single" w:sz="10" w:space="0" w:color="000000"/>
                          <w:left w:val="single" w:sz="7" w:space="0" w:color="000000"/>
                          <w:right w:val="single" w:sz="7" w:space="0" w:color="000000"/>
                        </w:tcBorders>
                      </w:tcPr>
                      <w:p>
                        <w:pPr/>
                      </w:p>
                    </w:tc>
                    <w:tc>
                      <w:tcPr>
                        <w:tcW w:w="983" w:type="dxa"/>
                        <w:tcBorders>
                          <w:top w:val="single" w:sz="10" w:space="0" w:color="000000"/>
                          <w:left w:val="single" w:sz="7" w:space="0" w:color="000000"/>
                          <w:right w:val="single" w:sz="7" w:space="0" w:color="000000"/>
                        </w:tcBorders>
                      </w:tcPr>
                      <w:p>
                        <w:pPr/>
                      </w:p>
                    </w:tc>
                    <w:tc>
                      <w:tcPr>
                        <w:tcW w:w="1281" w:type="dxa"/>
                        <w:tcBorders>
                          <w:top w:val="single" w:sz="10" w:space="0" w:color="000000"/>
                          <w:left w:val="single" w:sz="7" w:space="0" w:color="000000"/>
                          <w:right w:val="single" w:sz="7" w:space="0" w:color="000000"/>
                        </w:tcBorders>
                      </w:tcPr>
                      <w:p>
                        <w:pPr/>
                      </w:p>
                    </w:tc>
                    <w:tc>
                      <w:tcPr>
                        <w:tcW w:w="1264" w:type="dxa"/>
                        <w:tcBorders>
                          <w:top w:val="single" w:sz="10" w:space="0" w:color="000000"/>
                          <w:left w:val="single" w:sz="7" w:space="0" w:color="000000"/>
                          <w:right w:val="single" w:sz="7" w:space="0" w:color="000000"/>
                        </w:tcBorders>
                      </w:tcPr>
                      <w:p>
                        <w:pPr/>
                      </w:p>
                    </w:tc>
                    <w:tc>
                      <w:tcPr>
                        <w:tcW w:w="1405" w:type="dxa"/>
                        <w:tcBorders>
                          <w:top w:val="single" w:sz="10" w:space="0" w:color="000000"/>
                          <w:left w:val="single" w:sz="7" w:space="0" w:color="000000"/>
                          <w:right w:val="single" w:sz="7" w:space="0" w:color="000000"/>
                        </w:tcBorders>
                      </w:tcPr>
                      <w:p>
                        <w:pPr/>
                      </w:p>
                    </w:tc>
                  </w:tr>
                </w:tbl>
                <w:p>
                  <w:pPr>
                    <w:pStyle w:val="BodyText"/>
                  </w:pPr>
                </w:p>
              </w:txbxContent>
            </v:textbox>
            <w10:wrap type="none"/>
          </v:shape>
        </w:pict>
      </w:r>
      <w:r>
        <w:rPr>
          <w:b/>
          <w:w w:val="75"/>
          <w:sz w:val="20"/>
        </w:rPr>
        <w:t>100</w:t>
      </w:r>
    </w:p>
    <w:p>
      <w:pPr>
        <w:pStyle w:val="BodyText"/>
        <w:rPr>
          <w:b/>
          <w:sz w:val="20"/>
        </w:rPr>
      </w:pPr>
    </w:p>
    <w:p>
      <w:pPr>
        <w:pStyle w:val="BodyText"/>
        <w:rPr>
          <w:b/>
          <w:sz w:val="20"/>
        </w:rPr>
      </w:pPr>
    </w:p>
    <w:p>
      <w:pPr>
        <w:spacing w:before="116" w:after="8"/>
        <w:ind w:left="519" w:right="0" w:firstLine="0"/>
        <w:jc w:val="left"/>
        <w:rPr>
          <w:b/>
          <w:sz w:val="20"/>
        </w:rPr>
      </w:pPr>
      <w:r>
        <w:rPr/>
        <w:pict>
          <v:group style="position:absolute;margin-left:86.531418pt;margin-top:-22.289516pt;width:.45pt;height:13.1pt;mso-position-horizontal-relative:page;mso-position-vertical-relative:paragraph;z-index:3640" coordorigin="1731,-446" coordsize="9,262">
            <v:line style="position:absolute" from="1735,-435" to="1735,-195" stroked="true" strokeweight=".412842pt" strokecolor="#dadcdd"/>
            <v:line style="position:absolute" from="1735,-441" to="1735,-189" stroked="true" strokeweight=".412838pt" strokecolor="#dadcdd"/>
            <w10:wrap type="none"/>
          </v:group>
        </w:pict>
      </w:r>
      <w:r>
        <w:rPr>
          <w:b/>
          <w:w w:val="66"/>
          <w:sz w:val="20"/>
        </w:rPr>
        <w:t>0</w:t>
      </w:r>
    </w:p>
    <w:p>
      <w:pPr>
        <w:pStyle w:val="BodyText"/>
        <w:ind w:left="139"/>
        <w:rPr>
          <w:sz w:val="20"/>
        </w:rPr>
      </w:pPr>
      <w:r>
        <w:rPr>
          <w:sz w:val="20"/>
        </w:rPr>
        <w:pict>
          <v:group style="width:441.35pt;height:33.5pt;mso-position-horizontal-relative:char;mso-position-vertical-relative:line" coordorigin="0,0" coordsize="8827,670">
            <v:rect style="position:absolute;left:0;top:13;width:843;height:657" filled="true" fillcolor="#000000" stroked="false">
              <v:fill type="solid"/>
            </v:rect>
            <v:rect style="position:absolute;left:835;top:13;width:7992;height:657" filled="true" fillcolor="#000000" stroked="false">
              <v:fill type="solid"/>
            </v:rect>
            <v:line style="position:absolute" from="1504,13" to="1554,13" stroked="true" strokeweight="1.282116pt" strokecolor="#000000"/>
            <v:line style="position:absolute" from="1578,13" to="1653,13" stroked="true" strokeweight="1.282116pt" strokecolor="#000000"/>
            <v:line style="position:absolute" from="1678,13" to="1752,13" stroked="true" strokeweight="1.282116pt" strokecolor="#000000"/>
            <v:line style="position:absolute" from="1777,13" to="1851,13" stroked="true" strokeweight="1.282116pt" strokecolor="#000000"/>
            <v:line style="position:absolute" from="1876,13" to="1951,13" stroked="true" strokeweight="1.282116pt" strokecolor="#000000"/>
            <v:line style="position:absolute" from="1975,13" to="2050,13" stroked="true" strokeweight="1.282116pt" strokecolor="#000000"/>
            <v:line style="position:absolute" from="2074,13" to="2149,13" stroked="true" strokeweight="1.282116pt" strokecolor="#000000"/>
            <v:line style="position:absolute" from="2174,13" to="2248,13" stroked="true" strokeweight="1.282116pt" strokecolor="#000000"/>
            <v:line style="position:absolute" from="2273,13" to="2347,13" stroked="true" strokeweight="1.282116pt" strokecolor="#000000"/>
            <v:line style="position:absolute" from="2372,13" to="2446,13" stroked="true" strokeweight="1.282116pt" strokecolor="#000000"/>
            <v:line style="position:absolute" from="2471,13" to="2546,13" stroked="true" strokeweight="1.282116pt" strokecolor="#000000"/>
            <v:line style="position:absolute" from="2570,13" to="2620,13" stroked="true" strokeweight="1.282116pt" strokecolor="#000000"/>
            <v:line style="position:absolute" from="2636,13" to="2645,13" stroked="true" strokeweight="1.282116pt" strokecolor="#000000"/>
            <v:line style="position:absolute" from="2669,13" to="2744,13" stroked="true" strokeweight="1.282116pt" strokecolor="#000000"/>
            <v:line style="position:absolute" from="2769,13" to="2843,13" stroked="true" strokeweight="1.282116pt" strokecolor="#000000"/>
            <v:line style="position:absolute" from="2868,13" to="2942,13" stroked="true" strokeweight="1.282116pt" strokecolor="#000000"/>
            <v:line style="position:absolute" from="2967,13" to="3041,13" stroked="true" strokeweight="1.282116pt" strokecolor="#000000"/>
            <v:line style="position:absolute" from="3066,13" to="3141,13" stroked="true" strokeweight="1.282116pt" strokecolor="#000000"/>
            <v:line style="position:absolute" from="3165,13" to="3240,13" stroked="true" strokeweight="1.282116pt" strokecolor="#000000"/>
            <v:line style="position:absolute" from="3264,13" to="3339,13" stroked="true" strokeweight="1.282116pt" strokecolor="#000000"/>
            <v:line style="position:absolute" from="3364,13" to="3438,13" stroked="true" strokeweight="1.282116pt" strokecolor="#000000"/>
            <v:line style="position:absolute" from="3463,13" to="3537,13" stroked="true" strokeweight="1.282116pt" strokecolor="#000000"/>
            <v:line style="position:absolute" from="3562,13" to="3636,13" stroked="true" strokeweight="1.282116pt" strokecolor="#000000"/>
            <v:line style="position:absolute" from="3661,13" to="3736,13" stroked="true" strokeweight="1.282116pt" strokecolor="#000000"/>
            <v:line style="position:absolute" from="3760,13" to="3835,13" stroked="true" strokeweight="1.282116pt" strokecolor="#000000"/>
            <v:line style="position:absolute" from="3860,13" to="3876,13" stroked="true" strokeweight="1.282116pt" strokecolor="#000000"/>
            <v:line style="position:absolute" from="3893,13" to="3934,13" stroked="true" strokeweight="1.282116pt" strokecolor="#000000"/>
            <v:line style="position:absolute" from="3959,13" to="4033,13" stroked="true" strokeweight="1.282116pt" strokecolor="#000000"/>
            <v:line style="position:absolute" from="4058,13" to="4132,13" stroked="true" strokeweight="1.282116pt" strokecolor="#000000"/>
            <v:line style="position:absolute" from="4157,13" to="4231,13" stroked="true" strokeweight="1.282116pt" strokecolor="#000000"/>
            <v:line style="position:absolute" from="4256,13" to="4331,13" stroked="true" strokeweight="1.282116pt" strokecolor="#000000"/>
            <v:line style="position:absolute" from="4356,13" to="4430,13" stroked="true" strokeweight="1.282116pt" strokecolor="#000000"/>
            <v:line style="position:absolute" from="4455,13" to="4529,13" stroked="true" strokeweight="1.282116pt" strokecolor="#000000"/>
            <v:line style="position:absolute" from="4554,13" to="4628,13" stroked="true" strokeweight="1.282116pt" strokecolor="#000000"/>
            <v:line style="position:absolute" from="4653,13" to="4727,13" stroked="true" strokeweight="1.282116pt" strokecolor="#000000"/>
            <v:line style="position:absolute" from="4752,13" to="4826,13" stroked="true" strokeweight="1.282116pt" strokecolor="#000000"/>
            <v:line style="position:absolute" from="4851,13" to="4859,13" stroked="true" strokeweight="1.282116pt" strokecolor="#000000"/>
            <v:line style="position:absolute" from="4876,13" to="4925,13" stroked="true" strokeweight="1.282116pt" strokecolor="#000000"/>
            <v:line style="position:absolute" from="4951,13" to="5025,13" stroked="true" strokeweight="1.282116pt" strokecolor="#000000"/>
            <v:line style="position:absolute" from="5050,13" to="5124,13" stroked="true" strokeweight="1.282116pt" strokecolor="#000000"/>
            <v:line style="position:absolute" from="5149,13" to="5223,13" stroked="true" strokeweight="1.282116pt" strokecolor="#000000"/>
            <v:line style="position:absolute" from="5248,13" to="5322,13" stroked="true" strokeweight="1.282116pt" strokecolor="#000000"/>
            <v:line style="position:absolute" from="5347,13" to="5421,13" stroked="true" strokeweight="1.282116pt" strokecolor="#000000"/>
            <v:line style="position:absolute" from="5446,13" to="5521,13" stroked="true" strokeweight="1.282116pt" strokecolor="#000000"/>
            <v:line style="position:absolute" from="5546,13" to="5620,13" stroked="true" strokeweight="1.282116pt" strokecolor="#000000"/>
            <v:line style="position:absolute" from="5645,13" to="5719,13" stroked="true" strokeweight="1.282116pt" strokecolor="#000000"/>
            <v:line style="position:absolute" from="5744,13" to="5818,13" stroked="true" strokeweight="1.282116pt" strokecolor="#000000"/>
            <v:line style="position:absolute" from="5843,13" to="5917,13" stroked="true" strokeweight="1.282116pt" strokecolor="#000000"/>
            <v:line style="position:absolute" from="5942,13" to="6016,13" stroked="true" strokeweight="1.282116pt" strokecolor="#000000"/>
            <v:line style="position:absolute" from="6041,13" to="6116,13" stroked="true" strokeweight="1.282116pt" strokecolor="#000000"/>
            <v:line style="position:absolute" from="6157,13" to="6215,13" stroked="true" strokeweight="1.282116pt" strokecolor="#000000"/>
            <v:line style="position:absolute" from="6240,13" to="6314,13" stroked="true" strokeweight="1.282116pt" strokecolor="#000000"/>
            <v:line style="position:absolute" from="6339,13" to="6413,13" stroked="true" strokeweight="1.282116pt" strokecolor="#000000"/>
            <v:line style="position:absolute" from="6438,13" to="6512,13" stroked="true" strokeweight="1.282116pt" strokecolor="#000000"/>
            <v:line style="position:absolute" from="6537,13" to="6612,13" stroked="true" strokeweight="1.282116pt" strokecolor="#000000"/>
            <v:line style="position:absolute" from="6636,13" to="6711,13" stroked="true" strokeweight="1.282116pt" strokecolor="#000000"/>
            <v:line style="position:absolute" from="6736,13" to="6810,13" stroked="true" strokeweight="1.282116pt" strokecolor="#000000"/>
            <v:line style="position:absolute" from="6835,13" to="6909,13" stroked="true" strokeweight="1.282116pt" strokecolor="#000000"/>
            <v:line style="position:absolute" from="6934,13" to="7008,13" stroked="true" strokeweight="1.282116pt" strokecolor="#000000"/>
            <v:line style="position:absolute" from="7033,13" to="7107,13" stroked="true" strokeweight="1.282116pt" strokecolor="#000000"/>
            <v:line style="position:absolute" from="7132,13" to="7207,13" stroked="true" strokeweight="1.282116pt" strokecolor="#000000"/>
            <v:line style="position:absolute" from="7231,13" to="7306,13" stroked="true" strokeweight="1.282116pt" strokecolor="#000000"/>
            <v:line style="position:absolute" from="7331,13" to="7405,13" stroked="true" strokeweight="1.282116pt" strokecolor="#000000"/>
            <v:line style="position:absolute" from="7430,13" to="7504,13" stroked="true" strokeweight="1.282116pt" strokecolor="#000000"/>
            <v:line style="position:absolute" from="7529,13" to="7603,13" stroked="true" strokeweight="1.282116pt" strokecolor="#000000"/>
            <v:line style="position:absolute" from="7628,13" to="7703,13" stroked="true" strokeweight="1.282116pt" strokecolor="#000000"/>
            <v:line style="position:absolute" from="7727,13" to="7802,13" stroked="true" strokeweight="1.282116pt" strokecolor="#000000"/>
            <v:line style="position:absolute" from="7826,13" to="7901,13" stroked="true" strokeweight="1.282116pt" strokecolor="#000000"/>
            <v:line style="position:absolute" from="7926,13" to="8000,13" stroked="true" strokeweight="1.282116pt" strokecolor="#000000"/>
            <v:line style="position:absolute" from="8025,13" to="8099,13" stroked="true" strokeweight="1.282116pt" strokecolor="#000000"/>
            <v:line style="position:absolute" from="8124,13" to="8198,13" stroked="true" strokeweight="1.282116pt" strokecolor="#000000"/>
            <v:line style="position:absolute" from="8223,13" to="8298,13" stroked="true" strokeweight="1.282116pt" strokecolor="#000000"/>
            <v:line style="position:absolute" from="8322,13" to="8397,13" stroked="true" strokeweight="1.282116pt" strokecolor="#000000"/>
            <v:line style="position:absolute" from="8421,13" to="8496,13" stroked="true" strokeweight="1.282116pt" strokecolor="#000000"/>
            <v:line style="position:absolute" from="8521,13" to="8595,13" stroked="true" strokeweight="1.282116pt" strokecolor="#000000"/>
            <v:line style="position:absolute" from="8620,13" to="8694,13" stroked="true" strokeweight="1.282116pt" strokecolor="#000000"/>
            <v:line style="position:absolute" from="8719,13" to="8793,13" stroked="true" strokeweight="1.282116pt" strokecolor="#000000"/>
            <v:shape style="position:absolute;left:0;top:13;width:8827;height:658" type="#_x0000_t202" filled="false" stroked="false">
              <v:textbox inset="0,0,0,0">
                <w:txbxContent>
                  <w:p>
                    <w:pPr>
                      <w:spacing w:line="240" w:lineRule="auto" w:before="0"/>
                      <w:rPr>
                        <w:b/>
                        <w:sz w:val="21"/>
                      </w:rPr>
                    </w:pPr>
                  </w:p>
                  <w:p>
                    <w:pPr>
                      <w:spacing w:line="280" w:lineRule="auto" w:before="0"/>
                      <w:ind w:left="16" w:right="7462" w:firstLine="239"/>
                      <w:jc w:val="left"/>
                      <w:rPr>
                        <w:b/>
                        <w:sz w:val="16"/>
                      </w:rPr>
                    </w:pPr>
                    <w:r>
                      <w:rPr>
                        <w:b/>
                        <w:color w:val="FFFFFF"/>
                        <w:w w:val="80"/>
                        <w:sz w:val="16"/>
                      </w:rPr>
                      <w:t>Menor </w:t>
                    </w:r>
                    <w:r>
                      <w:rPr>
                        <w:b/>
                        <w:color w:val="FFFFFF"/>
                        <w:w w:val="65"/>
                        <w:sz w:val="16"/>
                      </w:rPr>
                      <w:t>gobernabilidad</w:t>
                    </w:r>
                  </w:p>
                </w:txbxContent>
              </v:textbox>
              <w10:wrap type="none"/>
            </v:shape>
          </v:group>
        </w:pict>
      </w:r>
      <w:r>
        <w:rPr>
          <w:sz w:val="20"/>
        </w:rPr>
      </w:r>
    </w:p>
    <w:p>
      <w:pPr>
        <w:pStyle w:val="BodyText"/>
        <w:spacing w:before="1"/>
        <w:rPr>
          <w:b/>
          <w:sz w:val="6"/>
        </w:rPr>
      </w:pPr>
    </w:p>
    <w:p>
      <w:pPr>
        <w:spacing w:before="84"/>
        <w:ind w:left="100" w:right="0" w:firstLine="0"/>
        <w:jc w:val="left"/>
        <w:rPr>
          <w:sz w:val="12"/>
        </w:rPr>
      </w:pPr>
      <w:r>
        <w:rPr>
          <w:sz w:val="12"/>
        </w:rPr>
        <w:t>FUENTE:      Elaboración propia con base en:</w:t>
      </w:r>
    </w:p>
    <w:p>
      <w:pPr>
        <w:spacing w:line="276" w:lineRule="auto" w:before="2"/>
        <w:ind w:left="809" w:right="4135" w:firstLine="0"/>
        <w:jc w:val="left"/>
        <w:rPr>
          <w:sz w:val="12"/>
        </w:rPr>
      </w:pPr>
      <w:r>
        <w:rPr>
          <w:sz w:val="12"/>
        </w:rPr>
        <w:t>World Bank.</w:t>
      </w:r>
      <w:r>
        <w:rPr>
          <w:i/>
          <w:sz w:val="12"/>
        </w:rPr>
        <w:t>Governance Matters 2012.World Governance Indicators </w:t>
      </w:r>
      <w:r>
        <w:rPr>
          <w:sz w:val="12"/>
        </w:rPr>
        <w:t>Disponible en: </w:t>
      </w:r>
      <w:hyperlink r:id="rId51">
        <w:r>
          <w:rPr>
            <w:sz w:val="12"/>
          </w:rPr>
          <w:t>http://info.worldbank.org/governance/wgi/sc_country.asp</w:t>
        </w:r>
      </w:hyperlink>
      <w:r>
        <w:rPr>
          <w:sz w:val="12"/>
        </w:rPr>
        <w:t> [Fecha de consulta: 2 de octubre, 2015]</w:t>
      </w:r>
    </w:p>
    <w:p>
      <w:pPr>
        <w:pStyle w:val="BodyText"/>
        <w:rPr>
          <w:sz w:val="12"/>
        </w:rPr>
      </w:pPr>
    </w:p>
    <w:p>
      <w:pPr>
        <w:pStyle w:val="BodyText"/>
        <w:rPr>
          <w:sz w:val="12"/>
        </w:rPr>
      </w:pPr>
    </w:p>
    <w:p>
      <w:pPr>
        <w:pStyle w:val="BodyText"/>
        <w:spacing w:before="2"/>
        <w:rPr>
          <w:sz w:val="17"/>
        </w:rPr>
      </w:pPr>
    </w:p>
    <w:p>
      <w:pPr>
        <w:spacing w:before="0"/>
        <w:ind w:left="100" w:right="0" w:firstLine="0"/>
        <w:jc w:val="left"/>
        <w:rPr>
          <w:i/>
          <w:sz w:val="24"/>
        </w:rPr>
      </w:pPr>
      <w:r>
        <w:rPr>
          <w:i/>
          <w:sz w:val="24"/>
        </w:rPr>
        <w:t>Índice de Estados Fallidos, 2012</w:t>
      </w:r>
    </w:p>
    <w:p>
      <w:pPr>
        <w:pStyle w:val="BodyText"/>
        <w:spacing w:line="360" w:lineRule="auto" w:before="204"/>
        <w:ind w:left="100" w:right="136" w:firstLine="427"/>
        <w:jc w:val="both"/>
      </w:pPr>
      <w:r>
        <w:rPr/>
        <w:t>El Fondo por la Paz (</w:t>
      </w:r>
      <w:r>
        <w:rPr>
          <w:i/>
        </w:rPr>
        <w:t>Fund for Peace</w:t>
      </w:r>
      <w:r>
        <w:rPr/>
        <w:t>) publicó en la revista </w:t>
      </w:r>
      <w:r>
        <w:rPr>
          <w:i/>
        </w:rPr>
        <w:t>Fore ign Policy, </w:t>
      </w:r>
      <w:r>
        <w:rPr>
          <w:i/>
        </w:rPr>
        <w:t>TheFailed StatesIndex </w:t>
      </w:r>
      <w:r>
        <w:rPr/>
        <w:t>(Índice de Estados Fallidos), en el cual se clasifica a 178 países. El índice fue publicado en junio de 2012 y su escala de valuación es de 1 a 178,</w:t>
      </w:r>
      <w:r>
        <w:rPr>
          <w:spacing w:val="-12"/>
        </w:rPr>
        <w:t> </w:t>
      </w:r>
      <w:r>
        <w:rPr/>
        <w:t>donde</w:t>
      </w:r>
      <w:r>
        <w:rPr>
          <w:spacing w:val="-15"/>
        </w:rPr>
        <w:t> </w:t>
      </w:r>
      <w:r>
        <w:rPr/>
        <w:t>valores</w:t>
      </w:r>
      <w:r>
        <w:rPr>
          <w:spacing w:val="-13"/>
        </w:rPr>
        <w:t> </w:t>
      </w:r>
      <w:r>
        <w:rPr/>
        <w:t>cercanos</w:t>
      </w:r>
      <w:r>
        <w:rPr>
          <w:spacing w:val="-9"/>
        </w:rPr>
        <w:t> </w:t>
      </w:r>
      <w:r>
        <w:rPr/>
        <w:t>a</w:t>
      </w:r>
      <w:r>
        <w:rPr>
          <w:spacing w:val="-15"/>
        </w:rPr>
        <w:t> </w:t>
      </w:r>
      <w:r>
        <w:rPr/>
        <w:t>178</w:t>
      </w:r>
      <w:r>
        <w:rPr>
          <w:spacing w:val="-15"/>
        </w:rPr>
        <w:t> </w:t>
      </w:r>
      <w:r>
        <w:rPr/>
        <w:t>indican</w:t>
      </w:r>
      <w:r>
        <w:rPr>
          <w:spacing w:val="-15"/>
        </w:rPr>
        <w:t> </w:t>
      </w:r>
      <w:r>
        <w:rPr/>
        <w:t>un</w:t>
      </w:r>
      <w:r>
        <w:rPr>
          <w:spacing w:val="-11"/>
        </w:rPr>
        <w:t> </w:t>
      </w:r>
      <w:r>
        <w:rPr/>
        <w:t>“Estado</w:t>
      </w:r>
      <w:r>
        <w:rPr>
          <w:spacing w:val="-14"/>
        </w:rPr>
        <w:t> </w:t>
      </w:r>
      <w:r>
        <w:rPr/>
        <w:t>muy</w:t>
      </w:r>
      <w:r>
        <w:rPr>
          <w:spacing w:val="-17"/>
        </w:rPr>
        <w:t> </w:t>
      </w:r>
      <w:r>
        <w:rPr/>
        <w:t>sustentable”</w:t>
      </w:r>
      <w:r>
        <w:rPr>
          <w:spacing w:val="-9"/>
        </w:rPr>
        <w:t> </w:t>
      </w:r>
      <w:r>
        <w:rPr/>
        <w:t>y</w:t>
      </w:r>
      <w:r>
        <w:rPr>
          <w:spacing w:val="-17"/>
        </w:rPr>
        <w:t> </w:t>
      </w:r>
      <w:r>
        <w:rPr/>
        <w:t>1</w:t>
      </w:r>
      <w:r>
        <w:rPr>
          <w:spacing w:val="-15"/>
        </w:rPr>
        <w:t> </w:t>
      </w:r>
      <w:r>
        <w:rPr/>
        <w:t>“Estado en</w:t>
      </w:r>
      <w:r>
        <w:rPr>
          <w:spacing w:val="-17"/>
        </w:rPr>
        <w:t> </w:t>
      </w:r>
      <w:r>
        <w:rPr/>
        <w:t>muy</w:t>
      </w:r>
      <w:r>
        <w:rPr>
          <w:spacing w:val="-19"/>
        </w:rPr>
        <w:t> </w:t>
      </w:r>
      <w:r>
        <w:rPr/>
        <w:t>alta</w:t>
      </w:r>
      <w:r>
        <w:rPr>
          <w:spacing w:val="-17"/>
        </w:rPr>
        <w:t> </w:t>
      </w:r>
      <w:r>
        <w:rPr/>
        <w:t>precaución”.</w:t>
      </w:r>
      <w:r>
        <w:rPr>
          <w:spacing w:val="-14"/>
        </w:rPr>
        <w:t> </w:t>
      </w:r>
      <w:r>
        <w:rPr/>
        <w:t>En</w:t>
      </w:r>
      <w:r>
        <w:rPr>
          <w:spacing w:val="-17"/>
        </w:rPr>
        <w:t> </w:t>
      </w:r>
      <w:r>
        <w:rPr/>
        <w:t>este</w:t>
      </w:r>
      <w:r>
        <w:rPr>
          <w:spacing w:val="-17"/>
        </w:rPr>
        <w:t> </w:t>
      </w:r>
      <w:r>
        <w:rPr/>
        <w:t>contexto</w:t>
      </w:r>
      <w:r>
        <w:rPr>
          <w:spacing w:val="-15"/>
        </w:rPr>
        <w:t> </w:t>
      </w:r>
      <w:r>
        <w:rPr/>
        <w:t>el</w:t>
      </w:r>
      <w:r>
        <w:rPr>
          <w:spacing w:val="-16"/>
        </w:rPr>
        <w:t> </w:t>
      </w:r>
      <w:r>
        <w:rPr/>
        <w:t>término</w:t>
      </w:r>
      <w:r>
        <w:rPr>
          <w:spacing w:val="-16"/>
        </w:rPr>
        <w:t> </w:t>
      </w:r>
      <w:r>
        <w:rPr/>
        <w:t>“Estado</w:t>
      </w:r>
      <w:r>
        <w:rPr>
          <w:spacing w:val="-17"/>
        </w:rPr>
        <w:t> </w:t>
      </w:r>
      <w:r>
        <w:rPr/>
        <w:t>fallido”</w:t>
      </w:r>
      <w:r>
        <w:rPr>
          <w:spacing w:val="-14"/>
        </w:rPr>
        <w:t> </w:t>
      </w:r>
      <w:r>
        <w:rPr/>
        <w:t>hace</w:t>
      </w:r>
      <w:r>
        <w:rPr>
          <w:spacing w:val="-17"/>
        </w:rPr>
        <w:t> </w:t>
      </w:r>
      <w:r>
        <w:rPr/>
        <w:t>referencia a una serie de condiciones que conducen al debilitamiento del Estado en </w:t>
      </w:r>
      <w:r>
        <w:rPr>
          <w:spacing w:val="54"/>
        </w:rPr>
        <w:t> </w:t>
      </w:r>
      <w:r>
        <w:rPr/>
        <w:t>relación</w:t>
      </w:r>
    </w:p>
    <w:p>
      <w:pPr>
        <w:spacing w:after="0" w:line="360" w:lineRule="auto"/>
        <w:jc w:val="both"/>
        <w:sectPr>
          <w:pgSz w:w="12240" w:h="15840"/>
          <w:pgMar w:header="0" w:footer="998" w:top="1400" w:bottom="1180" w:left="1600" w:right="1560"/>
        </w:sectPr>
      </w:pPr>
    </w:p>
    <w:p>
      <w:pPr>
        <w:pStyle w:val="BodyText"/>
        <w:spacing w:line="362" w:lineRule="auto" w:before="55"/>
        <w:ind w:left="100" w:right="130"/>
        <w:jc w:val="both"/>
      </w:pPr>
      <w:r>
        <w:rPr/>
        <w:t>con</w:t>
      </w:r>
      <w:r>
        <w:rPr>
          <w:spacing w:val="-5"/>
        </w:rPr>
        <w:t> </w:t>
      </w:r>
      <w:r>
        <w:rPr/>
        <w:t>la</w:t>
      </w:r>
      <w:r>
        <w:rPr>
          <w:spacing w:val="-5"/>
        </w:rPr>
        <w:t> </w:t>
      </w:r>
      <w:r>
        <w:rPr/>
        <w:t>demanda</w:t>
      </w:r>
      <w:r>
        <w:rPr>
          <w:spacing w:val="-5"/>
        </w:rPr>
        <w:t> </w:t>
      </w:r>
      <w:r>
        <w:rPr/>
        <w:t>política</w:t>
      </w:r>
      <w:r>
        <w:rPr>
          <w:spacing w:val="-5"/>
        </w:rPr>
        <w:t> </w:t>
      </w:r>
      <w:r>
        <w:rPr/>
        <w:t>y</w:t>
      </w:r>
      <w:r>
        <w:rPr>
          <w:spacing w:val="-8"/>
        </w:rPr>
        <w:t> </w:t>
      </w:r>
      <w:r>
        <w:rPr/>
        <w:t>económica.</w:t>
      </w:r>
      <w:r>
        <w:rPr>
          <w:spacing w:val="-4"/>
        </w:rPr>
        <w:t> </w:t>
      </w:r>
      <w:r>
        <w:rPr/>
        <w:t>El</w:t>
      </w:r>
      <w:r>
        <w:rPr>
          <w:spacing w:val="-5"/>
        </w:rPr>
        <w:t> </w:t>
      </w:r>
      <w:r>
        <w:rPr/>
        <w:t>índice</w:t>
      </w:r>
      <w:r>
        <w:rPr>
          <w:spacing w:val="-5"/>
        </w:rPr>
        <w:t> </w:t>
      </w:r>
      <w:r>
        <w:rPr/>
        <w:t>evalúa</w:t>
      </w:r>
      <w:r>
        <w:rPr>
          <w:spacing w:val="-5"/>
        </w:rPr>
        <w:t> </w:t>
      </w:r>
      <w:r>
        <w:rPr/>
        <w:t>si</w:t>
      </w:r>
      <w:r>
        <w:rPr>
          <w:spacing w:val="-5"/>
        </w:rPr>
        <w:t> </w:t>
      </w:r>
      <w:r>
        <w:rPr/>
        <w:t>los</w:t>
      </w:r>
      <w:r>
        <w:rPr>
          <w:spacing w:val="-4"/>
        </w:rPr>
        <w:t> </w:t>
      </w:r>
      <w:r>
        <w:rPr/>
        <w:t>Estados</w:t>
      </w:r>
      <w:r>
        <w:rPr>
          <w:spacing w:val="-4"/>
        </w:rPr>
        <w:t> </w:t>
      </w:r>
      <w:r>
        <w:rPr/>
        <w:t>responden</w:t>
      </w:r>
      <w:r>
        <w:rPr>
          <w:spacing w:val="-5"/>
        </w:rPr>
        <w:t> </w:t>
      </w:r>
      <w:r>
        <w:rPr/>
        <w:t>de forma eficientemente a su</w:t>
      </w:r>
      <w:r>
        <w:rPr>
          <w:spacing w:val="-26"/>
        </w:rPr>
        <w:t> </w:t>
      </w:r>
      <w:r>
        <w:rPr/>
        <w:t>función.</w:t>
      </w:r>
    </w:p>
    <w:p>
      <w:pPr>
        <w:pStyle w:val="BodyText"/>
        <w:spacing w:line="360" w:lineRule="auto"/>
        <w:ind w:left="100" w:right="123" w:firstLine="427"/>
        <w:jc w:val="both"/>
      </w:pPr>
      <w:r>
        <w:rPr/>
        <w:t>De acuerdo con la ONG, el término Estado Fallido es polémico, ya que califica de esta manera a aquel Estado en donde el gobierno ha perdido control efectivo sobre su territorio.</w:t>
      </w:r>
    </w:p>
    <w:p>
      <w:pPr>
        <w:pStyle w:val="BodyText"/>
        <w:spacing w:before="6"/>
        <w:ind w:left="528"/>
      </w:pPr>
      <w:r>
        <w:rPr/>
        <w:t>Alemania</w:t>
      </w:r>
      <w:r>
        <w:rPr>
          <w:spacing w:val="-21"/>
        </w:rPr>
        <w:t> </w:t>
      </w:r>
      <w:r>
        <w:rPr/>
        <w:t>(posición</w:t>
      </w:r>
      <w:r>
        <w:rPr>
          <w:spacing w:val="-21"/>
        </w:rPr>
        <w:t> </w:t>
      </w:r>
      <w:r>
        <w:rPr/>
        <w:t>162),</w:t>
      </w:r>
      <w:r>
        <w:rPr>
          <w:spacing w:val="-18"/>
        </w:rPr>
        <w:t> </w:t>
      </w:r>
      <w:r>
        <w:rPr/>
        <w:t>Reino</w:t>
      </w:r>
      <w:r>
        <w:rPr>
          <w:spacing w:val="-17"/>
        </w:rPr>
        <w:t> </w:t>
      </w:r>
      <w:r>
        <w:rPr/>
        <w:t>Unido</w:t>
      </w:r>
      <w:r>
        <w:rPr>
          <w:spacing w:val="-17"/>
        </w:rPr>
        <w:t> </w:t>
      </w:r>
      <w:r>
        <w:rPr/>
        <w:t>(posición</w:t>
      </w:r>
      <w:r>
        <w:rPr>
          <w:spacing w:val="-21"/>
        </w:rPr>
        <w:t> </w:t>
      </w:r>
      <w:r>
        <w:rPr/>
        <w:t>159)</w:t>
      </w:r>
      <w:r>
        <w:rPr>
          <w:spacing w:val="-16"/>
        </w:rPr>
        <w:t> </w:t>
      </w:r>
      <w:r>
        <w:rPr/>
        <w:t>y</w:t>
      </w:r>
      <w:r>
        <w:rPr>
          <w:spacing w:val="-23"/>
        </w:rPr>
        <w:t> </w:t>
      </w:r>
      <w:r>
        <w:rPr/>
        <w:t>Estados</w:t>
      </w:r>
      <w:r>
        <w:rPr>
          <w:spacing w:val="-19"/>
        </w:rPr>
        <w:t> </w:t>
      </w:r>
      <w:r>
        <w:rPr/>
        <w:t>Unidos</w:t>
      </w:r>
      <w:r>
        <w:rPr>
          <w:spacing w:val="-19"/>
        </w:rPr>
        <w:t> </w:t>
      </w:r>
      <w:r>
        <w:rPr/>
        <w:t>(posición</w:t>
      </w:r>
    </w:p>
    <w:p>
      <w:pPr>
        <w:pStyle w:val="BodyText"/>
        <w:spacing w:line="360" w:lineRule="auto" w:before="136"/>
        <w:ind w:left="100" w:right="118"/>
        <w:jc w:val="both"/>
      </w:pPr>
      <w:r>
        <w:rPr/>
        <w:t>158) son clasificados como “Estado muy estable”, España (posición 151) como “Estado estable”. México registró la posición 94 y la clasificación de México es de “Alta precaución” (por debajo de Grecia con la posición 143, países de la OCDE).</w:t>
      </w:r>
    </w:p>
    <w:p>
      <w:pPr>
        <w:pStyle w:val="BodyText"/>
      </w:pPr>
    </w:p>
    <w:p>
      <w:pPr>
        <w:spacing w:before="148"/>
        <w:ind w:left="2305" w:right="132" w:firstLine="0"/>
        <w:jc w:val="left"/>
        <w:rPr>
          <w:sz w:val="20"/>
        </w:rPr>
      </w:pPr>
      <w:bookmarkStart w:name="_bookmark25" w:id="38"/>
      <w:bookmarkEnd w:id="38"/>
      <w:r>
        <w:rPr/>
      </w:r>
      <w:r>
        <w:rPr>
          <w:sz w:val="20"/>
        </w:rPr>
        <w:t>Grafica 1.2. Índice de Estados fallidos, 2007-2011</w:t>
      </w:r>
    </w:p>
    <w:p>
      <w:pPr>
        <w:pStyle w:val="BodyText"/>
        <w:spacing w:before="10"/>
        <w:rPr>
          <w:sz w:val="14"/>
        </w:rPr>
      </w:pPr>
      <w:r>
        <w:rPr/>
        <w:pict>
          <v:group style="position:absolute;margin-left:85.669777pt;margin-top:10.534144pt;width:439.6pt;height:151.25pt;mso-position-horizontal-relative:page;mso-position-vertical-relative:paragraph;z-index:3928;mso-wrap-distance-left:0;mso-wrap-distance-right:0" coordorigin="1713,211" coordsize="8792,3025">
            <v:line style="position:absolute" from="2268,2874" to="2268,363" stroked="true" strokeweight=".596524pt" strokecolor="#858585"/>
            <v:line style="position:absolute" from="2220,2874" to="2268,2874" stroked="true" strokeweight=".523124pt" strokecolor="#858585"/>
            <v:line style="position:absolute" from="2220,2623" to="2268,2623" stroked="true" strokeweight=".523124pt" strokecolor="#858585"/>
            <v:line style="position:absolute" from="2220,2371" to="2268,2371" stroked="true" strokeweight=".523124pt" strokecolor="#858585"/>
            <v:line style="position:absolute" from="2220,2120" to="2268,2120" stroked="true" strokeweight=".523124pt" strokecolor="#858585"/>
            <v:line style="position:absolute" from="2220,1869" to="2268,1869" stroked="true" strokeweight=".523124pt" strokecolor="#858585"/>
            <v:line style="position:absolute" from="2220,1618" to="2268,1618" stroked="true" strokeweight=".523124pt" strokecolor="#858585"/>
            <v:line style="position:absolute" from="2220,1367" to="2268,1367" stroked="true" strokeweight=".523124pt" strokecolor="#858585"/>
            <v:line style="position:absolute" from="2220,1116" to="2268,1116" stroked="true" strokeweight=".523124pt" strokecolor="#858585"/>
            <v:line style="position:absolute" from="2220,865" to="2268,865" stroked="true" strokeweight=".523124pt" strokecolor="#858585"/>
            <v:line style="position:absolute" from="2220,614" to="2268,614" stroked="true" strokeweight=".523124pt" strokecolor="#858585"/>
            <v:line style="position:absolute" from="2220,363" to="2268,363" stroked="true" strokeweight=".523124pt" strokecolor="#858585"/>
            <v:line style="position:absolute" from="2268,2874" to="8161,2874" stroked="true" strokeweight=".523124pt" strokecolor="#858585"/>
            <v:line style="position:absolute" from="2268,2874" to="2268,2915" stroked="true" strokeweight=".596524pt" strokecolor="#858585"/>
            <v:line style="position:absolute" from="3747,2874" to="3747,2915" stroked="true" strokeweight=".596524pt" strokecolor="#858585"/>
            <v:line style="position:absolute" from="5215,2874" to="5215,2915" stroked="true" strokeweight=".596524pt" strokecolor="#858585"/>
            <v:line style="position:absolute" from="6694,2874" to="6694,2915" stroked="true" strokeweight=".596524pt" strokecolor="#858585"/>
            <v:line style="position:absolute" from="8161,2874" to="8161,2915" stroked="true" strokeweight=".596524pt" strokecolor="#858585"/>
            <v:rect style="position:absolute;left:3007;top:656;width:4414;height:10" filled="true" fillcolor="#416ea6" stroked="false">
              <v:fill type="solid"/>
            </v:rect>
            <v:shape style="position:absolute;left:3007;top:708;width:4415;height:32" coordorigin="3007,708" coordsize="4415,32" path="m3007,739l4475,718,5954,718,7422,708e" filled="false" stroked="true" strokeweight="1.569382pt" strokecolor="#85a349">
              <v:path arrowok="t"/>
            </v:shape>
            <v:shape style="position:absolute;left:3007;top:844;width:4415;height:84" coordorigin="3007,844" coordsize="4415,84" path="m3007,928l4475,907,5954,907,7422,844e" filled="false" stroked="true" strokeweight="1.56945pt" strokecolor="#6d538d">
              <v:path arrowok="t"/>
            </v:shape>
            <v:shape style="position:absolute;left:3007;top:854;width:4415;height:42" coordorigin="3007,854" coordsize="4415,42" path="m3007,854l4475,875,5954,896,7422,896e" filled="false" stroked="true" strokeweight="1.569391pt" strokecolor="#3c95ad">
              <v:path arrowok="t"/>
            </v:shape>
            <v:line style="position:absolute" from="3007,865" to="7422,865" stroked="true" strokeweight="1.046256pt" strokecolor="#da8137"/>
            <v:line style="position:absolute" from="3007,985" to="7422,985" stroked="true" strokeweight=".523119pt" strokecolor="#8ea4ca"/>
            <v:shape style="position:absolute;left:3007;top:1555;width:4415;height:136" coordorigin="3007,1555" coordsize="4415,136" path="m3007,1555l4475,1649,5954,1670,7422,1691e" filled="false" stroked="true" strokeweight="1.56958pt" strokecolor="#ce8e8d">
              <v:path arrowok="t"/>
            </v:shape>
            <v:rect style="position:absolute;left:1719;top:216;width:8781;height:3013" filled="false" stroked="true" strokeweight=".531387pt" strokecolor="#858585"/>
            <v:shape style="position:absolute;left:9678;top:833;width:176;height:1476" coordorigin="9678,833" coordsize="176,1476" path="m9698,2165l9681,2174,9678,2183,9760,2309,9781,2278,9778,2278,9742,2278,9743,2219,9709,2168,9698,2165xm9743,2219l9742,2278,9778,2278,9778,2270,9776,2270,9745,2270,9761,2246,9743,2219xm9824,2166l9813,2168,9808,2176,9779,2220,9778,2278,9781,2278,9839,2192,9844,2184,9841,2175,9833,2170,9824,2166xm9761,2246l9745,2270,9776,2270,9761,2246xm9779,2220l9761,2246,9776,2270,9778,2270,9779,2220xm9771,896l9753,923,9743,2219,9761,2246,9779,2220,9789,923,9771,896xm9792,864l9754,864,9790,865,9789,923,9823,974,9834,977,9843,973,9851,968,9854,959,9792,864xm9772,833l9693,950,9688,958,9691,967,9708,976,9719,974,9724,966,9753,923,9754,864,9792,864,9772,833xm9789,872l9756,872,9787,873,9771,896,9789,923,9789,872xm9754,864l9753,923,9771,896,9756,872,9789,872,9790,865,9754,864xm9756,872l9771,896,9787,873,9756,872xe" filled="true" fillcolor="#000000" stroked="false">
              <v:path arrowok="t"/>
              <v:fill type="solid"/>
            </v:shape>
            <v:shape style="position:absolute;left:9199;top:405;width:1074;height:2564" type="#_x0000_t202" filled="false" stroked="true" strokeweight="1.763389pt" strokecolor="#000000">
              <v:textbox inset="0,0,0,0">
                <w:txbxContent>
                  <w:p>
                    <w:pPr>
                      <w:spacing w:line="126" w:lineRule="exact" w:before="29"/>
                      <w:ind w:left="143" w:right="142" w:firstLine="0"/>
                      <w:jc w:val="center"/>
                      <w:rPr>
                        <w:b/>
                        <w:sz w:val="11"/>
                      </w:rPr>
                    </w:pPr>
                    <w:r>
                      <w:rPr>
                        <w:b/>
                        <w:w w:val="120"/>
                        <w:sz w:val="11"/>
                      </w:rPr>
                      <w:t>Estado muy</w:t>
                    </w:r>
                  </w:p>
                  <w:p>
                    <w:pPr>
                      <w:spacing w:before="0"/>
                      <w:ind w:left="143" w:right="142" w:firstLine="0"/>
                      <w:jc w:val="center"/>
                      <w:rPr>
                        <w:b/>
                        <w:sz w:val="11"/>
                      </w:rPr>
                    </w:pPr>
                    <w:r>
                      <w:rPr>
                        <w:b/>
                        <w:w w:val="120"/>
                        <w:sz w:val="11"/>
                      </w:rPr>
                      <w:t>sustentable</w:t>
                    </w: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11"/>
                      <w:rPr>
                        <w:sz w:val="12"/>
                      </w:rPr>
                    </w:pPr>
                  </w:p>
                  <w:p>
                    <w:pPr>
                      <w:spacing w:line="249" w:lineRule="auto" w:before="0"/>
                      <w:ind w:left="173" w:right="162" w:hanging="12"/>
                      <w:jc w:val="center"/>
                      <w:rPr>
                        <w:b/>
                        <w:sz w:val="11"/>
                      </w:rPr>
                    </w:pPr>
                    <w:r>
                      <w:rPr>
                        <w:b/>
                        <w:w w:val="120"/>
                        <w:sz w:val="11"/>
                      </w:rPr>
                      <w:t>Estado en muy alta precaución</w:t>
                    </w:r>
                  </w:p>
                </w:txbxContent>
              </v:textbox>
              <w10:wrap type="none"/>
            </v:shape>
            <v:shape style="position:absolute;left:1872;top:307;width:255;height:2654" type="#_x0000_t202" filled="false" stroked="false">
              <v:textbox inset="0,0,0,0">
                <w:txbxContent>
                  <w:p>
                    <w:pPr>
                      <w:spacing w:line="137" w:lineRule="exact" w:before="0"/>
                      <w:ind w:left="0" w:right="1" w:firstLine="0"/>
                      <w:jc w:val="center"/>
                      <w:rPr>
                        <w:rFonts w:ascii="Calibri"/>
                        <w:sz w:val="13"/>
                      </w:rPr>
                    </w:pPr>
                    <w:r>
                      <w:rPr>
                        <w:rFonts w:ascii="Calibri"/>
                        <w:w w:val="120"/>
                        <w:sz w:val="13"/>
                      </w:rPr>
                      <w:t>200</w:t>
                    </w:r>
                  </w:p>
                  <w:p>
                    <w:pPr>
                      <w:spacing w:before="93"/>
                      <w:ind w:left="0" w:right="1" w:firstLine="0"/>
                      <w:jc w:val="center"/>
                      <w:rPr>
                        <w:rFonts w:ascii="Calibri"/>
                        <w:sz w:val="13"/>
                      </w:rPr>
                    </w:pPr>
                    <w:r>
                      <w:rPr>
                        <w:rFonts w:ascii="Calibri"/>
                        <w:w w:val="120"/>
                        <w:sz w:val="13"/>
                      </w:rPr>
                      <w:t>180</w:t>
                    </w:r>
                  </w:p>
                  <w:p>
                    <w:pPr>
                      <w:spacing w:before="93"/>
                      <w:ind w:left="0" w:right="1" w:firstLine="0"/>
                      <w:jc w:val="center"/>
                      <w:rPr>
                        <w:rFonts w:ascii="Calibri"/>
                        <w:sz w:val="13"/>
                      </w:rPr>
                    </w:pPr>
                    <w:r>
                      <w:rPr>
                        <w:rFonts w:ascii="Calibri"/>
                        <w:w w:val="120"/>
                        <w:sz w:val="13"/>
                      </w:rPr>
                      <w:t>160</w:t>
                    </w:r>
                  </w:p>
                  <w:p>
                    <w:pPr>
                      <w:spacing w:before="92"/>
                      <w:ind w:left="0" w:right="1" w:firstLine="0"/>
                      <w:jc w:val="center"/>
                      <w:rPr>
                        <w:rFonts w:ascii="Calibri"/>
                        <w:sz w:val="13"/>
                      </w:rPr>
                    </w:pPr>
                    <w:r>
                      <w:rPr>
                        <w:rFonts w:ascii="Calibri"/>
                        <w:w w:val="120"/>
                        <w:sz w:val="13"/>
                      </w:rPr>
                      <w:t>140</w:t>
                    </w:r>
                  </w:p>
                  <w:p>
                    <w:pPr>
                      <w:spacing w:before="93"/>
                      <w:ind w:left="0" w:right="1" w:firstLine="0"/>
                      <w:jc w:val="center"/>
                      <w:rPr>
                        <w:rFonts w:ascii="Calibri"/>
                        <w:sz w:val="13"/>
                      </w:rPr>
                    </w:pPr>
                    <w:r>
                      <w:rPr>
                        <w:rFonts w:ascii="Calibri"/>
                        <w:w w:val="120"/>
                        <w:sz w:val="13"/>
                      </w:rPr>
                      <w:t>120</w:t>
                    </w:r>
                  </w:p>
                  <w:p>
                    <w:pPr>
                      <w:spacing w:before="93"/>
                      <w:ind w:left="0" w:right="1" w:firstLine="0"/>
                      <w:jc w:val="center"/>
                      <w:rPr>
                        <w:rFonts w:ascii="Calibri"/>
                        <w:sz w:val="13"/>
                      </w:rPr>
                    </w:pPr>
                    <w:r>
                      <w:rPr>
                        <w:rFonts w:ascii="Calibri"/>
                        <w:w w:val="120"/>
                        <w:sz w:val="13"/>
                      </w:rPr>
                      <w:t>100</w:t>
                    </w:r>
                  </w:p>
                  <w:p>
                    <w:pPr>
                      <w:spacing w:before="93"/>
                      <w:ind w:left="87" w:right="-11" w:firstLine="0"/>
                      <w:jc w:val="left"/>
                      <w:rPr>
                        <w:rFonts w:ascii="Calibri"/>
                        <w:sz w:val="13"/>
                      </w:rPr>
                    </w:pPr>
                    <w:r>
                      <w:rPr>
                        <w:rFonts w:ascii="Calibri"/>
                        <w:w w:val="120"/>
                        <w:sz w:val="13"/>
                      </w:rPr>
                      <w:t>80</w:t>
                    </w:r>
                  </w:p>
                  <w:p>
                    <w:pPr>
                      <w:spacing w:before="93"/>
                      <w:ind w:left="87" w:right="-11" w:firstLine="0"/>
                      <w:jc w:val="left"/>
                      <w:rPr>
                        <w:rFonts w:ascii="Calibri"/>
                        <w:sz w:val="13"/>
                      </w:rPr>
                    </w:pPr>
                    <w:r>
                      <w:rPr>
                        <w:rFonts w:ascii="Calibri"/>
                        <w:w w:val="120"/>
                        <w:sz w:val="13"/>
                      </w:rPr>
                      <w:t>60</w:t>
                    </w:r>
                  </w:p>
                  <w:p>
                    <w:pPr>
                      <w:spacing w:before="93"/>
                      <w:ind w:left="87" w:right="-11" w:firstLine="0"/>
                      <w:jc w:val="left"/>
                      <w:rPr>
                        <w:rFonts w:ascii="Calibri"/>
                        <w:sz w:val="13"/>
                      </w:rPr>
                    </w:pPr>
                    <w:r>
                      <w:rPr>
                        <w:rFonts w:ascii="Calibri"/>
                        <w:w w:val="120"/>
                        <w:sz w:val="13"/>
                      </w:rPr>
                      <w:t>40</w:t>
                    </w:r>
                  </w:p>
                  <w:p>
                    <w:pPr>
                      <w:spacing w:before="92"/>
                      <w:ind w:left="87" w:right="-11" w:firstLine="0"/>
                      <w:jc w:val="left"/>
                      <w:rPr>
                        <w:rFonts w:ascii="Calibri"/>
                        <w:sz w:val="13"/>
                      </w:rPr>
                    </w:pPr>
                    <w:r>
                      <w:rPr>
                        <w:rFonts w:ascii="Calibri"/>
                        <w:w w:val="120"/>
                        <w:sz w:val="13"/>
                      </w:rPr>
                      <w:t>20</w:t>
                    </w:r>
                  </w:p>
                  <w:p>
                    <w:pPr>
                      <w:spacing w:line="158" w:lineRule="exact" w:before="93"/>
                      <w:ind w:left="152" w:right="0" w:firstLine="0"/>
                      <w:jc w:val="center"/>
                      <w:rPr>
                        <w:rFonts w:ascii="Calibri"/>
                        <w:sz w:val="13"/>
                      </w:rPr>
                    </w:pPr>
                    <w:r>
                      <w:rPr>
                        <w:rFonts w:ascii="Calibri"/>
                        <w:w w:val="119"/>
                        <w:sz w:val="13"/>
                      </w:rPr>
                      <w:t>0</w:t>
                    </w:r>
                  </w:p>
                </w:txbxContent>
              </v:textbox>
              <w10:wrap type="none"/>
            </v:shape>
            <v:shape style="position:absolute;left:3007;top:559;width:4446;height:137" type="#_x0000_t202" filled="false" stroked="false">
              <v:textbox inset="0,0,0,0">
                <w:txbxContent>
                  <w:p>
                    <w:pPr>
                      <w:tabs>
                        <w:tab w:pos="4445" w:val="left" w:leader="none"/>
                      </w:tabs>
                      <w:spacing w:line="136" w:lineRule="exact" w:before="0"/>
                      <w:ind w:left="0" w:right="0" w:firstLine="0"/>
                      <w:jc w:val="left"/>
                      <w:rPr>
                        <w:rFonts w:ascii="Calibri"/>
                        <w:sz w:val="13"/>
                      </w:rPr>
                    </w:pPr>
                    <w:r>
                      <w:rPr>
                        <w:rFonts w:ascii="Calibri"/>
                        <w:w w:val="119"/>
                        <w:sz w:val="13"/>
                        <w:u w:val="thick" w:color="A8423E"/>
                      </w:rPr>
                      <w:t> </w:t>
                    </w:r>
                    <w:r>
                      <w:rPr>
                        <w:rFonts w:ascii="Calibri"/>
                        <w:sz w:val="13"/>
                        <w:u w:val="thick" w:color="A8423E"/>
                      </w:rPr>
                      <w:tab/>
                    </w:r>
                  </w:p>
                </w:txbxContent>
              </v:textbox>
              <w10:wrap type="none"/>
            </v:shape>
            <v:shape style="position:absolute;left:7761;top:388;width:984;height:893" type="#_x0000_t202" filled="false" stroked="false">
              <v:textbox inset="0,0,0,0">
                <w:txbxContent>
                  <w:p>
                    <w:pPr>
                      <w:spacing w:line="117" w:lineRule="exact" w:before="0"/>
                      <w:ind w:left="0" w:right="-12" w:firstLine="0"/>
                      <w:jc w:val="left"/>
                      <w:rPr>
                        <w:b/>
                        <w:sz w:val="11"/>
                      </w:rPr>
                    </w:pPr>
                    <w:r>
                      <w:rPr>
                        <w:b/>
                        <w:w w:val="120"/>
                        <w:sz w:val="11"/>
                      </w:rPr>
                      <w:t>Finlandia : 177</w:t>
                    </w:r>
                  </w:p>
                  <w:p>
                    <w:pPr>
                      <w:spacing w:line="126" w:lineRule="exact" w:before="0"/>
                      <w:ind w:left="0" w:right="-12" w:firstLine="0"/>
                      <w:jc w:val="left"/>
                      <w:rPr>
                        <w:b/>
                        <w:sz w:val="11"/>
                      </w:rPr>
                    </w:pPr>
                    <w:r>
                      <w:rPr>
                        <w:b/>
                        <w:w w:val="120"/>
                        <w:sz w:val="11"/>
                      </w:rPr>
                      <w:t>Suecia: 175</w:t>
                    </w:r>
                  </w:p>
                  <w:p>
                    <w:pPr>
                      <w:spacing w:line="126" w:lineRule="exact" w:before="10"/>
                      <w:ind w:left="0" w:right="-12" w:firstLine="0"/>
                      <w:jc w:val="left"/>
                      <w:rPr>
                        <w:b/>
                        <w:sz w:val="11"/>
                      </w:rPr>
                    </w:pPr>
                    <w:r>
                      <w:rPr>
                        <w:b/>
                        <w:w w:val="120"/>
                        <w:sz w:val="11"/>
                      </w:rPr>
                      <w:t>Dinamarca</w:t>
                    </w:r>
                    <w:r>
                      <w:rPr>
                        <w:b/>
                        <w:spacing w:val="-20"/>
                        <w:w w:val="120"/>
                        <w:sz w:val="11"/>
                      </w:rPr>
                      <w:t> </w:t>
                    </w:r>
                    <w:r>
                      <w:rPr>
                        <w:b/>
                        <w:w w:val="120"/>
                        <w:sz w:val="11"/>
                      </w:rPr>
                      <w:t>:</w:t>
                    </w:r>
                    <w:r>
                      <w:rPr>
                        <w:b/>
                        <w:spacing w:val="-17"/>
                        <w:w w:val="120"/>
                        <w:sz w:val="11"/>
                      </w:rPr>
                      <w:t> </w:t>
                    </w:r>
                    <w:r>
                      <w:rPr>
                        <w:b/>
                        <w:w w:val="120"/>
                        <w:sz w:val="11"/>
                      </w:rPr>
                      <w:t>173</w:t>
                    </w:r>
                  </w:p>
                  <w:p>
                    <w:pPr>
                      <w:spacing w:line="126" w:lineRule="exact" w:before="0"/>
                      <w:ind w:left="0" w:right="-12" w:firstLine="0"/>
                      <w:jc w:val="left"/>
                      <w:rPr>
                        <w:b/>
                        <w:sz w:val="11"/>
                      </w:rPr>
                    </w:pPr>
                    <w:r>
                      <w:rPr>
                        <w:b/>
                        <w:w w:val="120"/>
                        <w:sz w:val="11"/>
                      </w:rPr>
                      <w:t>Alemania: 162</w:t>
                    </w:r>
                  </w:p>
                  <w:p>
                    <w:pPr>
                      <w:spacing w:line="126" w:lineRule="exact" w:before="0"/>
                      <w:ind w:left="0" w:right="-12" w:firstLine="0"/>
                      <w:jc w:val="left"/>
                      <w:rPr>
                        <w:b/>
                        <w:sz w:val="11"/>
                      </w:rPr>
                    </w:pPr>
                    <w:r>
                      <w:rPr>
                        <w:b/>
                        <w:w w:val="120"/>
                        <w:sz w:val="11"/>
                      </w:rPr>
                      <w:t>EUA: 158</w:t>
                    </w:r>
                  </w:p>
                  <w:p>
                    <w:pPr>
                      <w:spacing w:line="259" w:lineRule="auto" w:before="0"/>
                      <w:ind w:left="0" w:right="-12" w:firstLine="0"/>
                      <w:jc w:val="left"/>
                      <w:rPr>
                        <w:b/>
                        <w:sz w:val="11"/>
                      </w:rPr>
                    </w:pPr>
                    <w:r>
                      <w:rPr>
                        <w:b/>
                        <w:w w:val="120"/>
                        <w:sz w:val="11"/>
                      </w:rPr>
                      <w:t>R.U. : 159 España: 151</w:t>
                    </w:r>
                  </w:p>
                </w:txbxContent>
              </v:textbox>
              <w10:wrap type="none"/>
            </v:shape>
            <v:shape style="position:absolute;left:3141;top:1514;width:323;height:137" type="#_x0000_t202" filled="false" stroked="false">
              <v:textbox inset="0,0,0,0">
                <w:txbxContent>
                  <w:p>
                    <w:pPr>
                      <w:spacing w:line="137" w:lineRule="exact" w:before="0"/>
                      <w:ind w:left="0" w:right="-10" w:firstLine="0"/>
                      <w:jc w:val="left"/>
                      <w:rPr>
                        <w:rFonts w:ascii="Arial Black"/>
                        <w:b/>
                        <w:sz w:val="13"/>
                      </w:rPr>
                    </w:pPr>
                    <w:r>
                      <w:rPr>
                        <w:rFonts w:ascii="Arial Black"/>
                        <w:b/>
                        <w:w w:val="120"/>
                        <w:sz w:val="13"/>
                      </w:rPr>
                      <w:t>105</w:t>
                    </w:r>
                  </w:p>
                </w:txbxContent>
              </v:textbox>
              <w10:wrap type="none"/>
            </v:shape>
            <v:shape style="position:absolute;left:4611;top:1603;width:215;height:137" type="#_x0000_t202" filled="false" stroked="false">
              <v:textbox inset="0,0,0,0">
                <w:txbxContent>
                  <w:p>
                    <w:pPr>
                      <w:spacing w:line="136" w:lineRule="exact" w:before="0"/>
                      <w:ind w:left="0" w:right="-14" w:firstLine="0"/>
                      <w:jc w:val="left"/>
                      <w:rPr>
                        <w:rFonts w:ascii="Arial Black"/>
                        <w:b/>
                        <w:sz w:val="13"/>
                      </w:rPr>
                    </w:pPr>
                    <w:r>
                      <w:rPr>
                        <w:rFonts w:ascii="Arial Black"/>
                        <w:b/>
                        <w:w w:val="120"/>
                        <w:sz w:val="13"/>
                      </w:rPr>
                      <w:t>98</w:t>
                    </w:r>
                  </w:p>
                </w:txbxContent>
              </v:textbox>
              <w10:wrap type="none"/>
            </v:shape>
            <v:shape style="position:absolute;left:6086;top:1628;width:215;height:137" type="#_x0000_t202" filled="false" stroked="false">
              <v:textbox inset="0,0,0,0">
                <w:txbxContent>
                  <w:p>
                    <w:pPr>
                      <w:spacing w:line="137" w:lineRule="exact" w:before="0"/>
                      <w:ind w:left="0" w:right="-14" w:firstLine="0"/>
                      <w:jc w:val="left"/>
                      <w:rPr>
                        <w:rFonts w:ascii="Arial Black"/>
                        <w:b/>
                        <w:sz w:val="13"/>
                      </w:rPr>
                    </w:pPr>
                    <w:r>
                      <w:rPr>
                        <w:rFonts w:ascii="Arial Black"/>
                        <w:b/>
                        <w:w w:val="120"/>
                        <w:sz w:val="13"/>
                      </w:rPr>
                      <w:t>96</w:t>
                    </w:r>
                  </w:p>
                </w:txbxContent>
              </v:textbox>
              <w10:wrap type="none"/>
            </v:shape>
            <v:shape style="position:absolute;left:7560;top:1653;width:215;height:137" type="#_x0000_t202" filled="false" stroked="false">
              <v:textbox inset="0,0,0,0">
                <w:txbxContent>
                  <w:p>
                    <w:pPr>
                      <w:spacing w:line="137" w:lineRule="exact" w:before="0"/>
                      <w:ind w:left="0" w:right="-14" w:firstLine="0"/>
                      <w:jc w:val="left"/>
                      <w:rPr>
                        <w:rFonts w:ascii="Arial Black"/>
                        <w:b/>
                        <w:sz w:val="13"/>
                      </w:rPr>
                    </w:pPr>
                    <w:r>
                      <w:rPr>
                        <w:rFonts w:ascii="Arial Black"/>
                        <w:b/>
                        <w:w w:val="120"/>
                        <w:sz w:val="13"/>
                      </w:rPr>
                      <w:t>94</w:t>
                    </w:r>
                  </w:p>
                </w:txbxContent>
              </v:textbox>
              <w10:wrap type="none"/>
            </v:shape>
            <v:shape style="position:absolute;left:7884;top:1648;width:610;height:116" type="#_x0000_t202" filled="false" stroked="false">
              <v:textbox inset="0,0,0,0">
                <w:txbxContent>
                  <w:p>
                    <w:pPr>
                      <w:spacing w:line="115" w:lineRule="exact" w:before="0"/>
                      <w:ind w:left="0" w:right="-17" w:firstLine="0"/>
                      <w:jc w:val="left"/>
                      <w:rPr>
                        <w:b/>
                        <w:sz w:val="11"/>
                      </w:rPr>
                    </w:pPr>
                    <w:r>
                      <w:rPr>
                        <w:b/>
                        <w:w w:val="120"/>
                        <w:sz w:val="11"/>
                      </w:rPr>
                      <w:t>México</w:t>
                    </w:r>
                    <w:r>
                      <w:rPr>
                        <w:b/>
                        <w:spacing w:val="-24"/>
                        <w:w w:val="120"/>
                        <w:sz w:val="11"/>
                      </w:rPr>
                      <w:t> </w:t>
                    </w:r>
                    <w:r>
                      <w:rPr>
                        <w:b/>
                        <w:w w:val="120"/>
                        <w:sz w:val="11"/>
                      </w:rPr>
                      <w:t>94</w:t>
                    </w:r>
                  </w:p>
                </w:txbxContent>
              </v:textbox>
              <w10:wrap type="none"/>
            </v:shape>
            <v:shape style="position:absolute;left:2834;top:3007;width:4759;height:137" type="#_x0000_t202" filled="false" stroked="false">
              <v:textbox inset="0,0,0,0">
                <w:txbxContent>
                  <w:p>
                    <w:pPr>
                      <w:tabs>
                        <w:tab w:pos="1474" w:val="left" w:leader="none"/>
                        <w:tab w:pos="2949" w:val="left" w:leader="none"/>
                        <w:tab w:pos="4424" w:val="left" w:leader="none"/>
                      </w:tabs>
                      <w:spacing w:line="136" w:lineRule="exact" w:before="0"/>
                      <w:ind w:left="0" w:right="0" w:firstLine="0"/>
                      <w:jc w:val="left"/>
                      <w:rPr>
                        <w:rFonts w:ascii="Calibri"/>
                        <w:sz w:val="13"/>
                      </w:rPr>
                    </w:pPr>
                    <w:r>
                      <w:rPr>
                        <w:rFonts w:ascii="Calibri"/>
                        <w:spacing w:val="3"/>
                        <w:w w:val="120"/>
                        <w:sz w:val="13"/>
                      </w:rPr>
                      <w:t>2008</w:t>
                      <w:tab/>
                      <w:t>2009</w:t>
                      <w:tab/>
                      <w:t>2010</w:t>
                      <w:tab/>
                    </w:r>
                    <w:r>
                      <w:rPr>
                        <w:rFonts w:ascii="Calibri"/>
                        <w:spacing w:val="4"/>
                        <w:w w:val="120"/>
                        <w:sz w:val="13"/>
                      </w:rPr>
                      <w:t>2011</w:t>
                    </w:r>
                  </w:p>
                </w:txbxContent>
              </v:textbox>
              <w10:wrap type="none"/>
            </v:shape>
            <w10:wrap type="topAndBottom"/>
          </v:group>
        </w:pict>
      </w:r>
    </w:p>
    <w:p>
      <w:pPr>
        <w:spacing w:line="137" w:lineRule="exact" w:before="117"/>
        <w:ind w:left="809" w:right="132" w:firstLine="0"/>
        <w:jc w:val="left"/>
        <w:rPr>
          <w:sz w:val="12"/>
        </w:rPr>
      </w:pPr>
      <w:r>
        <w:rPr>
          <w:sz w:val="12"/>
        </w:rPr>
        <w:t>FUENTE:      Elaboración propia con base en:</w:t>
      </w:r>
    </w:p>
    <w:p>
      <w:pPr>
        <w:spacing w:line="240" w:lineRule="auto" w:before="0"/>
        <w:ind w:left="1517" w:right="4157" w:firstLine="0"/>
        <w:jc w:val="left"/>
        <w:rPr>
          <w:sz w:val="12"/>
        </w:rPr>
      </w:pPr>
      <w:r>
        <w:rPr>
          <w:sz w:val="12"/>
        </w:rPr>
        <w:t>Fund for peace, Foreign Policy, </w:t>
      </w:r>
      <w:r>
        <w:rPr>
          <w:i/>
          <w:sz w:val="12"/>
        </w:rPr>
        <w:t>The falied States Index </w:t>
      </w:r>
      <w:r>
        <w:rPr>
          <w:sz w:val="12"/>
        </w:rPr>
        <w:t>Disponible en: </w:t>
      </w:r>
      <w:hyperlink r:id="rId52">
        <w:r>
          <w:rPr>
            <w:color w:val="0000FF"/>
            <w:sz w:val="12"/>
            <w:u w:val="single" w:color="0000FF"/>
          </w:rPr>
          <w:t>http://www.fundforpeace.org/global/?q=fsi</w:t>
        </w:r>
        <w:r>
          <w:rPr>
            <w:color w:val="0000FF"/>
            <w:sz w:val="12"/>
          </w:rPr>
          <w:t>t</w:t>
        </w:r>
      </w:hyperlink>
      <w:r>
        <w:rPr>
          <w:color w:val="0000FF"/>
          <w:sz w:val="12"/>
        </w:rPr>
        <w:t> </w:t>
      </w:r>
      <w:r>
        <w:rPr>
          <w:sz w:val="12"/>
        </w:rPr>
        <w:t>[Fecha de consulta: 4 de octubre, 2015]</w:t>
      </w:r>
    </w:p>
    <w:p>
      <w:pPr>
        <w:pStyle w:val="BodyText"/>
        <w:rPr>
          <w:sz w:val="12"/>
        </w:rPr>
      </w:pPr>
    </w:p>
    <w:p>
      <w:pPr>
        <w:pStyle w:val="BodyText"/>
        <w:rPr>
          <w:sz w:val="12"/>
        </w:rPr>
      </w:pPr>
    </w:p>
    <w:p>
      <w:pPr>
        <w:pStyle w:val="BodyText"/>
        <w:spacing w:before="11"/>
        <w:rPr>
          <w:sz w:val="11"/>
        </w:rPr>
      </w:pPr>
    </w:p>
    <w:p>
      <w:pPr>
        <w:spacing w:before="0"/>
        <w:ind w:left="100" w:right="0" w:firstLine="0"/>
        <w:jc w:val="both"/>
        <w:rPr>
          <w:i/>
          <w:sz w:val="24"/>
        </w:rPr>
      </w:pPr>
      <w:r>
        <w:rPr>
          <w:i/>
          <w:sz w:val="24"/>
        </w:rPr>
        <w:t>Corrupción</w:t>
      </w:r>
    </w:p>
    <w:p>
      <w:pPr>
        <w:pStyle w:val="ListParagraph"/>
        <w:numPr>
          <w:ilvl w:val="0"/>
          <w:numId w:val="37"/>
        </w:numPr>
        <w:tabs>
          <w:tab w:pos="381" w:val="left" w:leader="none"/>
        </w:tabs>
        <w:spacing w:line="240" w:lineRule="auto" w:before="140" w:after="0"/>
        <w:ind w:left="380" w:right="0" w:hanging="280"/>
        <w:jc w:val="both"/>
        <w:rPr>
          <w:i/>
          <w:sz w:val="24"/>
        </w:rPr>
      </w:pPr>
      <w:r>
        <w:rPr>
          <w:i/>
          <w:sz w:val="24"/>
        </w:rPr>
        <w:t>Índice de Opacidad,</w:t>
      </w:r>
      <w:r>
        <w:rPr>
          <w:i/>
          <w:spacing w:val="-16"/>
          <w:sz w:val="24"/>
        </w:rPr>
        <w:t> </w:t>
      </w:r>
      <w:r>
        <w:rPr>
          <w:i/>
          <w:sz w:val="24"/>
        </w:rPr>
        <w:t>2009</w:t>
      </w:r>
    </w:p>
    <w:p>
      <w:pPr>
        <w:pStyle w:val="BodyText"/>
        <w:rPr>
          <w:i/>
        </w:rPr>
      </w:pPr>
    </w:p>
    <w:p>
      <w:pPr>
        <w:pStyle w:val="BodyText"/>
        <w:rPr>
          <w:i/>
        </w:rPr>
      </w:pPr>
    </w:p>
    <w:p>
      <w:pPr>
        <w:pStyle w:val="BodyText"/>
        <w:spacing w:line="360" w:lineRule="auto"/>
        <w:ind w:left="100" w:right="113" w:firstLine="427"/>
        <w:jc w:val="both"/>
      </w:pPr>
      <w:r>
        <w:rPr/>
        <w:t>El índices publicado por </w:t>
      </w:r>
      <w:r>
        <w:rPr>
          <w:i/>
        </w:rPr>
        <w:t>Milken Institute</w:t>
      </w:r>
      <w:r>
        <w:rPr/>
        <w:t>con la finalidad de apoyar con información a los diseñadores las políticas públicas para identificar e implementar ideas innovadoras. El índice se presentó para 48 países y enfatiza los riesgos económicos que afectan la inversión extranjera de algunas economías.</w:t>
      </w:r>
    </w:p>
    <w:p>
      <w:pPr>
        <w:pStyle w:val="BodyText"/>
        <w:spacing w:line="360" w:lineRule="auto" w:before="6"/>
        <w:ind w:left="100" w:right="119" w:firstLine="427"/>
        <w:jc w:val="both"/>
      </w:pPr>
      <w:r>
        <w:rPr/>
        <w:t>La escala de 0 a 100 puntos indica más opacidad para valores cercanos a 100 y los cercanos a 0, más transparencia. Consideró 65 variables provistas por el Banco Mundial, el Fondo Monetario Internacional y por las autoridades locales.</w:t>
      </w:r>
    </w:p>
    <w:p>
      <w:pPr>
        <w:spacing w:after="0" w:line="360" w:lineRule="auto"/>
        <w:jc w:val="both"/>
        <w:sectPr>
          <w:pgSz w:w="12240" w:h="15840"/>
          <w:pgMar w:header="0" w:footer="998" w:top="1360" w:bottom="1180" w:left="1600" w:right="1580"/>
        </w:sectPr>
      </w:pPr>
    </w:p>
    <w:p>
      <w:pPr>
        <w:pStyle w:val="BodyText"/>
        <w:spacing w:line="360" w:lineRule="auto" w:before="55"/>
        <w:ind w:left="120" w:right="117" w:firstLine="427"/>
        <w:jc w:val="both"/>
      </w:pPr>
      <w:r>
        <w:rPr/>
        <w:t>De</w:t>
      </w:r>
      <w:r>
        <w:rPr>
          <w:spacing w:val="-13"/>
        </w:rPr>
        <w:t> </w:t>
      </w:r>
      <w:r>
        <w:rPr/>
        <w:t>acuerdo</w:t>
      </w:r>
      <w:r>
        <w:rPr>
          <w:spacing w:val="-13"/>
        </w:rPr>
        <w:t> </w:t>
      </w:r>
      <w:r>
        <w:rPr/>
        <w:t>con</w:t>
      </w:r>
      <w:r>
        <w:rPr>
          <w:spacing w:val="-13"/>
        </w:rPr>
        <w:t> </w:t>
      </w:r>
      <w:r>
        <w:rPr/>
        <w:t>los</w:t>
      </w:r>
      <w:r>
        <w:rPr>
          <w:spacing w:val="-10"/>
        </w:rPr>
        <w:t> </w:t>
      </w:r>
      <w:r>
        <w:rPr/>
        <w:t>resultados</w:t>
      </w:r>
      <w:r>
        <w:rPr>
          <w:spacing w:val="-11"/>
        </w:rPr>
        <w:t> </w:t>
      </w:r>
      <w:r>
        <w:rPr/>
        <w:t>del</w:t>
      </w:r>
      <w:r>
        <w:rPr>
          <w:spacing w:val="-12"/>
        </w:rPr>
        <w:t> </w:t>
      </w:r>
      <w:r>
        <w:rPr/>
        <w:t>estudio</w:t>
      </w:r>
      <w:r>
        <w:rPr>
          <w:spacing w:val="-13"/>
        </w:rPr>
        <w:t> </w:t>
      </w:r>
      <w:r>
        <w:rPr/>
        <w:t>en</w:t>
      </w:r>
      <w:r>
        <w:rPr>
          <w:spacing w:val="-13"/>
        </w:rPr>
        <w:t> </w:t>
      </w:r>
      <w:r>
        <w:rPr/>
        <w:t>2009,</w:t>
      </w:r>
      <w:r>
        <w:rPr>
          <w:spacing w:val="-10"/>
        </w:rPr>
        <w:t> </w:t>
      </w:r>
      <w:r>
        <w:rPr/>
        <w:t>los</w:t>
      </w:r>
      <w:r>
        <w:rPr>
          <w:spacing w:val="-11"/>
        </w:rPr>
        <w:t> </w:t>
      </w:r>
      <w:r>
        <w:rPr/>
        <w:t>países</w:t>
      </w:r>
      <w:r>
        <w:rPr>
          <w:spacing w:val="-11"/>
        </w:rPr>
        <w:t> </w:t>
      </w:r>
      <w:r>
        <w:rPr/>
        <w:t>con</w:t>
      </w:r>
      <w:r>
        <w:rPr>
          <w:spacing w:val="-13"/>
        </w:rPr>
        <w:t> </w:t>
      </w:r>
      <w:r>
        <w:rPr/>
        <w:t>menor</w:t>
      </w:r>
      <w:r>
        <w:rPr>
          <w:spacing w:val="-11"/>
        </w:rPr>
        <w:t> </w:t>
      </w:r>
      <w:r>
        <w:rPr/>
        <w:t>índice de opacidad</w:t>
      </w:r>
      <w:r>
        <w:rPr>
          <w:position w:val="8"/>
          <w:sz w:val="16"/>
        </w:rPr>
        <w:t>32 </w:t>
      </w:r>
      <w:r>
        <w:rPr/>
        <w:t>fueron Finlandia, Hong Kong y Singapur. México obtuvo una calificación de 37 puntos (posición 33 de 48), con lo que retrocedió 2 posiciones respecto del estudio</w:t>
      </w:r>
      <w:r>
        <w:rPr>
          <w:spacing w:val="-19"/>
        </w:rPr>
        <w:t> </w:t>
      </w:r>
      <w:r>
        <w:rPr/>
        <w:t>previo.</w:t>
      </w:r>
    </w:p>
    <w:p>
      <w:pPr>
        <w:pStyle w:val="BodyText"/>
      </w:pPr>
    </w:p>
    <w:p>
      <w:pPr>
        <w:pStyle w:val="BodyText"/>
        <w:spacing w:before="1"/>
        <w:rPr>
          <w:sz w:val="35"/>
        </w:rPr>
      </w:pPr>
    </w:p>
    <w:p>
      <w:pPr>
        <w:spacing w:before="0"/>
        <w:ind w:left="2877" w:right="0" w:firstLine="0"/>
        <w:jc w:val="left"/>
        <w:rPr>
          <w:sz w:val="20"/>
        </w:rPr>
      </w:pPr>
      <w:r>
        <w:rPr/>
        <w:pict>
          <v:group style="position:absolute;margin-left:85.316261pt;margin-top:21.573919pt;width:441.4pt;height:172.55pt;mso-position-horizontal-relative:page;mso-position-vertical-relative:paragraph;z-index:-354232" coordorigin="1706,431" coordsize="8828,3451">
            <v:rect style="position:absolute;left:8219;top:2495;width:683;height:665" filled="true" fillcolor="#4f81bc" stroked="false">
              <v:fill type="solid"/>
            </v:rect>
            <v:shape style="position:absolute;left:7;top:7764;width:10035;height:4320" coordorigin="7,7764" coordsize="10035,4320" path="m2271,3160l2271,946m2214,3160l2271,3160m2214,2883l2271,2883m2214,2606l2271,2606m2214,2329l2271,2329m2214,2052l2271,2052m2214,1777l2271,1777m2214,1500l2271,1500m2214,1223l2271,1223m2214,946l2271,946m2271,3160l10013,3160m2271,3160l2271,3202m3239,3160l3239,3202m4207,3160l4207,3202m5174,3160l5174,3202m6142,3160l6142,3202m7110,3160l7110,3202m8078,3160l8078,3202m9045,3160l9045,3202m10013,3160l10013,3202m1712,3876l10528,3876,10528,437,1712,437,1712,3876xe" filled="false" stroked="true" strokeweight=".602806pt" strokecolor="#858585">
              <v:path arrowok="t"/>
            </v:shape>
            <v:shape style="position:absolute;left:4296;top:736;width:3796;height:215" coordorigin="4296,736" coordsize="3796,215" path="m7942,867l7868,906,7860,912,7855,921,7855,930,7858,939,7865,946,7874,950,7884,950,7894,947,8046,868,8039,868,7942,867xm7987,844l7942,867,8039,868,8039,864,8026,864,7987,844xm7885,736l7875,737,7866,741,7859,748,7855,757,7856,766,7860,774,7868,780,7942,820,8039,820,8039,868,8046,868,8092,844,7895,739,7885,736xm4296,808l4296,856,7942,867,7987,844,7942,820,4296,808xm8026,823l7987,844,8026,864,8026,823xm8039,823l8026,823,8026,864,8039,864,8039,823xm7942,820l7987,844,8026,823,8039,823,8039,820,7942,820xe" filled="true" fillcolor="#497dba" stroked="false">
              <v:path arrowok="t"/>
              <v:fill type="solid"/>
            </v:shape>
            <v:shape style="position:absolute;left:1929;top:872;width:178;height:2373" type="#_x0000_t202" filled="false" stroked="false">
              <v:textbox inset="0,0,0,0">
                <w:txbxContent>
                  <w:p>
                    <w:pPr>
                      <w:spacing w:line="162" w:lineRule="exact" w:before="0"/>
                      <w:ind w:left="0" w:right="-19" w:firstLine="0"/>
                      <w:jc w:val="left"/>
                      <w:rPr>
                        <w:rFonts w:ascii="Calibri"/>
                        <w:sz w:val="16"/>
                      </w:rPr>
                    </w:pPr>
                    <w:r>
                      <w:rPr>
                        <w:rFonts w:ascii="Calibri"/>
                        <w:spacing w:val="-1"/>
                        <w:w w:val="110"/>
                        <w:sz w:val="16"/>
                      </w:rPr>
                      <w:t>40</w:t>
                    </w:r>
                  </w:p>
                  <w:p>
                    <w:pPr>
                      <w:spacing w:before="81"/>
                      <w:ind w:left="0" w:right="-19" w:firstLine="0"/>
                      <w:jc w:val="left"/>
                      <w:rPr>
                        <w:rFonts w:ascii="Calibri"/>
                        <w:sz w:val="16"/>
                      </w:rPr>
                    </w:pPr>
                    <w:r>
                      <w:rPr>
                        <w:rFonts w:ascii="Calibri"/>
                        <w:spacing w:val="-1"/>
                        <w:w w:val="110"/>
                        <w:sz w:val="16"/>
                      </w:rPr>
                      <w:t>35</w:t>
                    </w:r>
                  </w:p>
                  <w:p>
                    <w:pPr>
                      <w:spacing w:before="81"/>
                      <w:ind w:left="0" w:right="-19" w:firstLine="0"/>
                      <w:jc w:val="left"/>
                      <w:rPr>
                        <w:rFonts w:ascii="Calibri"/>
                        <w:sz w:val="16"/>
                      </w:rPr>
                    </w:pPr>
                    <w:r>
                      <w:rPr>
                        <w:rFonts w:ascii="Calibri"/>
                        <w:spacing w:val="-1"/>
                        <w:w w:val="110"/>
                        <w:sz w:val="16"/>
                      </w:rPr>
                      <w:t>30</w:t>
                    </w:r>
                  </w:p>
                  <w:p>
                    <w:pPr>
                      <w:spacing w:before="81"/>
                      <w:ind w:left="0" w:right="-19" w:firstLine="0"/>
                      <w:jc w:val="left"/>
                      <w:rPr>
                        <w:rFonts w:ascii="Calibri"/>
                        <w:sz w:val="16"/>
                      </w:rPr>
                    </w:pPr>
                    <w:r>
                      <w:rPr>
                        <w:rFonts w:ascii="Calibri"/>
                        <w:spacing w:val="-1"/>
                        <w:w w:val="110"/>
                        <w:sz w:val="16"/>
                      </w:rPr>
                      <w:t>25</w:t>
                    </w:r>
                  </w:p>
                  <w:p>
                    <w:pPr>
                      <w:spacing w:before="81"/>
                      <w:ind w:left="0" w:right="-19" w:firstLine="0"/>
                      <w:jc w:val="left"/>
                      <w:rPr>
                        <w:rFonts w:ascii="Calibri"/>
                        <w:sz w:val="16"/>
                      </w:rPr>
                    </w:pPr>
                    <w:r>
                      <w:rPr>
                        <w:rFonts w:ascii="Calibri"/>
                        <w:spacing w:val="-1"/>
                        <w:w w:val="110"/>
                        <w:sz w:val="16"/>
                      </w:rPr>
                      <w:t>20</w:t>
                    </w:r>
                  </w:p>
                  <w:p>
                    <w:pPr>
                      <w:spacing w:before="81"/>
                      <w:ind w:left="0" w:right="-19" w:firstLine="0"/>
                      <w:jc w:val="left"/>
                      <w:rPr>
                        <w:rFonts w:ascii="Calibri"/>
                        <w:sz w:val="16"/>
                      </w:rPr>
                    </w:pPr>
                    <w:r>
                      <w:rPr>
                        <w:rFonts w:ascii="Calibri"/>
                        <w:spacing w:val="-1"/>
                        <w:w w:val="110"/>
                        <w:sz w:val="16"/>
                      </w:rPr>
                      <w:t>15</w:t>
                    </w:r>
                  </w:p>
                  <w:p>
                    <w:pPr>
                      <w:spacing w:before="81"/>
                      <w:ind w:left="0" w:right="-19" w:firstLine="0"/>
                      <w:jc w:val="left"/>
                      <w:rPr>
                        <w:rFonts w:ascii="Calibri"/>
                        <w:sz w:val="16"/>
                      </w:rPr>
                    </w:pPr>
                    <w:r>
                      <w:rPr>
                        <w:rFonts w:ascii="Calibri"/>
                        <w:spacing w:val="-1"/>
                        <w:w w:val="110"/>
                        <w:sz w:val="16"/>
                      </w:rPr>
                      <w:t>10</w:t>
                    </w:r>
                  </w:p>
                  <w:p>
                    <w:pPr>
                      <w:spacing w:before="81"/>
                      <w:ind w:left="88" w:right="0" w:firstLine="0"/>
                      <w:jc w:val="left"/>
                      <w:rPr>
                        <w:rFonts w:ascii="Calibri"/>
                        <w:sz w:val="16"/>
                      </w:rPr>
                    </w:pPr>
                    <w:r>
                      <w:rPr>
                        <w:rFonts w:ascii="Calibri"/>
                        <w:w w:val="109"/>
                        <w:sz w:val="16"/>
                      </w:rPr>
                      <w:t>5</w:t>
                    </w:r>
                  </w:p>
                  <w:p>
                    <w:pPr>
                      <w:spacing w:line="192" w:lineRule="exact" w:before="81"/>
                      <w:ind w:left="88" w:right="0" w:firstLine="0"/>
                      <w:jc w:val="left"/>
                      <w:rPr>
                        <w:rFonts w:ascii="Calibri"/>
                        <w:sz w:val="16"/>
                      </w:rPr>
                    </w:pPr>
                    <w:r>
                      <w:rPr>
                        <w:rFonts w:ascii="Calibri"/>
                        <w:w w:val="109"/>
                        <w:sz w:val="16"/>
                      </w:rPr>
                      <w:t>0</w:t>
                    </w:r>
                  </w:p>
                </w:txbxContent>
              </v:textbox>
              <w10:wrap type="none"/>
            </v:shape>
            <v:shape style="position:absolute;left:2366;top:735;width:1472;height:176" type="#_x0000_t202" filled="false" stroked="false">
              <v:textbox inset="0,0,0,0">
                <w:txbxContent>
                  <w:p>
                    <w:pPr>
                      <w:spacing w:line="176" w:lineRule="exact" w:before="0"/>
                      <w:ind w:left="0" w:right="-17" w:firstLine="0"/>
                      <w:jc w:val="left"/>
                      <w:rPr>
                        <w:b/>
                        <w:sz w:val="17"/>
                      </w:rPr>
                    </w:pPr>
                    <w:r>
                      <w:rPr>
                        <w:b/>
                        <w:color w:val="FF0000"/>
                        <w:w w:val="115"/>
                        <w:sz w:val="17"/>
                      </w:rPr>
                      <w:t>Mayor</w:t>
                    </w:r>
                    <w:r>
                      <w:rPr>
                        <w:b/>
                        <w:color w:val="FF0000"/>
                        <w:spacing w:val="-20"/>
                        <w:w w:val="115"/>
                        <w:sz w:val="17"/>
                      </w:rPr>
                      <w:t> </w:t>
                    </w:r>
                    <w:r>
                      <w:rPr>
                        <w:b/>
                        <w:color w:val="FF0000"/>
                        <w:w w:val="115"/>
                        <w:sz w:val="17"/>
                      </w:rPr>
                      <w:t>opacidad</w:t>
                    </w:r>
                  </w:p>
                </w:txbxContent>
              </v:textbox>
              <w10:wrap type="none"/>
            </v:shape>
            <v:shape style="position:absolute;left:8305;top:779;width:1894;height:176" type="#_x0000_t202" filled="false" stroked="false">
              <v:textbox inset="0,0,0,0">
                <w:txbxContent>
                  <w:p>
                    <w:pPr>
                      <w:spacing w:line="176" w:lineRule="exact" w:before="0"/>
                      <w:ind w:left="0" w:right="-16" w:firstLine="0"/>
                      <w:jc w:val="left"/>
                      <w:rPr>
                        <w:b/>
                        <w:sz w:val="17"/>
                      </w:rPr>
                    </w:pPr>
                    <w:r>
                      <w:rPr>
                        <w:b/>
                        <w:color w:val="375F92"/>
                        <w:w w:val="115"/>
                        <w:sz w:val="17"/>
                      </w:rPr>
                      <w:t>Mayor</w:t>
                    </w:r>
                    <w:r>
                      <w:rPr>
                        <w:b/>
                        <w:color w:val="375F92"/>
                        <w:spacing w:val="-23"/>
                        <w:w w:val="115"/>
                        <w:sz w:val="17"/>
                      </w:rPr>
                      <w:t> </w:t>
                    </w:r>
                    <w:r>
                      <w:rPr>
                        <w:b/>
                        <w:color w:val="375F92"/>
                        <w:w w:val="115"/>
                        <w:sz w:val="17"/>
                      </w:rPr>
                      <w:t>transparencia</w:t>
                    </w:r>
                  </w:p>
                </w:txbxContent>
              </v:textbox>
              <w10:wrap type="none"/>
            </v:shape>
            <v:shape style="position:absolute;left:5623;top:2423;width:194;height:159" type="#_x0000_t202" filled="false" stroked="false">
              <v:textbox inset="0,0,0,0">
                <w:txbxContent>
                  <w:p>
                    <w:pPr>
                      <w:spacing w:line="159" w:lineRule="exact" w:before="0"/>
                      <w:ind w:left="0" w:right="-13" w:firstLine="0"/>
                      <w:jc w:val="left"/>
                      <w:rPr>
                        <w:b/>
                        <w:sz w:val="16"/>
                      </w:rPr>
                    </w:pPr>
                    <w:r>
                      <w:rPr>
                        <w:b/>
                        <w:color w:val="FFFFFF"/>
                        <w:w w:val="105"/>
                        <w:sz w:val="16"/>
                      </w:rPr>
                      <w:t>18</w:t>
                    </w:r>
                  </w:p>
                </w:txbxContent>
              </v:textbox>
              <w10:wrap type="none"/>
            </v:shape>
            <w10:wrap type="none"/>
          </v:group>
        </w:pict>
      </w:r>
      <w:bookmarkStart w:name="_bookmark26" w:id="39"/>
      <w:bookmarkEnd w:id="39"/>
      <w:r>
        <w:rPr/>
      </w:r>
      <w:r>
        <w:rPr>
          <w:sz w:val="20"/>
        </w:rPr>
        <w:t>Grafica 1.3. Índice de opacidad, 2009</w:t>
      </w:r>
    </w:p>
    <w:p>
      <w:pPr>
        <w:pStyle w:val="BodyText"/>
        <w:rPr>
          <w:sz w:val="20"/>
        </w:rPr>
      </w:pPr>
    </w:p>
    <w:p>
      <w:pPr>
        <w:pStyle w:val="BodyText"/>
        <w:rPr>
          <w:sz w:val="20"/>
        </w:rPr>
      </w:pPr>
    </w:p>
    <w:p>
      <w:pPr>
        <w:pStyle w:val="BodyText"/>
        <w:rPr>
          <w:sz w:val="20"/>
        </w:rPr>
      </w:pPr>
    </w:p>
    <w:p>
      <w:pPr>
        <w:pStyle w:val="BodyText"/>
        <w:spacing w:before="7" w:after="1"/>
        <w:rPr>
          <w:sz w:val="16"/>
        </w:rPr>
      </w:pPr>
    </w:p>
    <w:tbl>
      <w:tblPr>
        <w:tblW w:w="0" w:type="auto"/>
        <w:jc w:val="left"/>
        <w:tblInd w:w="6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
        <w:gridCol w:w="681"/>
        <w:gridCol w:w="287"/>
        <w:gridCol w:w="681"/>
        <w:gridCol w:w="287"/>
        <w:gridCol w:w="681"/>
        <w:gridCol w:w="287"/>
        <w:gridCol w:w="681"/>
        <w:gridCol w:w="287"/>
        <w:gridCol w:w="681"/>
        <w:gridCol w:w="285"/>
        <w:gridCol w:w="683"/>
        <w:gridCol w:w="1252"/>
        <w:gridCol w:w="683"/>
      </w:tblGrid>
      <w:tr>
        <w:trPr>
          <w:trHeight w:val="609" w:hRule="exact"/>
        </w:trPr>
        <w:tc>
          <w:tcPr>
            <w:tcW w:w="143" w:type="dxa"/>
            <w:vMerge w:val="restart"/>
          </w:tcPr>
          <w:p>
            <w:pPr/>
          </w:p>
        </w:tc>
        <w:tc>
          <w:tcPr>
            <w:tcW w:w="681" w:type="dxa"/>
            <w:shd w:val="clear" w:color="auto" w:fill="FF0000"/>
          </w:tcPr>
          <w:p>
            <w:pPr>
              <w:pStyle w:val="TableParagraph"/>
              <w:rPr>
                <w:sz w:val="16"/>
              </w:rPr>
            </w:pPr>
          </w:p>
          <w:p>
            <w:pPr>
              <w:pStyle w:val="TableParagraph"/>
              <w:spacing w:before="102"/>
              <w:ind w:left="65" w:right="41"/>
              <w:jc w:val="center"/>
              <w:rPr>
                <w:b/>
                <w:sz w:val="16"/>
              </w:rPr>
            </w:pPr>
            <w:r>
              <w:rPr>
                <w:b/>
                <w:color w:val="FFFFFF"/>
                <w:w w:val="110"/>
                <w:sz w:val="16"/>
              </w:rPr>
              <w:t>37</w:t>
            </w:r>
          </w:p>
        </w:tc>
        <w:tc>
          <w:tcPr>
            <w:tcW w:w="287" w:type="dxa"/>
          </w:tcPr>
          <w:p>
            <w:pPr/>
          </w:p>
        </w:tc>
        <w:tc>
          <w:tcPr>
            <w:tcW w:w="681" w:type="dxa"/>
          </w:tcPr>
          <w:p>
            <w:pPr/>
          </w:p>
        </w:tc>
        <w:tc>
          <w:tcPr>
            <w:tcW w:w="287" w:type="dxa"/>
          </w:tcPr>
          <w:p>
            <w:pPr/>
          </w:p>
        </w:tc>
        <w:tc>
          <w:tcPr>
            <w:tcW w:w="681" w:type="dxa"/>
          </w:tcPr>
          <w:p>
            <w:pPr/>
          </w:p>
        </w:tc>
        <w:tc>
          <w:tcPr>
            <w:tcW w:w="287" w:type="dxa"/>
          </w:tcPr>
          <w:p>
            <w:pPr/>
          </w:p>
        </w:tc>
        <w:tc>
          <w:tcPr>
            <w:tcW w:w="681" w:type="dxa"/>
          </w:tcPr>
          <w:p>
            <w:pPr/>
          </w:p>
        </w:tc>
        <w:tc>
          <w:tcPr>
            <w:tcW w:w="3871" w:type="dxa"/>
            <w:gridSpan w:val="6"/>
            <w:vMerge w:val="restart"/>
          </w:tcPr>
          <w:p>
            <w:pPr/>
          </w:p>
        </w:tc>
      </w:tr>
      <w:tr>
        <w:trPr>
          <w:trHeight w:val="220"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tcPr>
          <w:p>
            <w:pPr/>
          </w:p>
        </w:tc>
        <w:tc>
          <w:tcPr>
            <w:tcW w:w="287" w:type="dxa"/>
          </w:tcPr>
          <w:p>
            <w:pPr/>
          </w:p>
        </w:tc>
        <w:tc>
          <w:tcPr>
            <w:tcW w:w="681" w:type="dxa"/>
          </w:tcPr>
          <w:p>
            <w:pPr/>
          </w:p>
        </w:tc>
        <w:tc>
          <w:tcPr>
            <w:tcW w:w="3871" w:type="dxa"/>
            <w:gridSpan w:val="6"/>
            <w:vMerge/>
          </w:tcPr>
          <w:p>
            <w:pPr/>
          </w:p>
        </w:tc>
      </w:tr>
      <w:tr>
        <w:trPr>
          <w:trHeight w:val="222"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Style w:val="TableParagraph"/>
              <w:spacing w:before="2"/>
              <w:ind w:left="65" w:right="12"/>
              <w:jc w:val="center"/>
              <w:rPr>
                <w:b/>
                <w:sz w:val="16"/>
              </w:rPr>
            </w:pPr>
            <w:r>
              <w:rPr>
                <w:b/>
                <w:color w:val="FFFFFF"/>
                <w:w w:val="110"/>
                <w:sz w:val="16"/>
              </w:rPr>
              <w:t>26</w:t>
            </w:r>
          </w:p>
        </w:tc>
        <w:tc>
          <w:tcPr>
            <w:tcW w:w="287" w:type="dxa"/>
          </w:tcPr>
          <w:p>
            <w:pPr/>
          </w:p>
        </w:tc>
        <w:tc>
          <w:tcPr>
            <w:tcW w:w="681" w:type="dxa"/>
            <w:shd w:val="clear" w:color="auto" w:fill="4F81BC"/>
          </w:tcPr>
          <w:p>
            <w:pPr/>
          </w:p>
        </w:tc>
        <w:tc>
          <w:tcPr>
            <w:tcW w:w="287" w:type="dxa"/>
          </w:tcPr>
          <w:p>
            <w:pPr/>
          </w:p>
        </w:tc>
        <w:tc>
          <w:tcPr>
            <w:tcW w:w="681" w:type="dxa"/>
          </w:tcPr>
          <w:p>
            <w:pPr/>
          </w:p>
        </w:tc>
        <w:tc>
          <w:tcPr>
            <w:tcW w:w="3871" w:type="dxa"/>
            <w:gridSpan w:val="6"/>
            <w:vMerge/>
          </w:tcPr>
          <w:p>
            <w:pPr/>
          </w:p>
        </w:tc>
      </w:tr>
      <w:tr>
        <w:trPr>
          <w:trHeight w:val="55"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3871" w:type="dxa"/>
            <w:gridSpan w:val="6"/>
            <w:vMerge/>
          </w:tcPr>
          <w:p>
            <w:pPr/>
          </w:p>
        </w:tc>
      </w:tr>
      <w:tr>
        <w:trPr>
          <w:trHeight w:val="166"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Style w:val="TableParagraph"/>
              <w:spacing w:line="130" w:lineRule="exact"/>
              <w:ind w:left="65" w:right="41"/>
              <w:jc w:val="center"/>
              <w:rPr>
                <w:b/>
                <w:sz w:val="16"/>
              </w:rPr>
            </w:pPr>
            <w:r>
              <w:rPr>
                <w:b/>
                <w:color w:val="FFFFFF"/>
                <w:w w:val="110"/>
                <w:sz w:val="16"/>
              </w:rPr>
              <w:t>22</w:t>
            </w: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5" w:type="dxa"/>
          </w:tcPr>
          <w:p>
            <w:pPr/>
          </w:p>
        </w:tc>
        <w:tc>
          <w:tcPr>
            <w:tcW w:w="683" w:type="dxa"/>
          </w:tcPr>
          <w:p>
            <w:pPr/>
          </w:p>
        </w:tc>
        <w:tc>
          <w:tcPr>
            <w:tcW w:w="1252" w:type="dxa"/>
          </w:tcPr>
          <w:p>
            <w:pPr/>
          </w:p>
        </w:tc>
        <w:tc>
          <w:tcPr>
            <w:tcW w:w="683" w:type="dxa"/>
          </w:tcPr>
          <w:p>
            <w:pPr/>
          </w:p>
        </w:tc>
      </w:tr>
      <w:tr>
        <w:trPr>
          <w:trHeight w:val="111"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5" w:type="dxa"/>
          </w:tcPr>
          <w:p>
            <w:pPr/>
          </w:p>
        </w:tc>
        <w:tc>
          <w:tcPr>
            <w:tcW w:w="683" w:type="dxa"/>
            <w:shd w:val="clear" w:color="auto" w:fill="4F81BC"/>
          </w:tcPr>
          <w:p>
            <w:pPr/>
          </w:p>
        </w:tc>
        <w:tc>
          <w:tcPr>
            <w:tcW w:w="1252" w:type="dxa"/>
          </w:tcPr>
          <w:p>
            <w:pPr/>
          </w:p>
        </w:tc>
        <w:tc>
          <w:tcPr>
            <w:tcW w:w="683" w:type="dxa"/>
          </w:tcPr>
          <w:p>
            <w:pPr/>
          </w:p>
        </w:tc>
      </w:tr>
      <w:tr>
        <w:trPr>
          <w:trHeight w:val="166"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Style w:val="TableParagraph"/>
              <w:spacing w:line="146" w:lineRule="exact"/>
              <w:ind w:left="65" w:right="32"/>
              <w:jc w:val="center"/>
              <w:rPr>
                <w:b/>
                <w:sz w:val="16"/>
              </w:rPr>
            </w:pPr>
            <w:r>
              <w:rPr>
                <w:b/>
                <w:color w:val="FFFFFF"/>
                <w:w w:val="110"/>
                <w:sz w:val="16"/>
              </w:rPr>
              <w:t>17</w:t>
            </w:r>
          </w:p>
        </w:tc>
        <w:tc>
          <w:tcPr>
            <w:tcW w:w="285" w:type="dxa"/>
          </w:tcPr>
          <w:p>
            <w:pPr/>
          </w:p>
        </w:tc>
        <w:tc>
          <w:tcPr>
            <w:tcW w:w="683" w:type="dxa"/>
            <w:shd w:val="clear" w:color="auto" w:fill="4F81BC"/>
          </w:tcPr>
          <w:p>
            <w:pPr/>
          </w:p>
        </w:tc>
        <w:tc>
          <w:tcPr>
            <w:tcW w:w="1252" w:type="dxa"/>
          </w:tcPr>
          <w:p>
            <w:pPr/>
          </w:p>
        </w:tc>
        <w:tc>
          <w:tcPr>
            <w:tcW w:w="683" w:type="dxa"/>
          </w:tcPr>
          <w:p>
            <w:pPr/>
          </w:p>
        </w:tc>
      </w:tr>
      <w:tr>
        <w:trPr>
          <w:trHeight w:val="499"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5" w:type="dxa"/>
          </w:tcPr>
          <w:p>
            <w:pPr/>
          </w:p>
        </w:tc>
        <w:tc>
          <w:tcPr>
            <w:tcW w:w="683" w:type="dxa"/>
            <w:shd w:val="clear" w:color="auto" w:fill="4F81BC"/>
          </w:tcPr>
          <w:p>
            <w:pPr>
              <w:pStyle w:val="TableParagraph"/>
              <w:spacing w:line="162" w:lineRule="exact"/>
              <w:ind w:left="9" w:right="20"/>
              <w:jc w:val="center"/>
              <w:rPr>
                <w:b/>
                <w:sz w:val="16"/>
              </w:rPr>
            </w:pPr>
            <w:r>
              <w:rPr>
                <w:b/>
                <w:color w:val="FFFFFF"/>
                <w:w w:val="110"/>
                <w:sz w:val="16"/>
              </w:rPr>
              <w:t>14</w:t>
            </w:r>
          </w:p>
        </w:tc>
        <w:tc>
          <w:tcPr>
            <w:tcW w:w="1252" w:type="dxa"/>
          </w:tcPr>
          <w:p>
            <w:pPr>
              <w:pStyle w:val="TableParagraph"/>
              <w:spacing w:before="40"/>
              <w:ind w:left="204" w:right="112"/>
              <w:jc w:val="center"/>
              <w:rPr>
                <w:b/>
                <w:sz w:val="16"/>
              </w:rPr>
            </w:pPr>
            <w:r>
              <w:rPr>
                <w:b/>
                <w:color w:val="FFFFFF"/>
                <w:w w:val="110"/>
                <w:sz w:val="16"/>
              </w:rPr>
              <w:t>12</w:t>
            </w:r>
          </w:p>
        </w:tc>
        <w:tc>
          <w:tcPr>
            <w:tcW w:w="683" w:type="dxa"/>
            <w:shd w:val="clear" w:color="auto" w:fill="4F81BC"/>
          </w:tcPr>
          <w:p>
            <w:pPr>
              <w:pStyle w:val="TableParagraph"/>
              <w:spacing w:before="2"/>
              <w:rPr>
                <w:sz w:val="15"/>
              </w:rPr>
            </w:pPr>
          </w:p>
          <w:p>
            <w:pPr>
              <w:pStyle w:val="TableParagraph"/>
              <w:ind w:left="105"/>
              <w:jc w:val="center"/>
              <w:rPr>
                <w:b/>
                <w:sz w:val="16"/>
              </w:rPr>
            </w:pPr>
            <w:r>
              <w:rPr>
                <w:b/>
                <w:color w:val="FFFFFF"/>
                <w:w w:val="109"/>
                <w:sz w:val="16"/>
              </w:rPr>
              <w:t>9</w:t>
            </w:r>
          </w:p>
        </w:tc>
      </w:tr>
      <w:tr>
        <w:trPr>
          <w:trHeight w:val="254" w:hRule="exact"/>
        </w:trPr>
        <w:tc>
          <w:tcPr>
            <w:tcW w:w="143" w:type="dxa"/>
            <w:vMerge/>
          </w:tcPr>
          <w:p>
            <w:pPr/>
          </w:p>
        </w:tc>
        <w:tc>
          <w:tcPr>
            <w:tcW w:w="681" w:type="dxa"/>
          </w:tcPr>
          <w:p>
            <w:pPr>
              <w:pStyle w:val="TableParagraph"/>
              <w:spacing w:before="85"/>
              <w:ind w:left="47" w:right="47"/>
              <w:jc w:val="center"/>
              <w:rPr>
                <w:sz w:val="14"/>
              </w:rPr>
            </w:pPr>
            <w:r>
              <w:rPr>
                <w:w w:val="115"/>
                <w:sz w:val="14"/>
              </w:rPr>
              <w:t>33</w:t>
            </w:r>
          </w:p>
        </w:tc>
        <w:tc>
          <w:tcPr>
            <w:tcW w:w="287" w:type="dxa"/>
          </w:tcPr>
          <w:p>
            <w:pPr/>
          </w:p>
        </w:tc>
        <w:tc>
          <w:tcPr>
            <w:tcW w:w="681" w:type="dxa"/>
          </w:tcPr>
          <w:p>
            <w:pPr>
              <w:pStyle w:val="TableParagraph"/>
              <w:spacing w:before="85"/>
              <w:ind w:left="46" w:right="47"/>
              <w:jc w:val="center"/>
              <w:rPr>
                <w:sz w:val="14"/>
              </w:rPr>
            </w:pPr>
            <w:r>
              <w:rPr>
                <w:w w:val="115"/>
                <w:sz w:val="14"/>
              </w:rPr>
              <w:t>21</w:t>
            </w:r>
          </w:p>
        </w:tc>
        <w:tc>
          <w:tcPr>
            <w:tcW w:w="287" w:type="dxa"/>
          </w:tcPr>
          <w:p>
            <w:pPr/>
          </w:p>
        </w:tc>
        <w:tc>
          <w:tcPr>
            <w:tcW w:w="681" w:type="dxa"/>
          </w:tcPr>
          <w:p>
            <w:pPr>
              <w:pStyle w:val="TableParagraph"/>
              <w:spacing w:before="85"/>
              <w:ind w:left="47" w:right="47"/>
              <w:jc w:val="center"/>
              <w:rPr>
                <w:sz w:val="14"/>
              </w:rPr>
            </w:pPr>
            <w:r>
              <w:rPr>
                <w:w w:val="115"/>
                <w:sz w:val="14"/>
              </w:rPr>
              <w:t>13</w:t>
            </w:r>
          </w:p>
        </w:tc>
        <w:tc>
          <w:tcPr>
            <w:tcW w:w="287" w:type="dxa"/>
          </w:tcPr>
          <w:p>
            <w:pPr/>
          </w:p>
        </w:tc>
        <w:tc>
          <w:tcPr>
            <w:tcW w:w="681" w:type="dxa"/>
          </w:tcPr>
          <w:p>
            <w:pPr>
              <w:pStyle w:val="TableParagraph"/>
              <w:spacing w:before="85"/>
              <w:ind w:left="47" w:right="47"/>
              <w:jc w:val="center"/>
              <w:rPr>
                <w:sz w:val="14"/>
              </w:rPr>
            </w:pPr>
            <w:r>
              <w:rPr>
                <w:w w:val="115"/>
                <w:sz w:val="14"/>
              </w:rPr>
              <w:t>10</w:t>
            </w:r>
          </w:p>
        </w:tc>
        <w:tc>
          <w:tcPr>
            <w:tcW w:w="287" w:type="dxa"/>
          </w:tcPr>
          <w:p>
            <w:pPr/>
          </w:p>
        </w:tc>
        <w:tc>
          <w:tcPr>
            <w:tcW w:w="681" w:type="dxa"/>
          </w:tcPr>
          <w:p>
            <w:pPr>
              <w:pStyle w:val="TableParagraph"/>
              <w:spacing w:before="85"/>
              <w:jc w:val="center"/>
              <w:rPr>
                <w:sz w:val="14"/>
              </w:rPr>
            </w:pPr>
            <w:r>
              <w:rPr>
                <w:w w:val="112"/>
                <w:sz w:val="14"/>
              </w:rPr>
              <w:t>9</w:t>
            </w:r>
          </w:p>
        </w:tc>
        <w:tc>
          <w:tcPr>
            <w:tcW w:w="285" w:type="dxa"/>
          </w:tcPr>
          <w:p>
            <w:pPr/>
          </w:p>
        </w:tc>
        <w:tc>
          <w:tcPr>
            <w:tcW w:w="683" w:type="dxa"/>
          </w:tcPr>
          <w:p>
            <w:pPr>
              <w:pStyle w:val="TableParagraph"/>
              <w:spacing w:before="85"/>
              <w:ind w:left="2"/>
              <w:jc w:val="center"/>
              <w:rPr>
                <w:sz w:val="14"/>
              </w:rPr>
            </w:pPr>
            <w:r>
              <w:rPr>
                <w:w w:val="112"/>
                <w:sz w:val="14"/>
              </w:rPr>
              <w:t>3</w:t>
            </w:r>
          </w:p>
        </w:tc>
        <w:tc>
          <w:tcPr>
            <w:tcW w:w="1252" w:type="dxa"/>
          </w:tcPr>
          <w:p>
            <w:pPr>
              <w:pStyle w:val="TableParagraph"/>
              <w:spacing w:before="85"/>
              <w:ind w:left="4"/>
              <w:jc w:val="center"/>
              <w:rPr>
                <w:sz w:val="14"/>
              </w:rPr>
            </w:pPr>
            <w:r>
              <w:rPr>
                <w:w w:val="112"/>
                <w:sz w:val="14"/>
              </w:rPr>
              <w:t>2</w:t>
            </w:r>
          </w:p>
        </w:tc>
        <w:tc>
          <w:tcPr>
            <w:tcW w:w="683" w:type="dxa"/>
          </w:tcPr>
          <w:p>
            <w:pPr>
              <w:pStyle w:val="TableParagraph"/>
              <w:spacing w:before="85"/>
              <w:ind w:left="2"/>
              <w:jc w:val="center"/>
              <w:rPr>
                <w:sz w:val="14"/>
              </w:rPr>
            </w:pPr>
            <w:r>
              <w:rPr>
                <w:w w:val="112"/>
                <w:sz w:val="14"/>
              </w:rPr>
              <w:t>1</w:t>
            </w:r>
          </w:p>
        </w:tc>
      </w:tr>
      <w:tr>
        <w:trPr>
          <w:trHeight w:val="254" w:hRule="exact"/>
        </w:trPr>
        <w:tc>
          <w:tcPr>
            <w:tcW w:w="143" w:type="dxa"/>
          </w:tcPr>
          <w:p>
            <w:pPr/>
          </w:p>
        </w:tc>
        <w:tc>
          <w:tcPr>
            <w:tcW w:w="681" w:type="dxa"/>
          </w:tcPr>
          <w:p>
            <w:pPr>
              <w:pStyle w:val="TableParagraph"/>
              <w:spacing w:line="156" w:lineRule="exact"/>
              <w:ind w:left="47" w:right="47"/>
              <w:jc w:val="center"/>
              <w:rPr>
                <w:sz w:val="14"/>
              </w:rPr>
            </w:pPr>
            <w:r>
              <w:rPr>
                <w:w w:val="115"/>
                <w:sz w:val="14"/>
              </w:rPr>
              <w:t>México</w:t>
            </w:r>
          </w:p>
        </w:tc>
        <w:tc>
          <w:tcPr>
            <w:tcW w:w="287" w:type="dxa"/>
          </w:tcPr>
          <w:p>
            <w:pPr/>
          </w:p>
        </w:tc>
        <w:tc>
          <w:tcPr>
            <w:tcW w:w="681" w:type="dxa"/>
          </w:tcPr>
          <w:p>
            <w:pPr>
              <w:pStyle w:val="TableParagraph"/>
              <w:spacing w:line="156" w:lineRule="exact"/>
              <w:jc w:val="center"/>
              <w:rPr>
                <w:sz w:val="14"/>
              </w:rPr>
            </w:pPr>
            <w:r>
              <w:rPr>
                <w:w w:val="115"/>
                <w:sz w:val="14"/>
              </w:rPr>
              <w:t>España</w:t>
            </w:r>
          </w:p>
        </w:tc>
        <w:tc>
          <w:tcPr>
            <w:tcW w:w="287" w:type="dxa"/>
          </w:tcPr>
          <w:p>
            <w:pPr/>
          </w:p>
        </w:tc>
        <w:tc>
          <w:tcPr>
            <w:tcW w:w="681" w:type="dxa"/>
          </w:tcPr>
          <w:p>
            <w:pPr>
              <w:pStyle w:val="TableParagraph"/>
              <w:spacing w:line="156" w:lineRule="exact"/>
              <w:ind w:left="47" w:right="47"/>
              <w:jc w:val="center"/>
              <w:rPr>
                <w:sz w:val="14"/>
              </w:rPr>
            </w:pPr>
            <w:r>
              <w:rPr>
                <w:w w:val="115"/>
                <w:sz w:val="14"/>
              </w:rPr>
              <w:t>EUA</w:t>
            </w:r>
          </w:p>
        </w:tc>
        <w:tc>
          <w:tcPr>
            <w:tcW w:w="287" w:type="dxa"/>
          </w:tcPr>
          <w:p>
            <w:pPr/>
          </w:p>
        </w:tc>
        <w:tc>
          <w:tcPr>
            <w:tcW w:w="681" w:type="dxa"/>
          </w:tcPr>
          <w:p>
            <w:pPr>
              <w:pStyle w:val="TableParagraph"/>
              <w:spacing w:line="156" w:lineRule="exact"/>
              <w:ind w:left="47" w:right="47"/>
              <w:jc w:val="center"/>
              <w:rPr>
                <w:sz w:val="14"/>
              </w:rPr>
            </w:pPr>
            <w:r>
              <w:rPr>
                <w:w w:val="115"/>
                <w:sz w:val="14"/>
              </w:rPr>
              <w:t>R.U.</w:t>
            </w:r>
          </w:p>
        </w:tc>
        <w:tc>
          <w:tcPr>
            <w:tcW w:w="287" w:type="dxa"/>
          </w:tcPr>
          <w:p>
            <w:pPr/>
          </w:p>
        </w:tc>
        <w:tc>
          <w:tcPr>
            <w:tcW w:w="681" w:type="dxa"/>
          </w:tcPr>
          <w:p>
            <w:pPr>
              <w:pStyle w:val="TableParagraph"/>
              <w:spacing w:line="156" w:lineRule="exact"/>
              <w:jc w:val="center"/>
              <w:rPr>
                <w:sz w:val="14"/>
              </w:rPr>
            </w:pPr>
            <w:r>
              <w:rPr>
                <w:w w:val="110"/>
                <w:sz w:val="14"/>
              </w:rPr>
              <w:t>Alemania</w:t>
            </w:r>
          </w:p>
        </w:tc>
        <w:tc>
          <w:tcPr>
            <w:tcW w:w="285" w:type="dxa"/>
          </w:tcPr>
          <w:p>
            <w:pPr/>
          </w:p>
        </w:tc>
        <w:tc>
          <w:tcPr>
            <w:tcW w:w="683" w:type="dxa"/>
          </w:tcPr>
          <w:p>
            <w:pPr>
              <w:pStyle w:val="TableParagraph"/>
              <w:spacing w:line="156" w:lineRule="exact"/>
              <w:ind w:left="9" w:right="7"/>
              <w:jc w:val="center"/>
              <w:rPr>
                <w:sz w:val="14"/>
              </w:rPr>
            </w:pPr>
            <w:r>
              <w:rPr>
                <w:w w:val="115"/>
                <w:sz w:val="14"/>
              </w:rPr>
              <w:t>Australia</w:t>
            </w:r>
          </w:p>
        </w:tc>
        <w:tc>
          <w:tcPr>
            <w:tcW w:w="1252" w:type="dxa"/>
          </w:tcPr>
          <w:p>
            <w:pPr>
              <w:pStyle w:val="TableParagraph"/>
              <w:spacing w:line="156" w:lineRule="exact"/>
              <w:ind w:left="204" w:right="201"/>
              <w:jc w:val="center"/>
              <w:rPr>
                <w:sz w:val="14"/>
              </w:rPr>
            </w:pPr>
            <w:r>
              <w:rPr>
                <w:w w:val="115"/>
                <w:sz w:val="14"/>
              </w:rPr>
              <w:t>Hong Kong</w:t>
            </w:r>
          </w:p>
        </w:tc>
        <w:tc>
          <w:tcPr>
            <w:tcW w:w="683" w:type="dxa"/>
          </w:tcPr>
          <w:p>
            <w:pPr>
              <w:pStyle w:val="TableParagraph"/>
              <w:spacing w:line="156" w:lineRule="exact"/>
              <w:ind w:left="9" w:right="5"/>
              <w:jc w:val="center"/>
              <w:rPr>
                <w:sz w:val="14"/>
              </w:rPr>
            </w:pPr>
            <w:r>
              <w:rPr>
                <w:w w:val="110"/>
                <w:sz w:val="14"/>
              </w:rPr>
              <w:t>Finlandia</w:t>
            </w:r>
          </w:p>
        </w:tc>
      </w:tr>
    </w:tbl>
    <w:p>
      <w:pPr>
        <w:pStyle w:val="BodyText"/>
        <w:rPr>
          <w:sz w:val="20"/>
        </w:rPr>
      </w:pPr>
    </w:p>
    <w:p>
      <w:pPr>
        <w:spacing w:before="158"/>
        <w:ind w:left="829" w:right="0" w:firstLine="0"/>
        <w:jc w:val="left"/>
        <w:rPr>
          <w:sz w:val="12"/>
        </w:rPr>
      </w:pPr>
      <w:r>
        <w:rPr>
          <w:sz w:val="12"/>
        </w:rPr>
        <w:t>FUENTE:      Milken Institute. </w:t>
      </w:r>
      <w:r>
        <w:rPr>
          <w:i/>
          <w:sz w:val="12"/>
        </w:rPr>
        <w:t>2009 Opacity Index: Measuring Global Risks</w:t>
      </w:r>
      <w:r>
        <w:rPr>
          <w:sz w:val="12"/>
        </w:rPr>
        <w:t>, p. 3.</w:t>
      </w:r>
    </w:p>
    <w:p>
      <w:pPr>
        <w:spacing w:line="146" w:lineRule="exact" w:before="4"/>
        <w:ind w:left="1537" w:right="0" w:firstLine="0"/>
        <w:jc w:val="left"/>
        <w:rPr>
          <w:rFonts w:ascii="Calibri"/>
          <w:sz w:val="12"/>
        </w:rPr>
      </w:pPr>
      <w:r>
        <w:rPr>
          <w:sz w:val="12"/>
        </w:rPr>
        <w:t>Disponible en: </w:t>
      </w:r>
      <w:hyperlink r:id="rId53">
        <w:r>
          <w:rPr>
            <w:rFonts w:ascii="Calibri"/>
            <w:color w:val="0000FF"/>
            <w:sz w:val="12"/>
            <w:u w:val="single" w:color="0000FF"/>
          </w:rPr>
          <w:t>http://www.kurtzmangroup.com/pdf/InstituteOpacityIndex_Apr8.pdf</w:t>
        </w:r>
      </w:hyperlink>
    </w:p>
    <w:p>
      <w:pPr>
        <w:spacing w:line="138" w:lineRule="exact" w:before="0"/>
        <w:ind w:left="1537" w:right="0" w:firstLine="0"/>
        <w:jc w:val="left"/>
        <w:rPr>
          <w:sz w:val="12"/>
        </w:rPr>
      </w:pPr>
      <w:r>
        <w:rPr>
          <w:sz w:val="12"/>
        </w:rPr>
        <w:t>[Fecha de consulta: 6 de octubre, 2015]</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6"/>
        <w:rPr>
          <w:sz w:val="9"/>
        </w:rPr>
      </w:pPr>
    </w:p>
    <w:p>
      <w:pPr>
        <w:pStyle w:val="ListParagraph"/>
        <w:numPr>
          <w:ilvl w:val="0"/>
          <w:numId w:val="37"/>
        </w:numPr>
        <w:tabs>
          <w:tab w:pos="401" w:val="left" w:leader="none"/>
        </w:tabs>
        <w:spacing w:line="240" w:lineRule="auto" w:before="0" w:after="0"/>
        <w:ind w:left="400" w:right="0" w:hanging="280"/>
        <w:jc w:val="left"/>
        <w:rPr>
          <w:i/>
          <w:sz w:val="24"/>
        </w:rPr>
      </w:pPr>
      <w:r>
        <w:rPr>
          <w:i/>
          <w:sz w:val="24"/>
        </w:rPr>
        <w:t>Índice Internacional de Percepción de la Corrupción,</w:t>
      </w:r>
      <w:r>
        <w:rPr>
          <w:i/>
          <w:spacing w:val="-35"/>
          <w:sz w:val="24"/>
        </w:rPr>
        <w:t> </w:t>
      </w:r>
      <w:r>
        <w:rPr>
          <w:i/>
          <w:sz w:val="24"/>
        </w:rPr>
        <w:t>2012</w:t>
      </w:r>
    </w:p>
    <w:p>
      <w:pPr>
        <w:pStyle w:val="BodyText"/>
        <w:rPr>
          <w:i/>
        </w:rPr>
      </w:pPr>
    </w:p>
    <w:p>
      <w:pPr>
        <w:pStyle w:val="BodyText"/>
        <w:spacing w:before="4"/>
        <w:rPr>
          <w:i/>
        </w:rPr>
      </w:pPr>
    </w:p>
    <w:p>
      <w:pPr>
        <w:pStyle w:val="BodyText"/>
        <w:spacing w:line="357" w:lineRule="auto"/>
        <w:ind w:left="120" w:right="125" w:firstLine="708"/>
        <w:jc w:val="both"/>
        <w:rPr>
          <w:sz w:val="16"/>
        </w:rPr>
      </w:pPr>
      <w:r>
        <w:rPr/>
        <w:t>Transparencia Internacional publicó en 2012 el Índice de Percepción de la Corrupción (</w:t>
      </w:r>
      <w:r>
        <w:rPr>
          <w:i/>
        </w:rPr>
        <w:t>Corruption Perceptions Index 2012</w:t>
      </w:r>
      <w:r>
        <w:rPr/>
        <w:t>) el cual está basado en 13 fuentes de información</w:t>
      </w:r>
      <w:r>
        <w:rPr>
          <w:position w:val="8"/>
          <w:sz w:val="16"/>
        </w:rPr>
        <w:t>33 </w:t>
      </w:r>
      <w:r>
        <w:rPr/>
        <w:t>que compilan las opiniones del sector empresarial y de expertos en el tema de corrupción.</w:t>
      </w:r>
      <w:r>
        <w:rPr>
          <w:position w:val="8"/>
          <w:sz w:val="16"/>
        </w:rPr>
        <w:t>34</w:t>
      </w:r>
    </w:p>
    <w:p>
      <w:pPr>
        <w:pStyle w:val="BodyText"/>
        <w:spacing w:before="1"/>
        <w:rPr>
          <w:sz w:val="20"/>
        </w:rPr>
      </w:pPr>
      <w:r>
        <w:rPr/>
        <w:pict>
          <v:line style="position:absolute;mso-position-horizontal-relative:page;mso-position-vertical-relative:paragraph;z-index:3952;mso-wrap-distance-left:0;mso-wrap-distance-right:0" from="85.025002pt,13.932305pt" to="229.075002pt,13.932305pt" stroked="true" strokeweight=".79999pt" strokecolor="#000000">
            <w10:wrap type="topAndBottom"/>
          </v:line>
        </w:pict>
      </w:r>
    </w:p>
    <w:p>
      <w:pPr>
        <w:spacing w:line="249" w:lineRule="auto" w:before="59"/>
        <w:ind w:left="120" w:right="117" w:firstLine="0"/>
        <w:jc w:val="both"/>
        <w:rPr>
          <w:sz w:val="16"/>
        </w:rPr>
      </w:pPr>
      <w:r>
        <w:rPr>
          <w:rFonts w:ascii="Times New Roman" w:hAnsi="Times New Roman"/>
          <w:position w:val="7"/>
          <w:sz w:val="13"/>
        </w:rPr>
        <w:t>32</w:t>
      </w:r>
      <w:r>
        <w:rPr>
          <w:i/>
          <w:sz w:val="16"/>
        </w:rPr>
        <w:t>MikenInstitute </w:t>
      </w:r>
      <w:r>
        <w:rPr>
          <w:sz w:val="16"/>
        </w:rPr>
        <w:t>consideró la definición de opacidad establecida por </w:t>
      </w:r>
      <w:r>
        <w:rPr>
          <w:i/>
          <w:sz w:val="16"/>
        </w:rPr>
        <w:t>Global Edge </w:t>
      </w:r>
      <w:r>
        <w:rPr>
          <w:sz w:val="16"/>
        </w:rPr>
        <w:t>como la falta de reglas claras y precisas. (</w:t>
      </w:r>
      <w:r>
        <w:rPr>
          <w:i/>
          <w:sz w:val="16"/>
        </w:rPr>
        <w:t>MilkenInstitute </w:t>
      </w:r>
      <w:r>
        <w:rPr>
          <w:sz w:val="16"/>
        </w:rPr>
        <w:t>2009: 1)</w:t>
      </w:r>
    </w:p>
    <w:p>
      <w:pPr>
        <w:spacing w:line="244" w:lineRule="auto" w:before="0"/>
        <w:ind w:left="120" w:right="119" w:firstLine="0"/>
        <w:jc w:val="both"/>
        <w:rPr>
          <w:sz w:val="16"/>
        </w:rPr>
      </w:pPr>
      <w:r>
        <w:rPr>
          <w:rFonts w:ascii="Calibri" w:hAnsi="Calibri"/>
          <w:position w:val="8"/>
          <w:sz w:val="14"/>
        </w:rPr>
        <w:t>33</w:t>
      </w:r>
      <w:r>
        <w:rPr>
          <w:sz w:val="16"/>
        </w:rPr>
        <w:t>Los documentos fuentes son: Calificaciones sobre Gobernabilidad 2011 (Banco Africano de Desarrollo), Indicadores de Gobernabilidad Sostenible 2011 (</w:t>
      </w:r>
      <w:r>
        <w:rPr>
          <w:i/>
          <w:sz w:val="16"/>
        </w:rPr>
        <w:t>Bertelsmann Foundation</w:t>
      </w:r>
      <w:r>
        <w:rPr>
          <w:sz w:val="16"/>
        </w:rPr>
        <w:t>), Índice de Transformación 2012 (</w:t>
      </w:r>
      <w:r>
        <w:rPr>
          <w:i/>
          <w:sz w:val="16"/>
        </w:rPr>
        <w:t>Bertelsmann Foundation</w:t>
      </w:r>
      <w:r>
        <w:rPr>
          <w:sz w:val="16"/>
        </w:rPr>
        <w:t>), Calificaciones</w:t>
      </w:r>
      <w:r>
        <w:rPr>
          <w:spacing w:val="-11"/>
          <w:sz w:val="16"/>
        </w:rPr>
        <w:t> </w:t>
      </w:r>
      <w:r>
        <w:rPr>
          <w:sz w:val="16"/>
        </w:rPr>
        <w:t>de</w:t>
      </w:r>
      <w:r>
        <w:rPr>
          <w:spacing w:val="-8"/>
          <w:sz w:val="16"/>
        </w:rPr>
        <w:t> </w:t>
      </w:r>
      <w:r>
        <w:rPr>
          <w:sz w:val="16"/>
        </w:rPr>
        <w:t>Riesgo</w:t>
      </w:r>
      <w:r>
        <w:rPr>
          <w:spacing w:val="-8"/>
          <w:sz w:val="16"/>
        </w:rPr>
        <w:t> </w:t>
      </w:r>
      <w:r>
        <w:rPr>
          <w:sz w:val="16"/>
        </w:rPr>
        <w:t>País</w:t>
      </w:r>
      <w:r>
        <w:rPr>
          <w:spacing w:val="-11"/>
          <w:sz w:val="16"/>
        </w:rPr>
        <w:t> </w:t>
      </w:r>
      <w:r>
        <w:rPr>
          <w:sz w:val="16"/>
        </w:rPr>
        <w:t>(</w:t>
      </w:r>
      <w:r>
        <w:rPr>
          <w:i/>
          <w:sz w:val="16"/>
        </w:rPr>
        <w:t>Economist</w:t>
      </w:r>
      <w:r>
        <w:rPr>
          <w:i/>
          <w:spacing w:val="-3"/>
          <w:sz w:val="16"/>
        </w:rPr>
        <w:t> </w:t>
      </w:r>
      <w:r>
        <w:rPr>
          <w:i/>
          <w:sz w:val="16"/>
        </w:rPr>
        <w:t>IntelligenceUnit</w:t>
      </w:r>
      <w:r>
        <w:rPr>
          <w:sz w:val="16"/>
        </w:rPr>
        <w:t>),</w:t>
      </w:r>
      <w:r>
        <w:rPr>
          <w:spacing w:val="-7"/>
          <w:sz w:val="16"/>
        </w:rPr>
        <w:t> </w:t>
      </w:r>
      <w:r>
        <w:rPr>
          <w:sz w:val="16"/>
        </w:rPr>
        <w:t>Naciones</w:t>
      </w:r>
      <w:r>
        <w:rPr>
          <w:spacing w:val="-11"/>
          <w:sz w:val="16"/>
        </w:rPr>
        <w:t> </w:t>
      </w:r>
      <w:r>
        <w:rPr>
          <w:sz w:val="16"/>
        </w:rPr>
        <w:t>en</w:t>
      </w:r>
      <w:r>
        <w:rPr>
          <w:spacing w:val="-12"/>
          <w:sz w:val="16"/>
        </w:rPr>
        <w:t> </w:t>
      </w:r>
      <w:r>
        <w:rPr>
          <w:sz w:val="16"/>
        </w:rPr>
        <w:t>Transición</w:t>
      </w:r>
      <w:r>
        <w:rPr>
          <w:spacing w:val="-12"/>
          <w:sz w:val="16"/>
        </w:rPr>
        <w:t> </w:t>
      </w:r>
      <w:r>
        <w:rPr>
          <w:sz w:val="16"/>
        </w:rPr>
        <w:t>2012</w:t>
      </w:r>
      <w:r>
        <w:rPr>
          <w:spacing w:val="-8"/>
          <w:sz w:val="16"/>
        </w:rPr>
        <w:t> </w:t>
      </w:r>
      <w:r>
        <w:rPr>
          <w:sz w:val="16"/>
        </w:rPr>
        <w:t>(</w:t>
      </w:r>
      <w:r>
        <w:rPr>
          <w:i/>
          <w:sz w:val="16"/>
        </w:rPr>
        <w:t>Freedom</w:t>
      </w:r>
      <w:r>
        <w:rPr>
          <w:i/>
          <w:spacing w:val="-8"/>
          <w:sz w:val="16"/>
        </w:rPr>
        <w:t> </w:t>
      </w:r>
      <w:r>
        <w:rPr>
          <w:i/>
          <w:sz w:val="16"/>
        </w:rPr>
        <w:t>House</w:t>
      </w:r>
      <w:r>
        <w:rPr>
          <w:sz w:val="16"/>
        </w:rPr>
        <w:t>),</w:t>
      </w:r>
      <w:r>
        <w:rPr>
          <w:spacing w:val="-7"/>
          <w:sz w:val="16"/>
        </w:rPr>
        <w:t> </w:t>
      </w:r>
      <w:r>
        <w:rPr>
          <w:sz w:val="16"/>
        </w:rPr>
        <w:t>Calificaciones</w:t>
      </w:r>
      <w:r>
        <w:rPr>
          <w:spacing w:val="-11"/>
          <w:sz w:val="16"/>
        </w:rPr>
        <w:t> </w:t>
      </w:r>
      <w:r>
        <w:rPr>
          <w:sz w:val="16"/>
        </w:rPr>
        <w:t>de Riesgo País (</w:t>
      </w:r>
      <w:r>
        <w:rPr>
          <w:i/>
          <w:sz w:val="16"/>
        </w:rPr>
        <w:t>Global Insight</w:t>
      </w:r>
      <w:r>
        <w:rPr>
          <w:sz w:val="16"/>
        </w:rPr>
        <w:t>), Anuario de Competitividad Mundial 2012 (IMD), </w:t>
      </w:r>
      <w:r>
        <w:rPr>
          <w:i/>
          <w:sz w:val="16"/>
        </w:rPr>
        <w:t>Political and Economic Risk Consultancy </w:t>
      </w:r>
      <w:r>
        <w:rPr>
          <w:i/>
          <w:sz w:val="16"/>
        </w:rPr>
        <w:t>AsianIntelligence</w:t>
      </w:r>
      <w:r>
        <w:rPr>
          <w:i/>
          <w:spacing w:val="-8"/>
          <w:sz w:val="16"/>
        </w:rPr>
        <w:t> </w:t>
      </w:r>
      <w:r>
        <w:rPr>
          <w:i/>
          <w:sz w:val="16"/>
        </w:rPr>
        <w:t>2012</w:t>
      </w:r>
      <w:r>
        <w:rPr>
          <w:sz w:val="16"/>
        </w:rPr>
        <w:t>,</w:t>
      </w:r>
      <w:r>
        <w:rPr>
          <w:spacing w:val="-11"/>
          <w:sz w:val="16"/>
        </w:rPr>
        <w:t> </w:t>
      </w:r>
      <w:r>
        <w:rPr>
          <w:sz w:val="16"/>
        </w:rPr>
        <w:t>Guía</w:t>
      </w:r>
      <w:r>
        <w:rPr>
          <w:spacing w:val="-8"/>
          <w:sz w:val="16"/>
        </w:rPr>
        <w:t> </w:t>
      </w:r>
      <w:r>
        <w:rPr>
          <w:sz w:val="16"/>
        </w:rPr>
        <w:t>Internacional</w:t>
      </w:r>
      <w:r>
        <w:rPr>
          <w:spacing w:val="-10"/>
          <w:sz w:val="16"/>
        </w:rPr>
        <w:t> </w:t>
      </w:r>
      <w:r>
        <w:rPr>
          <w:sz w:val="16"/>
        </w:rPr>
        <w:t>sobre</w:t>
      </w:r>
      <w:r>
        <w:rPr>
          <w:spacing w:val="-12"/>
          <w:sz w:val="16"/>
        </w:rPr>
        <w:t> </w:t>
      </w:r>
      <w:r>
        <w:rPr>
          <w:sz w:val="16"/>
        </w:rPr>
        <w:t>Riesgo</w:t>
      </w:r>
      <w:r>
        <w:rPr>
          <w:spacing w:val="-4"/>
          <w:sz w:val="16"/>
        </w:rPr>
        <w:t> </w:t>
      </w:r>
      <w:r>
        <w:rPr>
          <w:sz w:val="16"/>
        </w:rPr>
        <w:t>País</w:t>
      </w:r>
      <w:r>
        <w:rPr>
          <w:spacing w:val="-11"/>
          <w:sz w:val="16"/>
        </w:rPr>
        <w:t> </w:t>
      </w:r>
      <w:r>
        <w:rPr>
          <w:sz w:val="16"/>
        </w:rPr>
        <w:t>(</w:t>
      </w:r>
      <w:r>
        <w:rPr>
          <w:i/>
          <w:sz w:val="16"/>
        </w:rPr>
        <w:t>Political</w:t>
      </w:r>
      <w:r>
        <w:rPr>
          <w:i/>
          <w:spacing w:val="-10"/>
          <w:sz w:val="16"/>
        </w:rPr>
        <w:t> </w:t>
      </w:r>
      <w:r>
        <w:rPr>
          <w:i/>
          <w:sz w:val="16"/>
        </w:rPr>
        <w:t>Risk</w:t>
      </w:r>
      <w:r>
        <w:rPr>
          <w:i/>
          <w:spacing w:val="-11"/>
          <w:sz w:val="16"/>
        </w:rPr>
        <w:t> </w:t>
      </w:r>
      <w:r>
        <w:rPr>
          <w:i/>
          <w:sz w:val="16"/>
        </w:rPr>
        <w:t>Services</w:t>
      </w:r>
      <w:r>
        <w:rPr>
          <w:sz w:val="16"/>
        </w:rPr>
        <w:t>),</w:t>
      </w:r>
      <w:r>
        <w:rPr>
          <w:spacing w:val="-11"/>
          <w:sz w:val="16"/>
        </w:rPr>
        <w:t> </w:t>
      </w:r>
      <w:r>
        <w:rPr>
          <w:sz w:val="16"/>
        </w:rPr>
        <w:t>Encuesta</w:t>
      </w:r>
      <w:r>
        <w:rPr>
          <w:spacing w:val="-12"/>
          <w:sz w:val="16"/>
        </w:rPr>
        <w:t> </w:t>
      </w:r>
      <w:r>
        <w:rPr>
          <w:sz w:val="16"/>
        </w:rPr>
        <w:t>de</w:t>
      </w:r>
      <w:r>
        <w:rPr>
          <w:spacing w:val="-12"/>
          <w:sz w:val="16"/>
        </w:rPr>
        <w:t> </w:t>
      </w:r>
      <w:r>
        <w:rPr>
          <w:sz w:val="16"/>
        </w:rPr>
        <w:t>Fuentes</w:t>
      </w:r>
      <w:r>
        <w:rPr>
          <w:spacing w:val="-11"/>
          <w:sz w:val="16"/>
        </w:rPr>
        <w:t> </w:t>
      </w:r>
      <w:r>
        <w:rPr>
          <w:sz w:val="16"/>
        </w:rPr>
        <w:t>de</w:t>
      </w:r>
      <w:r>
        <w:rPr>
          <w:spacing w:val="-12"/>
          <w:sz w:val="16"/>
        </w:rPr>
        <w:t> </w:t>
      </w:r>
      <w:r>
        <w:rPr>
          <w:sz w:val="16"/>
        </w:rPr>
        <w:t>Soborno</w:t>
      </w:r>
      <w:r>
        <w:rPr>
          <w:spacing w:val="-8"/>
          <w:sz w:val="16"/>
        </w:rPr>
        <w:t> </w:t>
      </w:r>
      <w:r>
        <w:rPr>
          <w:sz w:val="16"/>
        </w:rPr>
        <w:t>2011 (</w:t>
      </w:r>
      <w:r>
        <w:rPr>
          <w:i/>
          <w:sz w:val="16"/>
        </w:rPr>
        <w:t>Transparency</w:t>
      </w:r>
      <w:r>
        <w:rPr>
          <w:i/>
          <w:spacing w:val="-4"/>
          <w:sz w:val="16"/>
        </w:rPr>
        <w:t> </w:t>
      </w:r>
      <w:r>
        <w:rPr>
          <w:i/>
          <w:sz w:val="16"/>
        </w:rPr>
        <w:t>International</w:t>
      </w:r>
      <w:r>
        <w:rPr>
          <w:sz w:val="16"/>
        </w:rPr>
        <w:t>),</w:t>
      </w:r>
      <w:r>
        <w:rPr>
          <w:spacing w:val="-8"/>
          <w:sz w:val="16"/>
        </w:rPr>
        <w:t> </w:t>
      </w:r>
      <w:r>
        <w:rPr>
          <w:sz w:val="16"/>
        </w:rPr>
        <w:t>Evaluación</w:t>
      </w:r>
      <w:r>
        <w:rPr>
          <w:spacing w:val="-8"/>
          <w:sz w:val="16"/>
        </w:rPr>
        <w:t> </w:t>
      </w:r>
      <w:r>
        <w:rPr>
          <w:sz w:val="16"/>
        </w:rPr>
        <w:t>Institucional</w:t>
      </w:r>
      <w:r>
        <w:rPr>
          <w:spacing w:val="-11"/>
          <w:sz w:val="16"/>
        </w:rPr>
        <w:t> </w:t>
      </w:r>
      <w:r>
        <w:rPr>
          <w:sz w:val="16"/>
        </w:rPr>
        <w:t>de</w:t>
      </w:r>
      <w:r>
        <w:rPr>
          <w:spacing w:val="-9"/>
          <w:sz w:val="16"/>
        </w:rPr>
        <w:t> </w:t>
      </w:r>
      <w:r>
        <w:rPr>
          <w:sz w:val="16"/>
        </w:rPr>
        <w:t>las</w:t>
      </w:r>
      <w:r>
        <w:rPr>
          <w:spacing w:val="-12"/>
          <w:sz w:val="16"/>
        </w:rPr>
        <w:t> </w:t>
      </w:r>
      <w:r>
        <w:rPr>
          <w:sz w:val="16"/>
        </w:rPr>
        <w:t>Políticas</w:t>
      </w:r>
      <w:r>
        <w:rPr>
          <w:spacing w:val="-12"/>
          <w:sz w:val="16"/>
        </w:rPr>
        <w:t> </w:t>
      </w:r>
      <w:r>
        <w:rPr>
          <w:sz w:val="16"/>
        </w:rPr>
        <w:t>Nacionales</w:t>
      </w:r>
      <w:r>
        <w:rPr>
          <w:spacing w:val="-12"/>
          <w:sz w:val="16"/>
        </w:rPr>
        <w:t> </w:t>
      </w:r>
      <w:r>
        <w:rPr>
          <w:sz w:val="16"/>
        </w:rPr>
        <w:t>2011</w:t>
      </w:r>
      <w:r>
        <w:rPr>
          <w:spacing w:val="-9"/>
          <w:sz w:val="16"/>
        </w:rPr>
        <w:t> </w:t>
      </w:r>
      <w:r>
        <w:rPr>
          <w:sz w:val="16"/>
        </w:rPr>
        <w:t>(Banco</w:t>
      </w:r>
      <w:r>
        <w:rPr>
          <w:spacing w:val="-9"/>
          <w:sz w:val="16"/>
        </w:rPr>
        <w:t> </w:t>
      </w:r>
      <w:r>
        <w:rPr>
          <w:sz w:val="16"/>
        </w:rPr>
        <w:t>Mundial),</w:t>
      </w:r>
      <w:r>
        <w:rPr>
          <w:spacing w:val="-8"/>
          <w:sz w:val="16"/>
        </w:rPr>
        <w:t> </w:t>
      </w:r>
      <w:r>
        <w:rPr>
          <w:sz w:val="16"/>
        </w:rPr>
        <w:t>Encuesta</w:t>
      </w:r>
      <w:r>
        <w:rPr>
          <w:spacing w:val="-9"/>
          <w:sz w:val="16"/>
        </w:rPr>
        <w:t> </w:t>
      </w:r>
      <w:r>
        <w:rPr>
          <w:sz w:val="16"/>
        </w:rPr>
        <w:t>de</w:t>
      </w:r>
      <w:r>
        <w:rPr>
          <w:spacing w:val="-9"/>
          <w:sz w:val="16"/>
        </w:rPr>
        <w:t> </w:t>
      </w:r>
      <w:r>
        <w:rPr>
          <w:sz w:val="16"/>
        </w:rPr>
        <w:t>Opinión Ejecutiva (EOE) 2012 (Foro Económico Mundial) e Índice de Estado de Derecho</w:t>
      </w:r>
      <w:r>
        <w:rPr>
          <w:spacing w:val="-23"/>
          <w:sz w:val="16"/>
        </w:rPr>
        <w:t> </w:t>
      </w:r>
      <w:r>
        <w:rPr>
          <w:sz w:val="16"/>
        </w:rPr>
        <w:t>2012</w:t>
      </w:r>
    </w:p>
    <w:p>
      <w:pPr>
        <w:spacing w:line="216" w:lineRule="exact" w:before="0"/>
        <w:ind w:left="120" w:right="0" w:firstLine="0"/>
        <w:jc w:val="both"/>
        <w:rPr>
          <w:sz w:val="16"/>
        </w:rPr>
      </w:pPr>
      <w:r>
        <w:rPr>
          <w:rFonts w:ascii="Times New Roman" w:hAnsi="Times New Roman"/>
          <w:position w:val="7"/>
          <w:sz w:val="13"/>
        </w:rPr>
        <w:t>34</w:t>
      </w:r>
      <w:r>
        <w:rPr>
          <w:sz w:val="16"/>
        </w:rPr>
        <w:t>Transparencia internacional consideró que las opiniones del público acerca de la corrupción tienen gran importancia, ya que</w:t>
      </w:r>
    </w:p>
    <w:p>
      <w:pPr>
        <w:spacing w:before="12"/>
        <w:ind w:left="120" w:right="123" w:firstLine="0"/>
        <w:jc w:val="both"/>
        <w:rPr>
          <w:sz w:val="16"/>
        </w:rPr>
      </w:pPr>
      <w:r>
        <w:rPr>
          <w:sz w:val="16"/>
        </w:rPr>
        <w:t>ofrecen datos acerca de cómo la corrupción afecta la vida de las personas, por lo que para la ONG mencionó que es fundamental presentar lo que el público cree acerca de la corrupción, ya que es éste quien sufre las consecuencias directas</w:t>
      </w:r>
    </w:p>
    <w:p>
      <w:pPr>
        <w:spacing w:after="0"/>
        <w:jc w:val="both"/>
        <w:rPr>
          <w:sz w:val="16"/>
        </w:rPr>
        <w:sectPr>
          <w:pgSz w:w="12240" w:h="15840"/>
          <w:pgMar w:header="0" w:footer="998" w:top="1360" w:bottom="1180" w:left="1580" w:right="1580"/>
        </w:sectPr>
      </w:pPr>
    </w:p>
    <w:p>
      <w:pPr>
        <w:pStyle w:val="BodyText"/>
        <w:spacing w:line="360" w:lineRule="auto" w:before="55"/>
        <w:ind w:left="120" w:right="125" w:firstLine="708"/>
        <w:jc w:val="both"/>
      </w:pPr>
      <w:r>
        <w:rPr/>
        <w:t>Debido a cambios metodológicos, la institución mencionó que los resultados no son comparables con estudios anteriores. La metodología consideró la estandarización de datos a una escala de 0 a 100, donde valores cercanos a 100 representan bajos niveles de precepción de la corrupción, mientras que valores cercanos a 0 alta percepción de la corrupción.</w:t>
      </w:r>
    </w:p>
    <w:p>
      <w:pPr>
        <w:pStyle w:val="BodyText"/>
        <w:spacing w:line="360" w:lineRule="auto" w:before="6"/>
        <w:ind w:left="120" w:right="121" w:firstLine="708"/>
        <w:jc w:val="both"/>
      </w:pPr>
      <w:r>
        <w:rPr/>
        <w:t>Dinamarca, Finlandia y Nueva Zelanda presentaron las menores percepciones</w:t>
      </w:r>
      <w:r>
        <w:rPr>
          <w:spacing w:val="-8"/>
        </w:rPr>
        <w:t> </w:t>
      </w:r>
      <w:r>
        <w:rPr/>
        <w:t>de</w:t>
      </w:r>
      <w:r>
        <w:rPr>
          <w:spacing w:val="-10"/>
        </w:rPr>
        <w:t> </w:t>
      </w:r>
      <w:r>
        <w:rPr/>
        <w:t>corrupción,</w:t>
      </w:r>
      <w:r>
        <w:rPr>
          <w:spacing w:val="-7"/>
        </w:rPr>
        <w:t> </w:t>
      </w:r>
      <w:r>
        <w:rPr/>
        <w:t>seguidos</w:t>
      </w:r>
      <w:r>
        <w:rPr>
          <w:spacing w:val="-4"/>
        </w:rPr>
        <w:t> </w:t>
      </w:r>
      <w:r>
        <w:rPr/>
        <w:t>por</w:t>
      </w:r>
      <w:r>
        <w:rPr>
          <w:spacing w:val="-8"/>
        </w:rPr>
        <w:t> </w:t>
      </w:r>
      <w:r>
        <w:rPr/>
        <w:t>Suecia,</w:t>
      </w:r>
      <w:r>
        <w:rPr>
          <w:spacing w:val="-7"/>
        </w:rPr>
        <w:t> </w:t>
      </w:r>
      <w:r>
        <w:rPr/>
        <w:t>Singapur</w:t>
      </w:r>
      <w:r>
        <w:rPr>
          <w:spacing w:val="-8"/>
        </w:rPr>
        <w:t> </w:t>
      </w:r>
      <w:r>
        <w:rPr/>
        <w:t>y</w:t>
      </w:r>
      <w:r>
        <w:rPr>
          <w:spacing w:val="-12"/>
        </w:rPr>
        <w:t> </w:t>
      </w:r>
      <w:r>
        <w:rPr/>
        <w:t>Suecia.</w:t>
      </w:r>
      <w:r>
        <w:rPr>
          <w:spacing w:val="-7"/>
        </w:rPr>
        <w:t> </w:t>
      </w:r>
      <w:r>
        <w:rPr/>
        <w:t>Alemania</w:t>
      </w:r>
      <w:r>
        <w:rPr>
          <w:spacing w:val="-10"/>
        </w:rPr>
        <w:t> </w:t>
      </w:r>
      <w:r>
        <w:rPr/>
        <w:t>(79 puntos), Reino Unido (74), Estados Unidos (73) y España (65) son los países con las posiciones 13, 17, 19 y 30, en ese</w:t>
      </w:r>
      <w:r>
        <w:rPr>
          <w:spacing w:val="-28"/>
        </w:rPr>
        <w:t> </w:t>
      </w:r>
      <w:r>
        <w:rPr/>
        <w:t>orden.</w:t>
      </w:r>
    </w:p>
    <w:p>
      <w:pPr>
        <w:pStyle w:val="BodyText"/>
        <w:spacing w:line="360" w:lineRule="auto" w:before="6"/>
        <w:ind w:left="120" w:right="117" w:firstLine="708"/>
        <w:jc w:val="both"/>
      </w:pPr>
      <w:r>
        <w:rPr/>
        <w:t>México obtuvo una puntuación de 34, al igual que Argelia, Armenia, Bolivia, Kosovo,</w:t>
      </w:r>
      <w:r>
        <w:rPr>
          <w:spacing w:val="-6"/>
        </w:rPr>
        <w:t> </w:t>
      </w:r>
      <w:r>
        <w:rPr/>
        <w:t>Malí</w:t>
      </w:r>
      <w:r>
        <w:rPr>
          <w:spacing w:val="-3"/>
        </w:rPr>
        <w:t> </w:t>
      </w:r>
      <w:r>
        <w:rPr/>
        <w:t>y</w:t>
      </w:r>
      <w:r>
        <w:rPr>
          <w:spacing w:val="-11"/>
        </w:rPr>
        <w:t> </w:t>
      </w:r>
      <w:r>
        <w:rPr/>
        <w:t>Filipinas,</w:t>
      </w:r>
      <w:r>
        <w:rPr>
          <w:spacing w:val="-6"/>
        </w:rPr>
        <w:t> </w:t>
      </w:r>
      <w:r>
        <w:rPr/>
        <w:t>18</w:t>
      </w:r>
      <w:r>
        <w:rPr>
          <w:spacing w:val="-9"/>
        </w:rPr>
        <w:t> </w:t>
      </w:r>
      <w:r>
        <w:rPr/>
        <w:t>puntos</w:t>
      </w:r>
      <w:r>
        <w:rPr>
          <w:spacing w:val="-3"/>
        </w:rPr>
        <w:t> </w:t>
      </w:r>
      <w:r>
        <w:rPr/>
        <w:t>por</w:t>
      </w:r>
      <w:r>
        <w:rPr>
          <w:spacing w:val="-7"/>
        </w:rPr>
        <w:t> </w:t>
      </w:r>
      <w:r>
        <w:rPr/>
        <w:t>debajo</w:t>
      </w:r>
      <w:r>
        <w:rPr>
          <w:spacing w:val="-9"/>
        </w:rPr>
        <w:t> </w:t>
      </w:r>
      <w:r>
        <w:rPr/>
        <w:t>del</w:t>
      </w:r>
      <w:r>
        <w:rPr>
          <w:spacing w:val="-8"/>
        </w:rPr>
        <w:t> </w:t>
      </w:r>
      <w:r>
        <w:rPr/>
        <w:t>promedio</w:t>
      </w:r>
      <w:r>
        <w:rPr>
          <w:spacing w:val="-9"/>
        </w:rPr>
        <w:t> </w:t>
      </w:r>
      <w:r>
        <w:rPr/>
        <w:t>internacional</w:t>
      </w:r>
      <w:r>
        <w:rPr>
          <w:spacing w:val="-8"/>
        </w:rPr>
        <w:t> </w:t>
      </w:r>
      <w:r>
        <w:rPr/>
        <w:t>calculado por Transparencia</w:t>
      </w:r>
      <w:r>
        <w:rPr>
          <w:spacing w:val="-22"/>
        </w:rPr>
        <w:t> </w:t>
      </w:r>
      <w:r>
        <w:rPr/>
        <w:t>Internacional.</w:t>
      </w:r>
    </w:p>
    <w:p>
      <w:pPr>
        <w:spacing w:line="230" w:lineRule="exact" w:before="0"/>
        <w:ind w:left="2045" w:right="0" w:firstLine="0"/>
        <w:jc w:val="left"/>
        <w:rPr>
          <w:sz w:val="20"/>
        </w:rPr>
      </w:pPr>
      <w:bookmarkStart w:name="_bookmark27" w:id="40"/>
      <w:bookmarkEnd w:id="40"/>
      <w:r>
        <w:rPr/>
      </w:r>
      <w:r>
        <w:rPr>
          <w:sz w:val="20"/>
        </w:rPr>
        <w:t>Cuadro 1.8. Índice de percepción de la corrupción, 2012</w:t>
      </w:r>
    </w:p>
    <w:p>
      <w:pPr>
        <w:pStyle w:val="BodyText"/>
        <w:spacing w:before="9" w:after="1"/>
        <w:rPr>
          <w:sz w:val="17"/>
        </w:rPr>
      </w:pPr>
    </w:p>
    <w:tbl>
      <w:tblPr>
        <w:tblW w:w="0" w:type="auto"/>
        <w:jc w:val="left"/>
        <w:tblInd w:w="1345"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781"/>
        <w:gridCol w:w="1720"/>
        <w:gridCol w:w="1201"/>
        <w:gridCol w:w="1660"/>
      </w:tblGrid>
      <w:tr>
        <w:trPr>
          <w:trHeight w:val="673" w:hRule="exact"/>
        </w:trPr>
        <w:tc>
          <w:tcPr>
            <w:tcW w:w="1781" w:type="dxa"/>
          </w:tcPr>
          <w:p>
            <w:pPr>
              <w:pStyle w:val="TableParagraph"/>
              <w:spacing w:before="7"/>
              <w:rPr>
                <w:sz w:val="19"/>
              </w:rPr>
            </w:pPr>
          </w:p>
          <w:p>
            <w:pPr>
              <w:pStyle w:val="TableParagraph"/>
              <w:ind w:left="522" w:right="522"/>
              <w:jc w:val="center"/>
              <w:rPr>
                <w:b/>
                <w:sz w:val="16"/>
              </w:rPr>
            </w:pPr>
            <w:r>
              <w:rPr>
                <w:b/>
                <w:sz w:val="16"/>
              </w:rPr>
              <w:t>Posición</w:t>
            </w:r>
          </w:p>
        </w:tc>
        <w:tc>
          <w:tcPr>
            <w:tcW w:w="1720" w:type="dxa"/>
          </w:tcPr>
          <w:p>
            <w:pPr>
              <w:pStyle w:val="TableParagraph"/>
              <w:spacing w:before="7"/>
              <w:rPr>
                <w:sz w:val="19"/>
              </w:rPr>
            </w:pPr>
          </w:p>
          <w:p>
            <w:pPr>
              <w:pStyle w:val="TableParagraph"/>
              <w:ind w:left="663" w:right="659"/>
              <w:jc w:val="center"/>
              <w:rPr>
                <w:b/>
                <w:sz w:val="16"/>
              </w:rPr>
            </w:pPr>
            <w:r>
              <w:rPr>
                <w:b/>
                <w:sz w:val="16"/>
              </w:rPr>
              <w:t>País</w:t>
            </w:r>
          </w:p>
        </w:tc>
        <w:tc>
          <w:tcPr>
            <w:tcW w:w="1201" w:type="dxa"/>
          </w:tcPr>
          <w:p>
            <w:pPr>
              <w:pStyle w:val="TableParagraph"/>
              <w:spacing w:before="7"/>
              <w:rPr>
                <w:sz w:val="19"/>
              </w:rPr>
            </w:pPr>
          </w:p>
          <w:p>
            <w:pPr>
              <w:pStyle w:val="TableParagraph"/>
              <w:ind w:left="130" w:right="130"/>
              <w:jc w:val="center"/>
              <w:rPr>
                <w:b/>
                <w:sz w:val="16"/>
              </w:rPr>
            </w:pPr>
            <w:r>
              <w:rPr>
                <w:b/>
                <w:sz w:val="16"/>
              </w:rPr>
              <w:t>Puntuación</w:t>
            </w:r>
          </w:p>
        </w:tc>
        <w:tc>
          <w:tcPr>
            <w:tcW w:w="1660" w:type="dxa"/>
          </w:tcPr>
          <w:p>
            <w:pPr>
              <w:pStyle w:val="TableParagraph"/>
              <w:spacing w:before="134"/>
              <w:ind w:left="403" w:right="243" w:hanging="136"/>
              <w:rPr>
                <w:b/>
                <w:sz w:val="16"/>
              </w:rPr>
            </w:pPr>
            <w:r>
              <w:rPr>
                <w:b/>
                <w:sz w:val="16"/>
              </w:rPr>
              <w:t>No. de fuentes empleadas</w:t>
            </w:r>
          </w:p>
        </w:tc>
      </w:tr>
      <w:tr>
        <w:trPr>
          <w:trHeight w:val="216" w:hRule="exact"/>
        </w:trPr>
        <w:tc>
          <w:tcPr>
            <w:tcW w:w="1781" w:type="dxa"/>
          </w:tcPr>
          <w:p>
            <w:pPr>
              <w:pStyle w:val="TableParagraph"/>
              <w:spacing w:line="182" w:lineRule="exact"/>
              <w:ind w:left="8"/>
              <w:jc w:val="center"/>
              <w:rPr>
                <w:sz w:val="16"/>
              </w:rPr>
            </w:pPr>
            <w:r>
              <w:rPr>
                <w:w w:val="99"/>
                <w:sz w:val="16"/>
              </w:rPr>
              <w:t>1</w:t>
            </w:r>
          </w:p>
        </w:tc>
        <w:tc>
          <w:tcPr>
            <w:tcW w:w="1720" w:type="dxa"/>
          </w:tcPr>
          <w:p>
            <w:pPr>
              <w:pStyle w:val="TableParagraph"/>
              <w:spacing w:line="182" w:lineRule="exact"/>
              <w:ind w:left="60" w:right="108"/>
              <w:rPr>
                <w:sz w:val="16"/>
              </w:rPr>
            </w:pPr>
            <w:r>
              <w:rPr>
                <w:sz w:val="16"/>
              </w:rPr>
              <w:t>Dinamarca</w:t>
            </w:r>
          </w:p>
        </w:tc>
        <w:tc>
          <w:tcPr>
            <w:tcW w:w="1201" w:type="dxa"/>
          </w:tcPr>
          <w:p>
            <w:pPr>
              <w:pStyle w:val="TableParagraph"/>
              <w:spacing w:line="182" w:lineRule="exact"/>
              <w:ind w:left="130" w:right="127"/>
              <w:jc w:val="center"/>
              <w:rPr>
                <w:sz w:val="16"/>
              </w:rPr>
            </w:pPr>
            <w:r>
              <w:rPr>
                <w:sz w:val="16"/>
              </w:rPr>
              <w:t>90</w:t>
            </w:r>
          </w:p>
        </w:tc>
        <w:tc>
          <w:tcPr>
            <w:tcW w:w="1660" w:type="dxa"/>
          </w:tcPr>
          <w:p>
            <w:pPr>
              <w:pStyle w:val="TableParagraph"/>
              <w:spacing w:line="182" w:lineRule="exact"/>
              <w:ind w:left="776"/>
              <w:rPr>
                <w:sz w:val="16"/>
              </w:rPr>
            </w:pPr>
            <w:r>
              <w:rPr>
                <w:w w:val="99"/>
                <w:sz w:val="16"/>
              </w:rPr>
              <w:t>7</w:t>
            </w:r>
          </w:p>
        </w:tc>
      </w:tr>
      <w:tr>
        <w:trPr>
          <w:trHeight w:val="212" w:hRule="exact"/>
        </w:trPr>
        <w:tc>
          <w:tcPr>
            <w:tcW w:w="1781" w:type="dxa"/>
          </w:tcPr>
          <w:p>
            <w:pPr>
              <w:pStyle w:val="TableParagraph"/>
              <w:spacing w:line="178" w:lineRule="exact"/>
              <w:ind w:left="8"/>
              <w:jc w:val="center"/>
              <w:rPr>
                <w:sz w:val="16"/>
              </w:rPr>
            </w:pPr>
            <w:r>
              <w:rPr>
                <w:w w:val="99"/>
                <w:sz w:val="16"/>
              </w:rPr>
              <w:t>1</w:t>
            </w:r>
          </w:p>
        </w:tc>
        <w:tc>
          <w:tcPr>
            <w:tcW w:w="1720" w:type="dxa"/>
          </w:tcPr>
          <w:p>
            <w:pPr>
              <w:pStyle w:val="TableParagraph"/>
              <w:spacing w:line="178" w:lineRule="exact"/>
              <w:ind w:left="60" w:right="108"/>
              <w:rPr>
                <w:sz w:val="16"/>
              </w:rPr>
            </w:pPr>
            <w:r>
              <w:rPr>
                <w:sz w:val="16"/>
              </w:rPr>
              <w:t>Finlandia</w:t>
            </w:r>
          </w:p>
        </w:tc>
        <w:tc>
          <w:tcPr>
            <w:tcW w:w="1201" w:type="dxa"/>
          </w:tcPr>
          <w:p>
            <w:pPr>
              <w:pStyle w:val="TableParagraph"/>
              <w:spacing w:line="178" w:lineRule="exact"/>
              <w:ind w:left="130" w:right="127"/>
              <w:jc w:val="center"/>
              <w:rPr>
                <w:sz w:val="16"/>
              </w:rPr>
            </w:pPr>
            <w:r>
              <w:rPr>
                <w:sz w:val="16"/>
              </w:rPr>
              <w:t>90</w:t>
            </w:r>
          </w:p>
        </w:tc>
        <w:tc>
          <w:tcPr>
            <w:tcW w:w="1660" w:type="dxa"/>
          </w:tcPr>
          <w:p>
            <w:pPr>
              <w:pStyle w:val="TableParagraph"/>
              <w:spacing w:line="178" w:lineRule="exact"/>
              <w:ind w:left="776"/>
              <w:rPr>
                <w:sz w:val="16"/>
              </w:rPr>
            </w:pPr>
            <w:r>
              <w:rPr>
                <w:w w:val="99"/>
                <w:sz w:val="16"/>
              </w:rPr>
              <w:t>7</w:t>
            </w:r>
          </w:p>
        </w:tc>
      </w:tr>
      <w:tr>
        <w:trPr>
          <w:trHeight w:val="216" w:hRule="exact"/>
        </w:trPr>
        <w:tc>
          <w:tcPr>
            <w:tcW w:w="1781" w:type="dxa"/>
          </w:tcPr>
          <w:p>
            <w:pPr>
              <w:pStyle w:val="TableParagraph"/>
              <w:spacing w:line="182" w:lineRule="exact"/>
              <w:ind w:left="8"/>
              <w:jc w:val="center"/>
              <w:rPr>
                <w:sz w:val="16"/>
              </w:rPr>
            </w:pPr>
            <w:r>
              <w:rPr>
                <w:w w:val="99"/>
                <w:sz w:val="16"/>
              </w:rPr>
              <w:t>1</w:t>
            </w:r>
          </w:p>
        </w:tc>
        <w:tc>
          <w:tcPr>
            <w:tcW w:w="1720" w:type="dxa"/>
          </w:tcPr>
          <w:p>
            <w:pPr>
              <w:pStyle w:val="TableParagraph"/>
              <w:spacing w:line="182" w:lineRule="exact"/>
              <w:ind w:left="60" w:right="108"/>
              <w:rPr>
                <w:sz w:val="16"/>
              </w:rPr>
            </w:pPr>
            <w:r>
              <w:rPr>
                <w:sz w:val="16"/>
              </w:rPr>
              <w:t>Nueva Zelanda</w:t>
            </w:r>
          </w:p>
        </w:tc>
        <w:tc>
          <w:tcPr>
            <w:tcW w:w="1201" w:type="dxa"/>
          </w:tcPr>
          <w:p>
            <w:pPr>
              <w:pStyle w:val="TableParagraph"/>
              <w:spacing w:line="182" w:lineRule="exact"/>
              <w:ind w:left="130" w:right="127"/>
              <w:jc w:val="center"/>
              <w:rPr>
                <w:sz w:val="16"/>
              </w:rPr>
            </w:pPr>
            <w:r>
              <w:rPr>
                <w:sz w:val="16"/>
              </w:rPr>
              <w:t>90</w:t>
            </w:r>
          </w:p>
        </w:tc>
        <w:tc>
          <w:tcPr>
            <w:tcW w:w="1660" w:type="dxa"/>
          </w:tcPr>
          <w:p>
            <w:pPr>
              <w:pStyle w:val="TableParagraph"/>
              <w:spacing w:line="182" w:lineRule="exact"/>
              <w:ind w:left="776"/>
              <w:rPr>
                <w:sz w:val="16"/>
              </w:rPr>
            </w:pPr>
            <w:r>
              <w:rPr>
                <w:w w:val="99"/>
                <w:sz w:val="16"/>
              </w:rPr>
              <w:t>7</w:t>
            </w:r>
          </w:p>
        </w:tc>
      </w:tr>
      <w:tr>
        <w:trPr>
          <w:trHeight w:val="212" w:hRule="exact"/>
        </w:trPr>
        <w:tc>
          <w:tcPr>
            <w:tcW w:w="1781" w:type="dxa"/>
          </w:tcPr>
          <w:p>
            <w:pPr>
              <w:pStyle w:val="TableParagraph"/>
              <w:spacing w:line="178" w:lineRule="exact"/>
              <w:ind w:left="8"/>
              <w:jc w:val="center"/>
              <w:rPr>
                <w:sz w:val="16"/>
              </w:rPr>
            </w:pPr>
            <w:r>
              <w:rPr>
                <w:w w:val="99"/>
                <w:sz w:val="16"/>
              </w:rPr>
              <w:t>4</w:t>
            </w:r>
          </w:p>
        </w:tc>
        <w:tc>
          <w:tcPr>
            <w:tcW w:w="1720" w:type="dxa"/>
          </w:tcPr>
          <w:p>
            <w:pPr>
              <w:pStyle w:val="TableParagraph"/>
              <w:spacing w:line="178" w:lineRule="exact"/>
              <w:ind w:left="60" w:right="108"/>
              <w:rPr>
                <w:sz w:val="16"/>
              </w:rPr>
            </w:pPr>
            <w:r>
              <w:rPr>
                <w:sz w:val="16"/>
              </w:rPr>
              <w:t>Suecia</w:t>
            </w:r>
          </w:p>
        </w:tc>
        <w:tc>
          <w:tcPr>
            <w:tcW w:w="1201" w:type="dxa"/>
          </w:tcPr>
          <w:p>
            <w:pPr>
              <w:pStyle w:val="TableParagraph"/>
              <w:spacing w:line="178" w:lineRule="exact"/>
              <w:ind w:left="130" w:right="127"/>
              <w:jc w:val="center"/>
              <w:rPr>
                <w:sz w:val="16"/>
              </w:rPr>
            </w:pPr>
            <w:r>
              <w:rPr>
                <w:sz w:val="16"/>
              </w:rPr>
              <w:t>88</w:t>
            </w:r>
          </w:p>
        </w:tc>
        <w:tc>
          <w:tcPr>
            <w:tcW w:w="1660" w:type="dxa"/>
          </w:tcPr>
          <w:p>
            <w:pPr>
              <w:pStyle w:val="TableParagraph"/>
              <w:spacing w:line="178" w:lineRule="exact"/>
              <w:ind w:left="776"/>
              <w:rPr>
                <w:sz w:val="16"/>
              </w:rPr>
            </w:pPr>
            <w:r>
              <w:rPr>
                <w:w w:val="99"/>
                <w:sz w:val="16"/>
              </w:rPr>
              <w:t>7</w:t>
            </w:r>
          </w:p>
        </w:tc>
      </w:tr>
      <w:tr>
        <w:trPr>
          <w:trHeight w:val="216" w:hRule="exact"/>
        </w:trPr>
        <w:tc>
          <w:tcPr>
            <w:tcW w:w="1781" w:type="dxa"/>
          </w:tcPr>
          <w:p>
            <w:pPr>
              <w:pStyle w:val="TableParagraph"/>
              <w:spacing w:line="182" w:lineRule="exact"/>
              <w:ind w:left="8"/>
              <w:jc w:val="center"/>
              <w:rPr>
                <w:sz w:val="16"/>
              </w:rPr>
            </w:pPr>
            <w:r>
              <w:rPr>
                <w:w w:val="99"/>
                <w:sz w:val="16"/>
              </w:rPr>
              <w:t>5</w:t>
            </w:r>
          </w:p>
        </w:tc>
        <w:tc>
          <w:tcPr>
            <w:tcW w:w="1720" w:type="dxa"/>
          </w:tcPr>
          <w:p>
            <w:pPr>
              <w:pStyle w:val="TableParagraph"/>
              <w:spacing w:line="182" w:lineRule="exact"/>
              <w:ind w:left="60" w:right="108"/>
              <w:rPr>
                <w:sz w:val="16"/>
              </w:rPr>
            </w:pPr>
            <w:r>
              <w:rPr>
                <w:sz w:val="16"/>
              </w:rPr>
              <w:t>Singapur</w:t>
            </w:r>
          </w:p>
        </w:tc>
        <w:tc>
          <w:tcPr>
            <w:tcW w:w="1201" w:type="dxa"/>
          </w:tcPr>
          <w:p>
            <w:pPr>
              <w:pStyle w:val="TableParagraph"/>
              <w:spacing w:line="182" w:lineRule="exact"/>
              <w:ind w:left="130" w:right="127"/>
              <w:jc w:val="center"/>
              <w:rPr>
                <w:sz w:val="16"/>
              </w:rPr>
            </w:pPr>
            <w:r>
              <w:rPr>
                <w:sz w:val="16"/>
              </w:rPr>
              <w:t>87</w:t>
            </w:r>
          </w:p>
        </w:tc>
        <w:tc>
          <w:tcPr>
            <w:tcW w:w="1660" w:type="dxa"/>
          </w:tcPr>
          <w:p>
            <w:pPr>
              <w:pStyle w:val="TableParagraph"/>
              <w:spacing w:line="182" w:lineRule="exact"/>
              <w:ind w:left="776"/>
              <w:rPr>
                <w:sz w:val="16"/>
              </w:rPr>
            </w:pPr>
            <w:r>
              <w:rPr>
                <w:w w:val="99"/>
                <w:sz w:val="16"/>
              </w:rPr>
              <w:t>9</w:t>
            </w:r>
          </w:p>
        </w:tc>
      </w:tr>
      <w:tr>
        <w:trPr>
          <w:trHeight w:val="212" w:hRule="exact"/>
        </w:trPr>
        <w:tc>
          <w:tcPr>
            <w:tcW w:w="1781" w:type="dxa"/>
          </w:tcPr>
          <w:p>
            <w:pPr>
              <w:pStyle w:val="TableParagraph"/>
              <w:spacing w:line="178" w:lineRule="exact"/>
              <w:ind w:left="8"/>
              <w:jc w:val="center"/>
              <w:rPr>
                <w:sz w:val="16"/>
              </w:rPr>
            </w:pPr>
            <w:r>
              <w:rPr>
                <w:w w:val="99"/>
                <w:sz w:val="16"/>
              </w:rPr>
              <w:t>6</w:t>
            </w:r>
          </w:p>
        </w:tc>
        <w:tc>
          <w:tcPr>
            <w:tcW w:w="1720" w:type="dxa"/>
          </w:tcPr>
          <w:p>
            <w:pPr>
              <w:pStyle w:val="TableParagraph"/>
              <w:spacing w:line="178" w:lineRule="exact"/>
              <w:ind w:left="60" w:right="108"/>
              <w:rPr>
                <w:sz w:val="16"/>
              </w:rPr>
            </w:pPr>
            <w:r>
              <w:rPr>
                <w:sz w:val="16"/>
              </w:rPr>
              <w:t>Suiza</w:t>
            </w:r>
          </w:p>
        </w:tc>
        <w:tc>
          <w:tcPr>
            <w:tcW w:w="1201" w:type="dxa"/>
          </w:tcPr>
          <w:p>
            <w:pPr>
              <w:pStyle w:val="TableParagraph"/>
              <w:spacing w:line="178" w:lineRule="exact"/>
              <w:ind w:left="130" w:right="127"/>
              <w:jc w:val="center"/>
              <w:rPr>
                <w:sz w:val="16"/>
              </w:rPr>
            </w:pPr>
            <w:r>
              <w:rPr>
                <w:sz w:val="16"/>
              </w:rPr>
              <w:t>86</w:t>
            </w:r>
          </w:p>
        </w:tc>
        <w:tc>
          <w:tcPr>
            <w:tcW w:w="1660" w:type="dxa"/>
          </w:tcPr>
          <w:p>
            <w:pPr>
              <w:pStyle w:val="TableParagraph"/>
              <w:spacing w:line="178" w:lineRule="exact"/>
              <w:ind w:left="776"/>
              <w:rPr>
                <w:sz w:val="16"/>
              </w:rPr>
            </w:pPr>
            <w:r>
              <w:rPr>
                <w:w w:val="99"/>
                <w:sz w:val="16"/>
              </w:rPr>
              <w:t>6</w:t>
            </w:r>
          </w:p>
        </w:tc>
      </w:tr>
      <w:tr>
        <w:trPr>
          <w:trHeight w:val="216" w:hRule="exact"/>
        </w:trPr>
        <w:tc>
          <w:tcPr>
            <w:tcW w:w="1781" w:type="dxa"/>
          </w:tcPr>
          <w:p>
            <w:pPr>
              <w:pStyle w:val="TableParagraph"/>
              <w:spacing w:line="182" w:lineRule="exact"/>
              <w:ind w:left="522" w:right="515"/>
              <w:jc w:val="center"/>
              <w:rPr>
                <w:b/>
                <w:sz w:val="16"/>
              </w:rPr>
            </w:pPr>
            <w:r>
              <w:rPr>
                <w:b/>
                <w:sz w:val="16"/>
              </w:rPr>
              <w:t>13</w:t>
            </w:r>
          </w:p>
        </w:tc>
        <w:tc>
          <w:tcPr>
            <w:tcW w:w="1720" w:type="dxa"/>
          </w:tcPr>
          <w:p>
            <w:pPr>
              <w:pStyle w:val="TableParagraph"/>
              <w:spacing w:line="182" w:lineRule="exact"/>
              <w:ind w:left="60" w:right="108"/>
              <w:rPr>
                <w:b/>
                <w:sz w:val="16"/>
              </w:rPr>
            </w:pPr>
            <w:r>
              <w:rPr>
                <w:b/>
                <w:sz w:val="16"/>
              </w:rPr>
              <w:t>Alemania</w:t>
            </w:r>
          </w:p>
        </w:tc>
        <w:tc>
          <w:tcPr>
            <w:tcW w:w="1201" w:type="dxa"/>
          </w:tcPr>
          <w:p>
            <w:pPr>
              <w:pStyle w:val="TableParagraph"/>
              <w:spacing w:line="182" w:lineRule="exact"/>
              <w:ind w:left="130" w:right="127"/>
              <w:jc w:val="center"/>
              <w:rPr>
                <w:b/>
                <w:sz w:val="16"/>
              </w:rPr>
            </w:pPr>
            <w:r>
              <w:rPr>
                <w:b/>
                <w:sz w:val="16"/>
              </w:rPr>
              <w:t>79</w:t>
            </w:r>
          </w:p>
        </w:tc>
        <w:tc>
          <w:tcPr>
            <w:tcW w:w="1660" w:type="dxa"/>
          </w:tcPr>
          <w:p>
            <w:pPr>
              <w:pStyle w:val="TableParagraph"/>
              <w:spacing w:line="182" w:lineRule="exact"/>
              <w:ind w:left="776"/>
              <w:rPr>
                <w:b/>
                <w:sz w:val="16"/>
              </w:rPr>
            </w:pPr>
            <w:r>
              <w:rPr>
                <w:b/>
                <w:w w:val="99"/>
                <w:sz w:val="16"/>
              </w:rPr>
              <w:t>8</w:t>
            </w:r>
          </w:p>
        </w:tc>
      </w:tr>
      <w:tr>
        <w:trPr>
          <w:trHeight w:val="212" w:hRule="exact"/>
        </w:trPr>
        <w:tc>
          <w:tcPr>
            <w:tcW w:w="1781" w:type="dxa"/>
          </w:tcPr>
          <w:p>
            <w:pPr>
              <w:pStyle w:val="TableParagraph"/>
              <w:spacing w:line="178" w:lineRule="exact"/>
              <w:ind w:left="522" w:right="515"/>
              <w:jc w:val="center"/>
              <w:rPr>
                <w:b/>
                <w:sz w:val="16"/>
              </w:rPr>
            </w:pPr>
            <w:r>
              <w:rPr>
                <w:b/>
                <w:sz w:val="16"/>
              </w:rPr>
              <w:t>17</w:t>
            </w:r>
          </w:p>
        </w:tc>
        <w:tc>
          <w:tcPr>
            <w:tcW w:w="1720" w:type="dxa"/>
          </w:tcPr>
          <w:p>
            <w:pPr>
              <w:pStyle w:val="TableParagraph"/>
              <w:spacing w:line="178" w:lineRule="exact"/>
              <w:ind w:left="60" w:right="108"/>
              <w:rPr>
                <w:b/>
                <w:sz w:val="16"/>
              </w:rPr>
            </w:pPr>
            <w:r>
              <w:rPr>
                <w:b/>
                <w:sz w:val="16"/>
              </w:rPr>
              <w:t>Reino Unido</w:t>
            </w:r>
          </w:p>
        </w:tc>
        <w:tc>
          <w:tcPr>
            <w:tcW w:w="1201" w:type="dxa"/>
          </w:tcPr>
          <w:p>
            <w:pPr>
              <w:pStyle w:val="TableParagraph"/>
              <w:spacing w:line="178" w:lineRule="exact"/>
              <w:ind w:left="130" w:right="127"/>
              <w:jc w:val="center"/>
              <w:rPr>
                <w:b/>
                <w:sz w:val="16"/>
              </w:rPr>
            </w:pPr>
            <w:r>
              <w:rPr>
                <w:b/>
                <w:sz w:val="16"/>
              </w:rPr>
              <w:t>74</w:t>
            </w:r>
          </w:p>
        </w:tc>
        <w:tc>
          <w:tcPr>
            <w:tcW w:w="1660" w:type="dxa"/>
          </w:tcPr>
          <w:p>
            <w:pPr>
              <w:pStyle w:val="TableParagraph"/>
              <w:spacing w:line="178" w:lineRule="exact"/>
              <w:ind w:left="776"/>
              <w:rPr>
                <w:b/>
                <w:sz w:val="16"/>
              </w:rPr>
            </w:pPr>
            <w:r>
              <w:rPr>
                <w:b/>
                <w:w w:val="99"/>
                <w:sz w:val="16"/>
              </w:rPr>
              <w:t>8</w:t>
            </w:r>
          </w:p>
        </w:tc>
      </w:tr>
      <w:tr>
        <w:trPr>
          <w:trHeight w:val="216" w:hRule="exact"/>
        </w:trPr>
        <w:tc>
          <w:tcPr>
            <w:tcW w:w="1781" w:type="dxa"/>
          </w:tcPr>
          <w:p>
            <w:pPr>
              <w:pStyle w:val="TableParagraph"/>
              <w:spacing w:line="182" w:lineRule="exact"/>
              <w:ind w:left="522" w:right="515"/>
              <w:jc w:val="center"/>
              <w:rPr>
                <w:b/>
                <w:sz w:val="16"/>
              </w:rPr>
            </w:pPr>
            <w:r>
              <w:rPr>
                <w:b/>
                <w:sz w:val="16"/>
              </w:rPr>
              <w:t>19</w:t>
            </w:r>
          </w:p>
        </w:tc>
        <w:tc>
          <w:tcPr>
            <w:tcW w:w="1720" w:type="dxa"/>
          </w:tcPr>
          <w:p>
            <w:pPr>
              <w:pStyle w:val="TableParagraph"/>
              <w:spacing w:line="182" w:lineRule="exact"/>
              <w:ind w:left="60" w:right="108"/>
              <w:rPr>
                <w:b/>
                <w:sz w:val="16"/>
              </w:rPr>
            </w:pPr>
            <w:r>
              <w:rPr>
                <w:b/>
                <w:sz w:val="16"/>
              </w:rPr>
              <w:t>Estados Unidos</w:t>
            </w:r>
          </w:p>
        </w:tc>
        <w:tc>
          <w:tcPr>
            <w:tcW w:w="1201" w:type="dxa"/>
          </w:tcPr>
          <w:p>
            <w:pPr>
              <w:pStyle w:val="TableParagraph"/>
              <w:spacing w:line="182" w:lineRule="exact"/>
              <w:ind w:left="130" w:right="127"/>
              <w:jc w:val="center"/>
              <w:rPr>
                <w:b/>
                <w:sz w:val="16"/>
              </w:rPr>
            </w:pPr>
            <w:r>
              <w:rPr>
                <w:b/>
                <w:sz w:val="16"/>
              </w:rPr>
              <w:t>73</w:t>
            </w:r>
          </w:p>
        </w:tc>
        <w:tc>
          <w:tcPr>
            <w:tcW w:w="1660" w:type="dxa"/>
          </w:tcPr>
          <w:p>
            <w:pPr>
              <w:pStyle w:val="TableParagraph"/>
              <w:spacing w:line="182" w:lineRule="exact"/>
              <w:ind w:left="776"/>
              <w:rPr>
                <w:b/>
                <w:sz w:val="16"/>
              </w:rPr>
            </w:pPr>
            <w:r>
              <w:rPr>
                <w:b/>
                <w:w w:val="99"/>
                <w:sz w:val="16"/>
              </w:rPr>
              <w:t>9</w:t>
            </w:r>
          </w:p>
        </w:tc>
      </w:tr>
      <w:tr>
        <w:trPr>
          <w:trHeight w:val="284" w:hRule="exact"/>
        </w:trPr>
        <w:tc>
          <w:tcPr>
            <w:tcW w:w="1781" w:type="dxa"/>
          </w:tcPr>
          <w:p>
            <w:pPr>
              <w:pStyle w:val="TableParagraph"/>
              <w:spacing w:line="178" w:lineRule="exact"/>
              <w:ind w:left="522" w:right="515"/>
              <w:jc w:val="center"/>
              <w:rPr>
                <w:b/>
                <w:sz w:val="16"/>
              </w:rPr>
            </w:pPr>
            <w:r>
              <w:rPr>
                <w:b/>
                <w:sz w:val="16"/>
              </w:rPr>
              <w:t>30</w:t>
            </w:r>
          </w:p>
        </w:tc>
        <w:tc>
          <w:tcPr>
            <w:tcW w:w="1720" w:type="dxa"/>
          </w:tcPr>
          <w:p>
            <w:pPr>
              <w:pStyle w:val="TableParagraph"/>
              <w:spacing w:line="178" w:lineRule="exact"/>
              <w:ind w:left="60" w:right="108"/>
              <w:rPr>
                <w:b/>
                <w:sz w:val="16"/>
              </w:rPr>
            </w:pPr>
            <w:r>
              <w:rPr>
                <w:b/>
                <w:sz w:val="16"/>
              </w:rPr>
              <w:t>España</w:t>
            </w:r>
          </w:p>
        </w:tc>
        <w:tc>
          <w:tcPr>
            <w:tcW w:w="1201" w:type="dxa"/>
          </w:tcPr>
          <w:p>
            <w:pPr>
              <w:pStyle w:val="TableParagraph"/>
              <w:spacing w:line="178" w:lineRule="exact"/>
              <w:ind w:left="130" w:right="127"/>
              <w:jc w:val="center"/>
              <w:rPr>
                <w:b/>
                <w:sz w:val="16"/>
              </w:rPr>
            </w:pPr>
            <w:r>
              <w:rPr>
                <w:b/>
                <w:sz w:val="16"/>
              </w:rPr>
              <w:t>65</w:t>
            </w:r>
          </w:p>
        </w:tc>
        <w:tc>
          <w:tcPr>
            <w:tcW w:w="1660" w:type="dxa"/>
          </w:tcPr>
          <w:p>
            <w:pPr>
              <w:pStyle w:val="TableParagraph"/>
              <w:spacing w:line="178" w:lineRule="exact"/>
              <w:ind w:left="776"/>
              <w:rPr>
                <w:b/>
                <w:sz w:val="16"/>
              </w:rPr>
            </w:pPr>
            <w:r>
              <w:rPr>
                <w:b/>
                <w:w w:val="99"/>
                <w:sz w:val="16"/>
              </w:rPr>
              <w:t>7</w:t>
            </w:r>
          </w:p>
        </w:tc>
      </w:tr>
      <w:tr>
        <w:trPr>
          <w:trHeight w:val="400" w:hRule="exact"/>
        </w:trPr>
        <w:tc>
          <w:tcPr>
            <w:tcW w:w="1781" w:type="dxa"/>
          </w:tcPr>
          <w:p>
            <w:pPr>
              <w:pStyle w:val="TableParagraph"/>
              <w:ind w:left="420" w:right="202" w:firstLine="92"/>
              <w:rPr>
                <w:b/>
                <w:sz w:val="16"/>
              </w:rPr>
            </w:pPr>
            <w:r>
              <w:rPr>
                <w:b/>
                <w:sz w:val="16"/>
              </w:rPr>
              <w:t>Promedio (176 países)</w:t>
            </w:r>
          </w:p>
        </w:tc>
        <w:tc>
          <w:tcPr>
            <w:tcW w:w="1720" w:type="dxa"/>
          </w:tcPr>
          <w:p>
            <w:pPr/>
          </w:p>
        </w:tc>
        <w:tc>
          <w:tcPr>
            <w:tcW w:w="1201" w:type="dxa"/>
          </w:tcPr>
          <w:p>
            <w:pPr>
              <w:pStyle w:val="TableParagraph"/>
              <w:spacing w:before="90"/>
              <w:ind w:left="130" w:right="127"/>
              <w:jc w:val="center"/>
              <w:rPr>
                <w:b/>
                <w:sz w:val="16"/>
              </w:rPr>
            </w:pPr>
            <w:r>
              <w:rPr>
                <w:b/>
                <w:sz w:val="16"/>
              </w:rPr>
              <w:t>52</w:t>
            </w:r>
          </w:p>
        </w:tc>
        <w:tc>
          <w:tcPr>
            <w:tcW w:w="1660" w:type="dxa"/>
          </w:tcPr>
          <w:p>
            <w:pPr/>
          </w:p>
        </w:tc>
      </w:tr>
      <w:tr>
        <w:trPr>
          <w:trHeight w:val="212" w:hRule="exact"/>
        </w:trPr>
        <w:tc>
          <w:tcPr>
            <w:tcW w:w="1781" w:type="dxa"/>
          </w:tcPr>
          <w:p>
            <w:pPr>
              <w:pStyle w:val="TableParagraph"/>
              <w:spacing w:line="178" w:lineRule="exact"/>
              <w:ind w:left="522" w:right="522"/>
              <w:jc w:val="center"/>
              <w:rPr>
                <w:sz w:val="16"/>
              </w:rPr>
            </w:pPr>
            <w:r>
              <w:rPr>
                <w:sz w:val="16"/>
              </w:rPr>
              <w:t>105</w:t>
            </w:r>
          </w:p>
        </w:tc>
        <w:tc>
          <w:tcPr>
            <w:tcW w:w="1720" w:type="dxa"/>
          </w:tcPr>
          <w:p>
            <w:pPr>
              <w:pStyle w:val="TableParagraph"/>
              <w:spacing w:line="178" w:lineRule="exact"/>
              <w:ind w:left="60" w:right="108"/>
              <w:rPr>
                <w:sz w:val="16"/>
              </w:rPr>
            </w:pPr>
            <w:r>
              <w:rPr>
                <w:sz w:val="16"/>
              </w:rPr>
              <w:t>Algeria</w:t>
            </w:r>
          </w:p>
        </w:tc>
        <w:tc>
          <w:tcPr>
            <w:tcW w:w="1201" w:type="dxa"/>
          </w:tcPr>
          <w:p>
            <w:pPr>
              <w:pStyle w:val="TableParagraph"/>
              <w:spacing w:line="178" w:lineRule="exact"/>
              <w:ind w:left="130" w:right="127"/>
              <w:jc w:val="center"/>
              <w:rPr>
                <w:sz w:val="16"/>
              </w:rPr>
            </w:pPr>
            <w:r>
              <w:rPr>
                <w:sz w:val="16"/>
              </w:rPr>
              <w:t>34</w:t>
            </w:r>
          </w:p>
        </w:tc>
        <w:tc>
          <w:tcPr>
            <w:tcW w:w="1660" w:type="dxa"/>
          </w:tcPr>
          <w:p>
            <w:pPr>
              <w:pStyle w:val="TableParagraph"/>
              <w:spacing w:line="178" w:lineRule="exact"/>
              <w:ind w:left="776"/>
              <w:rPr>
                <w:sz w:val="16"/>
              </w:rPr>
            </w:pPr>
            <w:r>
              <w:rPr>
                <w:w w:val="99"/>
                <w:sz w:val="16"/>
              </w:rPr>
              <w:t>6</w:t>
            </w:r>
          </w:p>
        </w:tc>
      </w:tr>
      <w:tr>
        <w:trPr>
          <w:trHeight w:val="216" w:hRule="exact"/>
        </w:trPr>
        <w:tc>
          <w:tcPr>
            <w:tcW w:w="1781" w:type="dxa"/>
          </w:tcPr>
          <w:p>
            <w:pPr>
              <w:pStyle w:val="TableParagraph"/>
              <w:spacing w:line="182" w:lineRule="exact"/>
              <w:ind w:left="522" w:right="522"/>
              <w:jc w:val="center"/>
              <w:rPr>
                <w:sz w:val="16"/>
              </w:rPr>
            </w:pPr>
            <w:r>
              <w:rPr>
                <w:sz w:val="16"/>
              </w:rPr>
              <w:t>105</w:t>
            </w:r>
          </w:p>
        </w:tc>
        <w:tc>
          <w:tcPr>
            <w:tcW w:w="1720" w:type="dxa"/>
          </w:tcPr>
          <w:p>
            <w:pPr>
              <w:pStyle w:val="TableParagraph"/>
              <w:spacing w:line="182" w:lineRule="exact"/>
              <w:ind w:left="60" w:right="108"/>
              <w:rPr>
                <w:sz w:val="16"/>
              </w:rPr>
            </w:pPr>
            <w:r>
              <w:rPr>
                <w:sz w:val="16"/>
              </w:rPr>
              <w:t>Armenia</w:t>
            </w:r>
          </w:p>
        </w:tc>
        <w:tc>
          <w:tcPr>
            <w:tcW w:w="1201" w:type="dxa"/>
          </w:tcPr>
          <w:p>
            <w:pPr>
              <w:pStyle w:val="TableParagraph"/>
              <w:spacing w:line="182" w:lineRule="exact"/>
              <w:ind w:left="130" w:right="127"/>
              <w:jc w:val="center"/>
              <w:rPr>
                <w:sz w:val="16"/>
              </w:rPr>
            </w:pPr>
            <w:r>
              <w:rPr>
                <w:sz w:val="16"/>
              </w:rPr>
              <w:t>34</w:t>
            </w:r>
          </w:p>
        </w:tc>
        <w:tc>
          <w:tcPr>
            <w:tcW w:w="1660" w:type="dxa"/>
          </w:tcPr>
          <w:p>
            <w:pPr>
              <w:pStyle w:val="TableParagraph"/>
              <w:spacing w:line="182" w:lineRule="exact"/>
              <w:ind w:left="776"/>
              <w:rPr>
                <w:sz w:val="16"/>
              </w:rPr>
            </w:pPr>
            <w:r>
              <w:rPr>
                <w:w w:val="99"/>
                <w:sz w:val="16"/>
              </w:rPr>
              <w:t>6</w:t>
            </w:r>
          </w:p>
        </w:tc>
      </w:tr>
      <w:tr>
        <w:trPr>
          <w:trHeight w:val="212" w:hRule="exact"/>
        </w:trPr>
        <w:tc>
          <w:tcPr>
            <w:tcW w:w="1781" w:type="dxa"/>
          </w:tcPr>
          <w:p>
            <w:pPr>
              <w:pStyle w:val="TableParagraph"/>
              <w:spacing w:line="178" w:lineRule="exact"/>
              <w:ind w:left="522" w:right="522"/>
              <w:jc w:val="center"/>
              <w:rPr>
                <w:sz w:val="16"/>
              </w:rPr>
            </w:pPr>
            <w:r>
              <w:rPr>
                <w:sz w:val="16"/>
              </w:rPr>
              <w:t>105</w:t>
            </w:r>
          </w:p>
        </w:tc>
        <w:tc>
          <w:tcPr>
            <w:tcW w:w="1720" w:type="dxa"/>
          </w:tcPr>
          <w:p>
            <w:pPr>
              <w:pStyle w:val="TableParagraph"/>
              <w:spacing w:line="178" w:lineRule="exact"/>
              <w:ind w:left="60" w:right="108"/>
              <w:rPr>
                <w:sz w:val="16"/>
              </w:rPr>
            </w:pPr>
            <w:r>
              <w:rPr>
                <w:sz w:val="16"/>
              </w:rPr>
              <w:t>Bolivia</w:t>
            </w:r>
          </w:p>
        </w:tc>
        <w:tc>
          <w:tcPr>
            <w:tcW w:w="1201" w:type="dxa"/>
          </w:tcPr>
          <w:p>
            <w:pPr>
              <w:pStyle w:val="TableParagraph"/>
              <w:spacing w:line="178" w:lineRule="exact"/>
              <w:ind w:left="130" w:right="127"/>
              <w:jc w:val="center"/>
              <w:rPr>
                <w:sz w:val="16"/>
              </w:rPr>
            </w:pPr>
            <w:r>
              <w:rPr>
                <w:sz w:val="16"/>
              </w:rPr>
              <w:t>34</w:t>
            </w:r>
          </w:p>
        </w:tc>
        <w:tc>
          <w:tcPr>
            <w:tcW w:w="1660" w:type="dxa"/>
          </w:tcPr>
          <w:p>
            <w:pPr>
              <w:pStyle w:val="TableParagraph"/>
              <w:spacing w:line="178" w:lineRule="exact"/>
              <w:ind w:left="776"/>
              <w:rPr>
                <w:sz w:val="16"/>
              </w:rPr>
            </w:pPr>
            <w:r>
              <w:rPr>
                <w:w w:val="99"/>
                <w:sz w:val="16"/>
              </w:rPr>
              <w:t>7</w:t>
            </w:r>
          </w:p>
        </w:tc>
      </w:tr>
      <w:tr>
        <w:trPr>
          <w:trHeight w:val="216" w:hRule="exact"/>
        </w:trPr>
        <w:tc>
          <w:tcPr>
            <w:tcW w:w="1781" w:type="dxa"/>
          </w:tcPr>
          <w:p>
            <w:pPr>
              <w:pStyle w:val="TableParagraph"/>
              <w:spacing w:line="182" w:lineRule="exact"/>
              <w:ind w:left="522" w:right="522"/>
              <w:jc w:val="center"/>
              <w:rPr>
                <w:sz w:val="16"/>
              </w:rPr>
            </w:pPr>
            <w:r>
              <w:rPr>
                <w:sz w:val="16"/>
              </w:rPr>
              <w:t>105</w:t>
            </w:r>
          </w:p>
        </w:tc>
        <w:tc>
          <w:tcPr>
            <w:tcW w:w="1720" w:type="dxa"/>
          </w:tcPr>
          <w:p>
            <w:pPr>
              <w:pStyle w:val="TableParagraph"/>
              <w:spacing w:line="182" w:lineRule="exact"/>
              <w:ind w:left="60" w:right="108"/>
              <w:rPr>
                <w:sz w:val="16"/>
              </w:rPr>
            </w:pPr>
            <w:r>
              <w:rPr>
                <w:sz w:val="16"/>
              </w:rPr>
              <w:t>Gambia</w:t>
            </w:r>
          </w:p>
        </w:tc>
        <w:tc>
          <w:tcPr>
            <w:tcW w:w="1201" w:type="dxa"/>
          </w:tcPr>
          <w:p>
            <w:pPr>
              <w:pStyle w:val="TableParagraph"/>
              <w:spacing w:line="182" w:lineRule="exact"/>
              <w:ind w:left="130" w:right="127"/>
              <w:jc w:val="center"/>
              <w:rPr>
                <w:sz w:val="16"/>
              </w:rPr>
            </w:pPr>
            <w:r>
              <w:rPr>
                <w:sz w:val="16"/>
              </w:rPr>
              <w:t>34</w:t>
            </w:r>
          </w:p>
        </w:tc>
        <w:tc>
          <w:tcPr>
            <w:tcW w:w="1660" w:type="dxa"/>
          </w:tcPr>
          <w:p>
            <w:pPr>
              <w:pStyle w:val="TableParagraph"/>
              <w:spacing w:line="182" w:lineRule="exact"/>
              <w:ind w:left="776"/>
              <w:rPr>
                <w:sz w:val="16"/>
              </w:rPr>
            </w:pPr>
            <w:r>
              <w:rPr>
                <w:w w:val="99"/>
                <w:sz w:val="16"/>
              </w:rPr>
              <w:t>5</w:t>
            </w:r>
          </w:p>
        </w:tc>
      </w:tr>
      <w:tr>
        <w:trPr>
          <w:trHeight w:val="212" w:hRule="exact"/>
        </w:trPr>
        <w:tc>
          <w:tcPr>
            <w:tcW w:w="1781" w:type="dxa"/>
          </w:tcPr>
          <w:p>
            <w:pPr>
              <w:pStyle w:val="TableParagraph"/>
              <w:spacing w:line="178" w:lineRule="exact"/>
              <w:ind w:left="522" w:right="522"/>
              <w:jc w:val="center"/>
              <w:rPr>
                <w:sz w:val="16"/>
              </w:rPr>
            </w:pPr>
            <w:r>
              <w:rPr>
                <w:sz w:val="16"/>
              </w:rPr>
              <w:t>105</w:t>
            </w:r>
          </w:p>
        </w:tc>
        <w:tc>
          <w:tcPr>
            <w:tcW w:w="1720" w:type="dxa"/>
          </w:tcPr>
          <w:p>
            <w:pPr>
              <w:pStyle w:val="TableParagraph"/>
              <w:spacing w:line="178" w:lineRule="exact"/>
              <w:ind w:left="60" w:right="108"/>
              <w:rPr>
                <w:sz w:val="16"/>
              </w:rPr>
            </w:pPr>
            <w:r>
              <w:rPr>
                <w:sz w:val="16"/>
              </w:rPr>
              <w:t>Kosovo</w:t>
            </w:r>
          </w:p>
        </w:tc>
        <w:tc>
          <w:tcPr>
            <w:tcW w:w="1201" w:type="dxa"/>
          </w:tcPr>
          <w:p>
            <w:pPr>
              <w:pStyle w:val="TableParagraph"/>
              <w:spacing w:line="178" w:lineRule="exact"/>
              <w:ind w:left="130" w:right="127"/>
              <w:jc w:val="center"/>
              <w:rPr>
                <w:sz w:val="16"/>
              </w:rPr>
            </w:pPr>
            <w:r>
              <w:rPr>
                <w:sz w:val="16"/>
              </w:rPr>
              <w:t>34</w:t>
            </w:r>
          </w:p>
        </w:tc>
        <w:tc>
          <w:tcPr>
            <w:tcW w:w="1660" w:type="dxa"/>
          </w:tcPr>
          <w:p>
            <w:pPr>
              <w:pStyle w:val="TableParagraph"/>
              <w:spacing w:line="178" w:lineRule="exact"/>
              <w:ind w:left="776"/>
              <w:rPr>
                <w:sz w:val="16"/>
              </w:rPr>
            </w:pPr>
            <w:r>
              <w:rPr>
                <w:w w:val="99"/>
                <w:sz w:val="16"/>
              </w:rPr>
              <w:t>3</w:t>
            </w:r>
          </w:p>
        </w:tc>
      </w:tr>
      <w:tr>
        <w:trPr>
          <w:trHeight w:val="216" w:hRule="exact"/>
        </w:trPr>
        <w:tc>
          <w:tcPr>
            <w:tcW w:w="1781" w:type="dxa"/>
          </w:tcPr>
          <w:p>
            <w:pPr>
              <w:pStyle w:val="TableParagraph"/>
              <w:spacing w:line="182" w:lineRule="exact"/>
              <w:ind w:left="522" w:right="522"/>
              <w:jc w:val="center"/>
              <w:rPr>
                <w:sz w:val="16"/>
              </w:rPr>
            </w:pPr>
            <w:r>
              <w:rPr>
                <w:sz w:val="16"/>
              </w:rPr>
              <w:t>105</w:t>
            </w:r>
          </w:p>
        </w:tc>
        <w:tc>
          <w:tcPr>
            <w:tcW w:w="1720" w:type="dxa"/>
          </w:tcPr>
          <w:p>
            <w:pPr>
              <w:pStyle w:val="TableParagraph"/>
              <w:spacing w:line="182" w:lineRule="exact"/>
              <w:ind w:left="60" w:right="108"/>
              <w:rPr>
                <w:sz w:val="16"/>
              </w:rPr>
            </w:pPr>
            <w:r>
              <w:rPr>
                <w:sz w:val="16"/>
              </w:rPr>
              <w:t>Malí</w:t>
            </w:r>
          </w:p>
        </w:tc>
        <w:tc>
          <w:tcPr>
            <w:tcW w:w="1201" w:type="dxa"/>
          </w:tcPr>
          <w:p>
            <w:pPr>
              <w:pStyle w:val="TableParagraph"/>
              <w:spacing w:line="182" w:lineRule="exact"/>
              <w:ind w:left="130" w:right="127"/>
              <w:jc w:val="center"/>
              <w:rPr>
                <w:sz w:val="16"/>
              </w:rPr>
            </w:pPr>
            <w:r>
              <w:rPr>
                <w:sz w:val="16"/>
              </w:rPr>
              <w:t>34</w:t>
            </w:r>
          </w:p>
        </w:tc>
        <w:tc>
          <w:tcPr>
            <w:tcW w:w="1660" w:type="dxa"/>
          </w:tcPr>
          <w:p>
            <w:pPr>
              <w:pStyle w:val="TableParagraph"/>
              <w:spacing w:line="182" w:lineRule="exact"/>
              <w:ind w:left="776"/>
              <w:rPr>
                <w:sz w:val="16"/>
              </w:rPr>
            </w:pPr>
            <w:r>
              <w:rPr>
                <w:w w:val="99"/>
                <w:sz w:val="16"/>
              </w:rPr>
              <w:t>6</w:t>
            </w:r>
          </w:p>
        </w:tc>
      </w:tr>
      <w:tr>
        <w:trPr>
          <w:trHeight w:val="212" w:hRule="exact"/>
        </w:trPr>
        <w:tc>
          <w:tcPr>
            <w:tcW w:w="1781" w:type="dxa"/>
          </w:tcPr>
          <w:p>
            <w:pPr>
              <w:pStyle w:val="TableParagraph"/>
              <w:spacing w:line="178" w:lineRule="exact"/>
              <w:ind w:left="522" w:right="522"/>
              <w:jc w:val="center"/>
              <w:rPr>
                <w:b/>
                <w:sz w:val="16"/>
              </w:rPr>
            </w:pPr>
            <w:r>
              <w:rPr>
                <w:b/>
                <w:sz w:val="16"/>
              </w:rPr>
              <w:t>105</w:t>
            </w:r>
          </w:p>
        </w:tc>
        <w:tc>
          <w:tcPr>
            <w:tcW w:w="1720" w:type="dxa"/>
          </w:tcPr>
          <w:p>
            <w:pPr>
              <w:pStyle w:val="TableParagraph"/>
              <w:spacing w:line="178" w:lineRule="exact"/>
              <w:ind w:left="60" w:right="108"/>
              <w:rPr>
                <w:b/>
                <w:sz w:val="16"/>
              </w:rPr>
            </w:pPr>
            <w:r>
              <w:rPr>
                <w:b/>
                <w:sz w:val="16"/>
              </w:rPr>
              <w:t>México</w:t>
            </w:r>
          </w:p>
        </w:tc>
        <w:tc>
          <w:tcPr>
            <w:tcW w:w="1201" w:type="dxa"/>
          </w:tcPr>
          <w:p>
            <w:pPr>
              <w:pStyle w:val="TableParagraph"/>
              <w:spacing w:line="178" w:lineRule="exact"/>
              <w:ind w:left="130" w:right="127"/>
              <w:jc w:val="center"/>
              <w:rPr>
                <w:b/>
                <w:sz w:val="16"/>
              </w:rPr>
            </w:pPr>
            <w:r>
              <w:rPr>
                <w:b/>
                <w:sz w:val="16"/>
              </w:rPr>
              <w:t>34</w:t>
            </w:r>
          </w:p>
        </w:tc>
        <w:tc>
          <w:tcPr>
            <w:tcW w:w="1660" w:type="dxa"/>
          </w:tcPr>
          <w:p>
            <w:pPr>
              <w:pStyle w:val="TableParagraph"/>
              <w:spacing w:line="178" w:lineRule="exact"/>
              <w:ind w:left="776"/>
              <w:rPr>
                <w:b/>
                <w:sz w:val="16"/>
              </w:rPr>
            </w:pPr>
            <w:r>
              <w:rPr>
                <w:b/>
                <w:w w:val="99"/>
                <w:sz w:val="16"/>
              </w:rPr>
              <w:t>9</w:t>
            </w:r>
          </w:p>
        </w:tc>
      </w:tr>
      <w:tr>
        <w:trPr>
          <w:trHeight w:val="212" w:hRule="exact"/>
        </w:trPr>
        <w:tc>
          <w:tcPr>
            <w:tcW w:w="1781" w:type="dxa"/>
          </w:tcPr>
          <w:p>
            <w:pPr>
              <w:pStyle w:val="TableParagraph"/>
              <w:spacing w:line="182" w:lineRule="exact"/>
              <w:ind w:left="522" w:right="522"/>
              <w:jc w:val="center"/>
              <w:rPr>
                <w:sz w:val="16"/>
              </w:rPr>
            </w:pPr>
            <w:r>
              <w:rPr>
                <w:sz w:val="16"/>
              </w:rPr>
              <w:t>105</w:t>
            </w:r>
          </w:p>
        </w:tc>
        <w:tc>
          <w:tcPr>
            <w:tcW w:w="1720" w:type="dxa"/>
          </w:tcPr>
          <w:p>
            <w:pPr>
              <w:pStyle w:val="TableParagraph"/>
              <w:spacing w:line="182" w:lineRule="exact"/>
              <w:ind w:left="60" w:right="108"/>
              <w:rPr>
                <w:sz w:val="16"/>
              </w:rPr>
            </w:pPr>
            <w:r>
              <w:rPr>
                <w:sz w:val="16"/>
              </w:rPr>
              <w:t>Filipinas</w:t>
            </w:r>
          </w:p>
        </w:tc>
        <w:tc>
          <w:tcPr>
            <w:tcW w:w="1201" w:type="dxa"/>
          </w:tcPr>
          <w:p>
            <w:pPr>
              <w:pStyle w:val="TableParagraph"/>
              <w:spacing w:line="182" w:lineRule="exact"/>
              <w:ind w:left="130" w:right="127"/>
              <w:jc w:val="center"/>
              <w:rPr>
                <w:sz w:val="16"/>
              </w:rPr>
            </w:pPr>
            <w:r>
              <w:rPr>
                <w:sz w:val="16"/>
              </w:rPr>
              <w:t>34</w:t>
            </w:r>
          </w:p>
        </w:tc>
        <w:tc>
          <w:tcPr>
            <w:tcW w:w="1660" w:type="dxa"/>
          </w:tcPr>
          <w:p>
            <w:pPr>
              <w:pStyle w:val="TableParagraph"/>
              <w:spacing w:line="182" w:lineRule="exact"/>
              <w:ind w:left="776"/>
              <w:rPr>
                <w:sz w:val="16"/>
              </w:rPr>
            </w:pPr>
            <w:r>
              <w:rPr>
                <w:w w:val="99"/>
                <w:sz w:val="16"/>
              </w:rPr>
              <w:t>9</w:t>
            </w:r>
          </w:p>
        </w:tc>
      </w:tr>
    </w:tbl>
    <w:p>
      <w:pPr>
        <w:pStyle w:val="BodyText"/>
        <w:spacing w:before="1"/>
        <w:rPr>
          <w:sz w:val="12"/>
        </w:rPr>
      </w:pPr>
    </w:p>
    <w:p>
      <w:pPr>
        <w:spacing w:line="137" w:lineRule="exact" w:before="0"/>
        <w:ind w:left="1537" w:right="0" w:firstLine="0"/>
        <w:jc w:val="left"/>
        <w:rPr>
          <w:sz w:val="12"/>
        </w:rPr>
      </w:pPr>
      <w:r>
        <w:rPr>
          <w:sz w:val="12"/>
        </w:rPr>
        <w:t>FUENTE:     Transparency International, Corruption Perceptions Index 2012.</w:t>
      </w:r>
    </w:p>
    <w:p>
      <w:pPr>
        <w:spacing w:line="242" w:lineRule="auto" w:before="0"/>
        <w:ind w:left="2245" w:right="2686" w:firstLine="0"/>
        <w:jc w:val="left"/>
        <w:rPr>
          <w:sz w:val="12"/>
        </w:rPr>
      </w:pPr>
      <w:r>
        <w:rPr>
          <w:sz w:val="12"/>
        </w:rPr>
        <w:t>Disponible en: </w:t>
      </w:r>
      <w:hyperlink r:id="rId54">
        <w:r>
          <w:rPr>
            <w:sz w:val="12"/>
          </w:rPr>
          <w:t>http://www.transparency.org/cpi2012/results#myAnchor1</w:t>
        </w:r>
      </w:hyperlink>
      <w:r>
        <w:rPr>
          <w:sz w:val="12"/>
        </w:rPr>
        <w:t> [Fecha de consulta: 15 de noviembre, 2015]</w:t>
      </w:r>
    </w:p>
    <w:p>
      <w:pPr>
        <w:spacing w:line="135" w:lineRule="exact" w:before="0"/>
        <w:ind w:left="2245" w:right="0" w:firstLine="0"/>
        <w:jc w:val="left"/>
        <w:rPr>
          <w:sz w:val="12"/>
        </w:rPr>
      </w:pPr>
      <w:r>
        <w:rPr>
          <w:sz w:val="12"/>
        </w:rPr>
        <w:t>Nota: Promedio calculado.</w:t>
      </w: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4096;mso-wrap-distance-left:0;mso-wrap-distance-right:0" from="85.025002pt,11.33048pt" to="229.075002pt,11.33048pt" stroked="true" strokeweight=".79999pt" strokecolor="#000000">
            <w10:wrap type="topAndBottom"/>
          </v:line>
        </w:pict>
      </w:r>
    </w:p>
    <w:p>
      <w:pPr>
        <w:spacing w:before="65"/>
        <w:ind w:left="120" w:right="125" w:firstLine="0"/>
        <w:jc w:val="both"/>
        <w:rPr>
          <w:sz w:val="16"/>
        </w:rPr>
      </w:pPr>
      <w:r>
        <w:rPr>
          <w:sz w:val="16"/>
        </w:rPr>
        <w:t>e indirectas del problema. También consideró que el Índice de Percepción de la Corrupción (que mide el nivel de precepción de los expertos y empresarios sobre la corrupción en el sector público) coincide con el Barómetro Global de la Corrupción (que mide la opinión pública).</w:t>
      </w:r>
    </w:p>
    <w:p>
      <w:pPr>
        <w:spacing w:before="0"/>
        <w:ind w:left="120" w:right="382" w:firstLine="0"/>
        <w:jc w:val="left"/>
        <w:rPr>
          <w:sz w:val="16"/>
        </w:rPr>
      </w:pPr>
      <w:r>
        <w:rPr>
          <w:sz w:val="16"/>
        </w:rPr>
        <w:t>Disponible en: </w:t>
      </w:r>
      <w:hyperlink r:id="rId55">
        <w:r>
          <w:rPr>
            <w:sz w:val="16"/>
          </w:rPr>
          <w:t>http://transparency.ge/sites/default/files/post_attachments/TI%20Global%20Corruption%20Barometer%202010.pdf</w:t>
        </w:r>
      </w:hyperlink>
      <w:r>
        <w:rPr>
          <w:sz w:val="16"/>
        </w:rPr>
        <w:t> [Fecha de consulta: 10 noviembre, 2015]</w:t>
      </w:r>
    </w:p>
    <w:p>
      <w:pPr>
        <w:spacing w:after="0"/>
        <w:jc w:val="left"/>
        <w:rPr>
          <w:sz w:val="16"/>
        </w:rPr>
        <w:sectPr>
          <w:pgSz w:w="12240" w:h="15840"/>
          <w:pgMar w:header="0" w:footer="998" w:top="1360" w:bottom="1180" w:left="1580" w:right="1580"/>
        </w:sectPr>
      </w:pPr>
    </w:p>
    <w:p>
      <w:pPr>
        <w:pStyle w:val="ListParagraph"/>
        <w:numPr>
          <w:ilvl w:val="0"/>
          <w:numId w:val="37"/>
        </w:numPr>
        <w:tabs>
          <w:tab w:pos="369" w:val="left" w:leader="none"/>
        </w:tabs>
        <w:spacing w:line="240" w:lineRule="auto" w:before="51" w:after="0"/>
        <w:ind w:left="368" w:right="0" w:hanging="268"/>
        <w:jc w:val="left"/>
        <w:rPr>
          <w:i/>
          <w:sz w:val="24"/>
        </w:rPr>
      </w:pPr>
      <w:r>
        <w:rPr>
          <w:i/>
          <w:sz w:val="24"/>
        </w:rPr>
        <w:t>Barómetro Global de la Corrupción,</w:t>
      </w:r>
      <w:r>
        <w:rPr>
          <w:i/>
          <w:spacing w:val="-26"/>
          <w:sz w:val="24"/>
        </w:rPr>
        <w:t> </w:t>
      </w:r>
      <w:r>
        <w:rPr>
          <w:i/>
          <w:sz w:val="24"/>
        </w:rPr>
        <w:t>2010</w:t>
      </w:r>
    </w:p>
    <w:p>
      <w:pPr>
        <w:pStyle w:val="BodyText"/>
        <w:spacing w:before="6"/>
        <w:rPr>
          <w:i/>
          <w:sz w:val="29"/>
        </w:rPr>
      </w:pPr>
    </w:p>
    <w:p>
      <w:pPr>
        <w:spacing w:line="360" w:lineRule="auto" w:before="0"/>
        <w:ind w:left="100" w:right="115" w:firstLine="427"/>
        <w:jc w:val="both"/>
        <w:rPr>
          <w:sz w:val="24"/>
        </w:rPr>
      </w:pPr>
      <w:r>
        <w:rPr>
          <w:i/>
          <w:sz w:val="24"/>
        </w:rPr>
        <w:t>The Global Corruption Barometer 2010 </w:t>
      </w:r>
      <w:r>
        <w:rPr>
          <w:sz w:val="24"/>
        </w:rPr>
        <w:t>publicado por </w:t>
      </w:r>
      <w:r>
        <w:rPr>
          <w:i/>
          <w:sz w:val="24"/>
        </w:rPr>
        <w:t>Transparency </w:t>
      </w:r>
      <w:r>
        <w:rPr>
          <w:i/>
          <w:sz w:val="24"/>
        </w:rPr>
        <w:t>International </w:t>
      </w:r>
      <w:r>
        <w:rPr>
          <w:sz w:val="24"/>
        </w:rPr>
        <w:t>fue publicado en abril de 2011 y mostró los resultados de la encuesta de</w:t>
      </w:r>
      <w:r>
        <w:rPr>
          <w:spacing w:val="-8"/>
          <w:sz w:val="24"/>
        </w:rPr>
        <w:t> </w:t>
      </w:r>
      <w:r>
        <w:rPr>
          <w:sz w:val="24"/>
        </w:rPr>
        <w:t>las</w:t>
      </w:r>
      <w:r>
        <w:rPr>
          <w:spacing w:val="-6"/>
          <w:sz w:val="24"/>
        </w:rPr>
        <w:t> </w:t>
      </w:r>
      <w:r>
        <w:rPr>
          <w:sz w:val="24"/>
        </w:rPr>
        <w:t>experiencias</w:t>
      </w:r>
      <w:r>
        <w:rPr>
          <w:spacing w:val="-3"/>
          <w:sz w:val="24"/>
        </w:rPr>
        <w:t> </w:t>
      </w:r>
      <w:r>
        <w:rPr>
          <w:sz w:val="24"/>
        </w:rPr>
        <w:t>y</w:t>
      </w:r>
      <w:r>
        <w:rPr>
          <w:spacing w:val="-10"/>
          <w:sz w:val="24"/>
        </w:rPr>
        <w:t> </w:t>
      </w:r>
      <w:r>
        <w:rPr>
          <w:sz w:val="24"/>
        </w:rPr>
        <w:t>opiniones</w:t>
      </w:r>
      <w:r>
        <w:rPr>
          <w:spacing w:val="-3"/>
          <w:sz w:val="24"/>
        </w:rPr>
        <w:t> </w:t>
      </w:r>
      <w:r>
        <w:rPr>
          <w:sz w:val="24"/>
        </w:rPr>
        <w:t>del</w:t>
      </w:r>
      <w:r>
        <w:rPr>
          <w:spacing w:val="-5"/>
          <w:sz w:val="24"/>
        </w:rPr>
        <w:t> </w:t>
      </w:r>
      <w:r>
        <w:rPr>
          <w:sz w:val="24"/>
        </w:rPr>
        <w:t>público</w:t>
      </w:r>
      <w:r>
        <w:rPr>
          <w:spacing w:val="-5"/>
          <w:sz w:val="24"/>
        </w:rPr>
        <w:t> </w:t>
      </w:r>
      <w:r>
        <w:rPr>
          <w:sz w:val="24"/>
        </w:rPr>
        <w:t>acerca</w:t>
      </w:r>
      <w:r>
        <w:rPr>
          <w:spacing w:val="-8"/>
          <w:sz w:val="24"/>
        </w:rPr>
        <w:t> </w:t>
      </w:r>
      <w:r>
        <w:rPr>
          <w:sz w:val="24"/>
        </w:rPr>
        <w:t>de</w:t>
      </w:r>
      <w:r>
        <w:rPr>
          <w:spacing w:val="-8"/>
          <w:sz w:val="24"/>
        </w:rPr>
        <w:t> </w:t>
      </w:r>
      <w:r>
        <w:rPr>
          <w:sz w:val="24"/>
        </w:rPr>
        <w:t>la</w:t>
      </w:r>
      <w:r>
        <w:rPr>
          <w:spacing w:val="-8"/>
          <w:sz w:val="24"/>
        </w:rPr>
        <w:t> </w:t>
      </w:r>
      <w:r>
        <w:rPr>
          <w:sz w:val="24"/>
        </w:rPr>
        <w:t>corrupción</w:t>
      </w:r>
      <w:r>
        <w:rPr>
          <w:spacing w:val="-5"/>
          <w:sz w:val="24"/>
        </w:rPr>
        <w:t> </w:t>
      </w:r>
      <w:r>
        <w:rPr>
          <w:sz w:val="24"/>
        </w:rPr>
        <w:t>en</w:t>
      </w:r>
      <w:r>
        <w:rPr>
          <w:spacing w:val="-8"/>
          <w:sz w:val="24"/>
        </w:rPr>
        <w:t> </w:t>
      </w:r>
      <w:r>
        <w:rPr>
          <w:sz w:val="24"/>
        </w:rPr>
        <w:t>100</w:t>
      </w:r>
      <w:r>
        <w:rPr>
          <w:spacing w:val="-8"/>
          <w:sz w:val="24"/>
        </w:rPr>
        <w:t> </w:t>
      </w:r>
      <w:r>
        <w:rPr>
          <w:sz w:val="24"/>
        </w:rPr>
        <w:t>países</w:t>
      </w:r>
      <w:r>
        <w:rPr>
          <w:spacing w:val="-6"/>
          <w:sz w:val="24"/>
        </w:rPr>
        <w:t> </w:t>
      </w:r>
      <w:r>
        <w:rPr>
          <w:sz w:val="24"/>
        </w:rPr>
        <w:t>a 10 instituciones, consideradas por la ONG como variables</w:t>
      </w:r>
      <w:r>
        <w:rPr>
          <w:spacing w:val="-29"/>
          <w:sz w:val="24"/>
        </w:rPr>
        <w:t> </w:t>
      </w:r>
      <w:r>
        <w:rPr>
          <w:sz w:val="24"/>
        </w:rPr>
        <w:t>clave.</w:t>
      </w:r>
    </w:p>
    <w:p>
      <w:pPr>
        <w:pStyle w:val="BodyText"/>
        <w:spacing w:line="360" w:lineRule="auto" w:before="6"/>
        <w:ind w:left="100" w:right="119" w:firstLine="427"/>
        <w:jc w:val="both"/>
      </w:pPr>
      <w:r>
        <w:rPr/>
        <w:t>El informe compiló la frecuencia de los sobornos, las razones que dieron lugar al pago de éstos y las actitudes observadas respecto de la denuncia de hechos de corrupción.</w:t>
      </w:r>
      <w:r>
        <w:rPr>
          <w:spacing w:val="-4"/>
        </w:rPr>
        <w:t> </w:t>
      </w:r>
      <w:r>
        <w:rPr/>
        <w:t>La</w:t>
      </w:r>
      <w:r>
        <w:rPr>
          <w:spacing w:val="-5"/>
        </w:rPr>
        <w:t> </w:t>
      </w:r>
      <w:r>
        <w:rPr/>
        <w:t>organización</w:t>
      </w:r>
      <w:r>
        <w:rPr>
          <w:spacing w:val="-5"/>
        </w:rPr>
        <w:t> </w:t>
      </w:r>
      <w:r>
        <w:rPr/>
        <w:t>presentó</w:t>
      </w:r>
      <w:r>
        <w:rPr>
          <w:spacing w:val="-5"/>
        </w:rPr>
        <w:t> </w:t>
      </w:r>
      <w:r>
        <w:rPr/>
        <w:t>sus</w:t>
      </w:r>
      <w:r>
        <w:rPr>
          <w:spacing w:val="-4"/>
        </w:rPr>
        <w:t> </w:t>
      </w:r>
      <w:r>
        <w:rPr/>
        <w:t>resultados</w:t>
      </w:r>
      <w:r>
        <w:rPr>
          <w:spacing w:val="-4"/>
        </w:rPr>
        <w:t> </w:t>
      </w:r>
      <w:r>
        <w:rPr/>
        <w:t>en</w:t>
      </w:r>
      <w:r>
        <w:rPr>
          <w:spacing w:val="-5"/>
        </w:rPr>
        <w:t> </w:t>
      </w:r>
      <w:r>
        <w:rPr/>
        <w:t>una</w:t>
      </w:r>
      <w:r>
        <w:rPr>
          <w:spacing w:val="-5"/>
        </w:rPr>
        <w:t> </w:t>
      </w:r>
      <w:r>
        <w:rPr/>
        <w:t>escala</w:t>
      </w:r>
      <w:r>
        <w:rPr>
          <w:spacing w:val="-5"/>
        </w:rPr>
        <w:t> </w:t>
      </w:r>
      <w:r>
        <w:rPr/>
        <w:t>de</w:t>
      </w:r>
      <w:r>
        <w:rPr>
          <w:spacing w:val="-5"/>
        </w:rPr>
        <w:t> </w:t>
      </w:r>
      <w:r>
        <w:rPr/>
        <w:t>0</w:t>
      </w:r>
      <w:r>
        <w:rPr>
          <w:spacing w:val="-5"/>
        </w:rPr>
        <w:t> </w:t>
      </w:r>
      <w:r>
        <w:rPr/>
        <w:t>a</w:t>
      </w:r>
      <w:r>
        <w:rPr>
          <w:spacing w:val="-5"/>
        </w:rPr>
        <w:t> </w:t>
      </w:r>
      <w:r>
        <w:rPr>
          <w:spacing w:val="-3"/>
        </w:rPr>
        <w:t>5,</w:t>
      </w:r>
      <w:r>
        <w:rPr>
          <w:spacing w:val="-4"/>
        </w:rPr>
        <w:t> </w:t>
      </w:r>
      <w:r>
        <w:rPr/>
        <w:t>donde valores bajos implicaron una escasa percepción de corrupción en la institución evaluada (variable) y valores cercanos a 5, una precepción de extrema corrupción. Los resultados indican que sólo tres instituciones obtuvieron una calificación por debajo del promedio (2.9 puntos), siendo las organizaciones religiosas las que presentaron una menor precepción de corrupción, mientras que los partidos políticos son considerados con mayor percepción en</w:t>
      </w:r>
      <w:r>
        <w:rPr>
          <w:spacing w:val="-29"/>
        </w:rPr>
        <w:t> </w:t>
      </w:r>
      <w:r>
        <w:rPr/>
        <w:t>corrupción.</w:t>
      </w:r>
    </w:p>
    <w:p>
      <w:pPr>
        <w:pStyle w:val="BodyText"/>
        <w:spacing w:before="11"/>
        <w:rPr>
          <w:sz w:val="22"/>
        </w:rPr>
      </w:pPr>
    </w:p>
    <w:p>
      <w:pPr>
        <w:spacing w:line="451" w:lineRule="auto" w:before="0"/>
        <w:ind w:left="3505" w:right="2200" w:hanging="1313"/>
        <w:jc w:val="left"/>
        <w:rPr>
          <w:sz w:val="20"/>
        </w:rPr>
      </w:pPr>
      <w:r>
        <w:rPr/>
        <w:pict>
          <v:group style="position:absolute;margin-left:85.129227pt;margin-top:58.55809pt;width:441.75pt;height:198.05pt;mso-position-horizontal-relative:page;mso-position-vertical-relative:paragraph;z-index:-353944" coordorigin="1703,1171" coordsize="8835,3961">
            <v:shape style="position:absolute;left:4106;top:2616;width:5235;height:809" coordorigin="4106,2616" coordsize="5235,809" path="m8893,2616l4106,2616,4106,2815,8893,2815,8893,2616m9043,2920l4106,2920,4106,3120,9043,3120,9043,2920m9341,3226l4106,3226,4106,3424,9341,3424,9341,3226e" filled="true" fillcolor="#4f81bc" stroked="false">
              <v:path arrowok="t"/>
              <v:fill type="solid"/>
            </v:shape>
            <v:shape style="position:absolute;left:7;top:3178;width:10440;height:4980" coordorigin="7,3178" coordsize="10440,4980" path="m4106,4395l10089,4395m4106,4395l4106,4442m4854,4395l4854,4442m5601,4395l5601,4442m6349,4395l6349,4442m7098,4395l7098,4442m7846,4395l7846,4442m8592,4395l8592,4442m9341,4395l9341,4442m10089,4395l10089,4442m4106,4395l4106,1341m4055,4395l4106,4395m4055,4089l4106,4089m4055,3784l4106,3784m4055,3478l4106,3478m4055,3173l4106,3173m4055,2867l4106,2867m4055,2562l4106,2562m4055,1341l4106,1341m1709,5126l10531,5126,10531,1177,1709,1177,1709,5126xe" filled="false" stroked="true" strokeweight=".589659pt" strokecolor="#858585">
              <v:path arrowok="t"/>
            </v:shape>
            <v:shape style="position:absolute;left:3988;top:4506;width:236;height:159" type="#_x0000_t202" filled="false" stroked="false">
              <v:textbox inset="0,0,0,0">
                <w:txbxContent>
                  <w:p>
                    <w:pPr>
                      <w:spacing w:line="158" w:lineRule="exact" w:before="0"/>
                      <w:ind w:left="0" w:right="-18" w:firstLine="0"/>
                      <w:jc w:val="left"/>
                      <w:rPr>
                        <w:sz w:val="16"/>
                      </w:rPr>
                    </w:pPr>
                    <w:r>
                      <w:rPr>
                        <w:w w:val="105"/>
                        <w:sz w:val="16"/>
                      </w:rPr>
                      <w:t>0.0</w:t>
                    </w:r>
                  </w:p>
                </w:txbxContent>
              </v:textbox>
              <w10:wrap type="none"/>
            </v:shape>
            <v:shape style="position:absolute;left:4231;top:4506;width:1154;height:468" type="#_x0000_t202" filled="false" stroked="false">
              <v:textbox inset="0,0,0,0">
                <w:txbxContent>
                  <w:p>
                    <w:pPr>
                      <w:spacing w:line="162" w:lineRule="exact" w:before="0"/>
                      <w:ind w:left="92" w:right="0" w:firstLine="0"/>
                      <w:jc w:val="center"/>
                      <w:rPr>
                        <w:sz w:val="16"/>
                      </w:rPr>
                    </w:pPr>
                    <w:r>
                      <w:rPr>
                        <w:w w:val="105"/>
                        <w:sz w:val="16"/>
                      </w:rPr>
                      <w:t>0.5</w:t>
                    </w:r>
                  </w:p>
                  <w:p>
                    <w:pPr>
                      <w:spacing w:line="180" w:lineRule="exact" w:before="125"/>
                      <w:ind w:left="0" w:right="0" w:firstLine="0"/>
                      <w:jc w:val="center"/>
                      <w:rPr>
                        <w:b/>
                        <w:sz w:val="16"/>
                      </w:rPr>
                    </w:pPr>
                    <w:r>
                      <w:rPr>
                        <w:b/>
                        <w:color w:val="006FC0"/>
                        <w:w w:val="105"/>
                        <w:sz w:val="16"/>
                      </w:rPr>
                      <w:t>Nada corrupto</w:t>
                    </w:r>
                  </w:p>
                </w:txbxContent>
              </v:textbox>
              <w10:wrap type="none"/>
            </v:shape>
            <v:shape style="position:absolute;left:5484;top:4506;width:236;height:159" type="#_x0000_t202" filled="false" stroked="false">
              <v:textbox inset="0,0,0,0">
                <w:txbxContent>
                  <w:p>
                    <w:pPr>
                      <w:spacing w:line="158" w:lineRule="exact" w:before="0"/>
                      <w:ind w:left="0" w:right="-18" w:firstLine="0"/>
                      <w:jc w:val="left"/>
                      <w:rPr>
                        <w:sz w:val="16"/>
                      </w:rPr>
                    </w:pPr>
                    <w:r>
                      <w:rPr>
                        <w:w w:val="105"/>
                        <w:sz w:val="16"/>
                      </w:rPr>
                      <w:t>1.0</w:t>
                    </w:r>
                  </w:p>
                </w:txbxContent>
              </v:textbox>
              <w10:wrap type="none"/>
            </v:shape>
            <v:shape style="position:absolute;left:6232;top:4506;width:236;height:159" type="#_x0000_t202" filled="false" stroked="false">
              <v:textbox inset="0,0,0,0">
                <w:txbxContent>
                  <w:p>
                    <w:pPr>
                      <w:spacing w:line="158" w:lineRule="exact" w:before="0"/>
                      <w:ind w:left="0" w:right="-18" w:firstLine="0"/>
                      <w:jc w:val="left"/>
                      <w:rPr>
                        <w:sz w:val="16"/>
                      </w:rPr>
                    </w:pPr>
                    <w:r>
                      <w:rPr>
                        <w:w w:val="105"/>
                        <w:sz w:val="16"/>
                      </w:rPr>
                      <w:t>1.5</w:t>
                    </w:r>
                  </w:p>
                </w:txbxContent>
              </v:textbox>
              <w10:wrap type="none"/>
            </v:shape>
            <v:shape style="position:absolute;left:6980;top:4506;width:236;height:159" type="#_x0000_t202" filled="false" stroked="false">
              <v:textbox inset="0,0,0,0">
                <w:txbxContent>
                  <w:p>
                    <w:pPr>
                      <w:spacing w:line="158" w:lineRule="exact" w:before="0"/>
                      <w:ind w:left="0" w:right="-18" w:firstLine="0"/>
                      <w:jc w:val="left"/>
                      <w:rPr>
                        <w:sz w:val="16"/>
                      </w:rPr>
                    </w:pPr>
                    <w:r>
                      <w:rPr>
                        <w:w w:val="105"/>
                        <w:sz w:val="16"/>
                      </w:rPr>
                      <w:t>2.0</w:t>
                    </w:r>
                  </w:p>
                </w:txbxContent>
              </v:textbox>
              <w10:wrap type="none"/>
            </v:shape>
            <v:shape style="position:absolute;left:7257;top:4506;width:1060;height:429" type="#_x0000_t202" filled="false" stroked="false">
              <v:textbox inset="0,0,0,0">
                <w:txbxContent>
                  <w:p>
                    <w:pPr>
                      <w:spacing w:line="162" w:lineRule="exact" w:before="0"/>
                      <w:ind w:left="120" w:right="0" w:firstLine="0"/>
                      <w:jc w:val="center"/>
                      <w:rPr>
                        <w:sz w:val="16"/>
                      </w:rPr>
                    </w:pPr>
                    <w:r>
                      <w:rPr>
                        <w:w w:val="105"/>
                        <w:sz w:val="16"/>
                      </w:rPr>
                      <w:t>2.5</w:t>
                    </w:r>
                  </w:p>
                  <w:p>
                    <w:pPr>
                      <w:spacing w:line="171" w:lineRule="exact" w:before="96"/>
                      <w:ind w:left="0" w:right="0" w:firstLine="0"/>
                      <w:jc w:val="center"/>
                      <w:rPr>
                        <w:b/>
                        <w:sz w:val="15"/>
                      </w:rPr>
                    </w:pPr>
                    <w:r>
                      <w:rPr>
                        <w:b/>
                        <w:color w:val="C00000"/>
                        <w:w w:val="110"/>
                        <w:sz w:val="15"/>
                      </w:rPr>
                      <w:t>Promedio 2.9</w:t>
                    </w:r>
                  </w:p>
                </w:txbxContent>
              </v:textbox>
              <w10:wrap type="none"/>
            </v:shape>
            <v:shape style="position:absolute;left:8477;top:4506;width:236;height:159" type="#_x0000_t202" filled="false" stroked="false">
              <v:textbox inset="0,0,0,0">
                <w:txbxContent>
                  <w:p>
                    <w:pPr>
                      <w:spacing w:line="158" w:lineRule="exact" w:before="0"/>
                      <w:ind w:left="0" w:right="-18" w:firstLine="0"/>
                      <w:jc w:val="left"/>
                      <w:rPr>
                        <w:sz w:val="16"/>
                      </w:rPr>
                    </w:pPr>
                    <w:r>
                      <w:rPr>
                        <w:w w:val="105"/>
                        <w:sz w:val="16"/>
                      </w:rPr>
                      <w:t>3.0</w:t>
                    </w:r>
                  </w:p>
                </w:txbxContent>
              </v:textbox>
              <w10:wrap type="none"/>
            </v:shape>
            <v:shape style="position:absolute;left:9225;top:4506;width:236;height:159" type="#_x0000_t202" filled="false" stroked="false">
              <v:textbox inset="0,0,0,0">
                <w:txbxContent>
                  <w:p>
                    <w:pPr>
                      <w:spacing w:line="158" w:lineRule="exact" w:before="0"/>
                      <w:ind w:left="0" w:right="-18" w:firstLine="0"/>
                      <w:jc w:val="left"/>
                      <w:rPr>
                        <w:sz w:val="16"/>
                      </w:rPr>
                    </w:pPr>
                    <w:r>
                      <w:rPr>
                        <w:w w:val="105"/>
                        <w:sz w:val="16"/>
                      </w:rPr>
                      <w:t>3.5</w:t>
                    </w:r>
                  </w:p>
                </w:txbxContent>
              </v:textbox>
              <w10:wrap type="none"/>
            </v:shape>
            <v:shape style="position:absolute;left:9973;top:4506;width:236;height:159" type="#_x0000_t202" filled="false" stroked="false">
              <v:textbox inset="0,0,0,0">
                <w:txbxContent>
                  <w:p>
                    <w:pPr>
                      <w:spacing w:line="158" w:lineRule="exact" w:before="0"/>
                      <w:ind w:left="0" w:right="-18" w:firstLine="0"/>
                      <w:jc w:val="left"/>
                      <w:rPr>
                        <w:sz w:val="16"/>
                      </w:rPr>
                    </w:pPr>
                    <w:r>
                      <w:rPr>
                        <w:w w:val="105"/>
                        <w:sz w:val="16"/>
                      </w:rPr>
                      <w:t>4.0</w:t>
                    </w:r>
                  </w:p>
                </w:txbxContent>
              </v:textbox>
              <w10:wrap type="none"/>
            </v:shape>
            <v:shape style="position:absolute;left:8787;top:4787;width:1357;height:341" type="#_x0000_t202" filled="false" stroked="false">
              <v:textbox inset="0,0,0,0">
                <w:txbxContent>
                  <w:p>
                    <w:pPr>
                      <w:spacing w:line="160" w:lineRule="exact" w:before="0"/>
                      <w:ind w:left="0" w:right="0" w:firstLine="0"/>
                      <w:jc w:val="center"/>
                      <w:rPr>
                        <w:b/>
                        <w:sz w:val="15"/>
                      </w:rPr>
                    </w:pPr>
                    <w:r>
                      <w:rPr>
                        <w:b/>
                        <w:color w:val="006FC0"/>
                        <w:w w:val="110"/>
                        <w:sz w:val="15"/>
                      </w:rPr>
                      <w:t>Extramadamente</w:t>
                    </w:r>
                  </w:p>
                  <w:p>
                    <w:pPr>
                      <w:spacing w:line="171" w:lineRule="exact" w:before="10"/>
                      <w:ind w:left="0" w:right="1" w:firstLine="0"/>
                      <w:jc w:val="center"/>
                      <w:rPr>
                        <w:b/>
                        <w:sz w:val="15"/>
                      </w:rPr>
                    </w:pPr>
                    <w:r>
                      <w:rPr>
                        <w:b/>
                        <w:color w:val="006FC0"/>
                        <w:w w:val="110"/>
                        <w:sz w:val="15"/>
                      </w:rPr>
                      <w:t>corrupto</w:t>
                    </w:r>
                  </w:p>
                </w:txbxContent>
              </v:textbox>
              <w10:wrap type="none"/>
            </v:shape>
            <w10:wrap type="none"/>
          </v:group>
        </w:pict>
      </w:r>
      <w:bookmarkStart w:name="_bookmark28" w:id="41"/>
      <w:bookmarkEnd w:id="41"/>
      <w:r>
        <w:rPr/>
      </w:r>
      <w:r>
        <w:rPr>
          <w:sz w:val="20"/>
        </w:rPr>
        <w:t>Grafica 1.4. Barómetro global de la corrupción, 2010 (Puntuación promedio)</w:t>
      </w:r>
    </w:p>
    <w:p>
      <w:pPr>
        <w:pStyle w:val="BodyText"/>
        <w:rPr>
          <w:sz w:val="20"/>
        </w:rPr>
      </w:pPr>
    </w:p>
    <w:p>
      <w:pPr>
        <w:pStyle w:val="BodyText"/>
        <w:spacing w:before="6"/>
        <w:rPr>
          <w:sz w:val="26"/>
        </w:rPr>
      </w:pPr>
    </w:p>
    <w:tbl>
      <w:tblPr>
        <w:tblW w:w="0" w:type="auto"/>
        <w:jc w:val="left"/>
        <w:tblInd w:w="38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37"/>
        <w:gridCol w:w="3885"/>
        <w:gridCol w:w="132"/>
        <w:gridCol w:w="145"/>
        <w:gridCol w:w="288"/>
        <w:gridCol w:w="898"/>
        <w:gridCol w:w="314"/>
      </w:tblGrid>
      <w:tr>
        <w:trPr>
          <w:trHeight w:val="200" w:hRule="exact"/>
        </w:trPr>
        <w:tc>
          <w:tcPr>
            <w:tcW w:w="2137" w:type="dxa"/>
          </w:tcPr>
          <w:p>
            <w:pPr>
              <w:pStyle w:val="TableParagraph"/>
              <w:spacing w:before="9"/>
              <w:ind w:left="35"/>
              <w:rPr>
                <w:sz w:val="15"/>
              </w:rPr>
            </w:pPr>
            <w:r>
              <w:rPr>
                <w:w w:val="110"/>
                <w:sz w:val="15"/>
              </w:rPr>
              <w:t>Organizaciones religiosas</w:t>
            </w:r>
          </w:p>
        </w:tc>
        <w:tc>
          <w:tcPr>
            <w:tcW w:w="3885" w:type="dxa"/>
            <w:shd w:val="clear" w:color="auto" w:fill="4F81BC"/>
          </w:tcPr>
          <w:p>
            <w:pPr>
              <w:pStyle w:val="TableParagraph"/>
              <w:spacing w:before="17"/>
              <w:ind w:right="170"/>
              <w:jc w:val="right"/>
              <w:rPr>
                <w:b/>
                <w:sz w:val="15"/>
              </w:rPr>
            </w:pPr>
            <w:r>
              <w:rPr>
                <w:b/>
                <w:color w:val="FFFFFF"/>
                <w:w w:val="110"/>
                <w:sz w:val="15"/>
              </w:rPr>
              <w:t>2.6</w:t>
            </w:r>
          </w:p>
        </w:tc>
        <w:tc>
          <w:tcPr>
            <w:tcW w:w="132" w:type="dxa"/>
          </w:tcPr>
          <w:p>
            <w:pPr/>
          </w:p>
        </w:tc>
        <w:tc>
          <w:tcPr>
            <w:tcW w:w="145" w:type="dxa"/>
            <w:tcBorders>
              <w:right w:val="single" w:sz="25" w:space="0" w:color="C00000"/>
            </w:tcBorders>
          </w:tcPr>
          <w:p>
            <w:pPr/>
          </w:p>
        </w:tc>
        <w:tc>
          <w:tcPr>
            <w:tcW w:w="1500" w:type="dxa"/>
            <w:gridSpan w:val="3"/>
            <w:vMerge w:val="restart"/>
            <w:tcBorders>
              <w:left w:val="single" w:sz="25" w:space="0" w:color="C00000"/>
            </w:tcBorders>
          </w:tcPr>
          <w:p>
            <w:pPr/>
          </w:p>
        </w:tc>
      </w:tr>
      <w:tr>
        <w:trPr>
          <w:trHeight w:val="105" w:hRule="exact"/>
        </w:trPr>
        <w:tc>
          <w:tcPr>
            <w:tcW w:w="2137" w:type="dxa"/>
          </w:tcPr>
          <w:p>
            <w:pPr/>
          </w:p>
        </w:tc>
        <w:tc>
          <w:tcPr>
            <w:tcW w:w="3885" w:type="dxa"/>
          </w:tcPr>
          <w:p>
            <w:pPr/>
          </w:p>
        </w:tc>
        <w:tc>
          <w:tcPr>
            <w:tcW w:w="132" w:type="dxa"/>
          </w:tcPr>
          <w:p>
            <w:pPr/>
          </w:p>
        </w:tc>
        <w:tc>
          <w:tcPr>
            <w:tcW w:w="145" w:type="dxa"/>
            <w:tcBorders>
              <w:right w:val="single" w:sz="25" w:space="0" w:color="C00000"/>
            </w:tcBorders>
          </w:tcPr>
          <w:p>
            <w:pPr/>
          </w:p>
        </w:tc>
        <w:tc>
          <w:tcPr>
            <w:tcW w:w="1500" w:type="dxa"/>
            <w:gridSpan w:val="3"/>
            <w:vMerge/>
            <w:tcBorders>
              <w:left w:val="single" w:sz="25" w:space="0" w:color="C00000"/>
            </w:tcBorders>
          </w:tcPr>
          <w:p>
            <w:pPr/>
          </w:p>
        </w:tc>
      </w:tr>
      <w:tr>
        <w:trPr>
          <w:trHeight w:val="200" w:hRule="exact"/>
        </w:trPr>
        <w:tc>
          <w:tcPr>
            <w:tcW w:w="2137" w:type="dxa"/>
          </w:tcPr>
          <w:p>
            <w:pPr>
              <w:pStyle w:val="TableParagraph"/>
              <w:spacing w:before="10"/>
              <w:ind w:right="164"/>
              <w:jc w:val="right"/>
              <w:rPr>
                <w:sz w:val="15"/>
              </w:rPr>
            </w:pPr>
            <w:r>
              <w:rPr>
                <w:w w:val="110"/>
                <w:sz w:val="15"/>
              </w:rPr>
              <w:t>ONG</w:t>
            </w:r>
          </w:p>
        </w:tc>
        <w:tc>
          <w:tcPr>
            <w:tcW w:w="3885" w:type="dxa"/>
            <w:shd w:val="clear" w:color="auto" w:fill="4F81BC"/>
          </w:tcPr>
          <w:p>
            <w:pPr>
              <w:pStyle w:val="TableParagraph"/>
              <w:spacing w:before="18"/>
              <w:ind w:right="20"/>
              <w:jc w:val="right"/>
              <w:rPr>
                <w:b/>
                <w:sz w:val="15"/>
              </w:rPr>
            </w:pPr>
            <w:r>
              <w:rPr>
                <w:b/>
                <w:color w:val="FFFFFF"/>
                <w:w w:val="110"/>
                <w:sz w:val="15"/>
              </w:rPr>
              <w:t>2.7</w:t>
            </w:r>
          </w:p>
        </w:tc>
        <w:tc>
          <w:tcPr>
            <w:tcW w:w="132" w:type="dxa"/>
            <w:shd w:val="clear" w:color="auto" w:fill="4F81BC"/>
          </w:tcPr>
          <w:p>
            <w:pPr/>
          </w:p>
        </w:tc>
        <w:tc>
          <w:tcPr>
            <w:tcW w:w="145" w:type="dxa"/>
            <w:tcBorders>
              <w:right w:val="single" w:sz="25" w:space="0" w:color="C00000"/>
            </w:tcBorders>
          </w:tcPr>
          <w:p>
            <w:pPr/>
          </w:p>
        </w:tc>
        <w:tc>
          <w:tcPr>
            <w:tcW w:w="1500" w:type="dxa"/>
            <w:gridSpan w:val="3"/>
            <w:vMerge/>
            <w:tcBorders>
              <w:left w:val="single" w:sz="25" w:space="0" w:color="C00000"/>
            </w:tcBorders>
          </w:tcPr>
          <w:p>
            <w:pPr/>
          </w:p>
        </w:tc>
      </w:tr>
      <w:tr>
        <w:trPr>
          <w:trHeight w:val="107" w:hRule="exact"/>
        </w:trPr>
        <w:tc>
          <w:tcPr>
            <w:tcW w:w="2137" w:type="dxa"/>
          </w:tcPr>
          <w:p>
            <w:pPr/>
          </w:p>
        </w:tc>
        <w:tc>
          <w:tcPr>
            <w:tcW w:w="3885" w:type="dxa"/>
          </w:tcPr>
          <w:p>
            <w:pPr/>
          </w:p>
        </w:tc>
        <w:tc>
          <w:tcPr>
            <w:tcW w:w="132" w:type="dxa"/>
          </w:tcPr>
          <w:p>
            <w:pPr/>
          </w:p>
        </w:tc>
        <w:tc>
          <w:tcPr>
            <w:tcW w:w="145" w:type="dxa"/>
            <w:tcBorders>
              <w:right w:val="single" w:sz="25" w:space="0" w:color="C00000"/>
            </w:tcBorders>
          </w:tcPr>
          <w:p>
            <w:pPr/>
          </w:p>
        </w:tc>
        <w:tc>
          <w:tcPr>
            <w:tcW w:w="1500" w:type="dxa"/>
            <w:gridSpan w:val="3"/>
            <w:vMerge/>
            <w:tcBorders>
              <w:left w:val="single" w:sz="25" w:space="0" w:color="C00000"/>
            </w:tcBorders>
          </w:tcPr>
          <w:p>
            <w:pPr/>
          </w:p>
        </w:tc>
      </w:tr>
      <w:tr>
        <w:trPr>
          <w:trHeight w:val="200" w:hRule="exact"/>
        </w:trPr>
        <w:tc>
          <w:tcPr>
            <w:tcW w:w="2137" w:type="dxa"/>
          </w:tcPr>
          <w:p>
            <w:pPr>
              <w:pStyle w:val="TableParagraph"/>
              <w:spacing w:before="9"/>
              <w:ind w:right="165"/>
              <w:jc w:val="right"/>
              <w:rPr>
                <w:sz w:val="15"/>
              </w:rPr>
            </w:pPr>
            <w:r>
              <w:rPr>
                <w:w w:val="110"/>
                <w:sz w:val="15"/>
              </w:rPr>
              <w:t>Milicia</w:t>
            </w:r>
          </w:p>
        </w:tc>
        <w:tc>
          <w:tcPr>
            <w:tcW w:w="3885" w:type="dxa"/>
            <w:shd w:val="clear" w:color="auto" w:fill="4F81BC"/>
          </w:tcPr>
          <w:p>
            <w:pPr>
              <w:pStyle w:val="TableParagraph"/>
              <w:spacing w:before="17"/>
              <w:jc w:val="right"/>
              <w:rPr>
                <w:b/>
                <w:sz w:val="15"/>
              </w:rPr>
            </w:pPr>
            <w:r>
              <w:rPr>
                <w:b/>
                <w:color w:val="FFFFFF"/>
                <w:w w:val="110"/>
                <w:sz w:val="15"/>
              </w:rPr>
              <w:t>2.8</w:t>
            </w:r>
          </w:p>
        </w:tc>
        <w:tc>
          <w:tcPr>
            <w:tcW w:w="132" w:type="dxa"/>
            <w:shd w:val="clear" w:color="auto" w:fill="4F81BC"/>
          </w:tcPr>
          <w:p>
            <w:pPr/>
          </w:p>
        </w:tc>
        <w:tc>
          <w:tcPr>
            <w:tcW w:w="145" w:type="dxa"/>
            <w:tcBorders>
              <w:right w:val="single" w:sz="25" w:space="0" w:color="C00000"/>
            </w:tcBorders>
            <w:shd w:val="clear" w:color="auto" w:fill="4F81BC"/>
          </w:tcPr>
          <w:p>
            <w:pPr/>
          </w:p>
        </w:tc>
        <w:tc>
          <w:tcPr>
            <w:tcW w:w="1500" w:type="dxa"/>
            <w:gridSpan w:val="3"/>
            <w:vMerge/>
            <w:tcBorders>
              <w:left w:val="single" w:sz="25" w:space="0" w:color="C00000"/>
            </w:tcBorders>
          </w:tcPr>
          <w:p>
            <w:pPr/>
          </w:p>
        </w:tc>
      </w:tr>
      <w:tr>
        <w:trPr>
          <w:trHeight w:val="105" w:hRule="exact"/>
        </w:trPr>
        <w:tc>
          <w:tcPr>
            <w:tcW w:w="2137" w:type="dxa"/>
          </w:tcPr>
          <w:p>
            <w:pPr/>
          </w:p>
        </w:tc>
        <w:tc>
          <w:tcPr>
            <w:tcW w:w="3885"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10"/>
              <w:ind w:left="589"/>
              <w:rPr>
                <w:sz w:val="15"/>
              </w:rPr>
            </w:pPr>
            <w:r>
              <w:rPr>
                <w:w w:val="110"/>
                <w:sz w:val="15"/>
              </w:rPr>
              <w:t>Sistema educativo</w:t>
            </w:r>
          </w:p>
        </w:tc>
        <w:tc>
          <w:tcPr>
            <w:tcW w:w="3885"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Style w:val="TableParagraph"/>
              <w:spacing w:before="34"/>
              <w:ind w:left="4"/>
              <w:rPr>
                <w:b/>
                <w:sz w:val="15"/>
              </w:rPr>
            </w:pPr>
            <w:r>
              <w:rPr>
                <w:b/>
                <w:color w:val="FFFFFF"/>
                <w:w w:val="110"/>
                <w:sz w:val="15"/>
              </w:rPr>
              <w:t>3.0</w:t>
            </w:r>
          </w:p>
        </w:tc>
        <w:tc>
          <w:tcPr>
            <w:tcW w:w="898" w:type="dxa"/>
          </w:tcPr>
          <w:p>
            <w:pPr/>
          </w:p>
        </w:tc>
        <w:tc>
          <w:tcPr>
            <w:tcW w:w="314" w:type="dxa"/>
          </w:tcPr>
          <w:p>
            <w:pPr/>
          </w:p>
        </w:tc>
      </w:tr>
      <w:tr>
        <w:trPr>
          <w:trHeight w:val="107" w:hRule="exact"/>
        </w:trPr>
        <w:tc>
          <w:tcPr>
            <w:tcW w:w="2137" w:type="dxa"/>
          </w:tcPr>
          <w:p>
            <w:pPr/>
          </w:p>
        </w:tc>
        <w:tc>
          <w:tcPr>
            <w:tcW w:w="3885"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9"/>
              <w:ind w:left="62"/>
              <w:rPr>
                <w:sz w:val="15"/>
              </w:rPr>
            </w:pPr>
            <w:r>
              <w:rPr>
                <w:w w:val="110"/>
                <w:sz w:val="15"/>
              </w:rPr>
              <w:t>Negocios/ sector privado</w:t>
            </w:r>
          </w:p>
        </w:tc>
        <w:tc>
          <w:tcPr>
            <w:tcW w:w="3885"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tcPr>
          <w:p>
            <w:pPr>
              <w:pStyle w:val="TableParagraph"/>
              <w:spacing w:before="17"/>
              <w:rPr>
                <w:b/>
                <w:sz w:val="15"/>
              </w:rPr>
            </w:pPr>
            <w:r>
              <w:rPr>
                <w:b/>
                <w:color w:val="FFFFFF"/>
                <w:w w:val="110"/>
                <w:sz w:val="15"/>
              </w:rPr>
              <w:t>3.2</w:t>
            </w:r>
          </w:p>
        </w:tc>
        <w:tc>
          <w:tcPr>
            <w:tcW w:w="314" w:type="dxa"/>
          </w:tcPr>
          <w:p>
            <w:pPr/>
          </w:p>
        </w:tc>
      </w:tr>
      <w:tr>
        <w:trPr>
          <w:trHeight w:val="105" w:hRule="exact"/>
        </w:trPr>
        <w:tc>
          <w:tcPr>
            <w:tcW w:w="2137" w:type="dxa"/>
          </w:tcPr>
          <w:p>
            <w:pPr/>
          </w:p>
        </w:tc>
        <w:tc>
          <w:tcPr>
            <w:tcW w:w="3885"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10"/>
              <w:ind w:left="795"/>
              <w:rPr>
                <w:sz w:val="15"/>
              </w:rPr>
            </w:pPr>
            <w:r>
              <w:rPr>
                <w:w w:val="110"/>
                <w:sz w:val="15"/>
              </w:rPr>
              <w:t>Sistema judicial</w:t>
            </w:r>
          </w:p>
        </w:tc>
        <w:tc>
          <w:tcPr>
            <w:tcW w:w="3885"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tcPr>
          <w:p>
            <w:pPr>
              <w:pStyle w:val="TableParagraph"/>
              <w:spacing w:before="18"/>
              <w:ind w:left="204"/>
              <w:rPr>
                <w:b/>
                <w:sz w:val="15"/>
              </w:rPr>
            </w:pPr>
            <w:r>
              <w:rPr>
                <w:b/>
                <w:color w:val="FFFFFF"/>
                <w:w w:val="110"/>
                <w:sz w:val="15"/>
              </w:rPr>
              <w:t>3.3</w:t>
            </w:r>
          </w:p>
        </w:tc>
        <w:tc>
          <w:tcPr>
            <w:tcW w:w="314" w:type="dxa"/>
          </w:tcPr>
          <w:p>
            <w:pPr/>
          </w:p>
        </w:tc>
      </w:tr>
      <w:tr>
        <w:trPr>
          <w:trHeight w:val="107" w:hRule="exact"/>
        </w:trPr>
        <w:tc>
          <w:tcPr>
            <w:tcW w:w="2137" w:type="dxa"/>
          </w:tcPr>
          <w:p>
            <w:pPr/>
          </w:p>
        </w:tc>
        <w:tc>
          <w:tcPr>
            <w:tcW w:w="3885"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198" w:hRule="exact"/>
        </w:trPr>
        <w:tc>
          <w:tcPr>
            <w:tcW w:w="2137" w:type="dxa"/>
          </w:tcPr>
          <w:p>
            <w:pPr>
              <w:pStyle w:val="TableParagraph"/>
              <w:spacing w:before="9"/>
              <w:ind w:left="955"/>
              <w:rPr>
                <w:sz w:val="15"/>
              </w:rPr>
            </w:pPr>
            <w:r>
              <w:rPr>
                <w:w w:val="110"/>
                <w:sz w:val="15"/>
              </w:rPr>
              <w:t>Funcionarios/…</w:t>
            </w:r>
          </w:p>
        </w:tc>
        <w:tc>
          <w:tcPr>
            <w:tcW w:w="3885"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shd w:val="clear" w:color="auto" w:fill="4F81BC"/>
          </w:tcPr>
          <w:p>
            <w:pPr>
              <w:pStyle w:val="TableParagraph"/>
              <w:spacing w:before="17"/>
              <w:ind w:left="412"/>
              <w:rPr>
                <w:b/>
                <w:sz w:val="15"/>
              </w:rPr>
            </w:pPr>
            <w:r>
              <w:rPr>
                <w:b/>
                <w:color w:val="FFFFFF"/>
                <w:w w:val="110"/>
                <w:sz w:val="15"/>
              </w:rPr>
              <w:t>3.5</w:t>
            </w:r>
          </w:p>
        </w:tc>
        <w:tc>
          <w:tcPr>
            <w:tcW w:w="314" w:type="dxa"/>
          </w:tcPr>
          <w:p>
            <w:pPr/>
          </w:p>
        </w:tc>
      </w:tr>
      <w:tr>
        <w:trPr>
          <w:trHeight w:val="107" w:hRule="exact"/>
        </w:trPr>
        <w:tc>
          <w:tcPr>
            <w:tcW w:w="2137" w:type="dxa"/>
          </w:tcPr>
          <w:p>
            <w:pPr/>
          </w:p>
        </w:tc>
        <w:tc>
          <w:tcPr>
            <w:tcW w:w="3885"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1"/>
              <w:ind w:right="164"/>
              <w:jc w:val="right"/>
              <w:rPr>
                <w:sz w:val="16"/>
              </w:rPr>
            </w:pPr>
            <w:r>
              <w:rPr>
                <w:w w:val="105"/>
                <w:sz w:val="16"/>
              </w:rPr>
              <w:t>Policía</w:t>
            </w:r>
          </w:p>
        </w:tc>
        <w:tc>
          <w:tcPr>
            <w:tcW w:w="3885"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shd w:val="clear" w:color="auto" w:fill="4F81BC"/>
          </w:tcPr>
          <w:p>
            <w:pPr>
              <w:pStyle w:val="TableParagraph"/>
              <w:spacing w:before="18"/>
              <w:ind w:right="82"/>
              <w:jc w:val="right"/>
              <w:rPr>
                <w:b/>
                <w:sz w:val="15"/>
              </w:rPr>
            </w:pPr>
            <w:r>
              <w:rPr>
                <w:b/>
                <w:color w:val="FFFFFF"/>
                <w:w w:val="110"/>
                <w:sz w:val="15"/>
              </w:rPr>
              <w:t>3.6</w:t>
            </w:r>
          </w:p>
        </w:tc>
        <w:tc>
          <w:tcPr>
            <w:tcW w:w="314" w:type="dxa"/>
          </w:tcPr>
          <w:p>
            <w:pPr/>
          </w:p>
        </w:tc>
      </w:tr>
      <w:tr>
        <w:trPr>
          <w:trHeight w:val="105" w:hRule="exact"/>
        </w:trPr>
        <w:tc>
          <w:tcPr>
            <w:tcW w:w="2137" w:type="dxa"/>
          </w:tcPr>
          <w:p>
            <w:pPr/>
          </w:p>
        </w:tc>
        <w:tc>
          <w:tcPr>
            <w:tcW w:w="3885"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11"/>
              <w:ind w:left="316"/>
              <w:rPr>
                <w:sz w:val="15"/>
              </w:rPr>
            </w:pPr>
            <w:r>
              <w:rPr>
                <w:w w:val="110"/>
                <w:sz w:val="15"/>
              </w:rPr>
              <w:t>Congreso/ Legislatura</w:t>
            </w:r>
          </w:p>
        </w:tc>
        <w:tc>
          <w:tcPr>
            <w:tcW w:w="3885"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shd w:val="clear" w:color="auto" w:fill="4F81BC"/>
          </w:tcPr>
          <w:p>
            <w:pPr>
              <w:pStyle w:val="TableParagraph"/>
              <w:spacing w:before="18"/>
              <w:ind w:right="100"/>
              <w:jc w:val="right"/>
              <w:rPr>
                <w:b/>
                <w:sz w:val="15"/>
              </w:rPr>
            </w:pPr>
            <w:r>
              <w:rPr>
                <w:b/>
                <w:color w:val="FFFFFF"/>
                <w:w w:val="110"/>
                <w:sz w:val="15"/>
              </w:rPr>
              <w:t>3.6</w:t>
            </w:r>
          </w:p>
        </w:tc>
        <w:tc>
          <w:tcPr>
            <w:tcW w:w="314" w:type="dxa"/>
          </w:tcPr>
          <w:p>
            <w:pPr/>
          </w:p>
        </w:tc>
      </w:tr>
      <w:tr>
        <w:trPr>
          <w:trHeight w:val="107" w:hRule="exact"/>
        </w:trPr>
        <w:tc>
          <w:tcPr>
            <w:tcW w:w="2137" w:type="dxa"/>
          </w:tcPr>
          <w:p>
            <w:pPr/>
          </w:p>
        </w:tc>
        <w:tc>
          <w:tcPr>
            <w:tcW w:w="3885"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29" w:hRule="exact"/>
        </w:trPr>
        <w:tc>
          <w:tcPr>
            <w:tcW w:w="2137" w:type="dxa"/>
          </w:tcPr>
          <w:p>
            <w:pPr>
              <w:pStyle w:val="TableParagraph"/>
              <w:spacing w:before="1"/>
              <w:ind w:left="683"/>
              <w:rPr>
                <w:sz w:val="16"/>
              </w:rPr>
            </w:pPr>
            <w:r>
              <w:rPr>
                <w:w w:val="105"/>
                <w:sz w:val="16"/>
              </w:rPr>
              <w:t>Partidos políticos</w:t>
            </w:r>
          </w:p>
        </w:tc>
        <w:tc>
          <w:tcPr>
            <w:tcW w:w="3885"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shd w:val="clear" w:color="auto" w:fill="4F81BC"/>
          </w:tcPr>
          <w:p>
            <w:pPr/>
          </w:p>
        </w:tc>
        <w:tc>
          <w:tcPr>
            <w:tcW w:w="314" w:type="dxa"/>
            <w:shd w:val="clear" w:color="auto" w:fill="4F81BC"/>
          </w:tcPr>
          <w:p>
            <w:pPr>
              <w:pStyle w:val="TableParagraph"/>
              <w:spacing w:before="18"/>
              <w:rPr>
                <w:b/>
                <w:sz w:val="15"/>
              </w:rPr>
            </w:pPr>
            <w:r>
              <w:rPr>
                <w:b/>
                <w:color w:val="FFFFFF"/>
                <w:w w:val="110"/>
                <w:sz w:val="15"/>
              </w:rPr>
              <w:t>3.8</w:t>
            </w:r>
          </w:p>
        </w:tc>
      </w:tr>
    </w:tbl>
    <w:p>
      <w:pPr>
        <w:pStyle w:val="BodyText"/>
        <w:rPr>
          <w:sz w:val="20"/>
        </w:rPr>
      </w:pPr>
    </w:p>
    <w:p>
      <w:pPr>
        <w:pStyle w:val="BodyText"/>
        <w:rPr>
          <w:sz w:val="20"/>
        </w:rPr>
      </w:pPr>
    </w:p>
    <w:p>
      <w:pPr>
        <w:pStyle w:val="BodyText"/>
        <w:rPr>
          <w:sz w:val="20"/>
        </w:rPr>
      </w:pPr>
    </w:p>
    <w:p>
      <w:pPr>
        <w:pStyle w:val="BodyText"/>
        <w:rPr>
          <w:sz w:val="26"/>
        </w:rPr>
      </w:pPr>
    </w:p>
    <w:p>
      <w:pPr>
        <w:spacing w:line="256" w:lineRule="auto" w:before="0"/>
        <w:ind w:left="809" w:right="3810" w:hanging="709"/>
        <w:jc w:val="left"/>
        <w:rPr>
          <w:sz w:val="12"/>
        </w:rPr>
      </w:pPr>
      <w:r>
        <w:rPr>
          <w:sz w:val="12"/>
        </w:rPr>
        <w:t>FUENTE: Transparency International, The Global Corruption Barometer 2010, data </w:t>
      </w:r>
      <w:r>
        <w:rPr>
          <w:i/>
          <w:sz w:val="12"/>
        </w:rPr>
        <w:t>set </w:t>
      </w:r>
      <w:r>
        <w:rPr>
          <w:sz w:val="12"/>
        </w:rPr>
        <w:t>Disponible en: </w:t>
      </w:r>
      <w:hyperlink r:id="rId56">
        <w:r>
          <w:rPr>
            <w:sz w:val="12"/>
          </w:rPr>
          <w:t>http://www.transparency.org/policy_research/surveys_indices/gcb</w:t>
        </w:r>
      </w:hyperlink>
      <w:r>
        <w:rPr>
          <w:sz w:val="12"/>
        </w:rPr>
        <w:t> [Fecha de consulta: 15de noviembre, 2015]</w:t>
      </w:r>
    </w:p>
    <w:p>
      <w:pPr>
        <w:spacing w:after="0" w:line="256" w:lineRule="auto"/>
        <w:jc w:val="left"/>
        <w:rPr>
          <w:sz w:val="12"/>
        </w:rPr>
        <w:sectPr>
          <w:pgSz w:w="12240" w:h="15840"/>
          <w:pgMar w:header="0" w:footer="998" w:top="1360" w:bottom="1180" w:left="1600" w:right="1580"/>
        </w:sectPr>
      </w:pPr>
    </w:p>
    <w:p>
      <w:pPr>
        <w:pStyle w:val="BodyText"/>
        <w:spacing w:line="360" w:lineRule="auto" w:before="55"/>
        <w:ind w:left="100" w:right="121" w:firstLine="427"/>
        <w:jc w:val="both"/>
      </w:pPr>
      <w:r>
        <w:rPr/>
        <w:t>De las 7 variables que presentan valores por arriba del promedio, se describen 6 (se excluye el sistema educativo). La encuesta indica que en 4 de las 6 variables México presentó los mayores índices de percepción de la corrupción con respecto de los 5 países de estudio.</w:t>
      </w:r>
    </w:p>
    <w:p>
      <w:pPr>
        <w:pStyle w:val="BodyText"/>
      </w:pPr>
    </w:p>
    <w:p>
      <w:pPr>
        <w:pStyle w:val="BodyText"/>
      </w:pPr>
    </w:p>
    <w:p>
      <w:pPr>
        <w:pStyle w:val="BodyText"/>
      </w:pPr>
    </w:p>
    <w:p>
      <w:pPr>
        <w:spacing w:line="451" w:lineRule="auto" w:before="0"/>
        <w:ind w:left="3149" w:right="2100" w:hanging="1057"/>
        <w:jc w:val="left"/>
        <w:rPr>
          <w:sz w:val="20"/>
        </w:rPr>
      </w:pPr>
      <w:bookmarkStart w:name="_bookmark29" w:id="42"/>
      <w:bookmarkEnd w:id="42"/>
      <w:r>
        <w:rPr/>
      </w:r>
      <w:r>
        <w:rPr>
          <w:sz w:val="20"/>
        </w:rPr>
        <w:t>Esquema 1.3. Barómetro global de la corrupción, 2010 (Partidos políticos y Congreso)</w:t>
      </w:r>
    </w:p>
    <w:p>
      <w:pPr>
        <w:pStyle w:val="BodyText"/>
        <w:spacing w:before="8"/>
        <w:rPr>
          <w:sz w:val="23"/>
        </w:rPr>
      </w:pPr>
      <w:r>
        <w:rPr/>
        <w:pict>
          <v:group style="position:absolute;margin-left:98pt;margin-top:15.599634pt;width:413.4pt;height:150pt;mso-position-horizontal-relative:page;mso-position-vertical-relative:paragraph;z-index:4648;mso-wrap-distance-left:0;mso-wrap-distance-right:0" coordorigin="1960,312" coordsize="8268,3000">
            <v:shape style="position:absolute;left:1960;top:312;width:8268;height:3000" type="#_x0000_t75" stroked="false">
              <v:imagedata r:id="rId58" o:title=""/>
            </v:shape>
            <v:rect style="position:absolute;left:2085;top:344;width:8100;height:2879" filled="true" fillcolor="#edebe0" stroked="false">
              <v:fill type="solid"/>
            </v:rect>
            <v:shape style="position:absolute;left:2101;top:1072;width:7837;height:550" coordorigin="2101,1072" coordsize="7837,550" path="m2101,1580l2203,1583,2304,1586,2406,1590,2508,1593,2610,1596,2711,1599,2813,1601,2914,1604,3015,1607,3116,1609,3217,1611,3318,1614,3418,1615,3518,1617,3618,1618,3718,1620,3817,1620,3917,1621,4015,1621,4065,1621,4114,1621,4212,1621,4310,1620,4407,1619,4504,1617,4600,1616,4696,1613,4792,1610,4887,1607,4981,1603,5076,1599,5169,1594,5262,1589,5354,1583,5451,1576,5552,1568,5653,1559,5754,1548,5856,1536,5957,1524,6058,1511,6159,1496,6260,1482,6360,1466,6460,1450,6559,1434,6658,1417,6756,1400,6853,1383,6950,1366,7046,1349,7140,1331,7234,1314,7280,1306,7372,1289,7463,1273,7553,1257,7641,1242,7727,1227,7812,1213,7896,1199,7978,1187,8058,1175,8136,1165,8212,1155,8832,1103,9377,1080,9780,1072,9937,1072e" filled="false" stroked="true" strokeweight="13.161157pt" strokecolor="#385d89">
              <v:path arrowok="t"/>
            </v:shape>
            <v:shape style="position:absolute;left:2102;top:2462;width:7837;height:551" coordorigin="2102,2462" coordsize="7837,551" path="m2102,2971l2204,2974,2306,2977,2408,2980,2509,2983,2611,2986,2713,2989,2814,2992,2915,2995,3017,2998,3118,3000,3219,3002,3319,3004,3420,3006,3520,3008,3620,3009,3720,3010,3819,3011,3918,3012,4017,3012,4066,3012,4115,3012,4213,3012,4311,3011,4408,3010,4505,3008,4602,3006,4698,3004,4793,3001,4888,2998,4983,2994,5077,2990,5170,2985,5263,2980,5356,2974,5452,2967,5553,2959,5654,2949,5756,2939,5857,2927,5958,2915,6060,2901,6160,2887,6261,2872,6361,2857,6461,2841,6561,2825,6659,2808,6757,2791,6855,2774,6951,2756,7047,2739,7142,2722,7235,2705,7282,2696,7374,2680,7465,2663,7554,2647,7642,2632,7729,2617,7814,2603,7897,2589,7979,2577,8059,2565,8138,2555,8214,2545,8834,2493,9378,2470,9781,2462,9939,2462e" filled="false" stroked="true" strokeweight="13.161319pt" strokecolor="#385d89">
              <v:path arrowok="t"/>
            </v:shape>
            <v:shape style="position:absolute;left:7560;top:675;width:420;height:397" coordorigin="7560,675" coordsize="420,397" path="m7875,787l7665,787,7665,1072,7875,1072,7875,787xm7770,675l7560,787,7979,787,7770,675xe" filled="true" fillcolor="#c00000" stroked="false">
              <v:path arrowok="t"/>
              <v:fill type="solid"/>
            </v:shape>
            <v:shape style="position:absolute;left:7530;top:666;width:480;height:413" coordorigin="7530,666" coordsize="480,413" path="m7653,787l7653,1079,7887,1079,7887,1072,7678,1072,7665,1065,7678,1065,7678,793,7665,793,7653,787xm7678,1065l7665,1065,7678,1072,7678,1065xm7862,1065l7678,1065,7678,1072,7862,1072,7862,1065xm7949,780l7862,780,7862,1072,7875,1065,7887,1065,7887,793,7875,793,7887,787,7962,787,7949,780xm7887,1065l7875,1065,7862,1072,7887,1072,7887,1065xm7770,666l7530,793,7653,793,7653,791,7569,791,7560,780,7591,780,7770,685,7761,680,7797,680,7770,666xm7678,787l7653,787,7665,793,7678,793,7678,787xm7887,787l7875,793,7887,793,7887,787xm7962,787l7887,787,7887,793,8010,793,8006,791,7971,791,7962,787xm7591,780l7560,780,7569,791,7591,780xm7678,780l7591,780,7569,791,7653,791,7653,787,7678,787,7678,780xm7797,680l7779,680,7770,685,7971,791,7979,780,7985,780,7797,680xm7985,780l7979,780,7971,791,8006,791,7985,780xm7779,680l7761,680,7770,685,7779,680xe" filled="true" fillcolor="#c00000" stroked="false">
              <v:path arrowok="t"/>
              <v:fill type="solid"/>
            </v:shape>
            <v:shape style="position:absolute;left:7569;top:1394;width:421;height:397" coordorigin="7569,1394" coordsize="421,397" path="m7990,1679l7569,1679,7780,1791,7990,1679xm7885,1394l7674,1394,7674,1679,7885,1679,7885,1394xe" filled="true" fillcolor="#001f5f" stroked="false">
              <v:path arrowok="t"/>
              <v:fill type="solid"/>
            </v:shape>
            <v:shape style="position:absolute;left:7539;top:1387;width:482;height:413" coordorigin="7539,1387" coordsize="482,413" path="m7662,1672l7539,1672,7780,1800,7806,1786,7771,1786,7780,1781,7600,1685,7569,1685,7578,1674,7662,1674,7662,1672xm7780,1781l7771,1786,7788,1786,7780,1781xm7981,1674l7780,1781,7788,1786,7806,1786,7995,1685,7990,1685,7981,1674xm7578,1674l7569,1685,7600,1685,7578,1674xm7662,1674l7578,1674,7600,1685,7687,1685,7687,1679,7662,1679,7662,1674xm7872,1394l7872,1685,7959,1685,7972,1679,7897,1679,7885,1672,7897,1672,7897,1401,7885,1401,7872,1394xm8017,1674l7981,1674,7990,1685,7995,1685,8017,1674xm7897,1387l7662,1387,7662,1679,7674,1672,7687,1672,7687,1401,7674,1401,7687,1394,7897,1394,7897,1387xm7687,1672l7674,1672,7662,1679,7687,1679,7687,1672xm7897,1672l7885,1672,7897,1679,7897,1672xm8020,1672l7897,1672,7897,1679,7972,1679,7981,1674,8017,1674,8020,1672xm7687,1394l7674,1401,7687,1401,7687,1394xm7872,1394l7687,1394,7687,1401,7872,1401,7872,1394xm7897,1394l7872,1394,7885,1401,7897,1401,7897,1394xe" filled="true" fillcolor="#001f5f" stroked="false">
              <v:path arrowok="t"/>
              <v:fill type="solid"/>
            </v:shape>
            <v:shape style="position:absolute;left:7695;top:2737;width:421;height:396" coordorigin="7695,2737" coordsize="421,396" path="m8116,3022l7695,3022,7905,3133,8116,3022xm8011,2737l7800,2737,7800,3022,8011,3022,8011,2737xe" filled="true" fillcolor="#001f5f" stroked="false">
              <v:path arrowok="t"/>
              <v:fill type="solid"/>
            </v:shape>
            <v:shape style="position:absolute;left:7665;top:2731;width:482;height:413" coordorigin="7665,2731" coordsize="482,413" path="m7788,3015l7665,3015,7905,3143,7932,3129,7897,3129,7905,3124,7726,3028,7695,3028,7704,3017,7788,3017,7788,3015xm7905,3124l7897,3129,7914,3129,7905,3124xm8107,3017l7905,3124,7914,3129,7932,3129,8121,3028,8116,3028,8107,3017xm7704,3017l7695,3028,7726,3028,7704,3017xm7788,3017l7704,3017,7726,3028,7813,3028,7813,3022,7788,3022,7788,3017xm7998,2737l7998,3028,8085,3028,8098,3022,8023,3022,8011,3015,8023,3015,8023,2744,8011,2744,7998,2737xm8142,3017l8107,3017,8116,3028,8121,3028,8142,3017xm8023,2731l7788,2731,7788,3022,7800,3015,7813,3015,7813,2744,7800,2744,7813,2737,8023,2737,8023,2731xm7813,3015l7800,3015,7788,3022,7813,3022,7813,3015xm8023,3015l8011,3015,8023,3022,8023,3015xm8146,3015l8023,3015,8023,3022,8098,3022,8107,3017,8142,3017,8146,3015xm7813,2737l7800,2744,7813,2744,7813,2737xm7998,2737l7813,2737,7813,2744,7998,2744,7998,2737xm8023,2737l7998,2737,8011,2744,8023,2744,8023,2737xe" filled="true" fillcolor="#001f5f" stroked="false">
              <v:path arrowok="t"/>
              <v:fill type="solid"/>
            </v:shape>
            <v:shape style="position:absolute;left:7692;top:2066;width:420;height:396" coordorigin="7692,2066" coordsize="420,396" path="m8007,2177l7797,2177,7797,2462,8007,2462,8007,2177xm7902,2066l7692,2177,8111,2177,7902,2066xe" filled="true" fillcolor="#c00000" stroked="false">
              <v:path arrowok="t"/>
              <v:fill type="solid"/>
            </v:shape>
            <v:shape style="position:absolute;left:7662;top:2057;width:480;height:413" coordorigin="7662,2057" coordsize="480,413" path="m7784,2177l7784,2469,8019,2469,8019,2462,7810,2462,7797,2455,7810,2455,7810,2184,7797,2184,7784,2177xm7810,2455l7797,2455,7810,2462,7810,2455xm7994,2455l7810,2455,7810,2462,7994,2462,7994,2455xm8081,2171l7994,2171,7994,2462,8007,2455,8019,2455,8019,2184,8007,2184,8019,2177,8093,2177,8081,2171xm8019,2455l8007,2455,7994,2462,8019,2462,8019,2455xm7902,2057l7662,2184,7784,2184,7784,2182,7701,2182,7692,2171,7723,2171,7902,2076,7893,2071,7929,2071,7902,2057xm7810,2177l7784,2177,7797,2184,7810,2184,7810,2177xm8019,2177l8007,2184,8019,2184,8019,2177xm8093,2177l8019,2177,8019,2184,8142,2184,8138,2182,8102,2182,8093,2177xm7723,2171l7692,2171,7701,2182,7723,2171xm7810,2171l7723,2171,7701,2182,7784,2182,7784,2177,7810,2177,7810,2171xm7929,2071l7911,2071,7902,2076,8102,2182,8111,2171,8116,2171,7929,2071xm8116,2171l8111,2171,8102,2182,8138,2182,8116,2171xm7911,2071l7893,2071,7902,2076,7911,2071xe" filled="true" fillcolor="#c00000" stroked="false">
              <v:path arrowok="t"/>
              <v:fill type="solid"/>
            </v:shape>
            <v:shape style="position:absolute;left:8564;top:393;width:1183;height:483" type="#_x0000_t202" filled="false" stroked="false">
              <v:textbox inset="0,0,0,0">
                <w:txbxContent>
                  <w:p>
                    <w:pPr>
                      <w:tabs>
                        <w:tab w:pos="890" w:val="left" w:leader="none"/>
                      </w:tabs>
                      <w:spacing w:line="106" w:lineRule="exact" w:before="0"/>
                      <w:ind w:left="0" w:right="0" w:firstLine="0"/>
                      <w:jc w:val="left"/>
                      <w:rPr>
                        <w:b/>
                        <w:sz w:val="10"/>
                      </w:rPr>
                    </w:pPr>
                    <w:r>
                      <w:rPr>
                        <w:b/>
                        <w:color w:val="C00000"/>
                        <w:w w:val="195"/>
                        <w:sz w:val="10"/>
                      </w:rPr>
                      <w:t>México</w:t>
                      <w:tab/>
                      <w:t>4.4</w:t>
                    </w:r>
                  </w:p>
                  <w:p>
                    <w:pPr>
                      <w:tabs>
                        <w:tab w:pos="866" w:val="left" w:leader="none"/>
                      </w:tabs>
                      <w:spacing w:before="11"/>
                      <w:ind w:left="0" w:right="0" w:firstLine="0"/>
                      <w:jc w:val="left"/>
                      <w:rPr>
                        <w:b/>
                        <w:sz w:val="10"/>
                      </w:rPr>
                    </w:pPr>
                    <w:r>
                      <w:rPr>
                        <w:b/>
                        <w:color w:val="C00000"/>
                        <w:w w:val="195"/>
                        <w:sz w:val="10"/>
                      </w:rPr>
                      <w:t>España</w:t>
                      <w:tab/>
                      <w:t>4.4</w:t>
                    </w:r>
                  </w:p>
                  <w:p>
                    <w:pPr>
                      <w:tabs>
                        <w:tab w:pos="908" w:val="left" w:leader="none"/>
                      </w:tabs>
                      <w:spacing w:before="11"/>
                      <w:ind w:left="0" w:right="0" w:firstLine="0"/>
                      <w:jc w:val="left"/>
                      <w:rPr>
                        <w:b/>
                        <w:sz w:val="10"/>
                      </w:rPr>
                    </w:pPr>
                    <w:r>
                      <w:rPr>
                        <w:b/>
                        <w:color w:val="C00000"/>
                        <w:w w:val="195"/>
                        <w:sz w:val="10"/>
                      </w:rPr>
                      <w:t>EUA</w:t>
                      <w:tab/>
                      <w:t>4.3</w:t>
                    </w:r>
                  </w:p>
                  <w:p>
                    <w:pPr>
                      <w:spacing w:line="114" w:lineRule="exact" w:before="11"/>
                      <w:ind w:left="0" w:right="0" w:firstLine="0"/>
                      <w:jc w:val="left"/>
                      <w:rPr>
                        <w:b/>
                        <w:sz w:val="10"/>
                      </w:rPr>
                    </w:pPr>
                    <w:r>
                      <w:rPr>
                        <w:b/>
                        <w:color w:val="C00000"/>
                        <w:w w:val="195"/>
                        <w:sz w:val="10"/>
                      </w:rPr>
                      <w:t>R. Unido 4.0</w:t>
                    </w:r>
                  </w:p>
                </w:txbxContent>
              </v:textbox>
              <w10:wrap type="none"/>
            </v:shape>
            <v:shape style="position:absolute;left:5880;top:867;width:1587;height:231" type="#_x0000_t202" filled="false" stroked="false">
              <v:textbox inset="0,0,0,0">
                <w:txbxContent>
                  <w:p>
                    <w:pPr>
                      <w:spacing w:line="106" w:lineRule="exact" w:before="0"/>
                      <w:ind w:left="-1" w:right="0" w:firstLine="0"/>
                      <w:jc w:val="center"/>
                      <w:rPr>
                        <w:b/>
                        <w:sz w:val="10"/>
                      </w:rPr>
                    </w:pPr>
                    <w:r>
                      <w:rPr>
                        <w:b/>
                        <w:color w:val="C00000"/>
                        <w:spacing w:val="-1"/>
                        <w:w w:val="195"/>
                        <w:sz w:val="10"/>
                      </w:rPr>
                      <w:t>Extremadamente</w:t>
                    </w:r>
                  </w:p>
                  <w:p>
                    <w:pPr>
                      <w:spacing w:line="114" w:lineRule="exact" w:before="11"/>
                      <w:ind w:left="0" w:right="0" w:firstLine="0"/>
                      <w:jc w:val="center"/>
                      <w:rPr>
                        <w:b/>
                        <w:sz w:val="10"/>
                      </w:rPr>
                    </w:pPr>
                    <w:r>
                      <w:rPr>
                        <w:b/>
                        <w:color w:val="C00000"/>
                        <w:w w:val="195"/>
                        <w:sz w:val="10"/>
                      </w:rPr>
                      <w:t>corrupto</w:t>
                    </w:r>
                  </w:p>
                </w:txbxContent>
              </v:textbox>
              <w10:wrap type="none"/>
            </v:shape>
            <v:shape style="position:absolute;left:8204;top:1019;width:1518;height:119" type="#_x0000_t202" filled="false" stroked="false">
              <v:textbox inset="0,0,0,0">
                <w:txbxContent>
                  <w:p>
                    <w:pPr>
                      <w:spacing w:line="118" w:lineRule="exact" w:before="0"/>
                      <w:ind w:left="0" w:right="-18" w:firstLine="0"/>
                      <w:jc w:val="left"/>
                      <w:rPr>
                        <w:b/>
                        <w:sz w:val="12"/>
                      </w:rPr>
                    </w:pPr>
                    <w:r>
                      <w:rPr>
                        <w:b/>
                        <w:color w:val="FFFFFF"/>
                        <w:w w:val="185"/>
                        <w:sz w:val="12"/>
                      </w:rPr>
                      <w:t>Promedio </w:t>
                    </w:r>
                    <w:r>
                      <w:rPr>
                        <w:b/>
                        <w:color w:val="FFFFFF"/>
                        <w:spacing w:val="60"/>
                        <w:w w:val="185"/>
                        <w:sz w:val="12"/>
                      </w:rPr>
                      <w:t> </w:t>
                    </w:r>
                    <w:r>
                      <w:rPr>
                        <w:b/>
                        <w:color w:val="FFFFFF"/>
                        <w:w w:val="185"/>
                        <w:sz w:val="12"/>
                      </w:rPr>
                      <w:t>3.8</w:t>
                    </w:r>
                  </w:p>
                </w:txbxContent>
              </v:textbox>
              <w10:wrap type="none"/>
            </v:shape>
            <v:shape style="position:absolute;left:8528;top:1363;width:1207;height:105" type="#_x0000_t202" filled="false" stroked="false">
              <v:textbox inset="0,0,0,0">
                <w:txbxContent>
                  <w:p>
                    <w:pPr>
                      <w:spacing w:line="105" w:lineRule="exact" w:before="0"/>
                      <w:ind w:left="0" w:right="-6" w:firstLine="0"/>
                      <w:jc w:val="left"/>
                      <w:rPr>
                        <w:b/>
                        <w:sz w:val="10"/>
                      </w:rPr>
                    </w:pPr>
                    <w:r>
                      <w:rPr>
                        <w:b/>
                        <w:color w:val="001F5F"/>
                        <w:w w:val="195"/>
                        <w:sz w:val="10"/>
                      </w:rPr>
                      <w:t>Alemania 3.7</w:t>
                    </w:r>
                  </w:p>
                </w:txbxContent>
              </v:textbox>
              <w10:wrap type="none"/>
            </v:shape>
            <v:shape style="position:absolute;left:2340;top:1542;width:1866;height:119" type="#_x0000_t202" filled="false" stroked="false">
              <v:textbox inset="0,0,0,0">
                <w:txbxContent>
                  <w:p>
                    <w:pPr>
                      <w:spacing w:line="118" w:lineRule="exact" w:before="0"/>
                      <w:ind w:left="0" w:right="-17" w:firstLine="0"/>
                      <w:jc w:val="left"/>
                      <w:rPr>
                        <w:b/>
                        <w:sz w:val="12"/>
                      </w:rPr>
                    </w:pPr>
                    <w:r>
                      <w:rPr>
                        <w:b/>
                        <w:color w:val="FFFFFF"/>
                        <w:w w:val="185"/>
                        <w:sz w:val="12"/>
                      </w:rPr>
                      <w:t>Partidos políticos</w:t>
                    </w:r>
                  </w:p>
                </w:txbxContent>
              </v:textbox>
              <w10:wrap type="none"/>
            </v:shape>
            <v:shape style="position:absolute;left:6442;top:1579;width:809;height:231" type="#_x0000_t202" filled="false" stroked="false">
              <v:textbox inset="0,0,0,0">
                <w:txbxContent>
                  <w:p>
                    <w:pPr>
                      <w:spacing w:line="106" w:lineRule="exact" w:before="0"/>
                      <w:ind w:left="0" w:right="0" w:firstLine="0"/>
                      <w:jc w:val="center"/>
                      <w:rPr>
                        <w:b/>
                        <w:sz w:val="10"/>
                      </w:rPr>
                    </w:pPr>
                    <w:r>
                      <w:rPr>
                        <w:b/>
                        <w:color w:val="001F5F"/>
                        <w:w w:val="195"/>
                        <w:sz w:val="10"/>
                      </w:rPr>
                      <w:t>Nada</w:t>
                    </w:r>
                  </w:p>
                  <w:p>
                    <w:pPr>
                      <w:spacing w:line="114" w:lineRule="exact" w:before="11"/>
                      <w:ind w:left="0" w:right="0" w:firstLine="0"/>
                      <w:jc w:val="center"/>
                      <w:rPr>
                        <w:b/>
                        <w:sz w:val="10"/>
                      </w:rPr>
                    </w:pPr>
                    <w:r>
                      <w:rPr>
                        <w:b/>
                        <w:color w:val="001F5F"/>
                        <w:w w:val="195"/>
                        <w:sz w:val="10"/>
                      </w:rPr>
                      <w:t>corrupto</w:t>
                    </w:r>
                  </w:p>
                </w:txbxContent>
              </v:textbox>
              <w10:wrap type="none"/>
            </v:shape>
            <v:shape style="position:absolute;left:8628;top:1979;width:1125;height:231" type="#_x0000_t202" filled="false" stroked="false">
              <v:textbox inset="0,0,0,0">
                <w:txbxContent>
                  <w:p>
                    <w:pPr>
                      <w:spacing w:line="106" w:lineRule="exact" w:before="0"/>
                      <w:ind w:left="0" w:right="0" w:firstLine="0"/>
                      <w:jc w:val="left"/>
                      <w:rPr>
                        <w:b/>
                        <w:sz w:val="10"/>
                      </w:rPr>
                    </w:pPr>
                    <w:r>
                      <w:rPr>
                        <w:b/>
                        <w:color w:val="C00000"/>
                        <w:w w:val="195"/>
                        <w:sz w:val="10"/>
                      </w:rPr>
                      <w:t>México   4.4</w:t>
                    </w:r>
                  </w:p>
                  <w:p>
                    <w:pPr>
                      <w:tabs>
                        <w:tab w:pos="1124" w:val="right" w:leader="none"/>
                      </w:tabs>
                      <w:spacing w:line="114" w:lineRule="exact" w:before="11"/>
                      <w:ind w:left="0" w:right="0" w:firstLine="0"/>
                      <w:jc w:val="left"/>
                      <w:rPr>
                        <w:b/>
                        <w:sz w:val="10"/>
                      </w:rPr>
                    </w:pPr>
                    <w:r>
                      <w:rPr>
                        <w:b/>
                        <w:color w:val="C00000"/>
                        <w:w w:val="195"/>
                        <w:sz w:val="10"/>
                      </w:rPr>
                      <w:t>EUA</w:t>
                      <w:tab/>
                      <w:t>4.3</w:t>
                    </w:r>
                  </w:p>
                </w:txbxContent>
              </v:textbox>
              <w10:wrap type="none"/>
            </v:shape>
            <v:shape style="position:absolute;left:6149;top:2257;width:1587;height:231" type="#_x0000_t202" filled="false" stroked="false">
              <v:textbox inset="0,0,0,0">
                <w:txbxContent>
                  <w:p>
                    <w:pPr>
                      <w:spacing w:line="106" w:lineRule="exact" w:before="0"/>
                      <w:ind w:left="0" w:right="0" w:firstLine="0"/>
                      <w:jc w:val="center"/>
                      <w:rPr>
                        <w:b/>
                        <w:sz w:val="10"/>
                      </w:rPr>
                    </w:pPr>
                    <w:r>
                      <w:rPr>
                        <w:b/>
                        <w:color w:val="C00000"/>
                        <w:w w:val="195"/>
                        <w:sz w:val="10"/>
                      </w:rPr>
                      <w:t>Extremadamente</w:t>
                    </w:r>
                  </w:p>
                  <w:p>
                    <w:pPr>
                      <w:spacing w:line="114" w:lineRule="exact" w:before="11"/>
                      <w:ind w:left="0" w:right="1" w:firstLine="0"/>
                      <w:jc w:val="center"/>
                      <w:rPr>
                        <w:b/>
                        <w:sz w:val="10"/>
                      </w:rPr>
                    </w:pPr>
                    <w:r>
                      <w:rPr>
                        <w:b/>
                        <w:color w:val="C00000"/>
                        <w:w w:val="195"/>
                        <w:sz w:val="10"/>
                      </w:rPr>
                      <w:t>corrupto</w:t>
                    </w:r>
                  </w:p>
                </w:txbxContent>
              </v:textbox>
              <w10:wrap type="none"/>
            </v:shape>
            <v:shape style="position:absolute;left:8069;top:2231;width:1699;height:715" type="#_x0000_t202" filled="false" stroked="false">
              <v:textbox inset="0,0,0,0">
                <w:txbxContent>
                  <w:p>
                    <w:pPr>
                      <w:spacing w:line="106" w:lineRule="exact" w:before="0"/>
                      <w:ind w:left="558" w:right="-6" w:firstLine="0"/>
                      <w:jc w:val="left"/>
                      <w:rPr>
                        <w:b/>
                        <w:sz w:val="10"/>
                      </w:rPr>
                    </w:pPr>
                    <w:r>
                      <w:rPr>
                        <w:b/>
                        <w:color w:val="C00000"/>
                        <w:w w:val="195"/>
                        <w:sz w:val="10"/>
                      </w:rPr>
                      <w:t>R. Unido 3.8</w:t>
                    </w:r>
                  </w:p>
                  <w:p>
                    <w:pPr>
                      <w:spacing w:before="56"/>
                      <w:ind w:left="0" w:right="-6" w:firstLine="0"/>
                      <w:jc w:val="left"/>
                      <w:rPr>
                        <w:b/>
                        <w:sz w:val="12"/>
                      </w:rPr>
                    </w:pPr>
                    <w:r>
                      <w:rPr>
                        <w:b/>
                        <w:color w:val="FFFFFF"/>
                        <w:w w:val="185"/>
                        <w:sz w:val="12"/>
                      </w:rPr>
                      <w:t>Promedio </w:t>
                    </w:r>
                    <w:r>
                      <w:rPr>
                        <w:b/>
                        <w:color w:val="FFFFFF"/>
                        <w:spacing w:val="60"/>
                        <w:w w:val="185"/>
                        <w:sz w:val="12"/>
                      </w:rPr>
                      <w:t> </w:t>
                    </w:r>
                    <w:r>
                      <w:rPr>
                        <w:b/>
                        <w:color w:val="FFFFFF"/>
                        <w:w w:val="185"/>
                        <w:sz w:val="12"/>
                      </w:rPr>
                      <w:t>3.6</w:t>
                    </w:r>
                  </w:p>
                  <w:p>
                    <w:pPr>
                      <w:tabs>
                        <w:tab w:pos="1655" w:val="right" w:leader="none"/>
                      </w:tabs>
                      <w:spacing w:before="174"/>
                      <w:ind w:left="459" w:right="0" w:firstLine="0"/>
                      <w:jc w:val="left"/>
                      <w:rPr>
                        <w:b/>
                        <w:sz w:val="10"/>
                      </w:rPr>
                    </w:pPr>
                    <w:r>
                      <w:rPr>
                        <w:b/>
                        <w:color w:val="001F5F"/>
                        <w:w w:val="195"/>
                        <w:sz w:val="10"/>
                      </w:rPr>
                      <w:t>España</w:t>
                      <w:tab/>
                      <w:t>3.5</w:t>
                    </w:r>
                  </w:p>
                  <w:p>
                    <w:pPr>
                      <w:spacing w:line="114" w:lineRule="exact" w:before="11"/>
                      <w:ind w:left="459" w:right="-6" w:firstLine="0"/>
                      <w:jc w:val="left"/>
                      <w:rPr>
                        <w:b/>
                        <w:sz w:val="10"/>
                      </w:rPr>
                    </w:pPr>
                    <w:r>
                      <w:rPr>
                        <w:b/>
                        <w:color w:val="001F5F"/>
                        <w:w w:val="195"/>
                        <w:sz w:val="10"/>
                      </w:rPr>
                      <w:t>Alemania 3.1</w:t>
                    </w:r>
                  </w:p>
                </w:txbxContent>
              </v:textbox>
              <w10:wrap type="none"/>
            </v:shape>
            <v:shape style="position:absolute;left:2489;top:2927;width:2284;height:119" type="#_x0000_t202" filled="false" stroked="false">
              <v:textbox inset="0,0,0,0">
                <w:txbxContent>
                  <w:p>
                    <w:pPr>
                      <w:spacing w:line="118" w:lineRule="exact" w:before="0"/>
                      <w:ind w:left="0" w:right="-19" w:firstLine="0"/>
                      <w:jc w:val="left"/>
                      <w:rPr>
                        <w:b/>
                        <w:sz w:val="12"/>
                      </w:rPr>
                    </w:pPr>
                    <w:r>
                      <w:rPr>
                        <w:b/>
                        <w:color w:val="FFFFFF"/>
                        <w:w w:val="185"/>
                        <w:sz w:val="12"/>
                      </w:rPr>
                      <w:t>Congreso/Legislatura</w:t>
                    </w:r>
                  </w:p>
                </w:txbxContent>
              </v:textbox>
              <w10:wrap type="none"/>
            </v:shape>
            <v:shape style="position:absolute;left:6671;top:2925;width:810;height:231" type="#_x0000_t202" filled="false" stroked="false">
              <v:textbox inset="0,0,0,0">
                <w:txbxContent>
                  <w:p>
                    <w:pPr>
                      <w:spacing w:line="106" w:lineRule="exact" w:before="0"/>
                      <w:ind w:left="0" w:right="0" w:firstLine="0"/>
                      <w:jc w:val="center"/>
                      <w:rPr>
                        <w:b/>
                        <w:sz w:val="10"/>
                      </w:rPr>
                    </w:pPr>
                    <w:r>
                      <w:rPr>
                        <w:b/>
                        <w:color w:val="001F5F"/>
                        <w:w w:val="195"/>
                        <w:sz w:val="10"/>
                      </w:rPr>
                      <w:t>Nada</w:t>
                    </w:r>
                  </w:p>
                  <w:p>
                    <w:pPr>
                      <w:spacing w:line="114" w:lineRule="exact" w:before="11"/>
                      <w:ind w:left="0" w:right="0" w:firstLine="0"/>
                      <w:jc w:val="center"/>
                      <w:rPr>
                        <w:b/>
                        <w:sz w:val="10"/>
                      </w:rPr>
                    </w:pPr>
                    <w:r>
                      <w:rPr>
                        <w:b/>
                        <w:color w:val="001F5F"/>
                        <w:w w:val="195"/>
                        <w:sz w:val="10"/>
                      </w:rPr>
                      <w:t>corrupto</w:t>
                    </w:r>
                  </w:p>
                </w:txbxContent>
              </v:textbox>
              <w10:wrap type="none"/>
            </v:shape>
            <w10:wrap type="topAndBottom"/>
          </v:group>
        </w:pict>
      </w:r>
    </w:p>
    <w:p>
      <w:pPr>
        <w:spacing w:line="256" w:lineRule="auto" w:before="0"/>
        <w:ind w:left="809" w:right="3810" w:hanging="709"/>
        <w:jc w:val="left"/>
        <w:rPr>
          <w:sz w:val="12"/>
        </w:rPr>
      </w:pPr>
      <w:r>
        <w:rPr>
          <w:sz w:val="12"/>
        </w:rPr>
        <w:t>FUENTE: Transparency International, The Global Corruption Barometer 2010, data </w:t>
      </w:r>
      <w:r>
        <w:rPr>
          <w:i/>
          <w:sz w:val="12"/>
        </w:rPr>
        <w:t>set </w:t>
      </w:r>
      <w:r>
        <w:rPr>
          <w:sz w:val="12"/>
        </w:rPr>
        <w:t>Disponible en: </w:t>
      </w:r>
      <w:hyperlink r:id="rId56">
        <w:r>
          <w:rPr>
            <w:sz w:val="12"/>
          </w:rPr>
          <w:t>http://www.transparency.org/policy_research/surveys_indices/gcb</w:t>
        </w:r>
      </w:hyperlink>
      <w:r>
        <w:rPr>
          <w:sz w:val="12"/>
        </w:rPr>
        <w:t> [Fecha de consulta: 19 de noviembre, 2015]</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5"/>
        <w:rPr>
          <w:sz w:val="13"/>
        </w:rPr>
      </w:pPr>
    </w:p>
    <w:p>
      <w:pPr>
        <w:pStyle w:val="BodyText"/>
        <w:spacing w:line="360" w:lineRule="auto"/>
        <w:ind w:left="100" w:right="116" w:firstLine="424"/>
        <w:jc w:val="both"/>
      </w:pPr>
      <w:r>
        <w:rPr/>
        <w:t>Los partidos políticos de México se perciben con el mismo nivel de corrupción que España, El Salvador e Irlanda, sólo fueron superados por Grecia e Israel. El</w:t>
      </w:r>
      <w:r>
        <w:rPr>
          <w:spacing w:val="-35"/>
        </w:rPr>
        <w:t> </w:t>
      </w:r>
      <w:r>
        <w:rPr/>
        <w:t>H. Congreso de la Unión del Estado Mexicano se percibe igual de corrupto que el de Nigeria, Mongolia y</w:t>
      </w:r>
      <w:r>
        <w:rPr>
          <w:spacing w:val="-22"/>
        </w:rPr>
        <w:t> </w:t>
      </w:r>
      <w:r>
        <w:rPr/>
        <w:t>Tanzania.</w:t>
      </w:r>
    </w:p>
    <w:p>
      <w:pPr>
        <w:pStyle w:val="BodyText"/>
        <w:spacing w:line="360" w:lineRule="auto" w:before="6"/>
        <w:ind w:left="100" w:right="130" w:firstLine="424"/>
        <w:jc w:val="both"/>
      </w:pPr>
      <w:r>
        <w:rPr/>
        <w:t>Por otra parte, Perú y Grecia, por ejemplo, son algunos de los países con una mayor precepción de corrupción que el H. Congreso de la Unión de México.</w:t>
      </w:r>
    </w:p>
    <w:p>
      <w:pPr>
        <w:spacing w:after="0" w:line="360" w:lineRule="auto"/>
        <w:jc w:val="both"/>
        <w:sectPr>
          <w:footerReference w:type="default" r:id="rId57"/>
          <w:pgSz w:w="12240" w:h="15840"/>
          <w:pgMar w:footer="998" w:header="0" w:top="1360" w:bottom="1180" w:left="1600" w:right="1580"/>
        </w:sectPr>
      </w:pPr>
    </w:p>
    <w:p>
      <w:pPr>
        <w:spacing w:line="451" w:lineRule="auto" w:before="53" w:after="5"/>
        <w:ind w:left="3037" w:right="2100" w:hanging="865"/>
        <w:jc w:val="left"/>
        <w:rPr>
          <w:sz w:val="20"/>
        </w:rPr>
      </w:pPr>
      <w:bookmarkStart w:name="_bookmark30" w:id="43"/>
      <w:bookmarkEnd w:id="43"/>
      <w:r>
        <w:rPr/>
      </w:r>
      <w:r>
        <w:rPr>
          <w:sz w:val="20"/>
        </w:rPr>
        <w:t>Esquema 1.4. Barómetro global de la corrupción, 2010 (Policía y Negocios/Sector privado)</w:t>
      </w:r>
    </w:p>
    <w:p>
      <w:pPr>
        <w:pStyle w:val="BodyText"/>
        <w:ind w:left="116"/>
        <w:rPr>
          <w:sz w:val="20"/>
        </w:rPr>
      </w:pPr>
      <w:r>
        <w:rPr>
          <w:sz w:val="20"/>
        </w:rPr>
        <w:pict>
          <v:group style="width:431pt;height:182.4pt;mso-position-horizontal-relative:char;mso-position-vertical-relative:line" coordorigin="0,0" coordsize="8620,3648">
            <v:shape style="position:absolute;left:28;top:0;width:8592;height:3648" type="#_x0000_t75" stroked="false">
              <v:imagedata r:id="rId60" o:title=""/>
            </v:shape>
            <v:rect style="position:absolute;left:155;top:31;width:8425;height:3491" filled="true" fillcolor="#edebe0" stroked="false">
              <v:fill type="solid"/>
            </v:rect>
            <v:shape style="position:absolute;left:170;top:555;width:8017;height:708" coordorigin="170,555" coordsize="8017,708" path="m170,1209l275,1213,379,1217,483,1221,587,1225,691,1229,795,1233,899,1237,1002,1240,1106,1244,1209,1247,1313,1250,1415,1252,1518,1255,1621,1257,1723,1259,1825,1260,1927,1261,2028,1262,2129,1262,2180,1262,2230,1262,2330,1262,2430,1261,2530,1259,2629,1257,2727,1255,2826,1252,2923,1248,3021,1244,3117,1239,3214,1234,3309,1228,3404,1221,3499,1213,3597,1204,3701,1194,3804,1182,3908,1168,4012,1153,4115,1137,4219,1120,4322,1102,4425,1082,4528,1063,4630,1042,4731,1021,4832,1000,4933,978,5032,956,5131,933,5229,911,5326,889,5422,867,5469,856,5563,835,5656,814,5748,793,5838,773,5926,754,6013,736,6099,719,6183,703,6264,688,6344,674,6423,662,7057,594,7614,565,8026,555,8187,555e" filled="false" stroked="true" strokeweight="16.946194pt" strokecolor="#385d89">
              <v:path arrowok="t"/>
            </v:shape>
            <v:shape style="position:absolute;left:172;top:2345;width:8017;height:709" coordorigin="172,2345" coordsize="8017,709" path="m172,3001l276,3005,380,3009,485,3013,589,3017,693,3021,796,3025,900,3028,1004,3032,1107,3035,1211,3038,1314,3041,1417,3044,1520,3046,1622,3048,1725,3050,1827,3052,1928,3053,2030,3054,2131,3054,2181,3054,2231,3054,2332,3053,2432,3052,2531,3051,2630,3049,2729,3046,2827,3043,2925,3040,3022,3036,3119,3031,3215,3025,3311,3019,3406,3012,3500,3005,3599,2996,3702,2985,3806,2973,3910,2959,4013,2944,4117,2928,4220,2911,4323,2893,4426,2874,4529,2854,4631,2833,4733,2812,4834,2791,4934,2769,5034,2747,5133,2725,5230,2702,5327,2680,5423,2658,5471,2647,5565,2626,5658,2604,5749,2584,5839,2564,5928,2545,6015,2527,6100,2509,6184,2493,6266,2478,6346,2465,6424,2452,7058,2385,7615,2355,8027,2346,8188,2345e" filled="false" stroked="true" strokeweight="16.946378pt" strokecolor="#385d89">
              <v:path arrowok="t"/>
            </v:shape>
            <v:shape style="position:absolute;left:5765;top:969;width:431;height:511" coordorigin="5765,969" coordsize="431,511" path="m6195,1336l5765,1336,5980,1480,6195,1336xm6087,969l5872,969,5872,1336,6087,1336,6087,969xe" filled="true" fillcolor="#001f5f" stroked="false">
              <v:path arrowok="t"/>
              <v:fill type="solid"/>
            </v:shape>
            <v:shape style="position:absolute;left:5734;top:961;width:493;height:532" coordorigin="5734,961" coordsize="493,532" path="m5859,1328l5734,1328,5980,1493,6007,1474,5971,1474,5980,1468,5796,1345,5765,1345,5774,1330,5859,1330,5859,1328xm5980,1468l5971,1474,5989,1474,5980,1468xm6186,1330l5980,1468,5989,1474,6007,1474,6200,1345,6195,1345,6186,1330xm5774,1330l5765,1345,5796,1345,5774,1330xm5859,1330l5774,1330,5796,1345,5885,1345,5885,1336,5859,1336,5859,1330xm6074,969l6074,1345,6164,1345,6177,1336,6100,1336,6087,1328,6100,1328,6100,978,6087,978,6074,969xm6222,1330l6186,1330,6195,1345,6200,1345,6222,1330xm6100,961l5859,961,5859,1336,5872,1328,5885,1328,5885,978,5872,978,5885,969,6100,969,6100,961xm5885,1328l5872,1328,5859,1336,5885,1336,5885,1328xm6100,1328l6087,1328,6100,1336,6100,1328xm6226,1328l6100,1328,6100,1336,6177,1336,6186,1330,6222,1330,6226,1328xm5885,969l5872,978,5885,978,5885,969xm6074,969l5885,969,5885,978,6074,978,6074,969xm6100,969l6074,969,6087,978,6100,978,6100,969xe" filled="true" fillcolor="#001f5f" stroked="false">
              <v:path arrowok="t"/>
              <v:fill type="solid"/>
            </v:shape>
            <v:shape style="position:absolute;left:5787;top:2700;width:429;height:510" coordorigin="5787,2700" coordsize="429,510" path="m6216,3067l5787,3067,6002,3210,6216,3067xm6109,2700l5895,2700,5895,3067,6109,3067,6109,2700xe" filled="true" fillcolor="#001f5f" stroked="false">
              <v:path arrowok="t"/>
              <v:fill type="solid"/>
            </v:shape>
            <v:shape style="position:absolute;left:5756;top:2691;width:491;height:531" coordorigin="5756,2691" coordsize="491,531" path="m5882,3058l5756,3058,6002,3222,6029,3204,5993,3204,6002,3198,5819,3075,5787,3075,5797,3061,5882,3061,5882,3058xm6002,3198l5993,3204,6011,3204,6002,3198xm6207,3061l6002,3198,6011,3204,6029,3204,6221,3075,6216,3075,6207,3061xm5797,3061l5787,3075,5819,3075,5797,3061xm5882,3061l5797,3061,5819,3075,5907,3075,5907,3067,5882,3067,5882,3061xm6096,2700l6096,3075,6185,3075,6198,3067,6122,3067,6109,3058,6122,3058,6122,2709,6109,2709,6096,2700xm6243,3061l6207,3061,6216,3075,6221,3075,6243,3061xm6122,2691l5882,2691,5882,3067,5895,3058,5907,3058,5907,2709,5895,2709,5907,2700,6122,2700,6122,2691xm5907,3058l5895,3058,5882,3067,5907,3067,5907,3058xm6122,3058l6109,3058,6122,3067,6122,3058xm6247,3058l6122,3058,6122,3067,6198,3067,6207,3061,6243,3061,6247,3058xm5907,2700l5895,2709,5907,2709,5907,2700xm6096,2700l5907,2700,5907,2709,6096,2709,6096,2700xm6122,2700l6096,2700,6109,2709,6122,2709,6122,2700xe" filled="true" fillcolor="#001f5f" stroked="false">
              <v:path arrowok="t"/>
              <v:fill type="solid"/>
            </v:shape>
            <v:shape style="position:absolute;left:5768;top:44;width:431;height:511" coordorigin="5768,44" coordsize="431,511" path="m6090,188l5875,188,5875,555,6090,555,6090,188xm5983,44l5768,188,6198,188,5983,44xe" filled="true" fillcolor="#c00000" stroked="false">
              <v:path arrowok="t"/>
              <v:fill type="solid"/>
            </v:shape>
            <v:shape style="position:absolute;left:5737;top:31;width:493;height:532" coordorigin="5737,31" coordsize="493,532" path="m5862,188l5862,563,6103,563,6103,555,5888,555,5875,546,5888,546,5888,196,5875,196,5862,188xm5888,546l5875,546,5888,555,5888,546xm6078,546l5888,546,5888,555,6078,555,6078,546xm6167,179l6078,179,6078,555,6090,546,6103,546,6103,196,6090,196,6103,188,6180,188,6167,179xm6103,546l6090,546,6078,555,6103,555,6103,546xm5983,31l5737,196,5862,196,5862,194,5777,194,5768,179,5799,179,5983,56,5974,50,6010,50,5983,31xm5888,188l5862,188,5875,196,5888,196,5888,188xm6103,188l6090,196,6103,196,6103,188xm6180,188l6103,188,6103,196,6229,196,6225,194,6189,194,6180,188xm5799,179l5768,179,5777,194,5799,179xm5888,179l5799,179,5777,194,5862,194,5862,188,5888,188,5888,179xm6010,50l5992,50,5983,56,6189,194,6198,179,6203,179,6010,50xm6203,179l6198,179,6189,194,6225,194,6203,179xm5992,50l5974,50,5983,56,5992,50xe" filled="true" fillcolor="#c00000" stroked="false">
              <v:path arrowok="t"/>
              <v:fill type="solid"/>
            </v:shape>
            <v:shape style="position:absolute;left:5787;top:1827;width:429;height:511" coordorigin="5787,1827" coordsize="429,511" path="m6109,1971l5895,1971,5895,2338,6109,2338,6109,1971xm6002,1827l5787,1971,6216,1971,6002,1827xe" filled="true" fillcolor="#c00000" stroked="false">
              <v:path arrowok="t"/>
              <v:fill type="solid"/>
            </v:shape>
            <v:shape style="position:absolute;left:5756;top:1815;width:491;height:532" coordorigin="5756,1815" coordsize="491,532" path="m5882,1971l5882,2347,6122,2347,6122,2338,5907,2338,5895,2330,5907,2330,5907,1979,5895,1979,5882,1971xm5907,2330l5895,2330,5907,2338,5907,2330xm6096,2330l5907,2330,5907,2338,6096,2338,6096,2330xm6185,1962l6096,1962,6096,2338,6109,2330,6122,2330,6122,1979,6109,1979,6122,1971,6198,1971,6185,1962xm6122,2330l6109,2330,6096,2338,6122,2338,6122,2330xm6002,1815l5756,1979,5882,1979,5882,1977,5797,1977,5787,1962,5818,1962,6002,1839,5993,1833,6029,1833,6002,1815xm5907,1971l5882,1971,5895,1979,5907,1979,5907,1971xm6122,1971l6109,1979,6122,1979,6122,1971xm6198,1971l6122,1971,6122,1979,6247,1979,6243,1977,6207,1977,6198,1971xm5818,1962l5787,1962,5797,1977,5818,1962xm5907,1962l5818,1962,5797,1977,5882,1977,5882,1971,5907,1971,5907,1962xm6029,1833l6011,1833,6002,1839,6207,1977,6216,1962,6221,1962,6029,1833xm6221,1962l6216,1962,6207,1977,6243,1977,6221,1962xm6011,1833l5993,1833,6002,1839,6011,1833xe" filled="true" fillcolor="#c00000" stroked="false">
              <v:path arrowok="t"/>
              <v:fill type="solid"/>
            </v:shape>
            <v:shape style="position:absolute;left:4006;top:276;width:1624;height:298" type="#_x0000_t202" filled="false" stroked="false">
              <v:textbox inset="0,0,0,0">
                <w:txbxContent>
                  <w:p>
                    <w:pPr>
                      <w:spacing w:line="137" w:lineRule="exact" w:before="0"/>
                      <w:ind w:left="0" w:right="0" w:firstLine="0"/>
                      <w:jc w:val="center"/>
                      <w:rPr>
                        <w:b/>
                        <w:sz w:val="13"/>
                      </w:rPr>
                    </w:pPr>
                    <w:r>
                      <w:rPr>
                        <w:b/>
                        <w:color w:val="C00000"/>
                        <w:w w:val="155"/>
                        <w:sz w:val="13"/>
                      </w:rPr>
                      <w:t>Extremadamente</w:t>
                    </w:r>
                  </w:p>
                  <w:p>
                    <w:pPr>
                      <w:spacing w:line="148" w:lineRule="exact" w:before="12"/>
                      <w:ind w:left="0" w:right="1" w:firstLine="0"/>
                      <w:jc w:val="center"/>
                      <w:rPr>
                        <w:b/>
                        <w:sz w:val="13"/>
                      </w:rPr>
                    </w:pPr>
                    <w:r>
                      <w:rPr>
                        <w:b/>
                        <w:color w:val="C00000"/>
                        <w:w w:val="155"/>
                        <w:sz w:val="13"/>
                      </w:rPr>
                      <w:t>corrupto</w:t>
                    </w:r>
                  </w:p>
                </w:txbxContent>
              </v:textbox>
              <w10:wrap type="none"/>
            </v:shape>
            <v:shape style="position:absolute;left:6790;top:174;width:1192;height:135" type="#_x0000_t202" filled="false" stroked="false">
              <v:textbox inset="0,0,0,0">
                <w:txbxContent>
                  <w:p>
                    <w:pPr>
                      <w:tabs>
                        <w:tab w:pos="911" w:val="left" w:leader="none"/>
                      </w:tabs>
                      <w:spacing w:line="135" w:lineRule="exact" w:before="0"/>
                      <w:ind w:left="0" w:right="0" w:firstLine="0"/>
                      <w:jc w:val="left"/>
                      <w:rPr>
                        <w:b/>
                        <w:sz w:val="13"/>
                      </w:rPr>
                    </w:pPr>
                    <w:r>
                      <w:rPr>
                        <w:b/>
                        <w:color w:val="C00000"/>
                        <w:w w:val="155"/>
                        <w:sz w:val="13"/>
                      </w:rPr>
                      <w:t>México</w:t>
                      <w:tab/>
                      <w:t>4.4</w:t>
                    </w:r>
                  </w:p>
                </w:txbxContent>
              </v:textbox>
              <w10:wrap type="none"/>
            </v:shape>
            <v:shape style="position:absolute;left:416;top:487;width:7552;height:825" type="#_x0000_t202" filled="false" stroked="false">
              <v:textbox inset="0,0,0,0">
                <w:txbxContent>
                  <w:p>
                    <w:pPr>
                      <w:spacing w:line="155" w:lineRule="exact" w:before="0"/>
                      <w:ind w:left="5998" w:right="-4" w:firstLine="0"/>
                      <w:jc w:val="left"/>
                      <w:rPr>
                        <w:b/>
                        <w:sz w:val="15"/>
                      </w:rPr>
                    </w:pPr>
                    <w:r>
                      <w:rPr>
                        <w:b/>
                        <w:color w:val="FFFFFF"/>
                        <w:w w:val="150"/>
                        <w:sz w:val="15"/>
                      </w:rPr>
                      <w:t>Promedio   3.6</w:t>
                    </w:r>
                  </w:p>
                  <w:p>
                    <w:pPr>
                      <w:spacing w:line="240" w:lineRule="auto" w:before="0"/>
                      <w:rPr>
                        <w:sz w:val="14"/>
                      </w:rPr>
                    </w:pPr>
                  </w:p>
                  <w:p>
                    <w:pPr>
                      <w:spacing w:line="240" w:lineRule="auto" w:before="0"/>
                      <w:rPr>
                        <w:sz w:val="14"/>
                      </w:rPr>
                    </w:pPr>
                  </w:p>
                  <w:p>
                    <w:pPr>
                      <w:spacing w:line="240" w:lineRule="auto" w:before="5"/>
                      <w:rPr>
                        <w:sz w:val="15"/>
                      </w:rPr>
                    </w:pPr>
                  </w:p>
                  <w:p>
                    <w:pPr>
                      <w:spacing w:line="170" w:lineRule="exact" w:before="0"/>
                      <w:ind w:left="0" w:right="-4" w:firstLine="0"/>
                      <w:jc w:val="left"/>
                      <w:rPr>
                        <w:b/>
                        <w:sz w:val="15"/>
                      </w:rPr>
                    </w:pPr>
                    <w:r>
                      <w:rPr>
                        <w:b/>
                        <w:color w:val="FFFFFF"/>
                        <w:w w:val="150"/>
                        <w:sz w:val="15"/>
                      </w:rPr>
                      <w:t>Policía</w:t>
                    </w:r>
                  </w:p>
                </w:txbxContent>
              </v:textbox>
              <w10:wrap type="none"/>
            </v:shape>
            <v:shape style="position:absolute;left:4683;top:1208;width:828;height:298" type="#_x0000_t202" filled="false" stroked="false">
              <v:textbox inset="0,0,0,0">
                <w:txbxContent>
                  <w:p>
                    <w:pPr>
                      <w:spacing w:line="137" w:lineRule="exact" w:before="0"/>
                      <w:ind w:left="0" w:right="0" w:firstLine="0"/>
                      <w:jc w:val="center"/>
                      <w:rPr>
                        <w:b/>
                        <w:sz w:val="13"/>
                      </w:rPr>
                    </w:pPr>
                    <w:r>
                      <w:rPr>
                        <w:b/>
                        <w:color w:val="001F5F"/>
                        <w:w w:val="155"/>
                        <w:sz w:val="13"/>
                      </w:rPr>
                      <w:t>Nada</w:t>
                    </w:r>
                  </w:p>
                  <w:p>
                    <w:pPr>
                      <w:spacing w:line="148" w:lineRule="exact" w:before="12"/>
                      <w:ind w:left="0" w:right="0" w:firstLine="0"/>
                      <w:jc w:val="center"/>
                      <w:rPr>
                        <w:b/>
                        <w:sz w:val="13"/>
                      </w:rPr>
                    </w:pPr>
                    <w:r>
                      <w:rPr>
                        <w:b/>
                        <w:color w:val="001F5F"/>
                        <w:spacing w:val="-1"/>
                        <w:w w:val="155"/>
                        <w:sz w:val="13"/>
                      </w:rPr>
                      <w:t>corrupto</w:t>
                    </w:r>
                  </w:p>
                </w:txbxContent>
              </v:textbox>
              <w10:wrap type="none"/>
            </v:shape>
            <v:shape style="position:absolute;left:6783;top:799;width:1235;height:460" type="#_x0000_t202" filled="false" stroked="false">
              <v:textbox inset="0,0,0,0">
                <w:txbxContent>
                  <w:p>
                    <w:pPr>
                      <w:spacing w:line="137" w:lineRule="exact" w:before="0"/>
                      <w:ind w:left="0" w:right="-18" w:firstLine="0"/>
                      <w:jc w:val="left"/>
                      <w:rPr>
                        <w:b/>
                        <w:sz w:val="13"/>
                      </w:rPr>
                    </w:pPr>
                    <w:r>
                      <w:rPr>
                        <w:b/>
                        <w:color w:val="001F5F"/>
                        <w:w w:val="155"/>
                        <w:sz w:val="13"/>
                      </w:rPr>
                      <w:t>Alemania 2.3</w:t>
                    </w:r>
                  </w:p>
                  <w:p>
                    <w:pPr>
                      <w:tabs>
                        <w:tab w:pos="943" w:val="left" w:leader="none"/>
                      </w:tabs>
                      <w:spacing w:before="12"/>
                      <w:ind w:left="0" w:right="0" w:firstLine="0"/>
                      <w:jc w:val="left"/>
                      <w:rPr>
                        <w:b/>
                        <w:sz w:val="13"/>
                      </w:rPr>
                    </w:pPr>
                    <w:r>
                      <w:rPr>
                        <w:b/>
                        <w:color w:val="001F5F"/>
                        <w:w w:val="155"/>
                        <w:sz w:val="13"/>
                      </w:rPr>
                      <w:t>España</w:t>
                      <w:tab/>
                      <w:t>3.1</w:t>
                    </w:r>
                  </w:p>
                  <w:p>
                    <w:pPr>
                      <w:spacing w:line="148" w:lineRule="exact" w:before="12"/>
                      <w:ind w:left="0" w:right="-6" w:firstLine="0"/>
                      <w:jc w:val="left"/>
                      <w:rPr>
                        <w:b/>
                        <w:sz w:val="13"/>
                      </w:rPr>
                    </w:pPr>
                    <w:r>
                      <w:rPr>
                        <w:b/>
                        <w:color w:val="001F5F"/>
                        <w:w w:val="155"/>
                        <w:sz w:val="13"/>
                      </w:rPr>
                      <w:t>R. Unido  3.1</w:t>
                    </w:r>
                  </w:p>
                </w:txbxContent>
              </v:textbox>
              <w10:wrap type="none"/>
            </v:shape>
            <v:shape style="position:absolute;left:6783;top:1285;width:426;height:135" type="#_x0000_t202" filled="false" stroked="false">
              <v:textbox inset="0,0,0,0">
                <w:txbxContent>
                  <w:p>
                    <w:pPr>
                      <w:spacing w:line="135" w:lineRule="exact" w:before="0"/>
                      <w:ind w:left="0" w:right="-20" w:firstLine="0"/>
                      <w:jc w:val="left"/>
                      <w:rPr>
                        <w:b/>
                        <w:sz w:val="13"/>
                      </w:rPr>
                    </w:pPr>
                    <w:r>
                      <w:rPr>
                        <w:b/>
                        <w:color w:val="001F5F"/>
                        <w:w w:val="155"/>
                        <w:sz w:val="13"/>
                      </w:rPr>
                      <w:t>EUA</w:t>
                    </w:r>
                  </w:p>
                </w:txbxContent>
              </v:textbox>
              <w10:wrap type="none"/>
            </v:shape>
            <v:shape style="position:absolute;left:7710;top:1285;width:281;height:135" type="#_x0000_t202" filled="false" stroked="false">
              <v:textbox inset="0,0,0,0">
                <w:txbxContent>
                  <w:p>
                    <w:pPr>
                      <w:spacing w:line="135" w:lineRule="exact" w:before="0"/>
                      <w:ind w:left="0" w:right="-20" w:firstLine="0"/>
                      <w:jc w:val="left"/>
                      <w:rPr>
                        <w:b/>
                        <w:sz w:val="13"/>
                      </w:rPr>
                    </w:pPr>
                    <w:r>
                      <w:rPr>
                        <w:b/>
                        <w:color w:val="001F5F"/>
                        <w:w w:val="155"/>
                        <w:sz w:val="13"/>
                      </w:rPr>
                      <w:t>3.3</w:t>
                    </w:r>
                  </w:p>
                </w:txbxContent>
              </v:textbox>
              <w10:wrap type="none"/>
            </v:shape>
            <v:shape style="position:absolute;left:4162;top:2133;width:1623;height:298" type="#_x0000_t202" filled="false" stroked="false">
              <v:textbox inset="0,0,0,0">
                <w:txbxContent>
                  <w:p>
                    <w:pPr>
                      <w:spacing w:line="137" w:lineRule="exact" w:before="0"/>
                      <w:ind w:left="0" w:right="0" w:firstLine="0"/>
                      <w:jc w:val="center"/>
                      <w:rPr>
                        <w:b/>
                        <w:sz w:val="13"/>
                      </w:rPr>
                    </w:pPr>
                    <w:r>
                      <w:rPr>
                        <w:b/>
                        <w:color w:val="C00000"/>
                        <w:spacing w:val="-1"/>
                        <w:w w:val="155"/>
                        <w:sz w:val="13"/>
                      </w:rPr>
                      <w:t>Extremadamente</w:t>
                    </w:r>
                  </w:p>
                  <w:p>
                    <w:pPr>
                      <w:spacing w:line="148" w:lineRule="exact" w:before="12"/>
                      <w:ind w:left="0" w:right="1" w:firstLine="0"/>
                      <w:jc w:val="center"/>
                      <w:rPr>
                        <w:b/>
                        <w:sz w:val="13"/>
                      </w:rPr>
                    </w:pPr>
                    <w:r>
                      <w:rPr>
                        <w:b/>
                        <w:color w:val="C00000"/>
                        <w:w w:val="155"/>
                        <w:sz w:val="13"/>
                      </w:rPr>
                      <w:t>corrupto</w:t>
                    </w:r>
                  </w:p>
                </w:txbxContent>
              </v:textbox>
              <w10:wrap type="none"/>
            </v:shape>
            <v:shape style="position:absolute;left:6276;top:2278;width:1555;height:153" type="#_x0000_t202" filled="false" stroked="false">
              <v:textbox inset="0,0,0,0">
                <w:txbxContent>
                  <w:p>
                    <w:pPr>
                      <w:spacing w:line="152" w:lineRule="exact" w:before="0"/>
                      <w:ind w:left="0" w:right="-3" w:firstLine="0"/>
                      <w:jc w:val="left"/>
                      <w:rPr>
                        <w:b/>
                        <w:sz w:val="15"/>
                      </w:rPr>
                    </w:pPr>
                    <w:r>
                      <w:rPr>
                        <w:b/>
                        <w:color w:val="FFFFFF"/>
                        <w:w w:val="150"/>
                        <w:sz w:val="15"/>
                      </w:rPr>
                      <w:t>Promedio   3.2</w:t>
                    </w:r>
                  </w:p>
                </w:txbxContent>
              </v:textbox>
              <w10:wrap type="none"/>
            </v:shape>
            <v:shape style="position:absolute;left:6729;top:2652;width:1234;height:135" type="#_x0000_t202" filled="false" stroked="false">
              <v:textbox inset="0,0,0,0">
                <w:txbxContent>
                  <w:p>
                    <w:pPr>
                      <w:spacing w:line="135" w:lineRule="exact" w:before="0"/>
                      <w:ind w:left="0" w:right="-19" w:firstLine="0"/>
                      <w:jc w:val="left"/>
                      <w:rPr>
                        <w:b/>
                        <w:sz w:val="13"/>
                      </w:rPr>
                    </w:pPr>
                    <w:r>
                      <w:rPr>
                        <w:b/>
                        <w:color w:val="001F5F"/>
                        <w:w w:val="155"/>
                        <w:sz w:val="13"/>
                      </w:rPr>
                      <w:t>Alemania 3.3</w:t>
                    </w:r>
                  </w:p>
                </w:txbxContent>
              </v:textbox>
              <w10:wrap type="none"/>
            </v:shape>
            <v:shape style="position:absolute;left:567;top:2945;width:2675;height:153" type="#_x0000_t202" filled="false" stroked="false">
              <v:textbox inset="0,0,0,0">
                <w:txbxContent>
                  <w:p>
                    <w:pPr>
                      <w:spacing w:line="152" w:lineRule="exact" w:before="0"/>
                      <w:ind w:left="0" w:right="0" w:firstLine="0"/>
                      <w:jc w:val="left"/>
                      <w:rPr>
                        <w:b/>
                        <w:sz w:val="15"/>
                      </w:rPr>
                    </w:pPr>
                    <w:r>
                      <w:rPr>
                        <w:b/>
                        <w:color w:val="FFFFFF"/>
                        <w:w w:val="150"/>
                        <w:sz w:val="15"/>
                      </w:rPr>
                      <w:t>Negocios/Sector privado</w:t>
                    </w:r>
                  </w:p>
                </w:txbxContent>
              </v:textbox>
              <w10:wrap type="none"/>
            </v:shape>
            <v:shape style="position:absolute;left:4709;top:3002;width:828;height:298" type="#_x0000_t202" filled="false" stroked="false">
              <v:textbox inset="0,0,0,0">
                <w:txbxContent>
                  <w:p>
                    <w:pPr>
                      <w:spacing w:line="137" w:lineRule="exact" w:before="0"/>
                      <w:ind w:left="0" w:right="1" w:firstLine="0"/>
                      <w:jc w:val="center"/>
                      <w:rPr>
                        <w:b/>
                        <w:sz w:val="13"/>
                      </w:rPr>
                    </w:pPr>
                    <w:r>
                      <w:rPr>
                        <w:b/>
                        <w:color w:val="001F5F"/>
                        <w:w w:val="155"/>
                        <w:sz w:val="13"/>
                      </w:rPr>
                      <w:t>Nada</w:t>
                    </w:r>
                  </w:p>
                  <w:p>
                    <w:pPr>
                      <w:spacing w:line="148" w:lineRule="exact" w:before="12"/>
                      <w:ind w:left="-1" w:right="0" w:firstLine="0"/>
                      <w:jc w:val="center"/>
                      <w:rPr>
                        <w:b/>
                        <w:sz w:val="13"/>
                      </w:rPr>
                    </w:pPr>
                    <w:r>
                      <w:rPr>
                        <w:b/>
                        <w:color w:val="001F5F"/>
                        <w:spacing w:val="-1"/>
                        <w:w w:val="155"/>
                        <w:sz w:val="13"/>
                      </w:rPr>
                      <w:t>corrupto</w:t>
                    </w:r>
                  </w:p>
                </w:txbxContent>
              </v:textbox>
              <w10:wrap type="none"/>
            </v:shape>
            <v:shape style="position:absolute;left:6729;top:2814;width:1266;height:622" type="#_x0000_t202" filled="false" stroked="false">
              <v:textbox inset="0,0,0,0">
                <w:txbxContent>
                  <w:p>
                    <w:pPr>
                      <w:tabs>
                        <w:tab w:pos="968" w:val="left" w:leader="none"/>
                      </w:tabs>
                      <w:spacing w:line="137" w:lineRule="exact" w:before="0"/>
                      <w:ind w:left="0" w:right="0" w:firstLine="0"/>
                      <w:jc w:val="left"/>
                      <w:rPr>
                        <w:b/>
                        <w:sz w:val="13"/>
                      </w:rPr>
                    </w:pPr>
                    <w:r>
                      <w:rPr>
                        <w:b/>
                        <w:color w:val="001F5F"/>
                        <w:w w:val="155"/>
                        <w:sz w:val="13"/>
                      </w:rPr>
                      <w:t>México</w:t>
                      <w:tab/>
                      <w:t>3.3</w:t>
                    </w:r>
                  </w:p>
                  <w:p>
                    <w:pPr>
                      <w:tabs>
                        <w:tab w:pos="943" w:val="left" w:leader="none"/>
                      </w:tabs>
                      <w:spacing w:before="13"/>
                      <w:ind w:left="0" w:right="0" w:firstLine="0"/>
                      <w:jc w:val="left"/>
                      <w:rPr>
                        <w:b/>
                        <w:sz w:val="13"/>
                      </w:rPr>
                    </w:pPr>
                    <w:r>
                      <w:rPr>
                        <w:b/>
                        <w:color w:val="001F5F"/>
                        <w:w w:val="155"/>
                        <w:sz w:val="13"/>
                      </w:rPr>
                      <w:t>España</w:t>
                      <w:tab/>
                      <w:t>3.5</w:t>
                    </w:r>
                  </w:p>
                  <w:p>
                    <w:pPr>
                      <w:tabs>
                        <w:tab w:pos="943" w:val="left" w:leader="none"/>
                      </w:tabs>
                      <w:spacing w:before="12"/>
                      <w:ind w:left="0" w:right="0" w:firstLine="0"/>
                      <w:jc w:val="left"/>
                      <w:rPr>
                        <w:b/>
                        <w:sz w:val="13"/>
                      </w:rPr>
                    </w:pPr>
                    <w:r>
                      <w:rPr>
                        <w:b/>
                        <w:color w:val="001F5F"/>
                        <w:w w:val="155"/>
                        <w:sz w:val="13"/>
                      </w:rPr>
                      <w:t>R. Unido</w:t>
                      <w:tab/>
                      <w:t>3.5</w:t>
                    </w:r>
                  </w:p>
                  <w:p>
                    <w:pPr>
                      <w:tabs>
                        <w:tab w:pos="984" w:val="left" w:leader="none"/>
                      </w:tabs>
                      <w:spacing w:line="148" w:lineRule="exact" w:before="12"/>
                      <w:ind w:left="0" w:right="0" w:firstLine="0"/>
                      <w:jc w:val="left"/>
                      <w:rPr>
                        <w:b/>
                        <w:sz w:val="13"/>
                      </w:rPr>
                    </w:pPr>
                    <w:r>
                      <w:rPr>
                        <w:b/>
                        <w:color w:val="001F5F"/>
                        <w:w w:val="155"/>
                        <w:sz w:val="13"/>
                      </w:rPr>
                      <w:t>EUA</w:t>
                      <w:tab/>
                      <w:t>3.6</w:t>
                    </w:r>
                  </w:p>
                </w:txbxContent>
              </v:textbox>
              <w10:wrap type="none"/>
            </v:shape>
          </v:group>
        </w:pict>
      </w:r>
      <w:r>
        <w:rPr>
          <w:sz w:val="20"/>
        </w:rPr>
      </w:r>
    </w:p>
    <w:p>
      <w:pPr>
        <w:spacing w:line="256" w:lineRule="auto" w:before="58"/>
        <w:ind w:left="889" w:right="3810" w:hanging="709"/>
        <w:jc w:val="left"/>
        <w:rPr>
          <w:sz w:val="12"/>
        </w:rPr>
      </w:pPr>
      <w:r>
        <w:rPr>
          <w:sz w:val="12"/>
        </w:rPr>
        <w:t>FUENTE: Transparency International, The Global Corruption Barometer 2010, data </w:t>
      </w:r>
      <w:r>
        <w:rPr>
          <w:i/>
          <w:sz w:val="12"/>
        </w:rPr>
        <w:t>set </w:t>
      </w:r>
      <w:r>
        <w:rPr>
          <w:sz w:val="12"/>
        </w:rPr>
        <w:t>Disponible en: </w:t>
      </w:r>
      <w:hyperlink r:id="rId56">
        <w:r>
          <w:rPr>
            <w:sz w:val="12"/>
          </w:rPr>
          <w:t>http://www.transparency.org/policy_research/surveys_indices/gcb</w:t>
        </w:r>
      </w:hyperlink>
      <w:r>
        <w:rPr>
          <w:sz w:val="12"/>
        </w:rPr>
        <w:t> [Fecha de consulta: 19 de octubre, 2015]</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line="360" w:lineRule="auto" w:before="76"/>
        <w:ind w:left="180" w:right="121" w:firstLine="424"/>
        <w:jc w:val="both"/>
      </w:pPr>
      <w:r>
        <w:rPr/>
        <w:t>México comparte los mismos niveles de precepción de la corrupción en el sistema policial (policía) que Sierra Leona, Sudáfrica, Venezuela y Bangladesh; superados sólo por Paquistán, Nigeria y República Democrática del Congo, por ejemplo.</w:t>
      </w:r>
    </w:p>
    <w:p>
      <w:pPr>
        <w:pStyle w:val="BodyText"/>
        <w:spacing w:line="360" w:lineRule="auto" w:before="2"/>
        <w:ind w:left="180" w:right="117" w:firstLine="424"/>
        <w:jc w:val="both"/>
      </w:pPr>
      <w:r>
        <w:rPr/>
        <w:t>En la variable Negocios/Sector privado, la precepción de la corrupción en México fue calificada igual de corrupta que Sierra Leona, Turquía y Malasia; sin embargo, es la única variable donde a México se percibe menos corrupto que Estados Unidos, Reino Unido y España.</w:t>
      </w:r>
    </w:p>
    <w:p>
      <w:pPr>
        <w:pStyle w:val="BodyText"/>
      </w:pPr>
    </w:p>
    <w:p>
      <w:pPr>
        <w:pStyle w:val="BodyText"/>
        <w:spacing w:before="8"/>
        <w:rPr>
          <w:sz w:val="29"/>
        </w:rPr>
      </w:pPr>
    </w:p>
    <w:p>
      <w:pPr>
        <w:pStyle w:val="BodyText"/>
        <w:spacing w:line="360" w:lineRule="auto"/>
        <w:ind w:left="180" w:right="128" w:firstLine="424"/>
        <w:jc w:val="both"/>
      </w:pPr>
      <w:r>
        <w:rPr/>
        <w:t>Los funcionarios y servidores públicos de México obtuvieron la misma calificación en precepción de la corrupción que Pakistán y El Salvador.</w:t>
      </w:r>
    </w:p>
    <w:p>
      <w:pPr>
        <w:pStyle w:val="BodyText"/>
        <w:spacing w:line="360" w:lineRule="auto" w:before="6"/>
        <w:ind w:left="180" w:right="122" w:firstLine="424"/>
        <w:jc w:val="both"/>
      </w:pPr>
      <w:r>
        <w:rPr/>
        <w:t>En</w:t>
      </w:r>
      <w:r>
        <w:rPr>
          <w:spacing w:val="-17"/>
        </w:rPr>
        <w:t> </w:t>
      </w:r>
      <w:r>
        <w:rPr/>
        <w:t>la</w:t>
      </w:r>
      <w:r>
        <w:rPr>
          <w:spacing w:val="-17"/>
        </w:rPr>
        <w:t> </w:t>
      </w:r>
      <w:r>
        <w:rPr/>
        <w:t>variable</w:t>
      </w:r>
      <w:r>
        <w:rPr>
          <w:spacing w:val="-17"/>
        </w:rPr>
        <w:t> </w:t>
      </w:r>
      <w:r>
        <w:rPr/>
        <w:t>Sistema</w:t>
      </w:r>
      <w:r>
        <w:rPr>
          <w:spacing w:val="-13"/>
        </w:rPr>
        <w:t> </w:t>
      </w:r>
      <w:r>
        <w:rPr/>
        <w:t>judicial,</w:t>
      </w:r>
      <w:r>
        <w:rPr>
          <w:spacing w:val="-14"/>
        </w:rPr>
        <w:t> </w:t>
      </w:r>
      <w:r>
        <w:rPr/>
        <w:t>México</w:t>
      </w:r>
      <w:r>
        <w:rPr>
          <w:spacing w:val="-13"/>
        </w:rPr>
        <w:t> </w:t>
      </w:r>
      <w:r>
        <w:rPr/>
        <w:t>fue</w:t>
      </w:r>
      <w:r>
        <w:rPr>
          <w:spacing w:val="-17"/>
        </w:rPr>
        <w:t> </w:t>
      </w:r>
      <w:r>
        <w:rPr/>
        <w:t>mejor</w:t>
      </w:r>
      <w:r>
        <w:rPr>
          <w:spacing w:val="-15"/>
        </w:rPr>
        <w:t> </w:t>
      </w:r>
      <w:r>
        <w:rPr/>
        <w:t>calificado</w:t>
      </w:r>
      <w:r>
        <w:rPr>
          <w:spacing w:val="-17"/>
        </w:rPr>
        <w:t> </w:t>
      </w:r>
      <w:r>
        <w:rPr/>
        <w:t>que</w:t>
      </w:r>
      <w:r>
        <w:rPr>
          <w:spacing w:val="-17"/>
        </w:rPr>
        <w:t> </w:t>
      </w:r>
      <w:r>
        <w:rPr/>
        <w:t>Burundi,</w:t>
      </w:r>
      <w:r>
        <w:rPr>
          <w:spacing w:val="-14"/>
        </w:rPr>
        <w:t> </w:t>
      </w:r>
      <w:r>
        <w:rPr/>
        <w:t>Ucrania y</w:t>
      </w:r>
      <w:r>
        <w:rPr>
          <w:spacing w:val="-10"/>
        </w:rPr>
        <w:t> </w:t>
      </w:r>
      <w:r>
        <w:rPr/>
        <w:t>Perú,</w:t>
      </w:r>
      <w:r>
        <w:rPr>
          <w:spacing w:val="-5"/>
        </w:rPr>
        <w:t> </w:t>
      </w:r>
      <w:r>
        <w:rPr/>
        <w:t>sin</w:t>
      </w:r>
      <w:r>
        <w:rPr>
          <w:spacing w:val="-8"/>
        </w:rPr>
        <w:t> </w:t>
      </w:r>
      <w:r>
        <w:rPr/>
        <w:t>embargo,</w:t>
      </w:r>
      <w:r>
        <w:rPr>
          <w:spacing w:val="-5"/>
        </w:rPr>
        <w:t> </w:t>
      </w:r>
      <w:r>
        <w:rPr/>
        <w:t>obtuvo</w:t>
      </w:r>
      <w:r>
        <w:rPr>
          <w:spacing w:val="-8"/>
        </w:rPr>
        <w:t> </w:t>
      </w:r>
      <w:r>
        <w:rPr/>
        <w:t>la</w:t>
      </w:r>
      <w:r>
        <w:rPr>
          <w:spacing w:val="-8"/>
        </w:rPr>
        <w:t> </w:t>
      </w:r>
      <w:r>
        <w:rPr/>
        <w:t>mayor</w:t>
      </w:r>
      <w:r>
        <w:rPr>
          <w:spacing w:val="-6"/>
        </w:rPr>
        <w:t> </w:t>
      </w:r>
      <w:r>
        <w:rPr/>
        <w:t>percepción</w:t>
      </w:r>
      <w:r>
        <w:rPr>
          <w:spacing w:val="-8"/>
        </w:rPr>
        <w:t> </w:t>
      </w:r>
      <w:r>
        <w:rPr/>
        <w:t>de</w:t>
      </w:r>
      <w:r>
        <w:rPr>
          <w:spacing w:val="-8"/>
        </w:rPr>
        <w:t> </w:t>
      </w:r>
      <w:r>
        <w:rPr/>
        <w:t>corrupción</w:t>
      </w:r>
      <w:r>
        <w:rPr>
          <w:spacing w:val="-8"/>
        </w:rPr>
        <w:t> </w:t>
      </w:r>
      <w:r>
        <w:rPr/>
        <w:t>que</w:t>
      </w:r>
      <w:r>
        <w:rPr>
          <w:spacing w:val="-8"/>
        </w:rPr>
        <w:t> </w:t>
      </w:r>
      <w:r>
        <w:rPr/>
        <w:t>los</w:t>
      </w:r>
      <w:r>
        <w:rPr>
          <w:spacing w:val="-6"/>
        </w:rPr>
        <w:t> </w:t>
      </w:r>
      <w:r>
        <w:rPr/>
        <w:t>5</w:t>
      </w:r>
      <w:r>
        <w:rPr>
          <w:spacing w:val="-8"/>
        </w:rPr>
        <w:t> </w:t>
      </w:r>
      <w:r>
        <w:rPr/>
        <w:t>países</w:t>
      </w:r>
      <w:r>
        <w:rPr>
          <w:spacing w:val="-6"/>
        </w:rPr>
        <w:t> </w:t>
      </w:r>
      <w:r>
        <w:rPr/>
        <w:t>de estudio.</w:t>
      </w:r>
    </w:p>
    <w:p>
      <w:pPr>
        <w:spacing w:after="0" w:line="360" w:lineRule="auto"/>
        <w:jc w:val="both"/>
        <w:sectPr>
          <w:footerReference w:type="default" r:id="rId59"/>
          <w:pgSz w:w="12240" w:h="15840"/>
          <w:pgMar w:footer="998" w:header="0" w:top="1360" w:bottom="1180" w:left="1520" w:right="1580"/>
          <w:pgNumType w:start="51"/>
        </w:sectPr>
      </w:pPr>
    </w:p>
    <w:p>
      <w:pPr>
        <w:spacing w:line="451" w:lineRule="auto" w:before="53"/>
        <w:ind w:left="2197" w:right="2079" w:hanging="104"/>
        <w:jc w:val="left"/>
        <w:rPr>
          <w:sz w:val="20"/>
        </w:rPr>
      </w:pPr>
      <w:bookmarkStart w:name="_bookmark31" w:id="44"/>
      <w:bookmarkEnd w:id="44"/>
      <w:r>
        <w:rPr/>
      </w:r>
      <w:r>
        <w:rPr>
          <w:sz w:val="20"/>
        </w:rPr>
        <w:t>Esquema 1.5. Barómetro global de la corrupción, 2010 (Funcionarios/Servidores públicos y sistema judicial)</w:t>
      </w:r>
    </w:p>
    <w:p>
      <w:pPr>
        <w:pStyle w:val="BodyText"/>
        <w:rPr>
          <w:sz w:val="20"/>
        </w:rPr>
      </w:pPr>
    </w:p>
    <w:p>
      <w:pPr>
        <w:pStyle w:val="BodyText"/>
        <w:spacing w:before="2"/>
        <w:rPr>
          <w:sz w:val="21"/>
        </w:rPr>
      </w:pPr>
      <w:r>
        <w:rPr/>
        <w:pict>
          <v:group style="position:absolute;margin-left:90.625099pt;margin-top:14.13059pt;width:425.2pt;height:187.6pt;mso-position-horizontal-relative:page;mso-position-vertical-relative:paragraph;z-index:5296;mso-wrap-distance-left:0;mso-wrap-distance-right:0" coordorigin="1813,283" coordsize="8504,3752">
            <v:shape style="position:absolute;left:1852;top:283;width:8464;height:3752" type="#_x0000_t75" stroked="false">
              <v:imagedata r:id="rId61" o:title=""/>
            </v:shape>
            <v:rect style="position:absolute;left:1980;top:314;width:8295;height:3627" filled="true" fillcolor="#edebe0" stroked="false">
              <v:fill type="solid"/>
            </v:rect>
            <v:shape style="position:absolute;left:1996;top:879;width:8025;height:763" coordorigin="1996,879" coordsize="8025,763" path="m1996,1584l2100,1588,2205,1593,2309,1597,2413,1601,2517,1606,2621,1610,2725,1614,2829,1617,2932,1621,3036,1624,3139,1628,3242,1630,3345,1633,3448,1635,3550,1637,3652,1639,3754,1640,3855,1641,3957,1641,4007,1641,4057,1641,4158,1641,4258,1640,4358,1638,4457,1636,4556,1633,4654,1630,4752,1626,4849,1621,4946,1616,5042,1610,5138,1604,5233,1596,5328,1588,5427,1579,5530,1567,5634,1554,5737,1539,5841,1523,5945,1506,6048,1488,6152,1468,6255,1447,6358,1426,6460,1404,6562,1381,6663,1358,6763,1335,6863,1311,6962,1287,7060,1263,7157,1239,7253,1215,7300,1204,7394,1180,7487,1158,7579,1136,7669,1114,7758,1094,7845,1074,7930,1055,8014,1038,8096,1022,8176,1007,8255,994,8889,921,9447,889,9860,879,10021,879e" filled="false" stroked="true" strokeweight="18.253125pt" strokecolor="#385d89">
              <v:path arrowok="t"/>
            </v:shape>
            <v:shape style="position:absolute;left:1998;top:2808;width:8025;height:764" coordorigin="1998,2808" coordsize="8025,764" path="m1998,3514l2102,3519,2206,3523,2310,3528,2415,3532,2519,3536,2623,3540,2727,3544,2830,3548,2934,3551,3037,3555,3141,3558,3244,3561,3347,3563,3449,3566,3552,3568,3654,3569,3756,3570,3857,3571,3958,3572,4009,3572,4059,3572,4159,3571,4259,3570,4359,3568,4458,3566,4557,3564,4655,3560,4753,3556,4851,3552,4947,3547,5044,3541,5140,3534,5235,3527,5329,3519,5428,3509,5532,3498,5635,3484,5739,3470,5843,3454,5946,3436,6050,3418,6153,3398,6256,3378,6359,3356,6461,3334,6563,3311,6664,3288,6765,3265,6864,3241,6963,3217,7061,3193,7158,3169,7254,3145,7302,3133,7396,3110,7489,3087,7580,3065,7671,3044,7759,3023,7846,3004,7932,2985,8016,2968,8098,2951,8178,2937,8256,2924,8891,2851,9449,2819,9861,2809,10022,2808e" filled="false" stroked="true" strokeweight="18.253302pt" strokecolor="#385d89">
              <v:path arrowok="t"/>
            </v:shape>
            <v:shape style="position:absolute;left:7596;top:1326;width:431;height:551" coordorigin="7596,1326" coordsize="431,551" path="m8027,1721l7596,1721,7811,1876,8027,1721xm7919,1326l7704,1326,7704,1721,7919,1721,7919,1326xe" filled="true" fillcolor="#001f5f" stroked="false">
              <v:path arrowok="t"/>
              <v:fill type="solid"/>
            </v:shape>
            <v:shape style="position:absolute;left:7565;top:1316;width:493;height:573" coordorigin="7565,1316" coordsize="493,573" path="m7691,1712l7565,1712,7811,1889,7839,1870,7802,1870,7811,1863,7627,1730,7596,1730,7605,1714,7691,1714,7691,1712xm7811,1863l7802,1870,7820,1870,7811,1863xm8018,1714l7811,1863,7820,1870,7839,1870,8032,1730,8027,1730,8018,1714xm7605,1714l7596,1730,7627,1730,7605,1714xm7691,1714l7605,1714,7627,1730,7717,1730,7717,1721,7691,1721,7691,1714xm7906,1326l7906,1730,7996,1730,8008,1721,7932,1721,7919,1712,7932,1712,7932,1335,7919,1335,7906,1326xm8054,1714l8018,1714,8027,1730,8032,1730,8054,1714xm7932,1316l7691,1316,7691,1721,7704,1712,7717,1712,7717,1335,7704,1335,7717,1326,7932,1326,7932,1316xm7717,1712l7704,1712,7691,1721,7717,1721,7717,1712xm7932,1712l7919,1712,7932,1721,7932,1712xm8058,1712l7932,1712,7932,1721,8008,1721,8018,1714,8054,1714,8058,1712xm7717,1326l7704,1335,7717,1335,7717,1326xm7906,1326l7717,1326,7717,1335,7906,1335,7906,1326xm7932,1326l7906,1326,7919,1335,7932,1335,7932,1326xe" filled="true" fillcolor="#001f5f" stroked="false">
              <v:path arrowok="t"/>
              <v:fill type="solid"/>
            </v:shape>
            <v:shape style="position:absolute;left:7640;top:3190;width:431;height:550" coordorigin="7640,3190" coordsize="431,550" path="m8071,3585l7640,3585,7855,3740,8071,3585xm7963,3190l7748,3190,7748,3585,7963,3585,7963,3190xe" filled="true" fillcolor="#001f5f" stroked="false">
              <v:path arrowok="t"/>
              <v:fill type="solid"/>
            </v:shape>
            <v:shape style="position:absolute;left:7609;top:3181;width:493;height:572" coordorigin="7609,3181" coordsize="493,572" path="m7735,3576l7609,3576,7855,3753,7883,3733,7846,3733,7855,3727,7671,3594,7640,3594,7649,3578,7735,3578,7735,3576xm7855,3727l7846,3733,7864,3733,7855,3727xm8062,3578l7855,3727,7864,3733,7883,3733,8076,3594,8071,3594,8062,3578xm7649,3578l7640,3594,7671,3594,7649,3578xm7735,3578l7649,3578,7671,3594,7761,3594,7761,3585,7735,3585,7735,3578xm7950,3190l7950,3594,8040,3594,8052,3585,7976,3585,7963,3576,7976,3576,7976,3200,7963,3200,7950,3190xm8098,3578l8062,3578,8071,3594,8076,3594,8098,3578xm7976,3181l7735,3181,7735,3585,7748,3576,7761,3576,7761,3200,7748,3200,7761,3190,7976,3190,7976,3181xm7761,3576l7748,3576,7735,3585,7761,3585,7761,3576xm7976,3576l7963,3576,7976,3585,7976,3576xm8102,3576l7976,3576,7976,3585,8052,3585,8062,3578,8098,3578,8102,3576xm7761,3190l7748,3200,7761,3200,7761,3190xm7950,3190l7761,3190,7761,3200,7950,3200,7950,3190xm7976,3190l7950,3190,7963,3200,7976,3200,7976,3190xe" filled="true" fillcolor="#001f5f" stroked="false">
              <v:path arrowok="t"/>
              <v:fill type="solid"/>
            </v:shape>
            <v:shape style="position:absolute;left:7604;top:328;width:431;height:551" coordorigin="7604,328" coordsize="431,551" path="m7927,483l7711,483,7711,879,7927,879,7927,483xm7819,328l7604,483,8034,483,7819,328xe" filled="true" fillcolor="#c00000" stroked="false">
              <v:path arrowok="t"/>
              <v:fill type="solid"/>
            </v:shape>
            <v:shape style="position:absolute;left:7572;top:315;width:493;height:573" coordorigin="7572,315" coordsize="493,573" path="m7698,483l7698,888,7939,888,7939,879,7724,879,7711,869,7724,869,7724,493,7711,493,7698,483xm7724,869l7711,869,7724,879,7724,869xm7914,869l7724,869,7724,879,7914,879,7914,869xm8003,474l7914,474,7914,879,7927,869,7939,869,7939,493,7927,493,7939,483,8016,483,8003,474xm7939,869l7927,869,7914,879,7939,879,7939,869xm7819,315l7572,493,7698,493,7698,490,7613,490,7604,474,7635,474,7819,341,7810,335,7846,335,7819,315xm7724,483l7698,483,7711,493,7724,493,7724,483xm7939,483l7927,493,7939,493,7939,483xm8016,483l7939,483,7939,493,8065,493,8062,490,8025,490,8016,483xm7635,474l7604,474,7613,490,7635,474xm7724,474l7635,474,7613,490,7698,490,7698,483,7724,483,7724,474xm7846,335l7828,335,7819,341,8025,490,8034,474,8040,474,7846,335xm8040,474l8034,474,8025,490,8062,490,8040,474xm7828,335l7810,335,7819,341,7828,335xe" filled="true" fillcolor="#c00000" stroked="false">
              <v:path arrowok="t"/>
              <v:fill type="solid"/>
            </v:shape>
            <v:shape style="position:absolute;left:7604;top:2259;width:431;height:550" coordorigin="7604,2259" coordsize="431,550" path="m7927,2414l7711,2414,7711,2808,7927,2808,7927,2414xm7819,2259l7604,2414,8034,2414,7819,2259xe" filled="true" fillcolor="#c00000" stroked="false">
              <v:path arrowok="t"/>
              <v:fill type="solid"/>
            </v:shape>
            <v:shape style="position:absolute;left:7572;top:2245;width:493;height:572" coordorigin="7572,2245" coordsize="493,572" path="m7698,2414l7698,2817,7939,2817,7939,2808,7724,2808,7711,2799,7724,2799,7724,2423,7711,2423,7698,2414xm7724,2799l7711,2799,7724,2808,7724,2799xm7914,2799l7724,2799,7724,2808,7914,2808,7914,2799xm8003,2404l7914,2404,7914,2808,7927,2799,7939,2799,7939,2423,7927,2423,7939,2414,8016,2414,8003,2404xm7939,2799l7927,2799,7914,2808,7939,2808,7939,2799xm7819,2245l7572,2423,7698,2423,7698,2420,7613,2420,7604,2404,7635,2404,7819,2272,7810,2265,7846,2265,7819,2245xm7724,2414l7698,2414,7711,2423,7724,2423,7724,2414xm7939,2414l7927,2423,7939,2423,7939,2414xm8016,2414l7939,2414,7939,2423,8065,2423,8062,2420,8025,2420,8016,2414xm7635,2404l7604,2404,7613,2420,7635,2404xm7724,2404l7635,2404,7613,2420,7698,2420,7698,2414,7724,2414,7724,2404xm7846,2265l7828,2265,7819,2272,8025,2420,8034,2404,8040,2404,7846,2265xm8040,2404l8034,2404,8025,2420,8062,2420,8040,2404xm7828,2265l7810,2265,7819,2272,7828,2265xe" filled="true" fillcolor="#c00000" stroked="false">
              <v:path arrowok="t"/>
              <v:fill type="solid"/>
            </v:shape>
            <v:shape style="position:absolute;left:5835;top:593;width:1625;height:321" type="#_x0000_t202" filled="false" stroked="false">
              <v:textbox inset="0,0,0,0">
                <w:txbxContent>
                  <w:p>
                    <w:pPr>
                      <w:spacing w:line="147" w:lineRule="exact" w:before="0"/>
                      <w:ind w:left="0" w:right="0" w:firstLine="0"/>
                      <w:jc w:val="center"/>
                      <w:rPr>
                        <w:b/>
                        <w:sz w:val="14"/>
                      </w:rPr>
                    </w:pPr>
                    <w:r>
                      <w:rPr>
                        <w:b/>
                        <w:color w:val="C00000"/>
                        <w:spacing w:val="-1"/>
                        <w:w w:val="145"/>
                        <w:sz w:val="14"/>
                      </w:rPr>
                      <w:t>Extremadamente</w:t>
                    </w:r>
                  </w:p>
                  <w:p>
                    <w:pPr>
                      <w:spacing w:line="159" w:lineRule="exact" w:before="14"/>
                      <w:ind w:left="0" w:right="0" w:firstLine="0"/>
                      <w:jc w:val="center"/>
                      <w:rPr>
                        <w:b/>
                        <w:sz w:val="14"/>
                      </w:rPr>
                    </w:pPr>
                    <w:r>
                      <w:rPr>
                        <w:b/>
                        <w:color w:val="C00000"/>
                        <w:w w:val="145"/>
                        <w:sz w:val="14"/>
                      </w:rPr>
                      <w:t>corrupto</w:t>
                    </w:r>
                  </w:p>
                </w:txbxContent>
              </v:textbox>
              <w10:wrap type="none"/>
            </v:shape>
            <v:shape style="position:absolute;left:8246;top:384;width:1578;height:904" type="#_x0000_t202" filled="false" stroked="false">
              <v:textbox inset="0,0,0,0">
                <w:txbxContent>
                  <w:p>
                    <w:pPr>
                      <w:tabs>
                        <w:tab w:pos="1281" w:val="left" w:leader="none"/>
                      </w:tabs>
                      <w:spacing w:line="147" w:lineRule="exact" w:before="0"/>
                      <w:ind w:left="369" w:right="0" w:firstLine="0"/>
                      <w:jc w:val="left"/>
                      <w:rPr>
                        <w:b/>
                        <w:sz w:val="14"/>
                      </w:rPr>
                    </w:pPr>
                    <w:r>
                      <w:rPr>
                        <w:b/>
                        <w:color w:val="C00000"/>
                        <w:w w:val="145"/>
                        <w:sz w:val="14"/>
                      </w:rPr>
                      <w:t>México</w:t>
                      <w:tab/>
                      <w:t>4.2</w:t>
                    </w:r>
                  </w:p>
                  <w:p>
                    <w:pPr>
                      <w:tabs>
                        <w:tab w:pos="1577" w:val="right" w:leader="none"/>
                      </w:tabs>
                      <w:spacing w:before="14"/>
                      <w:ind w:left="369" w:right="0" w:firstLine="0"/>
                      <w:jc w:val="left"/>
                      <w:rPr>
                        <w:b/>
                        <w:sz w:val="14"/>
                      </w:rPr>
                    </w:pPr>
                    <w:r>
                      <w:rPr>
                        <w:b/>
                        <w:color w:val="C00000"/>
                        <w:w w:val="145"/>
                        <w:sz w:val="14"/>
                      </w:rPr>
                      <w:t>EUA</w:t>
                      <w:tab/>
                      <w:t>3.8</w:t>
                    </w:r>
                  </w:p>
                  <w:p>
                    <w:pPr>
                      <w:tabs>
                        <w:tab w:pos="1554" w:val="right" w:leader="none"/>
                      </w:tabs>
                      <w:spacing w:before="82"/>
                      <w:ind w:left="0" w:right="0" w:firstLine="0"/>
                      <w:jc w:val="left"/>
                      <w:rPr>
                        <w:b/>
                        <w:sz w:val="16"/>
                      </w:rPr>
                    </w:pPr>
                    <w:r>
                      <w:rPr>
                        <w:b/>
                        <w:color w:val="FFFFFF"/>
                        <w:w w:val="140"/>
                        <w:sz w:val="16"/>
                      </w:rPr>
                      <w:t>Promedio</w:t>
                      <w:tab/>
                      <w:t>3.5</w:t>
                    </w:r>
                  </w:p>
                  <w:p>
                    <w:pPr>
                      <w:tabs>
                        <w:tab w:pos="1577" w:val="right" w:leader="none"/>
                      </w:tabs>
                      <w:spacing w:line="159" w:lineRule="exact" w:before="155"/>
                      <w:ind w:left="353" w:right="0" w:firstLine="0"/>
                      <w:jc w:val="left"/>
                      <w:rPr>
                        <w:b/>
                        <w:sz w:val="14"/>
                      </w:rPr>
                    </w:pPr>
                    <w:r>
                      <w:rPr>
                        <w:b/>
                        <w:color w:val="001F5F"/>
                        <w:w w:val="145"/>
                        <w:sz w:val="14"/>
                      </w:rPr>
                      <w:t>España</w:t>
                      <w:tab/>
                      <w:t>3.5</w:t>
                    </w:r>
                  </w:p>
                </w:txbxContent>
              </v:textbox>
              <w10:wrap type="none"/>
            </v:shape>
            <v:shape style="position:absolute;left:2242;top:1530;width:2707;height:164" type="#_x0000_t202" filled="false" stroked="false">
              <v:textbox inset="0,0,0,0">
                <w:txbxContent>
                  <w:p>
                    <w:pPr>
                      <w:spacing w:line="164" w:lineRule="exact" w:before="0"/>
                      <w:ind w:left="0" w:right="0" w:firstLine="0"/>
                      <w:jc w:val="left"/>
                      <w:rPr>
                        <w:b/>
                        <w:sz w:val="16"/>
                      </w:rPr>
                    </w:pPr>
                    <w:r>
                      <w:rPr>
                        <w:b/>
                        <w:color w:val="FFFFFF"/>
                        <w:w w:val="140"/>
                        <w:sz w:val="16"/>
                      </w:rPr>
                      <w:t>Funcionarios/S. públicos</w:t>
                    </w:r>
                  </w:p>
                </w:txbxContent>
              </v:textbox>
              <w10:wrap type="none"/>
            </v:shape>
            <v:shape style="position:absolute;left:8600;top:1316;width:1236;height:321" type="#_x0000_t202" filled="false" stroked="false">
              <v:textbox inset="0,0,0,0">
                <w:txbxContent>
                  <w:p>
                    <w:pPr>
                      <w:spacing w:line="147" w:lineRule="exact" w:before="0"/>
                      <w:ind w:left="0" w:right="-17" w:firstLine="0"/>
                      <w:jc w:val="left"/>
                      <w:rPr>
                        <w:b/>
                        <w:sz w:val="14"/>
                      </w:rPr>
                    </w:pPr>
                    <w:r>
                      <w:rPr>
                        <w:b/>
                        <w:color w:val="001F5F"/>
                        <w:w w:val="145"/>
                        <w:sz w:val="14"/>
                      </w:rPr>
                      <w:t>R. Unido 3.4</w:t>
                    </w:r>
                  </w:p>
                  <w:p>
                    <w:pPr>
                      <w:spacing w:line="159" w:lineRule="exact" w:before="14"/>
                      <w:ind w:left="0" w:right="-17" w:firstLine="0"/>
                      <w:jc w:val="left"/>
                      <w:rPr>
                        <w:b/>
                        <w:sz w:val="14"/>
                      </w:rPr>
                    </w:pPr>
                    <w:r>
                      <w:rPr>
                        <w:b/>
                        <w:color w:val="001F5F"/>
                        <w:w w:val="145"/>
                        <w:sz w:val="14"/>
                      </w:rPr>
                      <w:t>Alemania</w:t>
                    </w:r>
                    <w:r>
                      <w:rPr>
                        <w:b/>
                        <w:color w:val="001F5F"/>
                        <w:spacing w:val="-9"/>
                        <w:w w:val="145"/>
                        <w:sz w:val="14"/>
                      </w:rPr>
                      <w:t> </w:t>
                    </w:r>
                    <w:r>
                      <w:rPr>
                        <w:b/>
                        <w:color w:val="001F5F"/>
                        <w:w w:val="145"/>
                        <w:sz w:val="14"/>
                      </w:rPr>
                      <w:t>3.2</w:t>
                    </w:r>
                  </w:p>
                </w:txbxContent>
              </v:textbox>
              <w10:wrap type="none"/>
            </v:shape>
            <v:shape style="position:absolute;left:6401;top:1658;width:829;height:321" type="#_x0000_t202" filled="false" stroked="false">
              <v:textbox inset="0,0,0,0">
                <w:txbxContent>
                  <w:p>
                    <w:pPr>
                      <w:spacing w:line="148" w:lineRule="exact" w:before="0"/>
                      <w:ind w:left="145" w:right="146" w:firstLine="0"/>
                      <w:jc w:val="center"/>
                      <w:rPr>
                        <w:b/>
                        <w:sz w:val="14"/>
                      </w:rPr>
                    </w:pPr>
                    <w:r>
                      <w:rPr>
                        <w:b/>
                        <w:color w:val="001F5F"/>
                        <w:w w:val="145"/>
                        <w:sz w:val="14"/>
                      </w:rPr>
                      <w:t>Nada</w:t>
                    </w:r>
                  </w:p>
                  <w:p>
                    <w:pPr>
                      <w:spacing w:line="159" w:lineRule="exact" w:before="14"/>
                      <w:ind w:left="-1" w:right="0" w:firstLine="0"/>
                      <w:jc w:val="center"/>
                      <w:rPr>
                        <w:b/>
                        <w:sz w:val="14"/>
                      </w:rPr>
                    </w:pPr>
                    <w:r>
                      <w:rPr>
                        <w:b/>
                        <w:color w:val="001F5F"/>
                        <w:spacing w:val="-1"/>
                        <w:w w:val="145"/>
                        <w:sz w:val="14"/>
                      </w:rPr>
                      <w:t>corrupto</w:t>
                    </w:r>
                  </w:p>
                </w:txbxContent>
              </v:textbox>
              <w10:wrap type="none"/>
            </v:shape>
            <v:shape style="position:absolute;left:6004;top:2524;width:1625;height:321" type="#_x0000_t202" filled="false" stroked="false">
              <v:textbox inset="0,0,0,0">
                <w:txbxContent>
                  <w:p>
                    <w:pPr>
                      <w:spacing w:line="147" w:lineRule="exact" w:before="0"/>
                      <w:ind w:left="0" w:right="0" w:firstLine="0"/>
                      <w:jc w:val="center"/>
                      <w:rPr>
                        <w:b/>
                        <w:sz w:val="14"/>
                      </w:rPr>
                    </w:pPr>
                    <w:r>
                      <w:rPr>
                        <w:b/>
                        <w:color w:val="C00000"/>
                        <w:spacing w:val="-1"/>
                        <w:w w:val="145"/>
                        <w:sz w:val="14"/>
                      </w:rPr>
                      <w:t>Extremadamente</w:t>
                    </w:r>
                  </w:p>
                  <w:p>
                    <w:pPr>
                      <w:spacing w:line="159" w:lineRule="exact" w:before="14"/>
                      <w:ind w:left="0" w:right="1" w:firstLine="0"/>
                      <w:jc w:val="center"/>
                      <w:rPr>
                        <w:b/>
                        <w:sz w:val="14"/>
                      </w:rPr>
                    </w:pPr>
                    <w:r>
                      <w:rPr>
                        <w:b/>
                        <w:color w:val="C00000"/>
                        <w:w w:val="145"/>
                        <w:sz w:val="14"/>
                      </w:rPr>
                      <w:t>corrupto</w:t>
                    </w:r>
                  </w:p>
                </w:txbxContent>
              </v:textbox>
              <w10:wrap type="none"/>
            </v:shape>
            <v:shape style="position:absolute;left:8616;top:2122;width:718;height:495" type="#_x0000_t202" filled="false" stroked="false">
              <v:textbox inset="0,0,0,0">
                <w:txbxContent>
                  <w:p>
                    <w:pPr>
                      <w:spacing w:line="147" w:lineRule="exact" w:before="0"/>
                      <w:ind w:left="0" w:right="0" w:firstLine="0"/>
                      <w:jc w:val="left"/>
                      <w:rPr>
                        <w:b/>
                        <w:sz w:val="14"/>
                      </w:rPr>
                    </w:pPr>
                    <w:r>
                      <w:rPr>
                        <w:b/>
                        <w:color w:val="C00000"/>
                        <w:w w:val="145"/>
                        <w:sz w:val="14"/>
                      </w:rPr>
                      <w:t>México</w:t>
                    </w:r>
                  </w:p>
                  <w:p>
                    <w:pPr>
                      <w:spacing w:before="14"/>
                      <w:ind w:left="0" w:right="0" w:firstLine="0"/>
                      <w:jc w:val="left"/>
                      <w:rPr>
                        <w:b/>
                        <w:sz w:val="14"/>
                      </w:rPr>
                    </w:pPr>
                    <w:r>
                      <w:rPr>
                        <w:b/>
                        <w:color w:val="C00000"/>
                        <w:w w:val="145"/>
                        <w:sz w:val="14"/>
                      </w:rPr>
                      <w:t>EUA</w:t>
                    </w:r>
                  </w:p>
                  <w:p>
                    <w:pPr>
                      <w:spacing w:line="159" w:lineRule="exact" w:before="14"/>
                      <w:ind w:left="0" w:right="0" w:firstLine="0"/>
                      <w:jc w:val="left"/>
                      <w:rPr>
                        <w:b/>
                        <w:sz w:val="14"/>
                      </w:rPr>
                    </w:pPr>
                    <w:r>
                      <w:rPr>
                        <w:b/>
                        <w:color w:val="C00000"/>
                        <w:w w:val="140"/>
                        <w:sz w:val="14"/>
                      </w:rPr>
                      <w:t>España</w:t>
                    </w:r>
                  </w:p>
                </w:txbxContent>
              </v:textbox>
              <w10:wrap type="none"/>
            </v:shape>
            <v:shape style="position:absolute;left:9529;top:2122;width:313;height:495" type="#_x0000_t202" filled="false" stroked="false">
              <v:textbox inset="0,0,0,0">
                <w:txbxContent>
                  <w:p>
                    <w:pPr>
                      <w:spacing w:line="147" w:lineRule="exact" w:before="0"/>
                      <w:ind w:left="0" w:right="-6" w:firstLine="0"/>
                      <w:jc w:val="left"/>
                      <w:rPr>
                        <w:b/>
                        <w:sz w:val="14"/>
                      </w:rPr>
                    </w:pPr>
                    <w:r>
                      <w:rPr>
                        <w:b/>
                        <w:color w:val="C00000"/>
                        <w:w w:val="145"/>
                        <w:sz w:val="14"/>
                      </w:rPr>
                      <w:t>4.3</w:t>
                    </w:r>
                  </w:p>
                  <w:p>
                    <w:pPr>
                      <w:spacing w:before="14"/>
                      <w:ind w:left="16" w:right="-6" w:firstLine="0"/>
                      <w:jc w:val="left"/>
                      <w:rPr>
                        <w:b/>
                        <w:sz w:val="14"/>
                      </w:rPr>
                    </w:pPr>
                    <w:r>
                      <w:rPr>
                        <w:b/>
                        <w:color w:val="C00000"/>
                        <w:w w:val="145"/>
                        <w:sz w:val="14"/>
                      </w:rPr>
                      <w:t>3.4</w:t>
                    </w:r>
                  </w:p>
                  <w:p>
                    <w:pPr>
                      <w:spacing w:line="159" w:lineRule="exact" w:before="14"/>
                      <w:ind w:left="31" w:right="-11" w:firstLine="0"/>
                      <w:jc w:val="left"/>
                      <w:rPr>
                        <w:b/>
                        <w:sz w:val="14"/>
                      </w:rPr>
                    </w:pPr>
                    <w:r>
                      <w:rPr>
                        <w:b/>
                        <w:color w:val="C00000"/>
                        <w:w w:val="140"/>
                        <w:sz w:val="14"/>
                      </w:rPr>
                      <w:t>3.4</w:t>
                    </w:r>
                  </w:p>
                </w:txbxContent>
              </v:textbox>
              <w10:wrap type="none"/>
            </v:shape>
            <v:shape style="position:absolute;left:8108;top:2736;width:1555;height:164" type="#_x0000_t202" filled="false" stroked="false">
              <v:textbox inset="0,0,0,0">
                <w:txbxContent>
                  <w:p>
                    <w:pPr>
                      <w:spacing w:line="164" w:lineRule="exact" w:before="0"/>
                      <w:ind w:left="0" w:right="-3" w:firstLine="0"/>
                      <w:jc w:val="left"/>
                      <w:rPr>
                        <w:b/>
                        <w:sz w:val="16"/>
                      </w:rPr>
                    </w:pPr>
                    <w:r>
                      <w:rPr>
                        <w:b/>
                        <w:color w:val="FFFFFF"/>
                        <w:w w:val="140"/>
                        <w:sz w:val="16"/>
                      </w:rPr>
                      <w:t>Promedio   3.3</w:t>
                    </w:r>
                  </w:p>
                </w:txbxContent>
              </v:textbox>
              <w10:wrap type="none"/>
            </v:shape>
            <v:shape style="position:absolute;left:8600;top:3120;width:1236;height:321" type="#_x0000_t202" filled="false" stroked="false">
              <v:textbox inset="0,0,0,0">
                <w:txbxContent>
                  <w:p>
                    <w:pPr>
                      <w:spacing w:line="147" w:lineRule="exact" w:before="0"/>
                      <w:ind w:left="0" w:right="-17" w:firstLine="0"/>
                      <w:jc w:val="left"/>
                      <w:rPr>
                        <w:b/>
                        <w:sz w:val="14"/>
                      </w:rPr>
                    </w:pPr>
                    <w:r>
                      <w:rPr>
                        <w:b/>
                        <w:color w:val="001F5F"/>
                        <w:w w:val="145"/>
                        <w:sz w:val="14"/>
                      </w:rPr>
                      <w:t>R. Unido 2.8</w:t>
                    </w:r>
                  </w:p>
                  <w:p>
                    <w:pPr>
                      <w:spacing w:line="159" w:lineRule="exact" w:before="14"/>
                      <w:ind w:left="0" w:right="-17" w:firstLine="0"/>
                      <w:jc w:val="left"/>
                      <w:rPr>
                        <w:b/>
                        <w:sz w:val="14"/>
                      </w:rPr>
                    </w:pPr>
                    <w:r>
                      <w:rPr>
                        <w:b/>
                        <w:color w:val="001F5F"/>
                        <w:w w:val="145"/>
                        <w:sz w:val="14"/>
                      </w:rPr>
                      <w:t>Alemania</w:t>
                    </w:r>
                    <w:r>
                      <w:rPr>
                        <w:b/>
                        <w:color w:val="001F5F"/>
                        <w:spacing w:val="-9"/>
                        <w:w w:val="145"/>
                        <w:sz w:val="14"/>
                      </w:rPr>
                      <w:t> </w:t>
                    </w:r>
                    <w:r>
                      <w:rPr>
                        <w:b/>
                        <w:color w:val="001F5F"/>
                        <w:w w:val="145"/>
                        <w:sz w:val="14"/>
                      </w:rPr>
                      <w:t>2.4</w:t>
                    </w:r>
                  </w:p>
                </w:txbxContent>
              </v:textbox>
              <w10:wrap type="none"/>
            </v:shape>
            <v:shape style="position:absolute;left:2393;top:3454;width:1721;height:164" type="#_x0000_t202" filled="false" stroked="false">
              <v:textbox inset="0,0,0,0">
                <w:txbxContent>
                  <w:p>
                    <w:pPr>
                      <w:spacing w:line="164" w:lineRule="exact" w:before="0"/>
                      <w:ind w:left="0" w:right="0" w:firstLine="0"/>
                      <w:jc w:val="left"/>
                      <w:rPr>
                        <w:b/>
                        <w:sz w:val="16"/>
                      </w:rPr>
                    </w:pPr>
                    <w:r>
                      <w:rPr>
                        <w:b/>
                        <w:color w:val="FFFFFF"/>
                        <w:w w:val="140"/>
                        <w:sz w:val="16"/>
                      </w:rPr>
                      <w:t>Sistema judicial</w:t>
                    </w:r>
                  </w:p>
                </w:txbxContent>
              </v:textbox>
              <w10:wrap type="none"/>
            </v:shape>
            <v:shape style="position:absolute;left:6675;top:3529;width:830;height:321" type="#_x0000_t202" filled="false" stroked="false">
              <v:textbox inset="0,0,0,0">
                <w:txbxContent>
                  <w:p>
                    <w:pPr>
                      <w:spacing w:line="147" w:lineRule="exact" w:before="0"/>
                      <w:ind w:left="0" w:right="0" w:firstLine="0"/>
                      <w:jc w:val="center"/>
                      <w:rPr>
                        <w:b/>
                        <w:sz w:val="14"/>
                      </w:rPr>
                    </w:pPr>
                    <w:r>
                      <w:rPr>
                        <w:b/>
                        <w:color w:val="001F5F"/>
                        <w:w w:val="145"/>
                        <w:sz w:val="14"/>
                      </w:rPr>
                      <w:t>Nada</w:t>
                    </w:r>
                  </w:p>
                  <w:p>
                    <w:pPr>
                      <w:spacing w:line="159" w:lineRule="exact" w:before="14"/>
                      <w:ind w:left="0" w:right="0" w:firstLine="0"/>
                      <w:jc w:val="center"/>
                      <w:rPr>
                        <w:b/>
                        <w:sz w:val="14"/>
                      </w:rPr>
                    </w:pPr>
                    <w:r>
                      <w:rPr>
                        <w:b/>
                        <w:color w:val="001F5F"/>
                        <w:spacing w:val="-1"/>
                        <w:w w:val="145"/>
                        <w:sz w:val="14"/>
                      </w:rPr>
                      <w:t>corrupto</w:t>
                    </w:r>
                  </w:p>
                </w:txbxContent>
              </v:textbox>
              <w10:wrap type="none"/>
            </v:shape>
            <w10:wrap type="topAndBottom"/>
          </v:group>
        </w:pict>
      </w:r>
    </w:p>
    <w:p>
      <w:pPr>
        <w:pStyle w:val="BodyText"/>
        <w:rPr>
          <w:sz w:val="17"/>
        </w:rPr>
      </w:pPr>
    </w:p>
    <w:p>
      <w:pPr>
        <w:spacing w:line="256" w:lineRule="auto" w:before="0"/>
        <w:ind w:left="809" w:right="3790" w:hanging="709"/>
        <w:jc w:val="left"/>
        <w:rPr>
          <w:sz w:val="12"/>
        </w:rPr>
      </w:pPr>
      <w:r>
        <w:rPr>
          <w:sz w:val="12"/>
        </w:rPr>
        <w:t>FUENTE: Transparency International, The Global Corruption Barometer 2010, data </w:t>
      </w:r>
      <w:r>
        <w:rPr>
          <w:i/>
          <w:sz w:val="12"/>
        </w:rPr>
        <w:t>set </w:t>
      </w:r>
      <w:r>
        <w:rPr>
          <w:sz w:val="12"/>
        </w:rPr>
        <w:t>Disponible en: </w:t>
      </w:r>
      <w:hyperlink r:id="rId56">
        <w:r>
          <w:rPr>
            <w:sz w:val="12"/>
          </w:rPr>
          <w:t>http://www.transparency.org/policy_research/surveys_indices/gcb</w:t>
        </w:r>
      </w:hyperlink>
      <w:r>
        <w:rPr>
          <w:sz w:val="12"/>
        </w:rPr>
        <w:t> [Fecha de consulta: 25 de octubre, 201]</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line="360" w:lineRule="auto" w:before="80"/>
        <w:ind w:left="100" w:right="102" w:firstLine="424"/>
        <w:jc w:val="right"/>
      </w:pPr>
      <w:r>
        <w:rPr/>
        <w:t>La</w:t>
      </w:r>
      <w:r>
        <w:rPr>
          <w:spacing w:val="28"/>
        </w:rPr>
        <w:t> </w:t>
      </w:r>
      <w:r>
        <w:rPr/>
        <w:t>encuesta</w:t>
      </w:r>
      <w:r>
        <w:rPr>
          <w:spacing w:val="32"/>
        </w:rPr>
        <w:t> </w:t>
      </w:r>
      <w:r>
        <w:rPr/>
        <w:t>afirmó</w:t>
      </w:r>
      <w:r>
        <w:rPr>
          <w:spacing w:val="28"/>
        </w:rPr>
        <w:t> </w:t>
      </w:r>
      <w:r>
        <w:rPr/>
        <w:t>que</w:t>
      </w:r>
      <w:r>
        <w:rPr>
          <w:spacing w:val="32"/>
        </w:rPr>
        <w:t> </w:t>
      </w:r>
      <w:r>
        <w:rPr/>
        <w:t>hay</w:t>
      </w:r>
      <w:r>
        <w:rPr>
          <w:spacing w:val="26"/>
        </w:rPr>
        <w:t> </w:t>
      </w:r>
      <w:r>
        <w:rPr/>
        <w:t>un</w:t>
      </w:r>
      <w:r>
        <w:rPr>
          <w:spacing w:val="28"/>
        </w:rPr>
        <w:t> </w:t>
      </w:r>
      <w:r>
        <w:rPr/>
        <w:t>aumento</w:t>
      </w:r>
      <w:r>
        <w:rPr>
          <w:spacing w:val="28"/>
        </w:rPr>
        <w:t> </w:t>
      </w:r>
      <w:r>
        <w:rPr/>
        <w:t>de</w:t>
      </w:r>
      <w:r>
        <w:rPr>
          <w:spacing w:val="28"/>
        </w:rPr>
        <w:t> </w:t>
      </w:r>
      <w:r>
        <w:rPr/>
        <w:t>los</w:t>
      </w:r>
      <w:r>
        <w:rPr>
          <w:spacing w:val="34"/>
        </w:rPr>
        <w:t> </w:t>
      </w:r>
      <w:r>
        <w:rPr/>
        <w:t>niveles</w:t>
      </w:r>
      <w:r>
        <w:rPr>
          <w:spacing w:val="30"/>
        </w:rPr>
        <w:t> </w:t>
      </w:r>
      <w:r>
        <w:rPr/>
        <w:t>de</w:t>
      </w:r>
      <w:r>
        <w:rPr>
          <w:spacing w:val="28"/>
        </w:rPr>
        <w:t> </w:t>
      </w:r>
      <w:r>
        <w:rPr/>
        <w:t>percepción</w:t>
      </w:r>
      <w:r>
        <w:rPr>
          <w:spacing w:val="32"/>
        </w:rPr>
        <w:t> </w:t>
      </w:r>
      <w:r>
        <w:rPr/>
        <w:t>de</w:t>
      </w:r>
      <w:r>
        <w:rPr>
          <w:spacing w:val="28"/>
        </w:rPr>
        <w:t> </w:t>
      </w:r>
      <w:r>
        <w:rPr/>
        <w:t>la</w:t>
      </w:r>
      <w:r>
        <w:rPr>
          <w:w w:val="99"/>
        </w:rPr>
        <w:t> </w:t>
      </w:r>
      <w:r>
        <w:rPr/>
        <w:t>corrupción con respecto de los tres años previos al estudio. En ese</w:t>
      </w:r>
      <w:r>
        <w:rPr>
          <w:spacing w:val="60"/>
        </w:rPr>
        <w:t> </w:t>
      </w:r>
      <w:r>
        <w:rPr/>
        <w:t>sentido,</w:t>
      </w:r>
      <w:r>
        <w:rPr>
          <w:spacing w:val="38"/>
        </w:rPr>
        <w:t> </w:t>
      </w:r>
      <w:r>
        <w:rPr/>
        <w:t>la</w:t>
      </w:r>
      <w:r>
        <w:rPr>
          <w:w w:val="99"/>
        </w:rPr>
        <w:t> </w:t>
      </w:r>
      <w:r>
        <w:rPr/>
        <w:t>organización</w:t>
      </w:r>
      <w:r>
        <w:rPr>
          <w:spacing w:val="-12"/>
        </w:rPr>
        <w:t> </w:t>
      </w:r>
      <w:r>
        <w:rPr/>
        <w:t>consideró</w:t>
      </w:r>
      <w:r>
        <w:rPr>
          <w:spacing w:val="-12"/>
        </w:rPr>
        <w:t> </w:t>
      </w:r>
      <w:r>
        <w:rPr/>
        <w:t>que</w:t>
      </w:r>
      <w:r>
        <w:rPr>
          <w:spacing w:val="-12"/>
        </w:rPr>
        <w:t> </w:t>
      </w:r>
      <w:r>
        <w:rPr/>
        <w:t>la</w:t>
      </w:r>
      <w:r>
        <w:rPr>
          <w:spacing w:val="-12"/>
        </w:rPr>
        <w:t> </w:t>
      </w:r>
      <w:r>
        <w:rPr/>
        <w:t>corrupción</w:t>
      </w:r>
      <w:r>
        <w:rPr>
          <w:spacing w:val="-12"/>
        </w:rPr>
        <w:t> </w:t>
      </w:r>
      <w:r>
        <w:rPr/>
        <w:t>frustra</w:t>
      </w:r>
      <w:r>
        <w:rPr>
          <w:spacing w:val="-12"/>
        </w:rPr>
        <w:t> </w:t>
      </w:r>
      <w:r>
        <w:rPr/>
        <w:t>el</w:t>
      </w:r>
      <w:r>
        <w:rPr>
          <w:spacing w:val="-11"/>
        </w:rPr>
        <w:t> </w:t>
      </w:r>
      <w:r>
        <w:rPr/>
        <w:t>acceso</w:t>
      </w:r>
      <w:r>
        <w:rPr>
          <w:spacing w:val="-12"/>
        </w:rPr>
        <w:t> </w:t>
      </w:r>
      <w:r>
        <w:rPr/>
        <w:t>a</w:t>
      </w:r>
      <w:r>
        <w:rPr>
          <w:spacing w:val="-7"/>
        </w:rPr>
        <w:t> </w:t>
      </w:r>
      <w:r>
        <w:rPr/>
        <w:t>servicios</w:t>
      </w:r>
      <w:r>
        <w:rPr>
          <w:spacing w:val="-10"/>
        </w:rPr>
        <w:t> </w:t>
      </w:r>
      <w:r>
        <w:rPr/>
        <w:t>básicos</w:t>
      </w:r>
      <w:r>
        <w:rPr>
          <w:spacing w:val="-10"/>
        </w:rPr>
        <w:t> </w:t>
      </w:r>
      <w:r>
        <w:rPr/>
        <w:t>y</w:t>
      </w:r>
      <w:r>
        <w:rPr>
          <w:spacing w:val="-14"/>
        </w:rPr>
        <w:t> </w:t>
      </w:r>
      <w:r>
        <w:rPr/>
        <w:t>que</w:t>
      </w:r>
      <w:r>
        <w:rPr>
          <w:w w:val="99"/>
        </w:rPr>
        <w:t> </w:t>
      </w:r>
      <w:r>
        <w:rPr/>
        <w:t>son las instituciones las encargadas de prevenir la corrupción y aplicar las</w:t>
      </w:r>
      <w:r>
        <w:rPr>
          <w:spacing w:val="-40"/>
        </w:rPr>
        <w:t> </w:t>
      </w:r>
      <w:r>
        <w:rPr/>
        <w:t>normas.</w:t>
      </w:r>
    </w:p>
    <w:p>
      <w:pPr>
        <w:pStyle w:val="BodyText"/>
        <w:spacing w:line="360" w:lineRule="auto" w:before="6"/>
        <w:ind w:left="100" w:right="102" w:firstLine="424"/>
        <w:jc w:val="both"/>
      </w:pPr>
      <w:r>
        <w:rPr/>
        <w:t>Del estudio se desprende que 1 de cada 2 encuestados (50%) considera que las medidas gubernamentales contra la corrupción son ineficientes, pero 1 de cada 4 (25%) de los encuestados también expresó su confianza en su gobierno para luchar contra la corrupción.</w:t>
      </w:r>
    </w:p>
    <w:p>
      <w:pPr>
        <w:pStyle w:val="BodyText"/>
        <w:spacing w:line="360" w:lineRule="auto" w:before="6"/>
        <w:ind w:left="100" w:right="100" w:firstLine="427"/>
        <w:jc w:val="both"/>
      </w:pPr>
      <w:r>
        <w:rPr/>
        <w:t>El</w:t>
      </w:r>
      <w:r>
        <w:rPr>
          <w:spacing w:val="-18"/>
        </w:rPr>
        <w:t> </w:t>
      </w:r>
      <w:r>
        <w:rPr/>
        <w:t>informe</w:t>
      </w:r>
      <w:r>
        <w:rPr>
          <w:spacing w:val="-17"/>
        </w:rPr>
        <w:t> </w:t>
      </w:r>
      <w:r>
        <w:rPr/>
        <w:t>mencionó</w:t>
      </w:r>
      <w:r>
        <w:rPr>
          <w:spacing w:val="-18"/>
        </w:rPr>
        <w:t> </w:t>
      </w:r>
      <w:r>
        <w:rPr/>
        <w:t>que</w:t>
      </w:r>
      <w:r>
        <w:rPr>
          <w:spacing w:val="-18"/>
        </w:rPr>
        <w:t> </w:t>
      </w:r>
      <w:r>
        <w:rPr/>
        <w:t>las</w:t>
      </w:r>
      <w:r>
        <w:rPr>
          <w:spacing w:val="-16"/>
        </w:rPr>
        <w:t> </w:t>
      </w:r>
      <w:r>
        <w:rPr/>
        <w:t>personas</w:t>
      </w:r>
      <w:r>
        <w:rPr>
          <w:spacing w:val="-16"/>
        </w:rPr>
        <w:t> </w:t>
      </w:r>
      <w:r>
        <w:rPr/>
        <w:t>experimentan</w:t>
      </w:r>
      <w:r>
        <w:rPr>
          <w:spacing w:val="-18"/>
        </w:rPr>
        <w:t> </w:t>
      </w:r>
      <w:r>
        <w:rPr/>
        <w:t>un</w:t>
      </w:r>
      <w:r>
        <w:rPr>
          <w:spacing w:val="-18"/>
        </w:rPr>
        <w:t> </w:t>
      </w:r>
      <w:r>
        <w:rPr/>
        <w:t>sentido</w:t>
      </w:r>
      <w:r>
        <w:rPr>
          <w:spacing w:val="-18"/>
        </w:rPr>
        <w:t> </w:t>
      </w:r>
      <w:r>
        <w:rPr/>
        <w:t>de</w:t>
      </w:r>
      <w:r>
        <w:rPr>
          <w:spacing w:val="-18"/>
        </w:rPr>
        <w:t> </w:t>
      </w:r>
      <w:r>
        <w:rPr/>
        <w:t>compromiso, optimismo, e incluso solidaridad respecto de los objetivos centrales del gobierno y otros </w:t>
      </w:r>
      <w:r>
        <w:rPr>
          <w:spacing w:val="-2"/>
        </w:rPr>
        <w:t>más </w:t>
      </w:r>
      <w:r>
        <w:rPr/>
        <w:t>consideran que los controles gubernamentales convierten al mismo gobierno en el agente principal en el combate a la</w:t>
      </w:r>
      <w:r>
        <w:rPr>
          <w:spacing w:val="-39"/>
        </w:rPr>
        <w:t> </w:t>
      </w:r>
      <w:r>
        <w:rPr/>
        <w:t>corrupción.</w:t>
      </w:r>
    </w:p>
    <w:p>
      <w:pPr>
        <w:pStyle w:val="BodyText"/>
        <w:spacing w:line="360" w:lineRule="auto" w:before="2"/>
        <w:ind w:left="100" w:right="105" w:firstLine="427"/>
        <w:jc w:val="both"/>
      </w:pPr>
      <w:r>
        <w:rPr/>
        <w:t>Una conclusión positiva, de acuerdo con Transparencia internacional, es que hay gran disposición del público para comprometerse a luchar contra la</w:t>
      </w:r>
      <w:r>
        <w:rPr>
          <w:spacing w:val="-45"/>
        </w:rPr>
        <w:t> </w:t>
      </w:r>
      <w:r>
        <w:rPr/>
        <w:t>corrupción. Este</w:t>
      </w:r>
      <w:r>
        <w:rPr>
          <w:spacing w:val="-8"/>
        </w:rPr>
        <w:t> </w:t>
      </w:r>
      <w:r>
        <w:rPr/>
        <w:t>compromiso</w:t>
      </w:r>
      <w:r>
        <w:rPr>
          <w:spacing w:val="-8"/>
        </w:rPr>
        <w:t> </w:t>
      </w:r>
      <w:r>
        <w:rPr/>
        <w:t>potencial</w:t>
      </w:r>
      <w:r>
        <w:rPr>
          <w:spacing w:val="-5"/>
        </w:rPr>
        <w:t> </w:t>
      </w:r>
      <w:r>
        <w:rPr/>
        <w:t>y</w:t>
      </w:r>
      <w:r>
        <w:rPr>
          <w:spacing w:val="-10"/>
        </w:rPr>
        <w:t> </w:t>
      </w:r>
      <w:r>
        <w:rPr/>
        <w:t>real,</w:t>
      </w:r>
      <w:r>
        <w:rPr>
          <w:spacing w:val="-6"/>
        </w:rPr>
        <w:t> </w:t>
      </w:r>
      <w:r>
        <w:rPr/>
        <w:t>resalta</w:t>
      </w:r>
      <w:r>
        <w:rPr>
          <w:spacing w:val="-8"/>
        </w:rPr>
        <w:t> </w:t>
      </w:r>
      <w:r>
        <w:rPr/>
        <w:t>la</w:t>
      </w:r>
      <w:r>
        <w:rPr>
          <w:spacing w:val="-8"/>
        </w:rPr>
        <w:t> </w:t>
      </w:r>
      <w:r>
        <w:rPr/>
        <w:t>importancia</w:t>
      </w:r>
      <w:r>
        <w:rPr>
          <w:spacing w:val="-8"/>
        </w:rPr>
        <w:t> </w:t>
      </w:r>
      <w:r>
        <w:rPr/>
        <w:t>de</w:t>
      </w:r>
      <w:r>
        <w:rPr>
          <w:spacing w:val="-8"/>
        </w:rPr>
        <w:t> </w:t>
      </w:r>
      <w:r>
        <w:rPr/>
        <w:t>la</w:t>
      </w:r>
      <w:r>
        <w:rPr>
          <w:spacing w:val="-8"/>
        </w:rPr>
        <w:t> </w:t>
      </w:r>
      <w:r>
        <w:rPr/>
        <w:t>rendición</w:t>
      </w:r>
      <w:r>
        <w:rPr>
          <w:spacing w:val="-8"/>
        </w:rPr>
        <w:t> </w:t>
      </w:r>
      <w:r>
        <w:rPr/>
        <w:t>de</w:t>
      </w:r>
      <w:r>
        <w:rPr>
          <w:spacing w:val="-8"/>
        </w:rPr>
        <w:t> </w:t>
      </w:r>
      <w:r>
        <w:rPr/>
        <w:t>cuentas, como medio para generar sistemas que rechacen el soborno y la</w:t>
      </w:r>
      <w:r>
        <w:rPr>
          <w:spacing w:val="-36"/>
        </w:rPr>
        <w:t> </w:t>
      </w:r>
      <w:r>
        <w:rPr/>
        <w:t>corrupción.</w:t>
      </w:r>
    </w:p>
    <w:p>
      <w:pPr>
        <w:spacing w:after="0" w:line="360" w:lineRule="auto"/>
        <w:jc w:val="both"/>
        <w:sectPr>
          <w:pgSz w:w="12240" w:h="15840"/>
          <w:pgMar w:header="0" w:footer="998" w:top="1360" w:bottom="1180" w:left="1600" w:right="1600"/>
        </w:sectPr>
      </w:pPr>
    </w:p>
    <w:p>
      <w:pPr>
        <w:spacing w:before="51"/>
        <w:ind w:left="100" w:right="0" w:firstLine="0"/>
        <w:jc w:val="both"/>
        <w:rPr>
          <w:i/>
          <w:sz w:val="24"/>
        </w:rPr>
      </w:pPr>
      <w:r>
        <w:rPr>
          <w:i/>
          <w:sz w:val="24"/>
        </w:rPr>
        <w:t>Transparencia</w:t>
      </w:r>
    </w:p>
    <w:p>
      <w:pPr>
        <w:pStyle w:val="ListParagraph"/>
        <w:numPr>
          <w:ilvl w:val="0"/>
          <w:numId w:val="38"/>
        </w:numPr>
        <w:tabs>
          <w:tab w:pos="381" w:val="left" w:leader="none"/>
        </w:tabs>
        <w:spacing w:line="240" w:lineRule="auto" w:before="140" w:after="0"/>
        <w:ind w:left="380" w:right="0" w:hanging="280"/>
        <w:jc w:val="both"/>
        <w:rPr>
          <w:i/>
          <w:sz w:val="24"/>
        </w:rPr>
      </w:pPr>
      <w:r>
        <w:rPr>
          <w:i/>
          <w:sz w:val="24"/>
        </w:rPr>
        <w:t>Indicador de Transparencia Presupuestaria,</w:t>
      </w:r>
      <w:r>
        <w:rPr>
          <w:i/>
          <w:spacing w:val="-26"/>
          <w:sz w:val="24"/>
        </w:rPr>
        <w:t> </w:t>
      </w:r>
      <w:r>
        <w:rPr>
          <w:i/>
          <w:sz w:val="24"/>
        </w:rPr>
        <w:t>2011</w:t>
      </w:r>
    </w:p>
    <w:p>
      <w:pPr>
        <w:pStyle w:val="BodyText"/>
        <w:spacing w:before="2"/>
        <w:rPr>
          <w:i/>
          <w:sz w:val="29"/>
        </w:rPr>
      </w:pPr>
    </w:p>
    <w:p>
      <w:pPr>
        <w:pStyle w:val="BodyText"/>
        <w:spacing w:line="362" w:lineRule="auto"/>
        <w:ind w:left="100" w:right="117"/>
        <w:jc w:val="both"/>
      </w:pPr>
      <w:r>
        <w:rPr/>
        <w:t>El documento </w:t>
      </w:r>
      <w:r>
        <w:rPr>
          <w:i/>
        </w:rPr>
        <w:t>Government at a Glance 2011 </w:t>
      </w:r>
      <w:r>
        <w:rPr/>
        <w:t>(Panorama de las Administraciones Públicas</w:t>
      </w:r>
      <w:r>
        <w:rPr>
          <w:spacing w:val="-14"/>
        </w:rPr>
        <w:t> </w:t>
      </w:r>
      <w:r>
        <w:rPr/>
        <w:t>2011)</w:t>
      </w:r>
      <w:r>
        <w:rPr>
          <w:spacing w:val="-11"/>
        </w:rPr>
        <w:t> </w:t>
      </w:r>
      <w:r>
        <w:rPr/>
        <w:t>de</w:t>
      </w:r>
      <w:r>
        <w:rPr>
          <w:spacing w:val="-16"/>
        </w:rPr>
        <w:t> </w:t>
      </w:r>
      <w:r>
        <w:rPr/>
        <w:t>la</w:t>
      </w:r>
      <w:r>
        <w:rPr>
          <w:spacing w:val="-16"/>
        </w:rPr>
        <w:t> </w:t>
      </w:r>
      <w:r>
        <w:rPr/>
        <w:t>OCDE</w:t>
      </w:r>
      <w:r>
        <w:rPr>
          <w:spacing w:val="-14"/>
        </w:rPr>
        <w:t> </w:t>
      </w:r>
      <w:r>
        <w:rPr/>
        <w:t>fue</w:t>
      </w:r>
      <w:r>
        <w:rPr>
          <w:spacing w:val="-12"/>
        </w:rPr>
        <w:t> </w:t>
      </w:r>
      <w:r>
        <w:rPr/>
        <w:t>publicado</w:t>
      </w:r>
      <w:r>
        <w:rPr>
          <w:spacing w:val="-16"/>
        </w:rPr>
        <w:t> </w:t>
      </w:r>
      <w:r>
        <w:rPr/>
        <w:t>en</w:t>
      </w:r>
      <w:r>
        <w:rPr>
          <w:spacing w:val="-16"/>
        </w:rPr>
        <w:t> </w:t>
      </w:r>
      <w:r>
        <w:rPr/>
        <w:t>agosto</w:t>
      </w:r>
      <w:r>
        <w:rPr>
          <w:spacing w:val="-16"/>
        </w:rPr>
        <w:t> </w:t>
      </w:r>
      <w:r>
        <w:rPr/>
        <w:t>de</w:t>
      </w:r>
      <w:r>
        <w:rPr>
          <w:spacing w:val="-16"/>
        </w:rPr>
        <w:t> </w:t>
      </w:r>
      <w:r>
        <w:rPr/>
        <w:t>2011</w:t>
      </w:r>
      <w:r>
        <w:rPr>
          <w:spacing w:val="-12"/>
        </w:rPr>
        <w:t> </w:t>
      </w:r>
      <w:r>
        <w:rPr/>
        <w:t>y</w:t>
      </w:r>
      <w:r>
        <w:rPr>
          <w:spacing w:val="-18"/>
        </w:rPr>
        <w:t> </w:t>
      </w:r>
      <w:r>
        <w:rPr/>
        <w:t>presentó</w:t>
      </w:r>
      <w:r>
        <w:rPr>
          <w:spacing w:val="-12"/>
        </w:rPr>
        <w:t> </w:t>
      </w:r>
      <w:r>
        <w:rPr/>
        <w:t>información relativa a la transparencia en el gobierno, reducción de la corrupción y la malversación de fondos para 32 países miembros de la</w:t>
      </w:r>
      <w:r>
        <w:rPr>
          <w:spacing w:val="-34"/>
        </w:rPr>
        <w:t> </w:t>
      </w:r>
      <w:r>
        <w:rPr/>
        <w:t>organización.</w:t>
      </w:r>
    </w:p>
    <w:p>
      <w:pPr>
        <w:pStyle w:val="BodyText"/>
        <w:spacing w:line="360" w:lineRule="auto"/>
        <w:ind w:left="100" w:right="121" w:firstLine="427"/>
        <w:jc w:val="both"/>
      </w:pPr>
      <w:r>
        <w:rPr/>
        <w:t>La OCDE mencionó que las recientes crisis globales han sido causadas principalmente por fallas en la regulación y en la supervisión de las autoridades públicas, así como por deficiencias en la gestión de riesgos y de la intervención</w:t>
      </w:r>
      <w:r>
        <w:rPr>
          <w:spacing w:val="-44"/>
        </w:rPr>
        <w:t> </w:t>
      </w:r>
      <w:r>
        <w:rPr/>
        <w:t>del gobierno en el sector privado, y de cómo se ha cuestionado la función de los mercados y el papel de los</w:t>
      </w:r>
      <w:r>
        <w:rPr>
          <w:spacing w:val="-22"/>
        </w:rPr>
        <w:t> </w:t>
      </w:r>
      <w:r>
        <w:rPr/>
        <w:t>gobiernos.</w:t>
      </w:r>
    </w:p>
    <w:p>
      <w:pPr>
        <w:pStyle w:val="BodyText"/>
        <w:spacing w:line="360" w:lineRule="auto" w:before="5"/>
        <w:ind w:left="100" w:right="118" w:firstLine="427"/>
        <w:jc w:val="both"/>
      </w:pPr>
      <w:r>
        <w:rPr/>
        <w:t>Lo</w:t>
      </w:r>
      <w:r>
        <w:rPr>
          <w:spacing w:val="-5"/>
        </w:rPr>
        <w:t> </w:t>
      </w:r>
      <w:r>
        <w:rPr/>
        <w:t>anterior</w:t>
      </w:r>
      <w:r>
        <w:rPr>
          <w:spacing w:val="-3"/>
        </w:rPr>
        <w:t> </w:t>
      </w:r>
      <w:r>
        <w:rPr/>
        <w:t>ha</w:t>
      </w:r>
      <w:r>
        <w:rPr>
          <w:spacing w:val="-5"/>
        </w:rPr>
        <w:t> </w:t>
      </w:r>
      <w:r>
        <w:rPr/>
        <w:t>llevado</w:t>
      </w:r>
      <w:r>
        <w:rPr>
          <w:spacing w:val="-5"/>
        </w:rPr>
        <w:t> </w:t>
      </w:r>
      <w:r>
        <w:rPr/>
        <w:t>a</w:t>
      </w:r>
      <w:r>
        <w:rPr>
          <w:spacing w:val="-5"/>
        </w:rPr>
        <w:t> </w:t>
      </w:r>
      <w:r>
        <w:rPr/>
        <w:t>plantear</w:t>
      </w:r>
      <w:r>
        <w:rPr>
          <w:spacing w:val="-3"/>
        </w:rPr>
        <w:t> </w:t>
      </w:r>
      <w:r>
        <w:rPr/>
        <w:t>cambios</w:t>
      </w:r>
      <w:r>
        <w:rPr>
          <w:spacing w:val="-3"/>
        </w:rPr>
        <w:t> </w:t>
      </w:r>
      <w:r>
        <w:rPr/>
        <w:t>en</w:t>
      </w:r>
      <w:r>
        <w:rPr>
          <w:spacing w:val="-5"/>
        </w:rPr>
        <w:t> </w:t>
      </w:r>
      <w:r>
        <w:rPr/>
        <w:t>la</w:t>
      </w:r>
      <w:r>
        <w:rPr>
          <w:spacing w:val="-5"/>
        </w:rPr>
        <w:t> </w:t>
      </w:r>
      <w:r>
        <w:rPr/>
        <w:t>arquitectura</w:t>
      </w:r>
      <w:r>
        <w:rPr>
          <w:spacing w:val="-5"/>
        </w:rPr>
        <w:t> </w:t>
      </w:r>
      <w:r>
        <w:rPr/>
        <w:t>global</w:t>
      </w:r>
      <w:r>
        <w:rPr>
          <w:spacing w:val="-5"/>
        </w:rPr>
        <w:t> </w:t>
      </w:r>
      <w:r>
        <w:rPr/>
        <w:t>del</w:t>
      </w:r>
      <w:r>
        <w:rPr>
          <w:spacing w:val="-5"/>
        </w:rPr>
        <w:t> </w:t>
      </w:r>
      <w:r>
        <w:rPr/>
        <w:t>gobierno y en la redefinición del papel del Estado en el mercado mediante las políticas públicas, reduciendo el riesgo de fraude, corrupción y malversación de fondos públicos</w:t>
      </w:r>
      <w:r>
        <w:rPr>
          <w:spacing w:val="-11"/>
        </w:rPr>
        <w:t> </w:t>
      </w:r>
      <w:r>
        <w:rPr/>
        <w:t>para</w:t>
      </w:r>
      <w:r>
        <w:rPr>
          <w:spacing w:val="-13"/>
        </w:rPr>
        <w:t> </w:t>
      </w:r>
      <w:r>
        <w:rPr/>
        <w:t>restaurar</w:t>
      </w:r>
      <w:r>
        <w:rPr>
          <w:spacing w:val="-11"/>
        </w:rPr>
        <w:t> </w:t>
      </w:r>
      <w:r>
        <w:rPr/>
        <w:t>la</w:t>
      </w:r>
      <w:r>
        <w:rPr>
          <w:spacing w:val="-13"/>
        </w:rPr>
        <w:t> </w:t>
      </w:r>
      <w:r>
        <w:rPr/>
        <w:t>confianza</w:t>
      </w:r>
      <w:r>
        <w:rPr>
          <w:spacing w:val="-13"/>
        </w:rPr>
        <w:t> </w:t>
      </w:r>
      <w:r>
        <w:rPr/>
        <w:t>de</w:t>
      </w:r>
      <w:r>
        <w:rPr>
          <w:spacing w:val="-13"/>
        </w:rPr>
        <w:t> </w:t>
      </w:r>
      <w:r>
        <w:rPr/>
        <w:t>los</w:t>
      </w:r>
      <w:r>
        <w:rPr>
          <w:spacing w:val="-11"/>
        </w:rPr>
        <w:t> </w:t>
      </w:r>
      <w:r>
        <w:rPr/>
        <w:t>ciudadanos:</w:t>
      </w:r>
      <w:r>
        <w:rPr>
          <w:spacing w:val="-7"/>
        </w:rPr>
        <w:t> </w:t>
      </w:r>
      <w:r>
        <w:rPr/>
        <w:t>El</w:t>
      </w:r>
      <w:r>
        <w:rPr>
          <w:spacing w:val="-13"/>
        </w:rPr>
        <w:t> </w:t>
      </w:r>
      <w:r>
        <w:rPr/>
        <w:t>marco</w:t>
      </w:r>
      <w:r>
        <w:rPr>
          <w:spacing w:val="-13"/>
        </w:rPr>
        <w:t> </w:t>
      </w:r>
      <w:r>
        <w:rPr/>
        <w:t>jurídico</w:t>
      </w:r>
      <w:r>
        <w:rPr>
          <w:spacing w:val="-13"/>
        </w:rPr>
        <w:t> </w:t>
      </w:r>
      <w:r>
        <w:rPr/>
        <w:t>del</w:t>
      </w:r>
      <w:r>
        <w:rPr>
          <w:spacing w:val="-9"/>
        </w:rPr>
        <w:t> </w:t>
      </w:r>
      <w:r>
        <w:rPr/>
        <w:t>acceso a la información pública, las normas sobre la divulgación de los posibles conflictos de intereses y el desempeño de los organismos públicos encargados de la transparencia y acceso a la</w:t>
      </w:r>
      <w:r>
        <w:rPr>
          <w:spacing w:val="-19"/>
        </w:rPr>
        <w:t> </w:t>
      </w:r>
      <w:r>
        <w:rPr/>
        <w:t>Información.</w:t>
      </w:r>
    </w:p>
    <w:p>
      <w:pPr>
        <w:pStyle w:val="BodyText"/>
        <w:spacing w:line="360" w:lineRule="auto" w:before="2"/>
        <w:ind w:left="100" w:right="117" w:firstLine="427"/>
        <w:jc w:val="both"/>
      </w:pPr>
      <w:r>
        <w:rPr/>
        <w:t>El</w:t>
      </w:r>
      <w:r>
        <w:rPr>
          <w:spacing w:val="-16"/>
        </w:rPr>
        <w:t> </w:t>
      </w:r>
      <w:r>
        <w:rPr/>
        <w:t>indicador</w:t>
      </w:r>
      <w:r>
        <w:rPr>
          <w:spacing w:val="-14"/>
        </w:rPr>
        <w:t> </w:t>
      </w:r>
      <w:r>
        <w:rPr/>
        <w:t>pretende</w:t>
      </w:r>
      <w:r>
        <w:rPr>
          <w:spacing w:val="-11"/>
        </w:rPr>
        <w:t> </w:t>
      </w:r>
      <w:r>
        <w:rPr/>
        <w:t>mostrar</w:t>
      </w:r>
      <w:r>
        <w:rPr>
          <w:spacing w:val="-11"/>
        </w:rPr>
        <w:t> </w:t>
      </w:r>
      <w:r>
        <w:rPr/>
        <w:t>que</w:t>
      </w:r>
      <w:r>
        <w:rPr>
          <w:spacing w:val="-16"/>
        </w:rPr>
        <w:t> </w:t>
      </w:r>
      <w:r>
        <w:rPr/>
        <w:t>los</w:t>
      </w:r>
      <w:r>
        <w:rPr>
          <w:spacing w:val="-7"/>
        </w:rPr>
        <w:t> </w:t>
      </w:r>
      <w:r>
        <w:rPr/>
        <w:t>congresos</w:t>
      </w:r>
      <w:r>
        <w:rPr>
          <w:spacing w:val="-15"/>
        </w:rPr>
        <w:t> </w:t>
      </w:r>
      <w:r>
        <w:rPr/>
        <w:t>(parlamentos)</w:t>
      </w:r>
      <w:r>
        <w:rPr>
          <w:spacing w:val="-11"/>
        </w:rPr>
        <w:t> </w:t>
      </w:r>
      <w:r>
        <w:rPr/>
        <w:t>de</w:t>
      </w:r>
      <w:r>
        <w:rPr>
          <w:spacing w:val="-16"/>
        </w:rPr>
        <w:t> </w:t>
      </w:r>
      <w:r>
        <w:rPr/>
        <w:t>los</w:t>
      </w:r>
      <w:r>
        <w:rPr>
          <w:spacing w:val="-15"/>
        </w:rPr>
        <w:t> </w:t>
      </w:r>
      <w:r>
        <w:rPr/>
        <w:t>países</w:t>
      </w:r>
      <w:r>
        <w:rPr>
          <w:spacing w:val="-15"/>
        </w:rPr>
        <w:t> </w:t>
      </w:r>
      <w:r>
        <w:rPr/>
        <w:t>de la OCDE tienen la capacidad para garantizar la transparencia en el proceso presupuestario y asegurar la mejor asignación de los recursos públicos. Para ello, la OCDE presentó información sobre oficinas especializadas de investigación presupuestaria</w:t>
      </w:r>
      <w:r>
        <w:rPr>
          <w:spacing w:val="-13"/>
        </w:rPr>
        <w:t> </w:t>
      </w:r>
      <w:r>
        <w:rPr/>
        <w:t>en</w:t>
      </w:r>
      <w:r>
        <w:rPr>
          <w:spacing w:val="-13"/>
        </w:rPr>
        <w:t> </w:t>
      </w:r>
      <w:r>
        <w:rPr/>
        <w:t>el</w:t>
      </w:r>
      <w:r>
        <w:rPr>
          <w:spacing w:val="-12"/>
        </w:rPr>
        <w:t> </w:t>
      </w:r>
      <w:r>
        <w:rPr/>
        <w:t>congreso</w:t>
      </w:r>
      <w:r>
        <w:rPr>
          <w:spacing w:val="-13"/>
        </w:rPr>
        <w:t> </w:t>
      </w:r>
      <w:r>
        <w:rPr/>
        <w:t>o</w:t>
      </w:r>
      <w:r>
        <w:rPr>
          <w:spacing w:val="-13"/>
        </w:rPr>
        <w:t> </w:t>
      </w:r>
      <w:r>
        <w:rPr/>
        <w:t>parlamento,</w:t>
      </w:r>
      <w:r>
        <w:rPr>
          <w:spacing w:val="-10"/>
        </w:rPr>
        <w:t> </w:t>
      </w:r>
      <w:r>
        <w:rPr/>
        <w:t>el</w:t>
      </w:r>
      <w:r>
        <w:rPr>
          <w:spacing w:val="-12"/>
        </w:rPr>
        <w:t> </w:t>
      </w:r>
      <w:r>
        <w:rPr/>
        <w:t>tiempo</w:t>
      </w:r>
      <w:r>
        <w:rPr>
          <w:spacing w:val="-13"/>
        </w:rPr>
        <w:t> </w:t>
      </w:r>
      <w:r>
        <w:rPr/>
        <w:t>de</w:t>
      </w:r>
      <w:r>
        <w:rPr>
          <w:spacing w:val="-13"/>
        </w:rPr>
        <w:t> </w:t>
      </w:r>
      <w:r>
        <w:rPr/>
        <w:t>revisión</w:t>
      </w:r>
      <w:r>
        <w:rPr>
          <w:spacing w:val="-9"/>
        </w:rPr>
        <w:t> </w:t>
      </w:r>
      <w:r>
        <w:rPr/>
        <w:t>y</w:t>
      </w:r>
      <w:r>
        <w:rPr>
          <w:spacing w:val="-15"/>
        </w:rPr>
        <w:t> </w:t>
      </w:r>
      <w:r>
        <w:rPr/>
        <w:t>su</w:t>
      </w:r>
      <w:r>
        <w:rPr>
          <w:spacing w:val="-13"/>
        </w:rPr>
        <w:t> </w:t>
      </w:r>
      <w:r>
        <w:rPr/>
        <w:t>oportunidad. Los resultados se presentan en el cuadro</w:t>
      </w:r>
      <w:r>
        <w:rPr>
          <w:spacing w:val="-27"/>
        </w:rPr>
        <w:t> </w:t>
      </w:r>
      <w:r>
        <w:rPr/>
        <w:t>siguiente:</w:t>
      </w:r>
    </w:p>
    <w:p>
      <w:pPr>
        <w:pStyle w:val="BodyText"/>
      </w:pPr>
    </w:p>
    <w:p>
      <w:pPr>
        <w:pStyle w:val="BodyText"/>
      </w:pPr>
    </w:p>
    <w:p>
      <w:pPr>
        <w:spacing w:before="156"/>
        <w:ind w:left="965" w:right="132" w:firstLine="0"/>
        <w:jc w:val="left"/>
        <w:rPr>
          <w:sz w:val="20"/>
        </w:rPr>
      </w:pPr>
      <w:bookmarkStart w:name="_bookmark32" w:id="45"/>
      <w:bookmarkEnd w:id="45"/>
      <w:r>
        <w:rPr/>
      </w:r>
      <w:r>
        <w:rPr>
          <w:sz w:val="20"/>
        </w:rPr>
        <w:t>Cuadro 1.9. Oficinas legislativas de análisis del presupuesto, 2000, 2003 y 2007</w:t>
      </w:r>
    </w:p>
    <w:p>
      <w:pPr>
        <w:pStyle w:val="BodyText"/>
        <w:spacing w:before="6"/>
        <w:rPr>
          <w:sz w:val="17"/>
        </w:rPr>
      </w:pPr>
    </w:p>
    <w:tbl>
      <w:tblPr>
        <w:tblW w:w="0" w:type="auto"/>
        <w:jc w:val="left"/>
        <w:tblInd w:w="184"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717"/>
        <w:gridCol w:w="709"/>
        <w:gridCol w:w="816"/>
        <w:gridCol w:w="1048"/>
        <w:gridCol w:w="1561"/>
        <w:gridCol w:w="2793"/>
      </w:tblGrid>
      <w:tr>
        <w:trPr>
          <w:trHeight w:val="720" w:hRule="exact"/>
        </w:trPr>
        <w:tc>
          <w:tcPr>
            <w:tcW w:w="1717" w:type="dxa"/>
            <w:vMerge w:val="restart"/>
          </w:tcPr>
          <w:p>
            <w:pPr>
              <w:pStyle w:val="TableParagraph"/>
              <w:rPr>
                <w:sz w:val="20"/>
              </w:rPr>
            </w:pPr>
          </w:p>
          <w:p>
            <w:pPr>
              <w:pStyle w:val="TableParagraph"/>
              <w:spacing w:before="158"/>
              <w:ind w:left="527"/>
              <w:rPr>
                <w:b/>
                <w:sz w:val="20"/>
              </w:rPr>
            </w:pPr>
            <w:r>
              <w:rPr>
                <w:b/>
                <w:sz w:val="20"/>
              </w:rPr>
              <w:t>Países</w:t>
            </w:r>
          </w:p>
        </w:tc>
        <w:tc>
          <w:tcPr>
            <w:tcW w:w="2573" w:type="dxa"/>
            <w:gridSpan w:val="3"/>
          </w:tcPr>
          <w:p>
            <w:pPr>
              <w:pStyle w:val="TableParagraph"/>
              <w:ind w:left="163" w:right="167" w:firstLine="1"/>
              <w:jc w:val="center"/>
              <w:rPr>
                <w:b/>
                <w:sz w:val="20"/>
              </w:rPr>
            </w:pPr>
            <w:r>
              <w:rPr>
                <w:b/>
                <w:sz w:val="20"/>
              </w:rPr>
              <w:t>Cuentan con oficina especializada en el congreso o parlamento</w:t>
            </w:r>
          </w:p>
        </w:tc>
        <w:tc>
          <w:tcPr>
            <w:tcW w:w="1561" w:type="dxa"/>
            <w:vMerge w:val="restart"/>
          </w:tcPr>
          <w:p>
            <w:pPr>
              <w:pStyle w:val="TableParagraph"/>
              <w:spacing w:before="160"/>
              <w:ind w:left="164" w:right="165" w:firstLine="1"/>
              <w:jc w:val="center"/>
              <w:rPr>
                <w:b/>
                <w:sz w:val="20"/>
              </w:rPr>
            </w:pPr>
            <w:r>
              <w:rPr>
                <w:b/>
                <w:sz w:val="20"/>
              </w:rPr>
              <w:t>meses de revisión del presupuesto</w:t>
            </w:r>
          </w:p>
        </w:tc>
        <w:tc>
          <w:tcPr>
            <w:tcW w:w="2793" w:type="dxa"/>
            <w:vMerge w:val="restart"/>
          </w:tcPr>
          <w:p>
            <w:pPr>
              <w:pStyle w:val="TableParagraph"/>
              <w:rPr>
                <w:sz w:val="20"/>
              </w:rPr>
            </w:pPr>
          </w:p>
          <w:p>
            <w:pPr>
              <w:pStyle w:val="TableParagraph"/>
              <w:spacing w:before="158"/>
              <w:ind w:left="116"/>
              <w:rPr>
                <w:b/>
                <w:sz w:val="20"/>
              </w:rPr>
            </w:pPr>
            <w:r>
              <w:rPr>
                <w:b/>
                <w:sz w:val="20"/>
              </w:rPr>
              <w:t>Oportunidad de la revisión</w:t>
            </w:r>
          </w:p>
        </w:tc>
      </w:tr>
      <w:tr>
        <w:trPr>
          <w:trHeight w:val="333" w:hRule="exact"/>
        </w:trPr>
        <w:tc>
          <w:tcPr>
            <w:tcW w:w="1717" w:type="dxa"/>
            <w:vMerge/>
          </w:tcPr>
          <w:p>
            <w:pPr/>
          </w:p>
        </w:tc>
        <w:tc>
          <w:tcPr>
            <w:tcW w:w="709" w:type="dxa"/>
          </w:tcPr>
          <w:p>
            <w:pPr>
              <w:pStyle w:val="TableParagraph"/>
              <w:spacing w:before="29"/>
              <w:ind w:left="97" w:right="97"/>
              <w:jc w:val="center"/>
              <w:rPr>
                <w:b/>
                <w:sz w:val="20"/>
              </w:rPr>
            </w:pPr>
            <w:r>
              <w:rPr>
                <w:b/>
                <w:sz w:val="20"/>
              </w:rPr>
              <w:t>2000</w:t>
            </w:r>
          </w:p>
        </w:tc>
        <w:tc>
          <w:tcPr>
            <w:tcW w:w="816" w:type="dxa"/>
          </w:tcPr>
          <w:p>
            <w:pPr>
              <w:pStyle w:val="TableParagraph"/>
              <w:spacing w:before="29"/>
              <w:ind w:left="153" w:right="149"/>
              <w:jc w:val="center"/>
              <w:rPr>
                <w:b/>
                <w:sz w:val="20"/>
              </w:rPr>
            </w:pPr>
            <w:r>
              <w:rPr>
                <w:b/>
                <w:sz w:val="20"/>
              </w:rPr>
              <w:t>2003</w:t>
            </w:r>
          </w:p>
        </w:tc>
        <w:tc>
          <w:tcPr>
            <w:tcW w:w="1048" w:type="dxa"/>
          </w:tcPr>
          <w:p>
            <w:pPr>
              <w:pStyle w:val="TableParagraph"/>
              <w:spacing w:before="29"/>
              <w:ind w:left="269" w:right="266"/>
              <w:jc w:val="center"/>
              <w:rPr>
                <w:b/>
                <w:sz w:val="20"/>
              </w:rPr>
            </w:pPr>
            <w:r>
              <w:rPr>
                <w:b/>
                <w:sz w:val="20"/>
              </w:rPr>
              <w:t>2007</w:t>
            </w:r>
          </w:p>
        </w:tc>
        <w:tc>
          <w:tcPr>
            <w:tcW w:w="1561" w:type="dxa"/>
            <w:vMerge/>
          </w:tcPr>
          <w:p>
            <w:pPr/>
          </w:p>
        </w:tc>
        <w:tc>
          <w:tcPr>
            <w:tcW w:w="2793" w:type="dxa"/>
            <w:vMerge/>
          </w:tcPr>
          <w:p>
            <w:pPr/>
          </w:p>
        </w:tc>
      </w:tr>
      <w:tr>
        <w:trPr>
          <w:trHeight w:val="260" w:hRule="exact"/>
        </w:trPr>
        <w:tc>
          <w:tcPr>
            <w:tcW w:w="1717" w:type="dxa"/>
          </w:tcPr>
          <w:p>
            <w:pPr>
              <w:pStyle w:val="TableParagraph"/>
              <w:spacing w:line="226" w:lineRule="exact"/>
              <w:ind w:left="55"/>
              <w:rPr>
                <w:sz w:val="20"/>
              </w:rPr>
            </w:pPr>
            <w:r>
              <w:rPr>
                <w:sz w:val="20"/>
              </w:rPr>
              <w:t>Alemania</w:t>
            </w:r>
          </w:p>
        </w:tc>
        <w:tc>
          <w:tcPr>
            <w:tcW w:w="709" w:type="dxa"/>
          </w:tcPr>
          <w:p>
            <w:pPr>
              <w:pStyle w:val="TableParagraph"/>
              <w:spacing w:line="226" w:lineRule="exact"/>
              <w:ind w:left="97" w:right="97"/>
              <w:jc w:val="center"/>
              <w:rPr>
                <w:sz w:val="20"/>
              </w:rPr>
            </w:pPr>
            <w:r>
              <w:rPr>
                <w:sz w:val="20"/>
              </w:rPr>
              <w:t>no</w:t>
            </w:r>
          </w:p>
        </w:tc>
        <w:tc>
          <w:tcPr>
            <w:tcW w:w="816" w:type="dxa"/>
          </w:tcPr>
          <w:p>
            <w:pPr>
              <w:pStyle w:val="TableParagraph"/>
              <w:spacing w:line="226" w:lineRule="exact"/>
              <w:ind w:left="146" w:right="149"/>
              <w:jc w:val="center"/>
              <w:rPr>
                <w:sz w:val="20"/>
              </w:rPr>
            </w:pPr>
            <w:r>
              <w:rPr>
                <w:sz w:val="20"/>
              </w:rPr>
              <w:t>no</w:t>
            </w:r>
          </w:p>
        </w:tc>
        <w:tc>
          <w:tcPr>
            <w:tcW w:w="1048" w:type="dxa"/>
          </w:tcPr>
          <w:p>
            <w:pPr>
              <w:pStyle w:val="TableParagraph"/>
              <w:spacing w:line="226" w:lineRule="exact"/>
              <w:ind w:left="264" w:right="266"/>
              <w:jc w:val="center"/>
              <w:rPr>
                <w:sz w:val="20"/>
              </w:rPr>
            </w:pPr>
            <w:r>
              <w:rPr>
                <w:sz w:val="20"/>
              </w:rPr>
              <w:t>no</w:t>
            </w:r>
          </w:p>
        </w:tc>
        <w:tc>
          <w:tcPr>
            <w:tcW w:w="1561" w:type="dxa"/>
          </w:tcPr>
          <w:p>
            <w:pPr>
              <w:pStyle w:val="TableParagraph"/>
              <w:spacing w:line="226" w:lineRule="exact"/>
              <w:ind w:right="3"/>
              <w:jc w:val="center"/>
              <w:rPr>
                <w:sz w:val="20"/>
              </w:rPr>
            </w:pPr>
            <w:r>
              <w:rPr>
                <w:w w:val="99"/>
                <w:sz w:val="20"/>
              </w:rPr>
              <w:t>4</w:t>
            </w:r>
          </w:p>
        </w:tc>
        <w:tc>
          <w:tcPr>
            <w:tcW w:w="2793" w:type="dxa"/>
          </w:tcPr>
          <w:p>
            <w:pPr>
              <w:pStyle w:val="TableParagraph"/>
              <w:spacing w:line="226" w:lineRule="exact"/>
              <w:ind w:left="343"/>
              <w:rPr>
                <w:sz w:val="20"/>
              </w:rPr>
            </w:pPr>
            <w:r>
              <w:rPr>
                <w:sz w:val="20"/>
              </w:rPr>
              <w:t>Previo al ejercicio fiscal</w:t>
            </w:r>
          </w:p>
        </w:tc>
      </w:tr>
      <w:tr>
        <w:trPr>
          <w:trHeight w:val="256" w:hRule="exact"/>
        </w:trPr>
        <w:tc>
          <w:tcPr>
            <w:tcW w:w="1717" w:type="dxa"/>
          </w:tcPr>
          <w:p>
            <w:pPr>
              <w:pStyle w:val="TableParagraph"/>
              <w:spacing w:line="226" w:lineRule="exact"/>
              <w:ind w:left="55"/>
              <w:rPr>
                <w:sz w:val="20"/>
              </w:rPr>
            </w:pPr>
            <w:r>
              <w:rPr>
                <w:sz w:val="20"/>
              </w:rPr>
              <w:t>España</w:t>
            </w:r>
          </w:p>
        </w:tc>
        <w:tc>
          <w:tcPr>
            <w:tcW w:w="709" w:type="dxa"/>
          </w:tcPr>
          <w:p>
            <w:pPr>
              <w:pStyle w:val="TableParagraph"/>
              <w:spacing w:line="226" w:lineRule="exact"/>
              <w:ind w:left="97" w:right="97"/>
              <w:jc w:val="center"/>
              <w:rPr>
                <w:sz w:val="20"/>
              </w:rPr>
            </w:pPr>
            <w:r>
              <w:rPr>
                <w:sz w:val="20"/>
              </w:rPr>
              <w:t>no</w:t>
            </w:r>
          </w:p>
        </w:tc>
        <w:tc>
          <w:tcPr>
            <w:tcW w:w="816" w:type="dxa"/>
          </w:tcPr>
          <w:p>
            <w:pPr>
              <w:pStyle w:val="TableParagraph"/>
              <w:spacing w:line="226" w:lineRule="exact"/>
              <w:ind w:left="146" w:right="149"/>
              <w:jc w:val="center"/>
              <w:rPr>
                <w:sz w:val="20"/>
              </w:rPr>
            </w:pPr>
            <w:r>
              <w:rPr>
                <w:sz w:val="20"/>
              </w:rPr>
              <w:t>no</w:t>
            </w:r>
          </w:p>
        </w:tc>
        <w:tc>
          <w:tcPr>
            <w:tcW w:w="1048" w:type="dxa"/>
          </w:tcPr>
          <w:p>
            <w:pPr>
              <w:pStyle w:val="TableParagraph"/>
              <w:spacing w:line="226" w:lineRule="exact"/>
              <w:ind w:left="264" w:right="266"/>
              <w:jc w:val="center"/>
              <w:rPr>
                <w:sz w:val="20"/>
              </w:rPr>
            </w:pPr>
            <w:r>
              <w:rPr>
                <w:sz w:val="20"/>
              </w:rPr>
              <w:t>no</w:t>
            </w:r>
          </w:p>
        </w:tc>
        <w:tc>
          <w:tcPr>
            <w:tcW w:w="1561" w:type="dxa"/>
          </w:tcPr>
          <w:p>
            <w:pPr>
              <w:pStyle w:val="TableParagraph"/>
              <w:spacing w:line="226" w:lineRule="exact"/>
              <w:ind w:right="3"/>
              <w:jc w:val="center"/>
              <w:rPr>
                <w:sz w:val="20"/>
              </w:rPr>
            </w:pPr>
            <w:r>
              <w:rPr>
                <w:w w:val="99"/>
                <w:sz w:val="20"/>
              </w:rPr>
              <w:t>2</w:t>
            </w:r>
          </w:p>
        </w:tc>
        <w:tc>
          <w:tcPr>
            <w:tcW w:w="2793" w:type="dxa"/>
          </w:tcPr>
          <w:p>
            <w:pPr>
              <w:pStyle w:val="TableParagraph"/>
              <w:spacing w:line="226" w:lineRule="exact"/>
              <w:ind w:left="343"/>
              <w:rPr>
                <w:sz w:val="20"/>
              </w:rPr>
            </w:pPr>
            <w:r>
              <w:rPr>
                <w:sz w:val="20"/>
              </w:rPr>
              <w:t>Previo al ejercicio fiscal</w:t>
            </w:r>
          </w:p>
        </w:tc>
      </w:tr>
    </w:tbl>
    <w:p>
      <w:pPr>
        <w:spacing w:after="0" w:line="226" w:lineRule="exact"/>
        <w:rPr>
          <w:sz w:val="20"/>
        </w:rPr>
        <w:sectPr>
          <w:pgSz w:w="12240" w:h="15840"/>
          <w:pgMar w:header="0" w:footer="998" w:top="1360" w:bottom="1180" w:left="1600" w:right="1580"/>
        </w:sectPr>
      </w:pPr>
    </w:p>
    <w:tbl>
      <w:tblPr>
        <w:tblW w:w="0" w:type="auto"/>
        <w:jc w:val="left"/>
        <w:tblInd w:w="184"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717"/>
        <w:gridCol w:w="709"/>
        <w:gridCol w:w="816"/>
        <w:gridCol w:w="1048"/>
        <w:gridCol w:w="1561"/>
        <w:gridCol w:w="2793"/>
      </w:tblGrid>
      <w:tr>
        <w:trPr>
          <w:trHeight w:val="260" w:hRule="exact"/>
        </w:trPr>
        <w:tc>
          <w:tcPr>
            <w:tcW w:w="1717" w:type="dxa"/>
          </w:tcPr>
          <w:p>
            <w:pPr>
              <w:pStyle w:val="TableParagraph"/>
              <w:spacing w:line="227" w:lineRule="exact"/>
              <w:ind w:left="55"/>
              <w:rPr>
                <w:sz w:val="20"/>
              </w:rPr>
            </w:pPr>
            <w:r>
              <w:rPr>
                <w:sz w:val="20"/>
              </w:rPr>
              <w:t>Estados Unidos</w:t>
            </w:r>
          </w:p>
        </w:tc>
        <w:tc>
          <w:tcPr>
            <w:tcW w:w="709" w:type="dxa"/>
          </w:tcPr>
          <w:p>
            <w:pPr>
              <w:pStyle w:val="TableParagraph"/>
              <w:spacing w:line="227" w:lineRule="exact"/>
              <w:ind w:left="268"/>
              <w:rPr>
                <w:sz w:val="20"/>
              </w:rPr>
            </w:pPr>
            <w:r>
              <w:rPr>
                <w:sz w:val="20"/>
              </w:rPr>
              <w:t>si</w:t>
            </w:r>
          </w:p>
        </w:tc>
        <w:tc>
          <w:tcPr>
            <w:tcW w:w="816" w:type="dxa"/>
          </w:tcPr>
          <w:p>
            <w:pPr>
              <w:pStyle w:val="TableParagraph"/>
              <w:spacing w:line="227" w:lineRule="exact"/>
              <w:ind w:left="148" w:right="149"/>
              <w:jc w:val="center"/>
              <w:rPr>
                <w:sz w:val="20"/>
              </w:rPr>
            </w:pPr>
            <w:r>
              <w:rPr>
                <w:sz w:val="20"/>
              </w:rPr>
              <w:t>si</w:t>
            </w:r>
          </w:p>
        </w:tc>
        <w:tc>
          <w:tcPr>
            <w:tcW w:w="1048" w:type="dxa"/>
          </w:tcPr>
          <w:p>
            <w:pPr>
              <w:pStyle w:val="TableParagraph"/>
              <w:spacing w:line="227" w:lineRule="exact"/>
              <w:ind w:left="436"/>
              <w:rPr>
                <w:sz w:val="20"/>
              </w:rPr>
            </w:pPr>
            <w:r>
              <w:rPr>
                <w:sz w:val="20"/>
              </w:rPr>
              <w:t>si</w:t>
            </w:r>
          </w:p>
        </w:tc>
        <w:tc>
          <w:tcPr>
            <w:tcW w:w="1561" w:type="dxa"/>
          </w:tcPr>
          <w:p>
            <w:pPr>
              <w:pStyle w:val="TableParagraph"/>
              <w:spacing w:line="227" w:lineRule="exact"/>
              <w:ind w:right="3"/>
              <w:jc w:val="center"/>
              <w:rPr>
                <w:sz w:val="20"/>
              </w:rPr>
            </w:pPr>
            <w:r>
              <w:rPr>
                <w:w w:val="99"/>
                <w:sz w:val="20"/>
              </w:rPr>
              <w:t>8</w:t>
            </w:r>
          </w:p>
        </w:tc>
        <w:tc>
          <w:tcPr>
            <w:tcW w:w="2793" w:type="dxa"/>
          </w:tcPr>
          <w:p>
            <w:pPr>
              <w:pStyle w:val="TableParagraph"/>
              <w:spacing w:line="227" w:lineRule="exact"/>
              <w:ind w:left="228" w:right="227"/>
              <w:jc w:val="center"/>
              <w:rPr>
                <w:sz w:val="20"/>
              </w:rPr>
            </w:pPr>
            <w:r>
              <w:rPr>
                <w:sz w:val="20"/>
              </w:rPr>
              <w:t>Previo al ejercicio fiscal</w:t>
            </w:r>
          </w:p>
        </w:tc>
      </w:tr>
      <w:tr>
        <w:trPr>
          <w:trHeight w:val="260" w:hRule="exact"/>
        </w:trPr>
        <w:tc>
          <w:tcPr>
            <w:tcW w:w="1717" w:type="dxa"/>
          </w:tcPr>
          <w:p>
            <w:pPr>
              <w:pStyle w:val="TableParagraph"/>
              <w:spacing w:line="223" w:lineRule="exact"/>
              <w:ind w:left="55"/>
              <w:rPr>
                <w:b/>
                <w:sz w:val="20"/>
              </w:rPr>
            </w:pPr>
            <w:r>
              <w:rPr>
                <w:b/>
                <w:sz w:val="20"/>
              </w:rPr>
              <w:t>México</w:t>
            </w:r>
          </w:p>
        </w:tc>
        <w:tc>
          <w:tcPr>
            <w:tcW w:w="709" w:type="dxa"/>
          </w:tcPr>
          <w:p>
            <w:pPr>
              <w:pStyle w:val="TableParagraph"/>
              <w:spacing w:line="223" w:lineRule="exact"/>
              <w:ind w:left="256"/>
              <w:rPr>
                <w:b/>
                <w:sz w:val="20"/>
              </w:rPr>
            </w:pPr>
            <w:r>
              <w:rPr>
                <w:b/>
                <w:sz w:val="20"/>
              </w:rPr>
              <w:t>si</w:t>
            </w:r>
          </w:p>
        </w:tc>
        <w:tc>
          <w:tcPr>
            <w:tcW w:w="816" w:type="dxa"/>
          </w:tcPr>
          <w:p>
            <w:pPr>
              <w:pStyle w:val="TableParagraph"/>
              <w:spacing w:line="223" w:lineRule="exact"/>
              <w:ind w:left="146" w:right="149"/>
              <w:jc w:val="center"/>
              <w:rPr>
                <w:b/>
                <w:sz w:val="20"/>
              </w:rPr>
            </w:pPr>
            <w:r>
              <w:rPr>
                <w:b/>
                <w:sz w:val="20"/>
              </w:rPr>
              <w:t>si</w:t>
            </w:r>
          </w:p>
        </w:tc>
        <w:tc>
          <w:tcPr>
            <w:tcW w:w="1048" w:type="dxa"/>
          </w:tcPr>
          <w:p>
            <w:pPr>
              <w:pStyle w:val="TableParagraph"/>
              <w:spacing w:line="223" w:lineRule="exact"/>
              <w:ind w:left="423"/>
              <w:rPr>
                <w:b/>
                <w:sz w:val="20"/>
              </w:rPr>
            </w:pPr>
            <w:r>
              <w:rPr>
                <w:b/>
                <w:sz w:val="20"/>
              </w:rPr>
              <w:t>si</w:t>
            </w:r>
          </w:p>
        </w:tc>
        <w:tc>
          <w:tcPr>
            <w:tcW w:w="1561" w:type="dxa"/>
          </w:tcPr>
          <w:p>
            <w:pPr>
              <w:pStyle w:val="TableParagraph"/>
              <w:spacing w:line="223" w:lineRule="exact"/>
              <w:ind w:right="3"/>
              <w:jc w:val="center"/>
              <w:rPr>
                <w:b/>
                <w:sz w:val="20"/>
              </w:rPr>
            </w:pPr>
            <w:r>
              <w:rPr>
                <w:b/>
                <w:w w:val="99"/>
                <w:sz w:val="20"/>
              </w:rPr>
              <w:t>2</w:t>
            </w:r>
          </w:p>
        </w:tc>
        <w:tc>
          <w:tcPr>
            <w:tcW w:w="2793" w:type="dxa"/>
          </w:tcPr>
          <w:p>
            <w:pPr>
              <w:pStyle w:val="TableParagraph"/>
              <w:spacing w:line="223" w:lineRule="exact"/>
              <w:ind w:left="228" w:right="228"/>
              <w:jc w:val="center"/>
              <w:rPr>
                <w:b/>
                <w:sz w:val="20"/>
              </w:rPr>
            </w:pPr>
            <w:r>
              <w:rPr>
                <w:b/>
                <w:sz w:val="20"/>
              </w:rPr>
              <w:t>Previo al ejercicio fiscal</w:t>
            </w:r>
          </w:p>
        </w:tc>
      </w:tr>
      <w:tr>
        <w:trPr>
          <w:trHeight w:val="260" w:hRule="exact"/>
        </w:trPr>
        <w:tc>
          <w:tcPr>
            <w:tcW w:w="1717" w:type="dxa"/>
          </w:tcPr>
          <w:p>
            <w:pPr>
              <w:pStyle w:val="TableParagraph"/>
              <w:spacing w:line="227" w:lineRule="exact"/>
              <w:ind w:left="55"/>
              <w:rPr>
                <w:sz w:val="20"/>
              </w:rPr>
            </w:pPr>
            <w:r>
              <w:rPr>
                <w:sz w:val="20"/>
              </w:rPr>
              <w:t>Reino Unido</w:t>
            </w:r>
          </w:p>
        </w:tc>
        <w:tc>
          <w:tcPr>
            <w:tcW w:w="709" w:type="dxa"/>
          </w:tcPr>
          <w:p>
            <w:pPr>
              <w:pStyle w:val="TableParagraph"/>
              <w:spacing w:line="227" w:lineRule="exact"/>
              <w:ind w:left="228"/>
              <w:rPr>
                <w:sz w:val="20"/>
              </w:rPr>
            </w:pPr>
            <w:r>
              <w:rPr>
                <w:sz w:val="20"/>
              </w:rPr>
              <w:t>no</w:t>
            </w:r>
          </w:p>
        </w:tc>
        <w:tc>
          <w:tcPr>
            <w:tcW w:w="816" w:type="dxa"/>
          </w:tcPr>
          <w:p>
            <w:pPr>
              <w:pStyle w:val="TableParagraph"/>
              <w:spacing w:line="227" w:lineRule="exact"/>
              <w:ind w:left="148" w:right="149"/>
              <w:jc w:val="center"/>
              <w:rPr>
                <w:sz w:val="20"/>
              </w:rPr>
            </w:pPr>
            <w:r>
              <w:rPr>
                <w:sz w:val="20"/>
              </w:rPr>
              <w:t>si</w:t>
            </w:r>
          </w:p>
        </w:tc>
        <w:tc>
          <w:tcPr>
            <w:tcW w:w="1048" w:type="dxa"/>
          </w:tcPr>
          <w:p>
            <w:pPr>
              <w:pStyle w:val="TableParagraph"/>
              <w:spacing w:line="227" w:lineRule="exact"/>
              <w:ind w:left="436"/>
              <w:rPr>
                <w:sz w:val="20"/>
              </w:rPr>
            </w:pPr>
            <w:r>
              <w:rPr>
                <w:sz w:val="20"/>
              </w:rPr>
              <w:t>si</w:t>
            </w:r>
          </w:p>
        </w:tc>
        <w:tc>
          <w:tcPr>
            <w:tcW w:w="1561" w:type="dxa"/>
          </w:tcPr>
          <w:p>
            <w:pPr>
              <w:pStyle w:val="TableParagraph"/>
              <w:spacing w:line="227" w:lineRule="exact"/>
              <w:ind w:right="3"/>
              <w:jc w:val="center"/>
              <w:rPr>
                <w:sz w:val="20"/>
              </w:rPr>
            </w:pPr>
            <w:r>
              <w:rPr>
                <w:w w:val="99"/>
                <w:sz w:val="20"/>
              </w:rPr>
              <w:t>2</w:t>
            </w:r>
          </w:p>
        </w:tc>
        <w:tc>
          <w:tcPr>
            <w:tcW w:w="2793" w:type="dxa"/>
          </w:tcPr>
          <w:p>
            <w:pPr>
              <w:pStyle w:val="TableParagraph"/>
              <w:spacing w:line="227" w:lineRule="exact"/>
              <w:ind w:left="228" w:right="227"/>
              <w:jc w:val="center"/>
              <w:rPr>
                <w:sz w:val="20"/>
              </w:rPr>
            </w:pPr>
            <w:r>
              <w:rPr>
                <w:sz w:val="20"/>
              </w:rPr>
              <w:t>Durante el ejercicio fiscal</w:t>
            </w:r>
          </w:p>
        </w:tc>
      </w:tr>
    </w:tbl>
    <w:p>
      <w:pPr>
        <w:pStyle w:val="BodyText"/>
        <w:spacing w:before="9"/>
        <w:rPr>
          <w:sz w:val="12"/>
        </w:rPr>
      </w:pPr>
    </w:p>
    <w:p>
      <w:pPr>
        <w:tabs>
          <w:tab w:pos="1516" w:val="left" w:leader="none"/>
        </w:tabs>
        <w:spacing w:before="1"/>
        <w:ind w:left="668" w:right="0" w:firstLine="0"/>
        <w:jc w:val="left"/>
        <w:rPr>
          <w:sz w:val="12"/>
        </w:rPr>
      </w:pPr>
      <w:r>
        <w:rPr>
          <w:sz w:val="12"/>
        </w:rPr>
        <w:t>FUENTE:</w:t>
        <w:tab/>
        <w:t>Elaboración propia con base</w:t>
      </w:r>
      <w:r>
        <w:rPr>
          <w:spacing w:val="-13"/>
          <w:sz w:val="12"/>
        </w:rPr>
        <w:t> </w:t>
      </w:r>
      <w:r>
        <w:rPr>
          <w:sz w:val="12"/>
        </w:rPr>
        <w:t>en:</w:t>
      </w:r>
    </w:p>
    <w:p>
      <w:pPr>
        <w:spacing w:before="14"/>
        <w:ind w:left="1517" w:right="0" w:firstLine="0"/>
        <w:jc w:val="left"/>
        <w:rPr>
          <w:sz w:val="12"/>
        </w:rPr>
      </w:pPr>
      <w:r>
        <w:rPr>
          <w:sz w:val="12"/>
        </w:rPr>
        <w:t>OECD, </w:t>
      </w:r>
      <w:r>
        <w:rPr>
          <w:i/>
          <w:sz w:val="12"/>
        </w:rPr>
        <w:t>Government at a Glance 2011, </w:t>
      </w:r>
      <w:r>
        <w:rPr>
          <w:sz w:val="12"/>
        </w:rPr>
        <w:t>p. 65 (consulta en línea).</w:t>
      </w:r>
    </w:p>
    <w:p>
      <w:pPr>
        <w:spacing w:before="14"/>
        <w:ind w:left="1517" w:right="4580" w:firstLine="0"/>
        <w:jc w:val="left"/>
        <w:rPr>
          <w:sz w:val="12"/>
        </w:rPr>
      </w:pPr>
      <w:r>
        <w:rPr>
          <w:sz w:val="12"/>
        </w:rPr>
        <w:t>Disponible en: </w:t>
      </w:r>
      <w:hyperlink r:id="rId62">
        <w:r>
          <w:rPr>
            <w:sz w:val="12"/>
          </w:rPr>
          <w:t>http://dx.doi.org/10.1787/888932389873</w:t>
        </w:r>
      </w:hyperlink>
      <w:r>
        <w:rPr>
          <w:sz w:val="12"/>
        </w:rPr>
        <w:t> [Fecha de consulta: 26 de octubre, 2015]</w:t>
      </w:r>
    </w:p>
    <w:p>
      <w:pPr>
        <w:pStyle w:val="BodyText"/>
        <w:rPr>
          <w:sz w:val="12"/>
        </w:rPr>
      </w:pPr>
    </w:p>
    <w:p>
      <w:pPr>
        <w:pStyle w:val="BodyText"/>
        <w:rPr>
          <w:sz w:val="12"/>
        </w:rPr>
      </w:pPr>
    </w:p>
    <w:p>
      <w:pPr>
        <w:pStyle w:val="BodyText"/>
        <w:rPr>
          <w:sz w:val="12"/>
        </w:rPr>
      </w:pPr>
    </w:p>
    <w:p>
      <w:pPr>
        <w:pStyle w:val="BodyText"/>
        <w:spacing w:before="1"/>
        <w:rPr>
          <w:sz w:val="11"/>
        </w:rPr>
      </w:pPr>
    </w:p>
    <w:p>
      <w:pPr>
        <w:pStyle w:val="BodyText"/>
        <w:spacing w:line="360" w:lineRule="auto"/>
        <w:ind w:left="100" w:right="102" w:firstLine="427"/>
        <w:jc w:val="both"/>
      </w:pPr>
      <w:r>
        <w:rPr/>
        <w:t>La</w:t>
      </w:r>
      <w:r>
        <w:rPr>
          <w:spacing w:val="-6"/>
        </w:rPr>
        <w:t> </w:t>
      </w:r>
      <w:r>
        <w:rPr/>
        <w:t>OCDE</w:t>
      </w:r>
      <w:r>
        <w:rPr>
          <w:spacing w:val="-5"/>
        </w:rPr>
        <w:t> </w:t>
      </w:r>
      <w:r>
        <w:rPr/>
        <w:t>aseguró</w:t>
      </w:r>
      <w:r>
        <w:rPr>
          <w:spacing w:val="-6"/>
        </w:rPr>
        <w:t> </w:t>
      </w:r>
      <w:r>
        <w:rPr/>
        <w:t>que</w:t>
      </w:r>
      <w:r>
        <w:rPr>
          <w:spacing w:val="-6"/>
        </w:rPr>
        <w:t> </w:t>
      </w:r>
      <w:r>
        <w:rPr/>
        <w:t>legislaturas</w:t>
      </w:r>
      <w:r>
        <w:rPr>
          <w:spacing w:val="-5"/>
        </w:rPr>
        <w:t> </w:t>
      </w:r>
      <w:r>
        <w:rPr/>
        <w:t>requieren</w:t>
      </w:r>
      <w:r>
        <w:rPr>
          <w:spacing w:val="-6"/>
        </w:rPr>
        <w:t> </w:t>
      </w:r>
      <w:r>
        <w:rPr/>
        <w:t>información</w:t>
      </w:r>
      <w:r>
        <w:rPr>
          <w:spacing w:val="-6"/>
        </w:rPr>
        <w:t> </w:t>
      </w:r>
      <w:r>
        <w:rPr/>
        <w:t>confiable</w:t>
      </w:r>
      <w:r>
        <w:rPr>
          <w:spacing w:val="-6"/>
        </w:rPr>
        <w:t> </w:t>
      </w:r>
      <w:r>
        <w:rPr/>
        <w:t>e</w:t>
      </w:r>
      <w:r>
        <w:rPr>
          <w:spacing w:val="-6"/>
        </w:rPr>
        <w:t> </w:t>
      </w:r>
      <w:r>
        <w:rPr/>
        <w:t>imparcial, así como una fuerte capacidad analítica para participar más propiamente en el proceso presupuestario. El informe mencionó que existe la tendencia a establecer unidades especializadas de investigación presupuestaria dentro de los congresos, éstas varían en términos de tamaño, componentes y funciones básicas, pero todas convergen</w:t>
      </w:r>
      <w:r>
        <w:rPr>
          <w:spacing w:val="-9"/>
        </w:rPr>
        <w:t> </w:t>
      </w:r>
      <w:r>
        <w:rPr/>
        <w:t>en</w:t>
      </w:r>
      <w:r>
        <w:rPr>
          <w:spacing w:val="-13"/>
        </w:rPr>
        <w:t> </w:t>
      </w:r>
      <w:r>
        <w:rPr/>
        <w:t>simplificar</w:t>
      </w:r>
      <w:r>
        <w:rPr>
          <w:spacing w:val="-11"/>
        </w:rPr>
        <w:t> </w:t>
      </w:r>
      <w:r>
        <w:rPr/>
        <w:t>el</w:t>
      </w:r>
      <w:r>
        <w:rPr>
          <w:spacing w:val="-9"/>
        </w:rPr>
        <w:t> </w:t>
      </w:r>
      <w:r>
        <w:rPr/>
        <w:t>presupuesto,</w:t>
      </w:r>
      <w:r>
        <w:rPr>
          <w:spacing w:val="-10"/>
        </w:rPr>
        <w:t> </w:t>
      </w:r>
      <w:r>
        <w:rPr/>
        <w:t>eliminar</w:t>
      </w:r>
      <w:r>
        <w:rPr>
          <w:spacing w:val="-11"/>
        </w:rPr>
        <w:t> </w:t>
      </w:r>
      <w:r>
        <w:rPr/>
        <w:t>el</w:t>
      </w:r>
      <w:r>
        <w:rPr>
          <w:spacing w:val="-9"/>
        </w:rPr>
        <w:t> </w:t>
      </w:r>
      <w:r>
        <w:rPr/>
        <w:t>monopolio</w:t>
      </w:r>
      <w:r>
        <w:rPr>
          <w:spacing w:val="-9"/>
        </w:rPr>
        <w:t> </w:t>
      </w:r>
      <w:r>
        <w:rPr/>
        <w:t>de</w:t>
      </w:r>
      <w:r>
        <w:rPr>
          <w:spacing w:val="-9"/>
        </w:rPr>
        <w:t> </w:t>
      </w:r>
      <w:r>
        <w:rPr/>
        <w:t>la</w:t>
      </w:r>
      <w:r>
        <w:rPr>
          <w:spacing w:val="-13"/>
        </w:rPr>
        <w:t> </w:t>
      </w:r>
      <w:r>
        <w:rPr/>
        <w:t>información</w:t>
      </w:r>
      <w:r>
        <w:rPr>
          <w:spacing w:val="-13"/>
        </w:rPr>
        <w:t> </w:t>
      </w:r>
      <w:r>
        <w:rPr/>
        <w:t>del Poder Ejecutivo en el proceso presupuestario, y mejorar la credibilidad del presupuesto y de la rendición de</w:t>
      </w:r>
      <w:r>
        <w:rPr>
          <w:spacing w:val="-20"/>
        </w:rPr>
        <w:t> </w:t>
      </w:r>
      <w:r>
        <w:rPr/>
        <w:t>cuentas.</w:t>
      </w:r>
    </w:p>
    <w:p>
      <w:pPr>
        <w:pStyle w:val="BodyText"/>
      </w:pPr>
    </w:p>
    <w:p>
      <w:pPr>
        <w:pStyle w:val="BodyText"/>
        <w:spacing w:before="2"/>
        <w:rPr>
          <w:sz w:val="20"/>
        </w:rPr>
      </w:pPr>
    </w:p>
    <w:p>
      <w:pPr>
        <w:spacing w:before="0"/>
        <w:ind w:left="196" w:right="0" w:firstLine="0"/>
        <w:jc w:val="left"/>
        <w:rPr>
          <w:sz w:val="20"/>
        </w:rPr>
      </w:pPr>
      <w:bookmarkStart w:name="_bookmark33" w:id="46"/>
      <w:bookmarkEnd w:id="46"/>
      <w:r>
        <w:rPr/>
      </w:r>
      <w:r>
        <w:rPr>
          <w:sz w:val="20"/>
        </w:rPr>
        <w:t>Grafica 1.5. Tiempo para la discusión legislativa del presupuesto en los países de la OCDE, 2007</w:t>
      </w:r>
    </w:p>
    <w:p>
      <w:pPr>
        <w:pStyle w:val="BodyText"/>
        <w:spacing w:before="8"/>
        <w:rPr>
          <w:sz w:val="17"/>
        </w:rPr>
      </w:pPr>
    </w:p>
    <w:p>
      <w:pPr>
        <w:tabs>
          <w:tab w:pos="4716" w:val="left" w:leader="none"/>
        </w:tabs>
        <w:spacing w:before="83"/>
        <w:ind w:left="2810" w:right="0" w:firstLine="0"/>
        <w:jc w:val="left"/>
        <w:rPr>
          <w:sz w:val="15"/>
        </w:rPr>
      </w:pPr>
      <w:r>
        <w:rPr/>
        <w:pict>
          <v:group style="position:absolute;margin-left:215.08963pt;margin-top:6.572615pt;width:6.2pt;height:4.350pt;mso-position-horizontal-relative:page;mso-position-vertical-relative:paragraph;z-index:-352936" coordorigin="4302,131" coordsize="124,87">
            <v:line style="position:absolute" from="4340,175" to="4387,175" stroked="true" strokeweight="3.797257pt" strokecolor="#7e7e7e"/>
            <v:rect style="position:absolute;left:4340;top:137;width:48;height:76" filled="false" stroked="true" strokeweight=".463805pt" strokecolor="#c0c0c0"/>
            <w10:wrap type="none"/>
          </v:group>
        </w:pict>
      </w:r>
      <w:r>
        <w:rPr/>
        <w:pict>
          <v:shape style="position:absolute;margin-left:311.922089pt;margin-top:6.214738pt;width:2.8pt;height:4.45pt;mso-position-horizontal-relative:page;mso-position-vertical-relative:paragraph;z-index:-352912" coordorigin="6238,124" coordsize="56,89" path="m6266,124l6238,169,6266,213,6294,169,6266,124xe" filled="true" fillcolor="#548ed4" stroked="false">
            <v:path arrowok="t"/>
            <v:fill type="solid"/>
            <w10:wrap type="none"/>
          </v:shape>
        </w:pict>
      </w:r>
      <w:r>
        <w:rPr>
          <w:w w:val="65"/>
          <w:sz w:val="15"/>
        </w:rPr>
        <w:t>Presupuesto presentado</w:t>
      </w:r>
      <w:r>
        <w:rPr>
          <w:spacing w:val="-20"/>
          <w:w w:val="65"/>
          <w:sz w:val="15"/>
        </w:rPr>
        <w:t> </w:t>
      </w:r>
      <w:r>
        <w:rPr>
          <w:w w:val="65"/>
          <w:sz w:val="15"/>
        </w:rPr>
        <w:t>al</w:t>
      </w:r>
      <w:r>
        <w:rPr>
          <w:spacing w:val="-10"/>
          <w:w w:val="65"/>
          <w:sz w:val="15"/>
        </w:rPr>
        <w:t> </w:t>
      </w:r>
      <w:r>
        <w:rPr>
          <w:w w:val="65"/>
          <w:sz w:val="15"/>
        </w:rPr>
        <w:t>Congreso</w:t>
        <w:tab/>
        <w:t>Presupuesto</w:t>
      </w:r>
      <w:r>
        <w:rPr>
          <w:spacing w:val="-9"/>
          <w:w w:val="65"/>
          <w:sz w:val="15"/>
        </w:rPr>
        <w:t> </w:t>
      </w:r>
      <w:r>
        <w:rPr>
          <w:w w:val="65"/>
          <w:sz w:val="15"/>
        </w:rPr>
        <w:t>aprobado</w:t>
      </w:r>
      <w:r>
        <w:rPr>
          <w:spacing w:val="-9"/>
          <w:w w:val="65"/>
          <w:sz w:val="15"/>
        </w:rPr>
        <w:t> </w:t>
      </w:r>
      <w:r>
        <w:rPr>
          <w:w w:val="65"/>
          <w:sz w:val="15"/>
        </w:rPr>
        <w:t>por</w:t>
      </w:r>
      <w:r>
        <w:rPr>
          <w:spacing w:val="-11"/>
          <w:w w:val="65"/>
          <w:sz w:val="15"/>
        </w:rPr>
        <w:t> </w:t>
      </w:r>
      <w:r>
        <w:rPr>
          <w:w w:val="65"/>
          <w:sz w:val="15"/>
        </w:rPr>
        <w:t>el</w:t>
      </w:r>
      <w:r>
        <w:rPr>
          <w:spacing w:val="-9"/>
          <w:w w:val="65"/>
          <w:sz w:val="15"/>
        </w:rPr>
        <w:t> </w:t>
      </w:r>
      <w:r>
        <w:rPr>
          <w:w w:val="65"/>
          <w:sz w:val="15"/>
        </w:rPr>
        <w:t>Congreso</w:t>
      </w:r>
    </w:p>
    <w:p>
      <w:pPr>
        <w:pStyle w:val="BodyText"/>
        <w:spacing w:before="2"/>
        <w:rPr>
          <w:sz w:val="16"/>
        </w:rPr>
      </w:pPr>
    </w:p>
    <w:p>
      <w:pPr>
        <w:spacing w:before="83"/>
        <w:ind w:left="3410" w:right="3097" w:firstLine="0"/>
        <w:jc w:val="center"/>
        <w:rPr>
          <w:b/>
          <w:sz w:val="15"/>
        </w:rPr>
      </w:pPr>
      <w:r>
        <w:rPr/>
        <w:pict>
          <v:shape style="position:absolute;margin-left:112.722038pt;margin-top:6.134259pt;width:39.1pt;height:46.05pt;mso-position-horizontal-relative:page;mso-position-vertical-relative:paragraph;z-index:-352984" type="#_x0000_t202" filled="false" stroked="false">
            <v:textbox inset="0,0,0,0">
              <w:txbxContent>
                <w:p>
                  <w:pPr>
                    <w:spacing w:line="143" w:lineRule="exact" w:before="0"/>
                    <w:ind w:left="0" w:right="0" w:firstLine="0"/>
                    <w:jc w:val="right"/>
                    <w:rPr>
                      <w:sz w:val="14"/>
                    </w:rPr>
                  </w:pPr>
                  <w:r>
                    <w:rPr>
                      <w:w w:val="60"/>
                      <w:sz w:val="14"/>
                    </w:rPr>
                    <w:t>12</w:t>
                  </w:r>
                </w:p>
              </w:txbxContent>
            </v:textbox>
            <w10:wrap type="none"/>
          </v:shape>
        </w:pict>
      </w:r>
      <w:r>
        <w:rPr/>
        <w:pict>
          <v:group style="position:absolute;margin-left:158.198242pt;margin-top:.255437pt;width:338.4pt;height:209.2pt;mso-position-horizontal-relative:page;mso-position-vertical-relative:paragraph;z-index:-352960" coordorigin="3164,5" coordsize="6768,4184">
            <v:shape style="position:absolute;left:2027;top:2688;width:12473;height:2963" coordorigin="2027,2688" coordsize="12473,2963" path="m3323,2670l9925,2670m3319,2043l9920,2043m3319,1423l9920,1423m3319,790l9920,790m3319,170l9920,170e" filled="false" stroked="true" strokeweight=".515042pt" strokecolor="#000000">
              <v:path arrowok="t"/>
              <v:stroke dashstyle="dash"/>
            </v:shape>
            <v:rect style="position:absolute;left:3323;top:12;width:6602;height:3278" filled="false" stroked="true" strokeweight=".586256pt" strokecolor="#000000"/>
            <v:shape style="position:absolute;left:2035;top:2500;width:12465;height:3886" coordorigin="2035,2500" coordsize="12465,3886" path="m3323,3290l3323,12m3323,3290l3347,3290m3323,2670l3347,2670m3323,2037l3347,2037m3323,1417l3347,1417m3323,796l3347,796m3323,176l3347,176m3323,3290l9925,3290e" filled="false" stroked="true" strokeweight=".515042pt" strokecolor="#7e7e7e">
              <v:path arrowok="t"/>
            </v:shape>
            <v:shape style="position:absolute;left:2230;top:2695;width:11685;height:3136" coordorigin="2230,2695" coordsize="11685,3136" path="m3426,2201l3426,2353m3633,2201l3633,2505m3839,2037l3839,2353m4046,1568l4046,2201m4252,2353l4252,2505m4459,2201l4459,2505m4666,2201l4666,2670m4864,2201l4864,2670m5071,2037l5071,2505m5277,2201l5277,2822m5484,2201l5484,2353m5690,2037l5690,2505m5897,2201l5897,2505m6103,176l6103,2201m6310,1568l6310,2353m6516,2037l6516,2505m6723,2037l6723,2353m6930,2201l6930,2505m7136,2201l7136,2505m7343,2201l7343,2505m7549,2037l7549,2505m7756,1733l7756,2353m7962,2201l7962,2505m8169,2037l8169,2505m8375,2201l8375,2505m8582,2037l8582,2353m8789,2037l8789,2505m8995,2201l8995,2505m9202,2201l9202,2670m9408,2037l9408,2505m9615,1568l9615,1885e" filled="false" stroked="true" strokeweight="2.575208pt" strokecolor="#c00000">
              <v:path arrowok="t"/>
            </v:shape>
            <v:line style="position:absolute" from="9821,2037" to="9821,3290" stroked="true" strokeweight="1.986035pt" strokecolor="#c00000"/>
            <v:line style="position:absolute" from="3425,2306" to="3425,2420" stroked="true" strokeweight="3.97207pt" strokecolor="#7e7e7e"/>
            <v:rect style="position:absolute;left:3385;top:2306;width:79;height:114" filled="false" stroked="true" strokeweight=".47479pt" strokecolor="#c0c0c0"/>
            <v:line style="position:absolute" from="3631,2461" to="3631,2575" stroked="true" strokeweight="3.97207pt" strokecolor="#7e7e7e"/>
            <v:rect style="position:absolute;left:3591;top:2461;width:79;height:114" filled="false" stroked="true" strokeweight=".47479pt" strokecolor="#c0c0c0"/>
            <v:line style="position:absolute" from="3837,2306" to="3837,2420" stroked="true" strokeweight="3.97207pt" strokecolor="#7e7e7e"/>
            <v:rect style="position:absolute;left:3797;top:2306;width:79;height:114" filled="false" stroked="true" strokeweight=".47479pt" strokecolor="#c0c0c0"/>
            <v:line style="position:absolute" from="4043,2150" to="4043,2264" stroked="true" strokeweight="3.97207pt" strokecolor="#7e7e7e"/>
            <v:rect style="position:absolute;left:4004;top:2150;width:79;height:114" filled="false" stroked="true" strokeweight=".47479pt" strokecolor="#c0c0c0"/>
            <v:line style="position:absolute" from="4250,2461" to="4250,2575" stroked="true" strokeweight="3.97207pt" strokecolor="#7e7e7e"/>
            <v:rect style="position:absolute;left:4210;top:2461;width:79;height:114" filled="false" stroked="true" strokeweight=".47479pt" strokecolor="#c0c0c0"/>
            <v:line style="position:absolute" from="4456,2461" to="4456,2575" stroked="true" strokeweight="3.97207pt" strokecolor="#7e7e7e"/>
            <v:rect style="position:absolute;left:4416;top:2461;width:79;height:114" filled="false" stroked="true" strokeweight=".47479pt" strokecolor="#c0c0c0"/>
            <v:line style="position:absolute" from="4662,2617" to="4662,2731" stroked="true" strokeweight="3.97207pt" strokecolor="#7e7e7e"/>
            <v:rect style="position:absolute;left:4622;top:2617;width:79;height:114" filled="false" stroked="true" strokeweight=".47479pt" strokecolor="#c0c0c0"/>
            <v:line style="position:absolute" from="4868,2617" to="4868,2731" stroked="true" strokeweight="3.97207pt" strokecolor="#7e7e7e"/>
            <v:rect style="position:absolute;left:4829;top:2617;width:79;height:114" filled="false" stroked="true" strokeweight=".47479pt" strokecolor="#c0c0c0"/>
            <v:line style="position:absolute" from="5075,2461" to="5075,2575" stroked="true" strokeweight="3.97207pt" strokecolor="#7e7e7e"/>
            <v:rect style="position:absolute;left:5035;top:2461;width:79;height:114" filled="false" stroked="true" strokeweight=".47479pt" strokecolor="#c0c0c0"/>
            <v:line style="position:absolute" from="5281,2773" to="5281,2887" stroked="true" strokeweight="3.97207pt" strokecolor="#7e7e7e"/>
            <v:rect style="position:absolute;left:5241;top:2773;width:79;height:114" filled="false" stroked="true" strokeweight=".47479pt" strokecolor="#c0c0c0"/>
            <v:line style="position:absolute" from="5487,2306" to="5487,2420" stroked="true" strokeweight="3.97207pt" strokecolor="#7e7e7e"/>
            <v:rect style="position:absolute;left:5448;top:2306;width:79;height:114" filled="false" stroked="true" strokeweight=".47479pt" strokecolor="#c0c0c0"/>
            <v:line style="position:absolute" from="5694,2461" to="5694,2575" stroked="true" strokeweight="3.97207pt" strokecolor="#7e7e7e"/>
            <v:rect style="position:absolute;left:5654;top:2461;width:79;height:114" filled="false" stroked="true" strokeweight=".47479pt" strokecolor="#c0c0c0"/>
            <v:line style="position:absolute" from="5900,2461" to="5900,2575" stroked="true" strokeweight="3.97207pt" strokecolor="#7e7e7e"/>
            <v:rect style="position:absolute;left:5860;top:2461;width:79;height:114" filled="false" stroked="true" strokeweight=".47479pt" strokecolor="#c0c0c0"/>
            <v:line style="position:absolute" from="6106,2150" to="6106,2264" stroked="true" strokeweight="3.97207pt" strokecolor="#7e7e7e"/>
            <v:rect style="position:absolute;left:6066;top:2150;width:79;height:114" filled="false" stroked="true" strokeweight=".47479pt" strokecolor="#c0c0c0"/>
            <v:line style="position:absolute" from="6312,2306" to="6312,2420" stroked="true" strokeweight="3.97207pt" strokecolor="#7e7e7e"/>
            <v:rect style="position:absolute;left:6273;top:2306;width:79;height:114" filled="false" stroked="true" strokeweight=".47479pt" strokecolor="#c0c0c0"/>
            <v:line style="position:absolute" from="6519,2461" to="6519,2575" stroked="true" strokeweight="3.97207pt" strokecolor="#7e7e7e"/>
            <v:rect style="position:absolute;left:6479;top:2461;width:79;height:114" filled="false" stroked="true" strokeweight=".47479pt" strokecolor="#c0c0c0"/>
            <v:line style="position:absolute" from="6725,2306" to="6725,2420" stroked="true" strokeweight="3.97207pt" strokecolor="#7e7e7e"/>
            <v:rect style="position:absolute;left:6685;top:2306;width:79;height:114" filled="false" stroked="true" strokeweight=".47479pt" strokecolor="#c0c0c0"/>
            <v:line style="position:absolute" from="6931,2461" to="6931,2575" stroked="true" strokeweight="3.97207pt" strokecolor="#7e7e7e"/>
            <v:rect style="position:absolute;left:6892;top:2461;width:79;height:114" filled="false" stroked="true" strokeweight=".47479pt" strokecolor="#c0c0c0"/>
            <v:line style="position:absolute" from="7138,2461" to="7138,2575" stroked="true" strokeweight="3.97207pt" strokecolor="#7e7e7e"/>
            <v:rect style="position:absolute;left:7098;top:2461;width:79;height:114" filled="false" stroked="true" strokeweight=".47479pt" strokecolor="#c0c0c0"/>
            <v:line style="position:absolute" from="7344,2461" to="7344,2575" stroked="true" strokeweight="3.97207pt" strokecolor="#7e7e7e"/>
            <v:rect style="position:absolute;left:7304;top:2461;width:79;height:114" filled="false" stroked="true" strokeweight=".47479pt" strokecolor="#c0c0c0"/>
            <v:line style="position:absolute" from="7550,2461" to="7550,2575" stroked="true" strokeweight="3.97207pt" strokecolor="#7e7e7e"/>
            <v:rect style="position:absolute;left:7510;top:2461;width:79;height:114" filled="false" stroked="true" strokeweight=".47479pt" strokecolor="#c0c0c0"/>
            <v:line style="position:absolute" from="7756,2306" to="7756,2420" stroked="true" strokeweight="3.97207pt" strokecolor="#7e7e7e"/>
            <v:rect style="position:absolute;left:7717;top:2306;width:79;height:114" filled="false" stroked="true" strokeweight=".47479pt" strokecolor="#c0c0c0"/>
            <v:line style="position:absolute" from="7963,2461" to="7963,2575" stroked="true" strokeweight="3.97207pt" strokecolor="#7e7e7e"/>
            <v:rect style="position:absolute;left:7923;top:2461;width:79;height:114" filled="false" stroked="true" strokeweight=".47479pt" strokecolor="#c0c0c0"/>
            <v:line style="position:absolute" from="8169,2461" to="8169,2575" stroked="true" strokeweight="3.97207pt" strokecolor="#7e7e7e"/>
            <v:rect style="position:absolute;left:8129;top:2461;width:79;height:114" filled="false" stroked="true" strokeweight=".47479pt" strokecolor="#c0c0c0"/>
            <v:line style="position:absolute" from="8375,2461" to="8375,2575" stroked="true" strokeweight="3.97207pt" strokecolor="#7e7e7e"/>
            <v:rect style="position:absolute;left:8335;top:2461;width:79;height:114" filled="false" stroked="true" strokeweight=".47479pt" strokecolor="#c0c0c0"/>
            <v:line style="position:absolute" from="8582,2306" to="8582,2420" stroked="true" strokeweight="3.97207pt" strokecolor="#7e7e7e"/>
            <v:rect style="position:absolute;left:8542;top:2306;width:79;height:114" filled="false" stroked="true" strokeweight=".47479pt" strokecolor="#c0c0c0"/>
            <v:line style="position:absolute" from="8788,2461" to="8788,2575" stroked="true" strokeweight="3.97207pt" strokecolor="#7e7e7e"/>
            <v:rect style="position:absolute;left:8748;top:2461;width:79;height:114" filled="false" stroked="true" strokeweight=".47479pt" strokecolor="#c0c0c0"/>
            <v:line style="position:absolute" from="8994,2461" to="8994,2575" stroked="true" strokeweight="3.97207pt" strokecolor="#7e7e7e"/>
            <v:rect style="position:absolute;left:8954;top:2461;width:79;height:114" filled="false" stroked="true" strokeweight=".47479pt" strokecolor="#c0c0c0"/>
            <v:line style="position:absolute" from="9200,2617" to="9200,2731" stroked="true" strokeweight="3.97207pt" strokecolor="#7e7e7e"/>
            <v:rect style="position:absolute;left:9161;top:2617;width:79;height:114" filled="false" stroked="true" strokeweight=".47479pt" strokecolor="#c0c0c0"/>
            <v:line style="position:absolute" from="9407,2461" to="9407,2575" stroked="true" strokeweight="3.97207pt" strokecolor="#7e7e7e"/>
            <v:rect style="position:absolute;left:9367;top:2461;width:79;height:114" filled="false" stroked="true" strokeweight=".47479pt" strokecolor="#c0c0c0"/>
            <v:line style="position:absolute" from="9613,1838" to="9613,1952" stroked="true" strokeweight="3.97207pt" strokecolor="#7e7e7e"/>
            <v:rect style="position:absolute;left:9573;top:1838;width:79;height:114" filled="false" stroked="true" strokeweight=".47479pt" strokecolor="#c0c0c0"/>
            <v:line style="position:absolute" from="9819,3241" to="9819,3355" stroked="true" strokeweight="3.97207pt" strokecolor="#7e7e7e"/>
            <v:rect style="position:absolute;left:9780;top:3241;width:79;height:114" filled="false" stroked="true" strokeweight=".47479pt" strokecolor="#c0c0c0"/>
            <v:shape style="position:absolute;left:3365;top:91;width:6506;height:2348" coordorigin="3365,91" coordsize="6506,2348" path="m3476,2200l3420,2118,3365,2200,3420,2282,3476,2200m3682,2200l3627,2118,3571,2200,3627,2282,3682,2200m3889,2044l3833,1962,3777,2044,3833,2127,3889,2044m4095,1577l4039,1494,3984,1577,4039,1659,4095,1577m4301,2356l4246,2274,4190,2356,4246,2438,4301,2356m4508,2200l4452,2118,4396,2200,4452,2282,4508,2200m4714,2200l4658,2118,4603,2200,4658,2282,4714,2200m4920,2200l4865,2118,4809,2200,4865,2282,4920,2200m5126,2044l5071,1962,5015,2044,5071,2127,5126,2044m5333,2200l5277,2118,5221,2200,5277,2282,5333,2200m5539,2200l5483,2118,5428,2200,5483,2282,5539,2200m5745,2044l5690,1962,5634,2044,5690,2127,5745,2044m5951,2200l5896,2118,5840,2200,5896,2282,5951,2200m6158,174l6102,91,6047,174,6102,256,6158,174m6364,1577l6308,1494,6253,1577,6308,1659,6364,1577m6570,2044l6515,1962,6459,2044,6515,2127,6570,2044m6777,2044l6721,1962,6665,2044,6721,2127,6777,2044m6983,2200l6927,2118,6872,2200,6927,2282,6983,2200m7189,2200l7134,2118,7078,2200,7134,2282,7189,2200m7395,2200l7340,2118,7284,2200,7340,2282,7395,2200m7602,2044l7546,1962,7491,2044,7546,2127,7602,2044m7808,1733l7752,1650,7697,1733,7752,1815,7808,1733m8014,2200l7959,2118,7903,2200,7959,2282,8014,2200m8221,2044l8165,1962,8109,2044,8165,2127,8221,2044m8427,2200l8371,2118,8316,2200,8371,2282,8427,2200m8839,2044l8784,1962,8728,2044,8784,2127,8839,2044m9046,2200l8990,2118,8934,2200,8990,2282,9046,2200m9252,2200l9196,2118,9141,2200,9196,2282,9252,2200m9458,2044l9403,1962,9347,2044,9403,2127,9458,2044m9665,1577l9609,1494,9553,1577,9609,1659,9665,1577m9871,2044l9815,1962,9760,2044,9815,2127,9871,2044e" filled="true" fillcolor="#548ed4" stroked="false">
              <v:path arrowok="t"/>
              <v:fill type="solid"/>
            </v:shape>
            <v:shape style="position:absolute;left:8522;top:1961;width:112;height:165" coordorigin="8522,1961" coordsize="112,165" path="m8578,1961l8522,2043,8578,2125,8634,2043,8578,1961xe" filled="true" fillcolor="#ff0000" stroked="false">
              <v:path arrowok="t"/>
              <v:fill type="solid"/>
            </v:shape>
            <v:shape style="position:absolute;left:3180;top:3389;width:1717;height:800" type="#_x0000_t75" stroked="false">
              <v:imagedata r:id="rId63" o:title=""/>
            </v:shape>
            <v:shape style="position:absolute;left:4846;top:3409;width:256;height:378" type="#_x0000_t75" stroked="false">
              <v:imagedata r:id="rId64" o:title=""/>
            </v:shape>
            <v:shape style="position:absolute;left:5016;top:3391;width:1316;height:480" type="#_x0000_t75" stroked="false">
              <v:imagedata r:id="rId65" o:title=""/>
            </v:shape>
            <v:shape style="position:absolute;left:6372;top:3406;width:582;height:312" type="#_x0000_t75" stroked="false">
              <v:imagedata r:id="rId66" o:title=""/>
            </v:shape>
            <v:shape style="position:absolute;left:6780;top:3410;width:379;height:583" coordorigin="6780,3410" coordsize="379,583" path="m6785,3913l6780,3923,6824,3992,6835,3976,6825,3976,6785,3913xm6846,3940l6825,3976,6835,3976,6852,3949,6846,3940xm6830,3881l6825,3890,6845,3922,6847,3925,6849,3927,6850,3928,6852,3930,6854,3932,6858,3933,6860,3932,6862,3932,6865,3930,6867,3927,6869,3925,6872,3920,6856,3920,6854,3918,6853,3917,6851,3913,6848,3910,6830,3881xm6851,3847l6845,3857,6863,3884,6865,3888,6867,3893,6869,3898,6869,3901,6868,3906,6868,3910,6867,3913,6863,3918,6862,3920,6872,3920,6873,3918,6875,3910,6873,3900,6883,3900,6851,3847xm6883,3900l6873,3900,6878,3906,6883,3900xm6863,3829l6856,3841,6882,3847,6887,3893,6894,3881,6890,3849,6914,3849,6917,3844,6888,3837,6888,3836,6879,3836,6878,3834,6875,3834,6863,3829xm6914,3849l6894,3849,6911,3856,6914,3849xm6884,3795l6878,3805,6880,3825,6880,3829,6881,3836,6888,3836,6884,3795xm6914,3749l6909,3753,6905,3760,6900,3766,6898,3775,6899,3793,6902,3802,6907,3810,6912,3819,6918,3824,6929,3824,6934,3820,6939,3812,6921,3812,6917,3809,6914,3803,6918,3797,6910,3797,6907,3792,6906,3787,6906,3775,6907,3771,6909,3766,6912,3763,6915,3761,6935,3761,6931,3755,6925,3751,6914,3749xm6942,3773l6936,3782,6938,3787,6938,3792,6938,3795,6937,3798,6936,3802,6934,3805,6932,3810,6928,3812,6939,3812,6942,3807,6945,3800,6945,3793,6946,3787,6945,3780,6942,3773xm6935,3761l6922,3761,6924,3763,6927,3768,6910,3797,6918,3797,6938,3766,6936,3763,6935,3761xm6931,3721l6926,3728,6958,3780,6964,3771,6947,3744,6944,3739,6942,3736,6940,3729,6940,3728,6936,3728,6931,3721xm6963,3709l6952,3709,6954,3712,6956,3716,6977,3749,6983,3741,6964,3711,6963,3709xm6950,3695l6947,3697,6945,3697,6942,3701,6940,3704,6938,3707,6936,3711,6936,3716,6935,3719,6935,3724,6936,3728,6940,3728,6940,3726,6941,3719,6942,3716,6944,3714,6946,3711,6948,3709,6963,3709,6961,3706,6959,3701,6959,3699,6955,3699,6950,3695xm6982,3679l6970,3679,6971,3680,6972,3680,6974,3684,6976,3687,6996,3719,7002,3711,6982,3679xm6972,3667l6965,3667,6962,3668,6955,3680,6954,3689,6955,3699,6959,3699,6959,3690,6960,3687,6962,3684,6964,3680,6965,3680,6967,3679,6982,3679,6980,3675,6976,3668,6972,3667xm6970,3619l6965,3628,7009,3699,7014,3690,7010,3684,7020,3684,7024,3677,7012,3677,7005,3675,7001,3672,6997,3665,6994,3658,6991,3653,6991,3645,6986,3645,6970,3619xm7020,3684l7010,3684,7015,3685,7020,3684xm7019,3626l6999,3626,7007,3628,7011,3631,7015,3638,7019,3645,7021,3650,7022,3663,7021,3667,7018,3672,7016,3675,7012,3677,7024,3677,7027,3672,7029,3663,7029,3655,7028,3646,7026,3636,7019,3626xm7002,3614l6999,3616,6994,3618,6992,3621,6990,3625,6987,3630,6985,3636,6986,3645,6991,3645,6991,3640,6992,3636,6994,3631,6997,3628,6999,3626,7019,3626,7018,3625,7015,3621,7007,3616,7002,3614xm7045,3636l7041,3636,7043,3638,7045,3636xm7016,3586l7010,3594,7030,3626,7032,3630,7034,3631,7036,3633,7039,3636,7048,3636,7050,3635,7052,3631,7054,3630,7057,3625,7041,3625,7040,3623,7038,3621,7036,3618,7016,3586xm7036,3552l7031,3562,7051,3592,7053,3598,7054,3603,7054,3606,7054,3611,7053,3614,7052,3618,7049,3623,7047,3625,7057,3625,7058,3623,7060,3614,7059,3604,7068,3604,7036,3552xm7068,3604l7059,3604,7063,3611,7068,3604xm7049,3532l7044,3540,7076,3591,7082,3582,7065,3555,7063,3552,7061,3549,7059,3545,7058,3542,7058,3540,7054,3540,7049,3532xm7106,3554l7100,3562,7104,3567,7107,3569,7113,3567,7120,3557,7108,3557,7106,3554xm7126,3517l7115,3517,7119,3522,7121,3525,7122,3528,7123,3532,7124,3535,7123,3538,7123,3542,7121,3547,7119,3550,7114,3557,7120,3557,7130,3542,7131,3537,7131,3532,7129,3522,7126,3517xm7093,3463l7088,3471,7092,3476,7086,3476,7081,3478,7075,3490,7073,3495,7072,3500,7072,3505,7072,3511,7075,3523,7077,3528,7085,3540,7090,3544,7101,3547,7106,3544,7110,3537,7112,3535,7101,3535,7094,3533,7090,3530,7086,3523,7082,3517,7080,3511,7079,3500,7080,3495,7083,3491,7085,3488,7088,3486,7108,3486,7093,3463xm7063,3515l7059,3515,7057,3518,7055,3520,7054,3522,7053,3525,7052,3530,7053,3535,7054,3540,7058,3540,7058,3538,7059,3533,7059,3532,7061,3530,7062,3528,7064,3527,7066,3525,7063,3515xm7108,3486l7096,3486,7099,3490,7103,3496,7107,3503,7110,3508,7110,3520,7109,3525,7106,3528,7104,3533,7101,3535,7112,3535,7114,3532,7115,3523,7115,3517,7126,3517,7125,3515,7108,3486xm7139,3410l7128,3410,7123,3414,7118,3420,7114,3425,7112,3434,7111,3451,7114,3461,7120,3471,7125,3479,7131,3483,7142,3484,7147,3481,7152,3473,7141,3473,7134,3471,7130,3468,7126,3461,7121,3456,7119,3449,7119,3437,7120,3432,7123,3427,7125,3422,7129,3420,7148,3420,7144,3414,7139,3410xm7148,3420l7129,3420,7136,3422,7140,3425,7144,3430,7148,3437,7151,3444,7151,3451,7151,3456,7150,3463,7147,3466,7144,3471,7141,3473,7152,3473,7154,3469,7156,3464,7159,3452,7158,3446,7157,3441,7156,3434,7154,3429,7148,3420xe" filled="true" fillcolor="#000000" stroked="false">
              <v:path arrowok="t"/>
              <v:fill type="solid"/>
            </v:shape>
            <v:shape style="position:absolute;left:7125;top:3420;width:233;height:351" type="#_x0000_t75" stroked="false">
              <v:imagedata r:id="rId67" o:title=""/>
            </v:shape>
            <v:shape style="position:absolute;left:7298;top:3406;width:694;height:707" type="#_x0000_t75" stroked="false">
              <v:imagedata r:id="rId68" o:title=""/>
            </v:shape>
            <v:shape style="position:absolute;left:7940;top:3408;width:257;height:380" type="#_x0000_t75" stroked="false">
              <v:imagedata r:id="rId69" o:title=""/>
            </v:shape>
            <v:shape style="position:absolute;left:8123;top:3389;width:1717;height:743" type="#_x0000_t75" stroked="false">
              <v:imagedata r:id="rId70" o:title=""/>
            </v:shape>
            <v:shape style="position:absolute;left:3164;top:252;width:111;height:3254" coordorigin="3164,252" coordsize="111,3254" path="m3219,327l3207,360,3200,3505,3224,3505,3231,394,3231,360,3219,327xm3233,290l3231,290,3231,360,3254,423,3261,426,3273,415,3275,403,3233,290xm3220,252l3167,394,3164,403,3166,414,3172,420,3177,425,3185,422,3188,413,3207,360,3208,290,3233,290,3220,252xm3231,299l3209,299,3230,299,3219,327,3231,360,3231,299xm3231,290l3208,290,3207,360,3219,327,3209,299,3231,299,3231,290xm3209,299l3219,327,3230,299,3209,299xe" filled="true" fillcolor="#ff0000" stroked="false">
              <v:path arrowok="t"/>
              <v:fill type="solid"/>
            </v:shape>
            <w10:wrap type="none"/>
          </v:group>
        </w:pict>
      </w:r>
      <w:r>
        <w:rPr/>
        <w:pict>
          <v:group style="position:absolute;margin-left:112.722038pt;margin-top:7.227325pt;width:35.75pt;height:44.95pt;mso-position-horizontal-relative:page;mso-position-vertical-relative:paragraph;z-index:5440" coordorigin="2254,145" coordsize="715,899">
            <v:rect style="position:absolute;left:2254;top:145;width:715;height:899" filled="true" fillcolor="#ffffff" stroked="false">
              <v:fill type="solid"/>
            </v:rect>
            <v:shape style="position:absolute;left:2254;top:145;width:715;height:899" type="#_x0000_t202" filled="false" stroked="false">
              <v:textbox inset="0,0,0,0">
                <w:txbxContent>
                  <w:p>
                    <w:pPr>
                      <w:spacing w:line="232" w:lineRule="auto" w:before="71"/>
                      <w:ind w:left="78" w:right="70" w:hanging="5"/>
                      <w:jc w:val="center"/>
                      <w:rPr>
                        <w:sz w:val="14"/>
                      </w:rPr>
                    </w:pPr>
                    <w:r>
                      <w:rPr>
                        <w:w w:val="55"/>
                        <w:sz w:val="14"/>
                      </w:rPr>
                      <w:t>Núm. de meses </w:t>
                    </w:r>
                    <w:r>
                      <w:rPr>
                        <w:w w:val="50"/>
                        <w:sz w:val="14"/>
                      </w:rPr>
                      <w:t>después del inicio </w:t>
                    </w:r>
                    <w:r>
                      <w:rPr>
                        <w:w w:val="60"/>
                        <w:sz w:val="14"/>
                      </w:rPr>
                      <w:t>del ejercicio fiscal</w:t>
                    </w:r>
                  </w:p>
                </w:txbxContent>
              </v:textbox>
              <w10:wrap type="none"/>
            </v:shape>
            <w10:wrap type="none"/>
          </v:group>
        </w:pict>
      </w:r>
      <w:r>
        <w:rPr>
          <w:b/>
          <w:color w:val="FF0000"/>
          <w:w w:val="75"/>
          <w:sz w:val="15"/>
        </w:rPr>
        <w:t>20</w:t>
      </w:r>
    </w:p>
    <w:p>
      <w:pPr>
        <w:pStyle w:val="BodyText"/>
        <w:rPr>
          <w:b/>
          <w:sz w:val="20"/>
        </w:rPr>
      </w:pPr>
    </w:p>
    <w:p>
      <w:pPr>
        <w:pStyle w:val="BodyText"/>
        <w:spacing w:before="6"/>
        <w:rPr>
          <w:b/>
          <w:sz w:val="18"/>
        </w:rPr>
      </w:pPr>
    </w:p>
    <w:p>
      <w:pPr>
        <w:spacing w:before="0"/>
        <w:ind w:left="1374" w:right="0" w:firstLine="0"/>
        <w:jc w:val="left"/>
        <w:rPr>
          <w:sz w:val="14"/>
        </w:rPr>
      </w:pPr>
      <w:r>
        <w:rPr>
          <w:w w:val="62"/>
          <w:sz w:val="14"/>
        </w:rPr>
        <w:t>8</w:t>
      </w:r>
    </w:p>
    <w:p>
      <w:pPr>
        <w:pStyle w:val="BodyText"/>
        <w:rPr>
          <w:sz w:val="20"/>
        </w:rPr>
      </w:pPr>
    </w:p>
    <w:p>
      <w:pPr>
        <w:pStyle w:val="BodyText"/>
        <w:spacing w:before="4"/>
        <w:rPr>
          <w:sz w:val="16"/>
        </w:rPr>
      </w:pPr>
    </w:p>
    <w:p>
      <w:pPr>
        <w:spacing w:after="0"/>
        <w:rPr>
          <w:sz w:val="16"/>
        </w:rPr>
        <w:sectPr>
          <w:pgSz w:w="12240" w:h="15840"/>
          <w:pgMar w:header="0" w:footer="998" w:top="1420" w:bottom="1180" w:left="1600" w:right="1600"/>
        </w:sectPr>
      </w:pPr>
    </w:p>
    <w:p>
      <w:pPr>
        <w:spacing w:before="82"/>
        <w:ind w:left="0" w:right="177" w:firstLine="0"/>
        <w:jc w:val="right"/>
        <w:rPr>
          <w:sz w:val="14"/>
        </w:rPr>
      </w:pPr>
      <w:r>
        <w:rPr>
          <w:w w:val="62"/>
          <w:sz w:val="14"/>
        </w:rPr>
        <w:t>4</w:t>
      </w:r>
    </w:p>
    <w:p>
      <w:pPr>
        <w:pStyle w:val="BodyText"/>
        <w:rPr>
          <w:sz w:val="14"/>
        </w:rPr>
      </w:pPr>
    </w:p>
    <w:p>
      <w:pPr>
        <w:spacing w:line="152" w:lineRule="exact" w:before="118"/>
        <w:ind w:left="1212" w:right="-7" w:firstLine="0"/>
        <w:jc w:val="left"/>
        <w:rPr>
          <w:sz w:val="14"/>
        </w:rPr>
      </w:pPr>
      <w:r>
        <w:rPr>
          <w:w w:val="55"/>
          <w:sz w:val="14"/>
        </w:rPr>
        <w:t>Comienzo </w:t>
      </w:r>
      <w:r>
        <w:rPr>
          <w:w w:val="50"/>
          <w:sz w:val="14"/>
        </w:rPr>
        <w:t>del ejercicio </w:t>
      </w:r>
      <w:r>
        <w:rPr>
          <w:w w:val="60"/>
          <w:sz w:val="14"/>
        </w:rPr>
        <w:t>Fiscal</w:t>
      </w:r>
    </w:p>
    <w:p>
      <w:pPr>
        <w:pStyle w:val="BodyText"/>
        <w:spacing w:before="4"/>
        <w:rPr>
          <w:sz w:val="18"/>
        </w:rPr>
      </w:pPr>
      <w:r>
        <w:rPr/>
        <w:br w:type="column"/>
      </w:r>
      <w:r>
        <w:rPr>
          <w:sz w:val="18"/>
        </w:rPr>
      </w:r>
    </w:p>
    <w:p>
      <w:pPr>
        <w:spacing w:before="0"/>
        <w:ind w:left="0" w:right="151" w:firstLine="0"/>
        <w:jc w:val="right"/>
        <w:rPr>
          <w:b/>
          <w:sz w:val="15"/>
        </w:rPr>
      </w:pPr>
      <w:r>
        <w:rPr>
          <w:b/>
          <w:color w:val="FF0000"/>
          <w:w w:val="65"/>
          <w:sz w:val="15"/>
        </w:rPr>
        <w:t>11</w:t>
      </w:r>
    </w:p>
    <w:p>
      <w:pPr>
        <w:pStyle w:val="BodyText"/>
        <w:rPr>
          <w:b/>
          <w:sz w:val="14"/>
        </w:rPr>
      </w:pPr>
    </w:p>
    <w:p>
      <w:pPr>
        <w:pStyle w:val="BodyText"/>
        <w:spacing w:before="8"/>
        <w:rPr>
          <w:b/>
          <w:sz w:val="11"/>
        </w:rPr>
      </w:pPr>
    </w:p>
    <w:p>
      <w:pPr>
        <w:spacing w:line="164" w:lineRule="exact" w:before="0"/>
        <w:ind w:left="307" w:right="0" w:firstLine="0"/>
        <w:jc w:val="center"/>
        <w:rPr>
          <w:b/>
          <w:sz w:val="15"/>
        </w:rPr>
      </w:pPr>
      <w:r>
        <w:rPr>
          <w:b/>
          <w:color w:val="FF0000"/>
          <w:w w:val="63"/>
          <w:sz w:val="15"/>
        </w:rPr>
        <w:t>8</w:t>
      </w:r>
    </w:p>
    <w:p>
      <w:pPr>
        <w:tabs>
          <w:tab w:pos="603" w:val="left" w:leader="none"/>
        </w:tabs>
        <w:spacing w:line="156" w:lineRule="exact" w:before="0"/>
        <w:ind w:left="0" w:right="220" w:firstLine="0"/>
        <w:jc w:val="right"/>
        <w:rPr>
          <w:sz w:val="15"/>
        </w:rPr>
      </w:pPr>
      <w:r>
        <w:rPr>
          <w:b/>
          <w:color w:val="FF0000"/>
          <w:w w:val="75"/>
          <w:sz w:val="15"/>
        </w:rPr>
        <w:t>7   </w:t>
      </w:r>
      <w:r>
        <w:rPr>
          <w:b/>
          <w:color w:val="FF0000"/>
          <w:spacing w:val="15"/>
          <w:w w:val="75"/>
          <w:sz w:val="15"/>
        </w:rPr>
        <w:t> </w:t>
      </w:r>
      <w:r>
        <w:rPr>
          <w:b/>
          <w:color w:val="FF0000"/>
          <w:w w:val="75"/>
          <w:sz w:val="15"/>
        </w:rPr>
        <w:t>7</w:t>
        <w:tab/>
      </w:r>
      <w:r>
        <w:rPr>
          <w:w w:val="60"/>
          <w:sz w:val="15"/>
        </w:rPr>
        <w:t>7</w:t>
      </w:r>
    </w:p>
    <w:p>
      <w:pPr>
        <w:tabs>
          <w:tab w:pos="704" w:val="left" w:leader="none"/>
          <w:tab w:pos="1133" w:val="left" w:leader="none"/>
        </w:tabs>
        <w:spacing w:line="164" w:lineRule="exact" w:before="0"/>
        <w:ind w:left="291" w:right="0" w:firstLine="0"/>
        <w:jc w:val="center"/>
        <w:rPr>
          <w:b/>
          <w:sz w:val="15"/>
        </w:rPr>
      </w:pPr>
      <w:r>
        <w:rPr>
          <w:w w:val="75"/>
          <w:sz w:val="15"/>
        </w:rPr>
        <w:t>6</w:t>
        <w:tab/>
        <w:t>6</w:t>
        <w:tab/>
      </w:r>
      <w:r>
        <w:rPr>
          <w:b/>
          <w:color w:val="FF0000"/>
          <w:w w:val="60"/>
          <w:sz w:val="15"/>
        </w:rPr>
        <w:t>6</w:t>
      </w:r>
    </w:p>
    <w:p>
      <w:pPr>
        <w:pStyle w:val="BodyText"/>
        <w:rPr>
          <w:b/>
          <w:sz w:val="14"/>
        </w:rPr>
      </w:pPr>
      <w:r>
        <w:rPr/>
        <w:br w:type="column"/>
      </w:r>
      <w:r>
        <w:rPr>
          <w:b/>
          <w:sz w:val="14"/>
        </w:rPr>
      </w:r>
    </w:p>
    <w:p>
      <w:pPr>
        <w:pStyle w:val="BodyText"/>
        <w:rPr>
          <w:b/>
          <w:sz w:val="14"/>
        </w:rPr>
      </w:pPr>
    </w:p>
    <w:p>
      <w:pPr>
        <w:pStyle w:val="BodyText"/>
        <w:rPr>
          <w:b/>
          <w:sz w:val="14"/>
        </w:rPr>
      </w:pPr>
    </w:p>
    <w:p>
      <w:pPr>
        <w:pStyle w:val="BodyText"/>
        <w:spacing w:before="1"/>
        <w:rPr>
          <w:b/>
          <w:sz w:val="17"/>
        </w:rPr>
      </w:pPr>
    </w:p>
    <w:p>
      <w:pPr>
        <w:spacing w:line="164" w:lineRule="exact" w:before="1"/>
        <w:ind w:left="0" w:right="0" w:firstLine="0"/>
        <w:jc w:val="right"/>
        <w:rPr>
          <w:b/>
          <w:sz w:val="15"/>
        </w:rPr>
      </w:pPr>
      <w:r>
        <w:rPr>
          <w:b/>
          <w:color w:val="FF0000"/>
          <w:w w:val="63"/>
          <w:sz w:val="15"/>
        </w:rPr>
        <w:t>8</w:t>
      </w:r>
    </w:p>
    <w:p>
      <w:pPr>
        <w:spacing w:line="164" w:lineRule="exact" w:before="0"/>
        <w:ind w:left="113" w:right="0" w:firstLine="0"/>
        <w:jc w:val="left"/>
        <w:rPr>
          <w:b/>
          <w:sz w:val="15"/>
        </w:rPr>
      </w:pPr>
      <w:r>
        <w:rPr>
          <w:b/>
          <w:color w:val="FF0000"/>
          <w:w w:val="75"/>
          <w:sz w:val="15"/>
        </w:rPr>
        <w:t>7    7    7</w:t>
      </w:r>
    </w:p>
    <w:p>
      <w:pPr>
        <w:pStyle w:val="BodyText"/>
        <w:spacing w:before="4"/>
        <w:rPr>
          <w:b/>
          <w:sz w:val="18"/>
        </w:rPr>
      </w:pPr>
      <w:r>
        <w:rPr/>
        <w:br w:type="column"/>
      </w:r>
      <w:r>
        <w:rPr>
          <w:b/>
          <w:sz w:val="18"/>
        </w:rPr>
      </w:r>
    </w:p>
    <w:p>
      <w:pPr>
        <w:spacing w:before="0"/>
        <w:ind w:left="0" w:right="358" w:firstLine="0"/>
        <w:jc w:val="right"/>
        <w:rPr>
          <w:b/>
          <w:sz w:val="15"/>
        </w:rPr>
      </w:pPr>
      <w:r>
        <w:rPr>
          <w:b/>
          <w:color w:val="FF0000"/>
          <w:w w:val="65"/>
          <w:sz w:val="15"/>
        </w:rPr>
        <w:t>11</w:t>
      </w:r>
    </w:p>
    <w:p>
      <w:pPr>
        <w:pStyle w:val="BodyText"/>
        <w:rPr>
          <w:b/>
          <w:sz w:val="14"/>
        </w:rPr>
      </w:pPr>
    </w:p>
    <w:p>
      <w:pPr>
        <w:pStyle w:val="BodyText"/>
        <w:spacing w:before="8"/>
        <w:rPr>
          <w:b/>
          <w:sz w:val="11"/>
        </w:rPr>
      </w:pPr>
    </w:p>
    <w:p>
      <w:pPr>
        <w:tabs>
          <w:tab w:pos="1352" w:val="left" w:leader="none"/>
        </w:tabs>
        <w:spacing w:line="164" w:lineRule="exact" w:before="0"/>
        <w:ind w:left="526" w:right="0" w:firstLine="0"/>
        <w:jc w:val="left"/>
        <w:rPr>
          <w:b/>
          <w:sz w:val="15"/>
        </w:rPr>
      </w:pPr>
      <w:r>
        <w:rPr>
          <w:b/>
          <w:color w:val="FF0000"/>
          <w:w w:val="75"/>
          <w:sz w:val="15"/>
        </w:rPr>
        <w:t>8</w:t>
        <w:tab/>
        <w:t>8   </w:t>
      </w:r>
      <w:r>
        <w:rPr>
          <w:b/>
          <w:color w:val="FF0000"/>
          <w:spacing w:val="8"/>
          <w:w w:val="75"/>
          <w:sz w:val="15"/>
        </w:rPr>
        <w:t> </w:t>
      </w:r>
      <w:r>
        <w:rPr>
          <w:b/>
          <w:color w:val="FF0000"/>
          <w:w w:val="75"/>
          <w:sz w:val="15"/>
        </w:rPr>
        <w:t>8</w:t>
      </w:r>
    </w:p>
    <w:p>
      <w:pPr>
        <w:tabs>
          <w:tab w:pos="732" w:val="left" w:leader="none"/>
        </w:tabs>
        <w:spacing w:line="156" w:lineRule="exact" w:before="0"/>
        <w:ind w:left="113" w:right="0" w:firstLine="0"/>
        <w:jc w:val="left"/>
        <w:rPr>
          <w:sz w:val="15"/>
        </w:rPr>
      </w:pPr>
      <w:r>
        <w:rPr>
          <w:b/>
          <w:color w:val="FF0000"/>
          <w:w w:val="75"/>
          <w:sz w:val="15"/>
        </w:rPr>
        <w:t>7   </w:t>
      </w:r>
      <w:r>
        <w:rPr>
          <w:b/>
          <w:color w:val="FF0000"/>
          <w:spacing w:val="15"/>
          <w:w w:val="75"/>
          <w:sz w:val="15"/>
        </w:rPr>
        <w:t> </w:t>
      </w:r>
      <w:r>
        <w:rPr>
          <w:b/>
          <w:color w:val="FF0000"/>
          <w:w w:val="75"/>
          <w:sz w:val="15"/>
        </w:rPr>
        <w:t>7</w:t>
        <w:tab/>
        <w:t>7  </w:t>
      </w:r>
      <w:r>
        <w:rPr>
          <w:b/>
          <w:color w:val="FF0000"/>
          <w:spacing w:val="24"/>
          <w:w w:val="75"/>
          <w:sz w:val="15"/>
        </w:rPr>
        <w:t> </w:t>
      </w:r>
      <w:r>
        <w:rPr>
          <w:w w:val="75"/>
          <w:sz w:val="15"/>
        </w:rPr>
        <w:t>7</w:t>
      </w:r>
    </w:p>
    <w:p>
      <w:pPr>
        <w:tabs>
          <w:tab w:pos="1129" w:val="left" w:leader="none"/>
          <w:tab w:pos="1542" w:val="left" w:leader="none"/>
        </w:tabs>
        <w:spacing w:line="164" w:lineRule="exact" w:before="0"/>
        <w:ind w:left="304" w:right="0" w:firstLine="0"/>
        <w:jc w:val="left"/>
        <w:rPr>
          <w:sz w:val="15"/>
        </w:rPr>
      </w:pPr>
      <w:r>
        <w:rPr>
          <w:w w:val="75"/>
          <w:sz w:val="15"/>
        </w:rPr>
        <w:t>6</w:t>
        <w:tab/>
        <w:t>6</w:t>
        <w:tab/>
        <w:t>6</w:t>
      </w:r>
    </w:p>
    <w:p>
      <w:pPr>
        <w:pStyle w:val="BodyText"/>
        <w:rPr>
          <w:sz w:val="14"/>
        </w:rPr>
      </w:pPr>
      <w:r>
        <w:rPr/>
        <w:br w:type="column"/>
      </w:r>
      <w:r>
        <w:rPr>
          <w:sz w:val="14"/>
        </w:rPr>
      </w:r>
    </w:p>
    <w:p>
      <w:pPr>
        <w:pStyle w:val="BodyText"/>
        <w:spacing w:before="11"/>
        <w:rPr>
          <w:sz w:val="17"/>
        </w:rPr>
      </w:pPr>
    </w:p>
    <w:p>
      <w:pPr>
        <w:spacing w:before="0"/>
        <w:ind w:left="0" w:right="151" w:firstLine="0"/>
        <w:jc w:val="right"/>
        <w:rPr>
          <w:b/>
          <w:sz w:val="15"/>
        </w:rPr>
      </w:pPr>
      <w:r>
        <w:rPr>
          <w:b/>
          <w:color w:val="FF0000"/>
          <w:w w:val="65"/>
          <w:sz w:val="15"/>
        </w:rPr>
        <w:t>10</w:t>
      </w:r>
    </w:p>
    <w:p>
      <w:pPr>
        <w:pStyle w:val="BodyText"/>
        <w:spacing w:before="2"/>
        <w:rPr>
          <w:b/>
          <w:sz w:val="12"/>
        </w:rPr>
      </w:pPr>
    </w:p>
    <w:p>
      <w:pPr>
        <w:spacing w:line="164" w:lineRule="exact" w:before="0"/>
        <w:ind w:left="319" w:right="0" w:firstLine="0"/>
        <w:jc w:val="center"/>
        <w:rPr>
          <w:b/>
          <w:sz w:val="15"/>
        </w:rPr>
      </w:pPr>
      <w:r>
        <w:rPr>
          <w:b/>
          <w:color w:val="FF0000"/>
          <w:w w:val="63"/>
          <w:sz w:val="15"/>
        </w:rPr>
        <w:t>8</w:t>
      </w:r>
    </w:p>
    <w:p>
      <w:pPr>
        <w:tabs>
          <w:tab w:pos="1145" w:val="left" w:leader="none"/>
        </w:tabs>
        <w:spacing w:line="156" w:lineRule="exact" w:before="0"/>
        <w:ind w:left="113" w:right="0" w:firstLine="0"/>
        <w:jc w:val="left"/>
        <w:rPr>
          <w:b/>
          <w:sz w:val="15"/>
        </w:rPr>
      </w:pPr>
      <w:r>
        <w:rPr>
          <w:b/>
          <w:color w:val="FF0000"/>
          <w:w w:val="75"/>
          <w:sz w:val="15"/>
        </w:rPr>
        <w:t>7   </w:t>
      </w:r>
      <w:r>
        <w:rPr>
          <w:b/>
          <w:color w:val="FF0000"/>
          <w:spacing w:val="16"/>
          <w:w w:val="75"/>
          <w:sz w:val="15"/>
        </w:rPr>
        <w:t> </w:t>
      </w:r>
      <w:r>
        <w:rPr>
          <w:b/>
          <w:color w:val="FF0000"/>
          <w:w w:val="75"/>
          <w:sz w:val="15"/>
        </w:rPr>
        <w:t>7   </w:t>
      </w:r>
      <w:r>
        <w:rPr>
          <w:b/>
          <w:color w:val="FF0000"/>
          <w:spacing w:val="16"/>
          <w:w w:val="75"/>
          <w:sz w:val="15"/>
        </w:rPr>
        <w:t> </w:t>
      </w:r>
      <w:r>
        <w:rPr>
          <w:b/>
          <w:color w:val="FF0000"/>
          <w:w w:val="75"/>
          <w:sz w:val="15"/>
        </w:rPr>
        <w:t>7</w:t>
        <w:tab/>
      </w:r>
      <w:r>
        <w:rPr>
          <w:b/>
          <w:color w:val="FF0000"/>
          <w:w w:val="65"/>
          <w:sz w:val="15"/>
        </w:rPr>
        <w:t>7</w:t>
      </w:r>
    </w:p>
    <w:p>
      <w:pPr>
        <w:spacing w:line="164" w:lineRule="exact" w:before="0"/>
        <w:ind w:left="0" w:right="220" w:firstLine="0"/>
        <w:jc w:val="right"/>
        <w:rPr>
          <w:sz w:val="15"/>
        </w:rPr>
      </w:pPr>
      <w:r>
        <w:rPr>
          <w:w w:val="63"/>
          <w:sz w:val="15"/>
        </w:rPr>
        <w:t>6</w:t>
      </w:r>
    </w:p>
    <w:p>
      <w:pPr>
        <w:pStyle w:val="BodyText"/>
        <w:spacing w:before="4"/>
        <w:rPr>
          <w:sz w:val="18"/>
        </w:rPr>
      </w:pPr>
      <w:r>
        <w:rPr/>
        <w:br w:type="column"/>
      </w:r>
      <w:r>
        <w:rPr>
          <w:sz w:val="18"/>
        </w:rPr>
      </w:r>
    </w:p>
    <w:p>
      <w:pPr>
        <w:spacing w:before="0"/>
        <w:ind w:left="1525" w:right="769" w:firstLine="0"/>
        <w:jc w:val="center"/>
        <w:rPr>
          <w:b/>
          <w:sz w:val="15"/>
        </w:rPr>
      </w:pPr>
      <w:r>
        <w:rPr>
          <w:b/>
          <w:color w:val="FF0000"/>
          <w:w w:val="75"/>
          <w:sz w:val="15"/>
        </w:rPr>
        <w:t>11</w:t>
      </w:r>
    </w:p>
    <w:p>
      <w:pPr>
        <w:pStyle w:val="BodyText"/>
        <w:spacing w:before="1"/>
        <w:rPr>
          <w:b/>
          <w:sz w:val="12"/>
        </w:rPr>
      </w:pPr>
    </w:p>
    <w:p>
      <w:pPr>
        <w:spacing w:line="164" w:lineRule="exact" w:before="0"/>
        <w:ind w:left="676" w:right="0" w:firstLine="0"/>
        <w:jc w:val="center"/>
        <w:rPr>
          <w:sz w:val="15"/>
        </w:rPr>
      </w:pPr>
      <w:r>
        <w:rPr>
          <w:w w:val="63"/>
          <w:sz w:val="15"/>
        </w:rPr>
        <w:t>9</w:t>
      </w:r>
    </w:p>
    <w:p>
      <w:pPr>
        <w:tabs>
          <w:tab w:pos="526" w:val="left" w:leader="none"/>
          <w:tab w:pos="1352" w:val="left" w:leader="none"/>
          <w:tab w:pos="1765" w:val="left" w:leader="none"/>
        </w:tabs>
        <w:spacing w:line="156" w:lineRule="exact" w:before="0"/>
        <w:ind w:left="113" w:right="0" w:firstLine="0"/>
        <w:jc w:val="left"/>
        <w:rPr>
          <w:b/>
          <w:sz w:val="15"/>
        </w:rPr>
      </w:pPr>
      <w:r>
        <w:rPr>
          <w:b/>
          <w:color w:val="FF0000"/>
          <w:w w:val="75"/>
          <w:sz w:val="15"/>
        </w:rPr>
        <w:t>8</w:t>
        <w:tab/>
        <w:t>8   </w:t>
      </w:r>
      <w:r>
        <w:rPr>
          <w:b/>
          <w:color w:val="FF0000"/>
          <w:spacing w:val="15"/>
          <w:w w:val="75"/>
          <w:sz w:val="15"/>
        </w:rPr>
        <w:t> </w:t>
      </w:r>
      <w:r>
        <w:rPr>
          <w:b/>
          <w:color w:val="FF0000"/>
          <w:w w:val="75"/>
          <w:sz w:val="15"/>
        </w:rPr>
        <w:t>8</w:t>
        <w:tab/>
        <w:t>8</w:t>
        <w:tab/>
        <w:t>8</w:t>
      </w:r>
    </w:p>
    <w:p>
      <w:pPr>
        <w:tabs>
          <w:tab w:pos="939" w:val="left" w:leader="none"/>
        </w:tabs>
        <w:spacing w:line="156" w:lineRule="exact" w:before="0"/>
        <w:ind w:left="319" w:right="0" w:firstLine="0"/>
        <w:jc w:val="left"/>
        <w:rPr>
          <w:b/>
          <w:sz w:val="15"/>
        </w:rPr>
      </w:pPr>
      <w:r>
        <w:rPr>
          <w:b/>
          <w:color w:val="FF0000"/>
          <w:w w:val="75"/>
          <w:sz w:val="15"/>
        </w:rPr>
        <w:t>7</w:t>
        <w:tab/>
        <w:t>7   </w:t>
      </w:r>
      <w:r>
        <w:rPr>
          <w:b/>
          <w:color w:val="FF0000"/>
          <w:spacing w:val="8"/>
          <w:w w:val="75"/>
          <w:sz w:val="15"/>
        </w:rPr>
        <w:t> </w:t>
      </w:r>
      <w:r>
        <w:rPr>
          <w:b/>
          <w:color w:val="FF0000"/>
          <w:w w:val="75"/>
          <w:sz w:val="15"/>
        </w:rPr>
        <w:t>7</w:t>
      </w:r>
    </w:p>
    <w:p>
      <w:pPr>
        <w:spacing w:line="164" w:lineRule="exact" w:before="0"/>
        <w:ind w:left="510" w:right="0" w:firstLine="0"/>
        <w:jc w:val="left"/>
        <w:rPr>
          <w:sz w:val="15"/>
        </w:rPr>
      </w:pPr>
      <w:r>
        <w:rPr>
          <w:w w:val="63"/>
          <w:sz w:val="15"/>
        </w:rPr>
        <w:t>6</w:t>
      </w:r>
    </w:p>
    <w:p>
      <w:pPr>
        <w:spacing w:after="0" w:line="164" w:lineRule="exact"/>
        <w:jc w:val="left"/>
        <w:rPr>
          <w:sz w:val="15"/>
        </w:rPr>
        <w:sectPr>
          <w:type w:val="continuous"/>
          <w:pgSz w:w="12240" w:h="15840"/>
          <w:pgMar w:top="0" w:bottom="280" w:left="1600" w:right="1600"/>
          <w:cols w:num="6" w:equalWidth="0">
            <w:col w:w="1595" w:space="40"/>
            <w:col w:w="1187" w:space="40"/>
            <w:col w:w="786" w:space="40"/>
            <w:col w:w="1612" w:space="40"/>
            <w:col w:w="1200" w:space="40"/>
            <w:col w:w="2460"/>
          </w:cols>
        </w:sectPr>
      </w:pPr>
    </w:p>
    <w:p>
      <w:pPr>
        <w:pStyle w:val="BodyText"/>
        <w:rPr>
          <w:sz w:val="15"/>
        </w:rPr>
      </w:pPr>
    </w:p>
    <w:p>
      <w:pPr>
        <w:spacing w:line="136" w:lineRule="exact" w:before="0"/>
        <w:ind w:left="0" w:right="0" w:firstLine="0"/>
        <w:jc w:val="right"/>
        <w:rPr>
          <w:sz w:val="14"/>
        </w:rPr>
      </w:pPr>
      <w:r>
        <w:rPr>
          <w:w w:val="62"/>
          <w:sz w:val="14"/>
        </w:rPr>
        <w:t>4</w:t>
      </w:r>
    </w:p>
    <w:p>
      <w:pPr>
        <w:spacing w:line="131" w:lineRule="exact" w:before="0"/>
        <w:ind w:left="735" w:right="89" w:hanging="16"/>
        <w:jc w:val="left"/>
        <w:rPr>
          <w:sz w:val="14"/>
        </w:rPr>
      </w:pPr>
      <w:r>
        <w:rPr>
          <w:w w:val="55"/>
          <w:sz w:val="14"/>
        </w:rPr>
        <w:t>Núm. de meses</w:t>
      </w:r>
    </w:p>
    <w:p>
      <w:pPr>
        <w:spacing w:line="152" w:lineRule="exact" w:before="5"/>
        <w:ind w:left="783" w:right="89" w:hanging="48"/>
        <w:jc w:val="left"/>
        <w:rPr>
          <w:sz w:val="14"/>
        </w:rPr>
      </w:pPr>
      <w:r>
        <w:rPr>
          <w:w w:val="55"/>
          <w:sz w:val="14"/>
        </w:rPr>
        <w:t>antes del inicio </w:t>
      </w:r>
      <w:r>
        <w:rPr>
          <w:w w:val="50"/>
          <w:sz w:val="14"/>
        </w:rPr>
        <w:t>del ejercicio</w:t>
      </w:r>
    </w:p>
    <w:p>
      <w:pPr>
        <w:tabs>
          <w:tab w:pos="1406" w:val="right" w:leader="none"/>
        </w:tabs>
        <w:spacing w:line="164" w:lineRule="exact" w:before="0"/>
        <w:ind w:left="886" w:right="0" w:firstLine="0"/>
        <w:jc w:val="left"/>
        <w:rPr>
          <w:sz w:val="14"/>
        </w:rPr>
      </w:pPr>
      <w:r>
        <w:rPr>
          <w:w w:val="65"/>
          <w:sz w:val="14"/>
        </w:rPr>
        <w:t>fiscal</w:t>
      </w:r>
      <w:r>
        <w:rPr>
          <w:w w:val="65"/>
          <w:position w:val="1"/>
          <w:sz w:val="14"/>
        </w:rPr>
        <w:tab/>
        <w:t>8</w:t>
      </w:r>
    </w:p>
    <w:p>
      <w:pPr>
        <w:tabs>
          <w:tab w:pos="1305" w:val="left" w:leader="none"/>
          <w:tab w:pos="2131" w:val="left" w:leader="none"/>
          <w:tab w:pos="2750" w:val="left" w:leader="none"/>
        </w:tabs>
        <w:spacing w:line="148" w:lineRule="exact" w:before="0"/>
        <w:ind w:left="686" w:right="0" w:firstLine="0"/>
        <w:jc w:val="center"/>
        <w:rPr>
          <w:sz w:val="15"/>
        </w:rPr>
      </w:pPr>
      <w:r>
        <w:rPr/>
        <w:br w:type="column"/>
      </w:r>
      <w:r>
        <w:rPr>
          <w:w w:val="75"/>
          <w:sz w:val="15"/>
        </w:rPr>
        <w:t>5</w:t>
        <w:tab/>
        <w:t>5   </w:t>
      </w:r>
      <w:r>
        <w:rPr>
          <w:spacing w:val="15"/>
          <w:w w:val="75"/>
          <w:sz w:val="15"/>
        </w:rPr>
        <w:t> </w:t>
      </w:r>
      <w:r>
        <w:rPr>
          <w:w w:val="75"/>
          <w:sz w:val="15"/>
        </w:rPr>
        <w:t>5</w:t>
        <w:tab/>
        <w:t>5</w:t>
        <w:tab/>
        <w:t>5   </w:t>
      </w:r>
      <w:r>
        <w:rPr>
          <w:spacing w:val="8"/>
          <w:w w:val="75"/>
          <w:sz w:val="15"/>
        </w:rPr>
        <w:t> </w:t>
      </w:r>
      <w:r>
        <w:rPr>
          <w:w w:val="75"/>
          <w:sz w:val="15"/>
        </w:rPr>
        <w:t>5</w:t>
      </w:r>
    </w:p>
    <w:p>
      <w:pPr>
        <w:spacing w:line="156" w:lineRule="exact" w:before="0"/>
        <w:ind w:left="686" w:right="0" w:firstLine="0"/>
        <w:jc w:val="center"/>
        <w:rPr>
          <w:sz w:val="15"/>
        </w:rPr>
      </w:pPr>
      <w:r>
        <w:rPr>
          <w:w w:val="75"/>
          <w:sz w:val="15"/>
        </w:rPr>
        <w:t>4    4</w:t>
      </w:r>
    </w:p>
    <w:p>
      <w:pPr>
        <w:spacing w:line="164" w:lineRule="exact" w:before="0"/>
        <w:ind w:left="0" w:right="617" w:firstLine="0"/>
        <w:jc w:val="right"/>
        <w:rPr>
          <w:sz w:val="15"/>
        </w:rPr>
      </w:pPr>
      <w:r>
        <w:rPr>
          <w:w w:val="63"/>
          <w:sz w:val="15"/>
        </w:rPr>
        <w:t>3</w:t>
      </w:r>
    </w:p>
    <w:p>
      <w:pPr>
        <w:tabs>
          <w:tab w:pos="939" w:val="left" w:leader="none"/>
        </w:tabs>
        <w:spacing w:line="157" w:lineRule="exact" w:before="0"/>
        <w:ind w:left="526" w:right="0" w:firstLine="0"/>
        <w:jc w:val="left"/>
        <w:rPr>
          <w:sz w:val="15"/>
        </w:rPr>
      </w:pPr>
      <w:r>
        <w:rPr/>
        <w:br w:type="column"/>
      </w:r>
      <w:r>
        <w:rPr>
          <w:w w:val="75"/>
          <w:sz w:val="15"/>
        </w:rPr>
        <w:t>5</w:t>
        <w:tab/>
        <w:t>5    5    5    </w:t>
      </w:r>
      <w:r>
        <w:rPr>
          <w:spacing w:val="14"/>
          <w:w w:val="75"/>
          <w:sz w:val="15"/>
        </w:rPr>
        <w:t> </w:t>
      </w:r>
      <w:r>
        <w:rPr>
          <w:w w:val="75"/>
          <w:sz w:val="15"/>
        </w:rPr>
        <w:t>5</w:t>
      </w:r>
    </w:p>
    <w:p>
      <w:pPr>
        <w:spacing w:line="157" w:lineRule="exact" w:before="0"/>
        <w:ind w:left="319" w:right="0" w:firstLine="0"/>
        <w:jc w:val="left"/>
        <w:rPr>
          <w:sz w:val="15"/>
        </w:rPr>
      </w:pPr>
      <w:r>
        <w:rPr/>
        <w:br w:type="column"/>
      </w:r>
      <w:r>
        <w:rPr>
          <w:w w:val="75"/>
          <w:sz w:val="15"/>
        </w:rPr>
        <w:t>5    5    5</w:t>
      </w:r>
    </w:p>
    <w:p>
      <w:pPr>
        <w:tabs>
          <w:tab w:pos="939" w:val="left" w:leader="none"/>
        </w:tabs>
        <w:spacing w:line="148" w:lineRule="exact" w:before="0"/>
        <w:ind w:left="319" w:right="0" w:firstLine="0"/>
        <w:jc w:val="left"/>
        <w:rPr>
          <w:sz w:val="15"/>
        </w:rPr>
      </w:pPr>
      <w:r>
        <w:rPr/>
        <w:br w:type="column"/>
      </w:r>
      <w:r>
        <w:rPr>
          <w:w w:val="75"/>
          <w:sz w:val="15"/>
        </w:rPr>
        <w:t>5   </w:t>
      </w:r>
      <w:r>
        <w:rPr>
          <w:spacing w:val="15"/>
          <w:w w:val="75"/>
          <w:sz w:val="15"/>
        </w:rPr>
        <w:t> </w:t>
      </w:r>
      <w:r>
        <w:rPr>
          <w:w w:val="75"/>
          <w:sz w:val="15"/>
        </w:rPr>
        <w:t>5</w:t>
        <w:tab/>
        <w:t>5</w:t>
      </w:r>
    </w:p>
    <w:p>
      <w:pPr>
        <w:spacing w:line="164" w:lineRule="exact" w:before="0"/>
        <w:ind w:left="0" w:right="544" w:firstLine="0"/>
        <w:jc w:val="center"/>
        <w:rPr>
          <w:sz w:val="15"/>
        </w:rPr>
      </w:pPr>
      <w:r>
        <w:rPr>
          <w:w w:val="63"/>
          <w:sz w:val="15"/>
        </w:rPr>
        <w:t>4</w:t>
      </w:r>
    </w:p>
    <w:p>
      <w:pPr>
        <w:pStyle w:val="BodyText"/>
        <w:rPr>
          <w:sz w:val="14"/>
        </w:rPr>
      </w:pPr>
    </w:p>
    <w:p>
      <w:pPr>
        <w:pStyle w:val="BodyText"/>
        <w:rPr>
          <w:sz w:val="14"/>
        </w:rPr>
      </w:pPr>
    </w:p>
    <w:p>
      <w:pPr>
        <w:pStyle w:val="BodyText"/>
        <w:spacing w:before="3"/>
        <w:rPr>
          <w:sz w:val="11"/>
        </w:rPr>
      </w:pPr>
    </w:p>
    <w:p>
      <w:pPr>
        <w:spacing w:before="1"/>
        <w:ind w:left="1352" w:right="0" w:firstLine="0"/>
        <w:jc w:val="left"/>
        <w:rPr>
          <w:sz w:val="15"/>
        </w:rPr>
      </w:pPr>
      <w:r>
        <w:rPr>
          <w:w w:val="63"/>
          <w:sz w:val="15"/>
        </w:rPr>
        <w:t>0</w:t>
      </w:r>
    </w:p>
    <w:p>
      <w:pPr>
        <w:spacing w:after="0"/>
        <w:jc w:val="left"/>
        <w:rPr>
          <w:sz w:val="15"/>
        </w:rPr>
        <w:sectPr>
          <w:type w:val="continuous"/>
          <w:pgSz w:w="12240" w:h="15840"/>
          <w:pgMar w:top="0" w:bottom="280" w:left="1600" w:right="1600"/>
          <w:cols w:num="5" w:equalWidth="0">
            <w:col w:w="1407" w:space="40"/>
            <w:col w:w="3011" w:space="40"/>
            <w:col w:w="1612" w:space="40"/>
            <w:col w:w="786" w:space="40"/>
            <w:col w:w="206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2"/>
        </w:rPr>
      </w:pPr>
    </w:p>
    <w:p>
      <w:pPr>
        <w:spacing w:before="94"/>
        <w:ind w:left="100" w:right="0" w:firstLine="0"/>
        <w:jc w:val="left"/>
        <w:rPr>
          <w:sz w:val="12"/>
        </w:rPr>
      </w:pPr>
      <w:r>
        <w:rPr>
          <w:sz w:val="12"/>
        </w:rPr>
        <w:t>FUENTE:      OECD, </w:t>
      </w:r>
      <w:r>
        <w:rPr>
          <w:i/>
          <w:sz w:val="12"/>
        </w:rPr>
        <w:t>Government at a Glance 2011</w:t>
      </w:r>
      <w:r>
        <w:rPr>
          <w:sz w:val="12"/>
        </w:rPr>
        <w:t>, p. 137.</w:t>
      </w:r>
    </w:p>
    <w:p>
      <w:pPr>
        <w:spacing w:line="264" w:lineRule="auto" w:before="14"/>
        <w:ind w:left="809" w:right="5288" w:firstLine="0"/>
        <w:jc w:val="left"/>
        <w:rPr>
          <w:sz w:val="12"/>
        </w:rPr>
      </w:pPr>
      <w:r>
        <w:rPr>
          <w:sz w:val="12"/>
        </w:rPr>
        <w:t>Disponible en: </w:t>
      </w:r>
      <w:hyperlink r:id="rId71">
        <w:r>
          <w:rPr>
            <w:sz w:val="12"/>
          </w:rPr>
          <w:t>http://dx.doi.org/10.1787/888932390937</w:t>
        </w:r>
      </w:hyperlink>
      <w:r>
        <w:rPr>
          <w:sz w:val="12"/>
        </w:rPr>
        <w:t> [Fecha de Consulta 29 de agosto, 2015]</w:t>
      </w:r>
    </w:p>
    <w:p>
      <w:pPr>
        <w:spacing w:line="264" w:lineRule="auto" w:before="0"/>
        <w:ind w:left="809" w:right="99" w:firstLine="0"/>
        <w:jc w:val="both"/>
        <w:rPr>
          <w:sz w:val="12"/>
        </w:rPr>
      </w:pPr>
      <w:r>
        <w:rPr>
          <w:sz w:val="12"/>
        </w:rPr>
        <w:t>Nota: </w:t>
      </w:r>
      <w:r>
        <w:rPr>
          <w:spacing w:val="2"/>
          <w:sz w:val="12"/>
        </w:rPr>
        <w:t>De </w:t>
      </w:r>
      <w:r>
        <w:rPr>
          <w:sz w:val="12"/>
        </w:rPr>
        <w:t>acuerdo con la reforma constitucional del 2004 de México, el plazo para que el Ejecutivo presente el presupuesto es el 8 </w:t>
      </w:r>
      <w:r>
        <w:rPr>
          <w:spacing w:val="2"/>
          <w:sz w:val="12"/>
        </w:rPr>
        <w:t>de </w:t>
      </w:r>
      <w:r>
        <w:rPr>
          <w:sz w:val="12"/>
        </w:rPr>
        <w:t>septiembre y debe ser</w:t>
      </w:r>
      <w:r>
        <w:rPr>
          <w:spacing w:val="-2"/>
          <w:sz w:val="12"/>
        </w:rPr>
        <w:t> </w:t>
      </w:r>
      <w:r>
        <w:rPr>
          <w:sz w:val="12"/>
        </w:rPr>
        <w:t>aprobado</w:t>
      </w:r>
      <w:r>
        <w:rPr>
          <w:spacing w:val="-9"/>
          <w:sz w:val="12"/>
        </w:rPr>
        <w:t> </w:t>
      </w:r>
      <w:r>
        <w:rPr>
          <w:sz w:val="12"/>
        </w:rPr>
        <w:t>por</w:t>
      </w:r>
      <w:r>
        <w:rPr>
          <w:spacing w:val="-2"/>
          <w:sz w:val="12"/>
        </w:rPr>
        <w:t> </w:t>
      </w:r>
      <w:r>
        <w:rPr>
          <w:sz w:val="12"/>
        </w:rPr>
        <w:t>el</w:t>
      </w:r>
      <w:r>
        <w:rPr>
          <w:spacing w:val="-5"/>
          <w:sz w:val="12"/>
        </w:rPr>
        <w:t> </w:t>
      </w:r>
      <w:r>
        <w:rPr>
          <w:sz w:val="12"/>
        </w:rPr>
        <w:t>Congreso</w:t>
      </w:r>
      <w:r>
        <w:rPr>
          <w:spacing w:val="-5"/>
          <w:sz w:val="12"/>
        </w:rPr>
        <w:t> </w:t>
      </w:r>
      <w:r>
        <w:rPr>
          <w:sz w:val="12"/>
        </w:rPr>
        <w:t>antes</w:t>
      </w:r>
      <w:r>
        <w:rPr>
          <w:spacing w:val="-6"/>
          <w:sz w:val="12"/>
        </w:rPr>
        <w:t> </w:t>
      </w:r>
      <w:r>
        <w:rPr>
          <w:sz w:val="12"/>
        </w:rPr>
        <w:t>del</w:t>
      </w:r>
      <w:r>
        <w:rPr>
          <w:spacing w:val="-5"/>
          <w:sz w:val="12"/>
        </w:rPr>
        <w:t> </w:t>
      </w:r>
      <w:r>
        <w:rPr>
          <w:sz w:val="12"/>
        </w:rPr>
        <w:t>15</w:t>
      </w:r>
      <w:r>
        <w:rPr>
          <w:spacing w:val="-5"/>
          <w:sz w:val="12"/>
        </w:rPr>
        <w:t> </w:t>
      </w:r>
      <w:r>
        <w:rPr>
          <w:sz w:val="12"/>
        </w:rPr>
        <w:t>de</w:t>
      </w:r>
      <w:r>
        <w:rPr>
          <w:spacing w:val="-9"/>
          <w:sz w:val="12"/>
        </w:rPr>
        <w:t> </w:t>
      </w:r>
      <w:r>
        <w:rPr>
          <w:sz w:val="12"/>
        </w:rPr>
        <w:t>noviembre.</w:t>
      </w:r>
      <w:r>
        <w:rPr>
          <w:spacing w:val="-7"/>
          <w:sz w:val="12"/>
        </w:rPr>
        <w:t> </w:t>
      </w:r>
      <w:r>
        <w:rPr>
          <w:spacing w:val="2"/>
          <w:sz w:val="12"/>
        </w:rPr>
        <w:t>De</w:t>
      </w:r>
      <w:r>
        <w:rPr>
          <w:spacing w:val="-5"/>
          <w:sz w:val="12"/>
        </w:rPr>
        <w:t> </w:t>
      </w:r>
      <w:r>
        <w:rPr>
          <w:sz w:val="12"/>
        </w:rPr>
        <w:t>acuerdo</w:t>
      </w:r>
      <w:r>
        <w:rPr>
          <w:spacing w:val="-5"/>
          <w:sz w:val="12"/>
        </w:rPr>
        <w:t> </w:t>
      </w:r>
      <w:r>
        <w:rPr>
          <w:sz w:val="12"/>
        </w:rPr>
        <w:t>con</w:t>
      </w:r>
      <w:r>
        <w:rPr>
          <w:spacing w:val="-5"/>
          <w:sz w:val="12"/>
        </w:rPr>
        <w:t> </w:t>
      </w:r>
      <w:r>
        <w:rPr>
          <w:sz w:val="12"/>
        </w:rPr>
        <w:t>la</w:t>
      </w:r>
      <w:r>
        <w:rPr>
          <w:spacing w:val="-5"/>
          <w:sz w:val="12"/>
        </w:rPr>
        <w:t> </w:t>
      </w:r>
      <w:r>
        <w:rPr>
          <w:sz w:val="12"/>
        </w:rPr>
        <w:t>Ley</w:t>
      </w:r>
      <w:r>
        <w:rPr>
          <w:spacing w:val="-6"/>
          <w:sz w:val="12"/>
        </w:rPr>
        <w:t> </w:t>
      </w:r>
      <w:r>
        <w:rPr>
          <w:sz w:val="12"/>
        </w:rPr>
        <w:t>Federal</w:t>
      </w:r>
      <w:r>
        <w:rPr>
          <w:spacing w:val="-5"/>
          <w:sz w:val="12"/>
        </w:rPr>
        <w:t> </w:t>
      </w:r>
      <w:r>
        <w:rPr>
          <w:sz w:val="12"/>
        </w:rPr>
        <w:t>de</w:t>
      </w:r>
      <w:r>
        <w:rPr>
          <w:spacing w:val="-5"/>
          <w:sz w:val="12"/>
        </w:rPr>
        <w:t> </w:t>
      </w:r>
      <w:r>
        <w:rPr>
          <w:sz w:val="12"/>
        </w:rPr>
        <w:t>Presupuesto</w:t>
      </w:r>
      <w:r>
        <w:rPr>
          <w:spacing w:val="-5"/>
          <w:sz w:val="12"/>
        </w:rPr>
        <w:t> </w:t>
      </w:r>
      <w:r>
        <w:rPr>
          <w:sz w:val="12"/>
        </w:rPr>
        <w:t>y</w:t>
      </w:r>
      <w:r>
        <w:rPr>
          <w:spacing w:val="-6"/>
          <w:sz w:val="12"/>
        </w:rPr>
        <w:t> </w:t>
      </w:r>
      <w:r>
        <w:rPr>
          <w:sz w:val="12"/>
        </w:rPr>
        <w:t>Responsabilidad</w:t>
      </w:r>
      <w:r>
        <w:rPr>
          <w:spacing w:val="-5"/>
          <w:sz w:val="12"/>
        </w:rPr>
        <w:t> </w:t>
      </w:r>
      <w:r>
        <w:rPr>
          <w:sz w:val="12"/>
        </w:rPr>
        <w:t>Hacendaria</w:t>
      </w:r>
      <w:r>
        <w:rPr>
          <w:spacing w:val="-9"/>
          <w:sz w:val="12"/>
        </w:rPr>
        <w:t> </w:t>
      </w:r>
      <w:r>
        <w:rPr>
          <w:spacing w:val="2"/>
          <w:sz w:val="12"/>
        </w:rPr>
        <w:t>de</w:t>
      </w:r>
      <w:r>
        <w:rPr>
          <w:spacing w:val="-9"/>
          <w:sz w:val="12"/>
        </w:rPr>
        <w:t> </w:t>
      </w:r>
      <w:r>
        <w:rPr>
          <w:sz w:val="12"/>
        </w:rPr>
        <w:t>2006,</w:t>
      </w:r>
      <w:r>
        <w:rPr>
          <w:spacing w:val="-7"/>
          <w:sz w:val="12"/>
        </w:rPr>
        <w:t> </w:t>
      </w:r>
      <w:r>
        <w:rPr>
          <w:sz w:val="12"/>
        </w:rPr>
        <w:t>cuando hay un cambio de Gobierno Federal (cada seis años) el presupuesto debe ser presentado al Congreso a más tardar el 15 de diciembre y ser aprobado antes del 31 de</w:t>
      </w:r>
      <w:r>
        <w:rPr>
          <w:spacing w:val="-11"/>
          <w:sz w:val="12"/>
        </w:rPr>
        <w:t> </w:t>
      </w:r>
      <w:r>
        <w:rPr>
          <w:sz w:val="12"/>
        </w:rPr>
        <w:t>diciembre.</w:t>
      </w:r>
    </w:p>
    <w:p>
      <w:pPr>
        <w:spacing w:after="0" w:line="264" w:lineRule="auto"/>
        <w:jc w:val="both"/>
        <w:rPr>
          <w:sz w:val="12"/>
        </w:rPr>
        <w:sectPr>
          <w:type w:val="continuous"/>
          <w:pgSz w:w="12240" w:h="15840"/>
          <w:pgMar w:top="0" w:bottom="280" w:left="1600" w:right="1600"/>
        </w:sectPr>
      </w:pPr>
    </w:p>
    <w:p>
      <w:pPr>
        <w:pStyle w:val="BodyText"/>
        <w:spacing w:line="360" w:lineRule="auto" w:before="55"/>
        <w:ind w:left="100" w:right="119" w:firstLine="427"/>
        <w:jc w:val="both"/>
      </w:pPr>
      <w:r>
        <w:rPr/>
        <w:t>Se observó que los congresos de Estados Unidos y Alemania cuentan con el mayor tiempo para la revisión, análisis y corrección de las propuestas presupuestarias (con 8 y 5 meses aproximadamente) antes del inicio del ejercicio fiscal. En México, el Congreso dispone de un tiempo aproximado de 3 meses previos</w:t>
      </w:r>
      <w:r>
        <w:rPr>
          <w:spacing w:val="-4"/>
        </w:rPr>
        <w:t> </w:t>
      </w:r>
      <w:r>
        <w:rPr/>
        <w:t>al</w:t>
      </w:r>
      <w:r>
        <w:rPr>
          <w:spacing w:val="-6"/>
        </w:rPr>
        <w:t> </w:t>
      </w:r>
      <w:r>
        <w:rPr/>
        <w:t>inicio</w:t>
      </w:r>
      <w:r>
        <w:rPr>
          <w:spacing w:val="-6"/>
        </w:rPr>
        <w:t> </w:t>
      </w:r>
      <w:r>
        <w:rPr/>
        <w:t>del</w:t>
      </w:r>
      <w:r>
        <w:rPr>
          <w:spacing w:val="-6"/>
        </w:rPr>
        <w:t> </w:t>
      </w:r>
      <w:r>
        <w:rPr/>
        <w:t>ejercicio</w:t>
      </w:r>
      <w:r>
        <w:rPr>
          <w:spacing w:val="-6"/>
        </w:rPr>
        <w:t> </w:t>
      </w:r>
      <w:r>
        <w:rPr/>
        <w:t>fiscal</w:t>
      </w:r>
      <w:r>
        <w:rPr>
          <w:spacing w:val="-6"/>
        </w:rPr>
        <w:t> </w:t>
      </w:r>
      <w:r>
        <w:rPr/>
        <w:t>para</w:t>
      </w:r>
      <w:r>
        <w:rPr>
          <w:spacing w:val="-6"/>
        </w:rPr>
        <w:t> </w:t>
      </w:r>
      <w:r>
        <w:rPr/>
        <w:t>la</w:t>
      </w:r>
      <w:r>
        <w:rPr>
          <w:spacing w:val="-6"/>
        </w:rPr>
        <w:t> </w:t>
      </w:r>
      <w:r>
        <w:rPr/>
        <w:t>revisión,</w:t>
      </w:r>
      <w:r>
        <w:rPr>
          <w:spacing w:val="-4"/>
        </w:rPr>
        <w:t> </w:t>
      </w:r>
      <w:r>
        <w:rPr/>
        <w:t>análisis y</w:t>
      </w:r>
      <w:r>
        <w:rPr>
          <w:spacing w:val="-9"/>
        </w:rPr>
        <w:t> </w:t>
      </w:r>
      <w:r>
        <w:rPr/>
        <w:t>los</w:t>
      </w:r>
      <w:r>
        <w:rPr>
          <w:spacing w:val="-4"/>
        </w:rPr>
        <w:t> </w:t>
      </w:r>
      <w:r>
        <w:rPr/>
        <w:t>ajustes</w:t>
      </w:r>
      <w:r>
        <w:rPr>
          <w:spacing w:val="-4"/>
        </w:rPr>
        <w:t> </w:t>
      </w:r>
      <w:r>
        <w:rPr/>
        <w:t>pertinentes al proyecto de presupuesto (al igual que Reino Unido y</w:t>
      </w:r>
      <w:r>
        <w:rPr>
          <w:spacing w:val="-29"/>
        </w:rPr>
        <w:t> </w:t>
      </w:r>
      <w:r>
        <w:rPr/>
        <w:t>España).</w:t>
      </w:r>
    </w:p>
    <w:p>
      <w:pPr>
        <w:pStyle w:val="BodyText"/>
        <w:spacing w:line="360" w:lineRule="auto" w:before="2"/>
        <w:ind w:left="100" w:right="119" w:firstLine="427"/>
        <w:jc w:val="both"/>
      </w:pPr>
      <w:r>
        <w:rPr/>
        <w:t>La OCDE recomendó efectuar mejores prácticas en transparencia presupuestaria;</w:t>
      </w:r>
      <w:r>
        <w:rPr>
          <w:spacing w:val="-6"/>
        </w:rPr>
        <w:t> </w:t>
      </w:r>
      <w:r>
        <w:rPr/>
        <w:t>por</w:t>
      </w:r>
      <w:r>
        <w:rPr>
          <w:spacing w:val="-7"/>
        </w:rPr>
        <w:t> </w:t>
      </w:r>
      <w:r>
        <w:rPr/>
        <w:t>ejemplo,</w:t>
      </w:r>
      <w:r>
        <w:rPr>
          <w:spacing w:val="-6"/>
        </w:rPr>
        <w:t> </w:t>
      </w:r>
      <w:r>
        <w:rPr/>
        <w:t>que</w:t>
      </w:r>
      <w:r>
        <w:rPr>
          <w:spacing w:val="-9"/>
        </w:rPr>
        <w:t> </w:t>
      </w:r>
      <w:r>
        <w:rPr/>
        <w:t>el</w:t>
      </w:r>
      <w:r>
        <w:rPr>
          <w:spacing w:val="-6"/>
        </w:rPr>
        <w:t> </w:t>
      </w:r>
      <w:r>
        <w:rPr/>
        <w:t>proyecto</w:t>
      </w:r>
      <w:r>
        <w:rPr>
          <w:spacing w:val="-9"/>
        </w:rPr>
        <w:t> </w:t>
      </w:r>
      <w:r>
        <w:rPr/>
        <w:t>de</w:t>
      </w:r>
      <w:r>
        <w:rPr>
          <w:spacing w:val="-6"/>
        </w:rPr>
        <w:t> </w:t>
      </w:r>
      <w:r>
        <w:rPr/>
        <w:t>presupuesto</w:t>
      </w:r>
      <w:r>
        <w:rPr>
          <w:spacing w:val="-9"/>
        </w:rPr>
        <w:t> </w:t>
      </w:r>
      <w:r>
        <w:rPr/>
        <w:t>del</w:t>
      </w:r>
      <w:r>
        <w:rPr>
          <w:spacing w:val="-6"/>
        </w:rPr>
        <w:t> </w:t>
      </w:r>
      <w:r>
        <w:rPr/>
        <w:t>ejecutivo</w:t>
      </w:r>
      <w:r>
        <w:rPr>
          <w:spacing w:val="-9"/>
        </w:rPr>
        <w:t> </w:t>
      </w:r>
      <w:r>
        <w:rPr/>
        <w:t>debe</w:t>
      </w:r>
      <w:r>
        <w:rPr>
          <w:spacing w:val="-9"/>
        </w:rPr>
        <w:t> </w:t>
      </w:r>
      <w:r>
        <w:rPr/>
        <w:t>ser presentado</w:t>
      </w:r>
      <w:r>
        <w:rPr>
          <w:spacing w:val="-13"/>
        </w:rPr>
        <w:t> </w:t>
      </w:r>
      <w:r>
        <w:rPr/>
        <w:t>con</w:t>
      </w:r>
      <w:r>
        <w:rPr>
          <w:spacing w:val="-13"/>
        </w:rPr>
        <w:t> </w:t>
      </w:r>
      <w:r>
        <w:rPr/>
        <w:t>suficiente</w:t>
      </w:r>
      <w:r>
        <w:rPr>
          <w:spacing w:val="-13"/>
        </w:rPr>
        <w:t> </w:t>
      </w:r>
      <w:r>
        <w:rPr/>
        <w:t>antelación</w:t>
      </w:r>
      <w:r>
        <w:rPr>
          <w:spacing w:val="-13"/>
        </w:rPr>
        <w:t> </w:t>
      </w:r>
      <w:r>
        <w:rPr/>
        <w:t>para</w:t>
      </w:r>
      <w:r>
        <w:rPr>
          <w:spacing w:val="-13"/>
        </w:rPr>
        <w:t> </w:t>
      </w:r>
      <w:r>
        <w:rPr/>
        <w:t>permitir</w:t>
      </w:r>
      <w:r>
        <w:rPr>
          <w:spacing w:val="-11"/>
        </w:rPr>
        <w:t> </w:t>
      </w:r>
      <w:r>
        <w:rPr/>
        <w:t>la</w:t>
      </w:r>
      <w:r>
        <w:rPr>
          <w:spacing w:val="-13"/>
        </w:rPr>
        <w:t> </w:t>
      </w:r>
      <w:r>
        <w:rPr/>
        <w:t>adecuada</w:t>
      </w:r>
      <w:r>
        <w:rPr>
          <w:spacing w:val="-13"/>
        </w:rPr>
        <w:t> </w:t>
      </w:r>
      <w:r>
        <w:rPr/>
        <w:t>revisión</w:t>
      </w:r>
      <w:r>
        <w:rPr>
          <w:spacing w:val="-13"/>
        </w:rPr>
        <w:t> </w:t>
      </w:r>
      <w:r>
        <w:rPr/>
        <w:t>por</w:t>
      </w:r>
      <w:r>
        <w:rPr>
          <w:spacing w:val="-11"/>
        </w:rPr>
        <w:t> </w:t>
      </w:r>
      <w:r>
        <w:rPr/>
        <w:t>parte</w:t>
      </w:r>
      <w:r>
        <w:rPr>
          <w:spacing w:val="-13"/>
        </w:rPr>
        <w:t> </w:t>
      </w:r>
      <w:r>
        <w:rPr/>
        <w:t>de la legislatura. Esto es particularmente importante con el fin de garantizar que los comités legislativos tengan tiempo suficiente para la revisión, el debate y la propuesta de</w:t>
      </w:r>
      <w:r>
        <w:rPr>
          <w:spacing w:val="-14"/>
        </w:rPr>
        <w:t> </w:t>
      </w:r>
      <w:r>
        <w:rPr/>
        <w:t>reformas.</w:t>
      </w:r>
    </w:p>
    <w:p>
      <w:pPr>
        <w:pStyle w:val="BodyText"/>
      </w:pPr>
    </w:p>
    <w:p>
      <w:pPr>
        <w:pStyle w:val="BodyText"/>
        <w:spacing w:line="360" w:lineRule="auto" w:before="142"/>
        <w:ind w:left="100" w:right="122" w:firstLine="427"/>
        <w:jc w:val="both"/>
      </w:pPr>
      <w:r>
        <w:rPr/>
        <w:t>La presentación del proyecto no debería ser menor de tres meses antes de iniciar el año fiscal y el presupuesto debe ser aprobado por la legislatura antes de iniciar dicho año.</w:t>
      </w:r>
    </w:p>
    <w:p>
      <w:pPr>
        <w:pStyle w:val="BodyText"/>
        <w:spacing w:before="11"/>
        <w:rPr>
          <w:sz w:val="35"/>
        </w:rPr>
      </w:pPr>
    </w:p>
    <w:p>
      <w:pPr>
        <w:pStyle w:val="ListParagraph"/>
        <w:numPr>
          <w:ilvl w:val="0"/>
          <w:numId w:val="38"/>
        </w:numPr>
        <w:tabs>
          <w:tab w:pos="381" w:val="left" w:leader="none"/>
        </w:tabs>
        <w:spacing w:line="240" w:lineRule="auto" w:before="0" w:after="0"/>
        <w:ind w:left="380" w:right="0" w:hanging="280"/>
        <w:jc w:val="left"/>
        <w:rPr>
          <w:i/>
          <w:sz w:val="24"/>
        </w:rPr>
      </w:pPr>
      <w:r>
        <w:rPr>
          <w:i/>
          <w:sz w:val="24"/>
        </w:rPr>
        <w:t>Índice de Presupuesto Abierto,</w:t>
      </w:r>
      <w:r>
        <w:rPr>
          <w:i/>
          <w:spacing w:val="-18"/>
          <w:sz w:val="24"/>
        </w:rPr>
        <w:t> </w:t>
      </w:r>
      <w:r>
        <w:rPr>
          <w:i/>
          <w:sz w:val="24"/>
        </w:rPr>
        <w:t>2012</w:t>
      </w:r>
    </w:p>
    <w:p>
      <w:pPr>
        <w:pStyle w:val="BodyText"/>
        <w:rPr>
          <w:i/>
        </w:rPr>
      </w:pPr>
    </w:p>
    <w:p>
      <w:pPr>
        <w:pStyle w:val="BodyText"/>
        <w:rPr>
          <w:i/>
        </w:rPr>
      </w:pPr>
    </w:p>
    <w:p>
      <w:pPr>
        <w:pStyle w:val="BodyText"/>
        <w:spacing w:line="360" w:lineRule="auto"/>
        <w:ind w:left="100" w:right="114" w:firstLine="427"/>
        <w:jc w:val="both"/>
      </w:pPr>
      <w:r>
        <w:rPr/>
        <w:t>En enero de 2013, </w:t>
      </w:r>
      <w:r>
        <w:rPr>
          <w:i/>
        </w:rPr>
        <w:t>International Budget Partnership. Open Budgets, </w:t>
      </w:r>
      <w:r>
        <w:rPr/>
        <w:t>publicó su informe bienal </w:t>
      </w:r>
      <w:r>
        <w:rPr>
          <w:i/>
        </w:rPr>
        <w:t>The Open Budget Survey 2012 </w:t>
      </w:r>
      <w:r>
        <w:rPr/>
        <w:t>(Encuesta de Presupuesto abierto) con base en la cual calculó el Índice de Presupuesto Abierto. El documento se orientó a medir el grado de disponibilidad de la información presupuestaria, con la finalidad de que la sociedad pueda juzgar si los recursos públicos se están administrando en forma eficiente.</w:t>
      </w:r>
    </w:p>
    <w:p>
      <w:pPr>
        <w:pStyle w:val="BodyText"/>
        <w:spacing w:line="360" w:lineRule="auto" w:before="6"/>
        <w:ind w:left="100" w:right="114" w:firstLine="427"/>
        <w:jc w:val="both"/>
      </w:pPr>
      <w:r>
        <w:rPr/>
        <w:t>Con</w:t>
      </w:r>
      <w:r>
        <w:rPr>
          <w:spacing w:val="-9"/>
        </w:rPr>
        <w:t> </w:t>
      </w:r>
      <w:r>
        <w:rPr/>
        <w:t>el</w:t>
      </w:r>
      <w:r>
        <w:rPr>
          <w:spacing w:val="-8"/>
        </w:rPr>
        <w:t> </w:t>
      </w:r>
      <w:r>
        <w:rPr/>
        <w:t>objetivo</w:t>
      </w:r>
      <w:r>
        <w:rPr>
          <w:spacing w:val="-9"/>
        </w:rPr>
        <w:t> </w:t>
      </w:r>
      <w:r>
        <w:rPr/>
        <w:t>de</w:t>
      </w:r>
      <w:r>
        <w:rPr>
          <w:spacing w:val="-9"/>
        </w:rPr>
        <w:t> </w:t>
      </w:r>
      <w:r>
        <w:rPr/>
        <w:t>promover</w:t>
      </w:r>
      <w:r>
        <w:rPr>
          <w:spacing w:val="-8"/>
        </w:rPr>
        <w:t> </w:t>
      </w:r>
      <w:r>
        <w:rPr/>
        <w:t>la</w:t>
      </w:r>
      <w:r>
        <w:rPr>
          <w:spacing w:val="-9"/>
        </w:rPr>
        <w:t> </w:t>
      </w:r>
      <w:r>
        <w:rPr/>
        <w:t>adopción</w:t>
      </w:r>
      <w:r>
        <w:rPr>
          <w:spacing w:val="-9"/>
        </w:rPr>
        <w:t> </w:t>
      </w:r>
      <w:r>
        <w:rPr/>
        <w:t>de</w:t>
      </w:r>
      <w:r>
        <w:rPr>
          <w:spacing w:val="-9"/>
        </w:rPr>
        <w:t> </w:t>
      </w:r>
      <w:r>
        <w:rPr/>
        <w:t>las</w:t>
      </w:r>
      <w:r>
        <w:rPr>
          <w:spacing w:val="-8"/>
        </w:rPr>
        <w:t> </w:t>
      </w:r>
      <w:r>
        <w:rPr/>
        <w:t>mejores</w:t>
      </w:r>
      <w:r>
        <w:rPr>
          <w:spacing w:val="-8"/>
        </w:rPr>
        <w:t> </w:t>
      </w:r>
      <w:r>
        <w:rPr/>
        <w:t>prácticas</w:t>
      </w:r>
      <w:r>
        <w:rPr>
          <w:spacing w:val="-8"/>
        </w:rPr>
        <w:t> </w:t>
      </w:r>
      <w:r>
        <w:rPr/>
        <w:t>en</w:t>
      </w:r>
      <w:r>
        <w:rPr>
          <w:spacing w:val="-9"/>
        </w:rPr>
        <w:t> </w:t>
      </w:r>
      <w:r>
        <w:rPr/>
        <w:t>materia</w:t>
      </w:r>
      <w:r>
        <w:rPr>
          <w:spacing w:val="-6"/>
        </w:rPr>
        <w:t> </w:t>
      </w:r>
      <w:r>
        <w:rPr/>
        <w:t>de finanzas</w:t>
      </w:r>
      <w:r>
        <w:rPr>
          <w:spacing w:val="-8"/>
        </w:rPr>
        <w:t> </w:t>
      </w:r>
      <w:r>
        <w:rPr/>
        <w:t>públicas,</w:t>
      </w:r>
      <w:r>
        <w:rPr>
          <w:spacing w:val="-7"/>
        </w:rPr>
        <w:t> </w:t>
      </w:r>
      <w:r>
        <w:rPr/>
        <w:t>la</w:t>
      </w:r>
      <w:r>
        <w:rPr>
          <w:spacing w:val="-10"/>
        </w:rPr>
        <w:t> </w:t>
      </w:r>
      <w:r>
        <w:rPr/>
        <w:t>organización</w:t>
      </w:r>
      <w:r>
        <w:rPr>
          <w:spacing w:val="-10"/>
        </w:rPr>
        <w:t> </w:t>
      </w:r>
      <w:r>
        <w:rPr/>
        <w:t>internacional</w:t>
      </w:r>
      <w:r>
        <w:rPr>
          <w:spacing w:val="-9"/>
        </w:rPr>
        <w:t> </w:t>
      </w:r>
      <w:r>
        <w:rPr/>
        <w:t>resaltó</w:t>
      </w:r>
      <w:r>
        <w:rPr>
          <w:spacing w:val="-10"/>
        </w:rPr>
        <w:t> </w:t>
      </w:r>
      <w:r>
        <w:rPr/>
        <w:t>la</w:t>
      </w:r>
      <w:r>
        <w:rPr>
          <w:spacing w:val="-10"/>
        </w:rPr>
        <w:t> </w:t>
      </w:r>
      <w:r>
        <w:rPr/>
        <w:t>importancia</w:t>
      </w:r>
      <w:r>
        <w:rPr>
          <w:spacing w:val="-10"/>
        </w:rPr>
        <w:t> </w:t>
      </w:r>
      <w:r>
        <w:rPr/>
        <w:t>de</w:t>
      </w:r>
      <w:r>
        <w:rPr>
          <w:spacing w:val="-10"/>
        </w:rPr>
        <w:t> </w:t>
      </w:r>
      <w:r>
        <w:rPr/>
        <w:t>contar</w:t>
      </w:r>
      <w:r>
        <w:rPr>
          <w:spacing w:val="-8"/>
        </w:rPr>
        <w:t> </w:t>
      </w:r>
      <w:r>
        <w:rPr/>
        <w:t>con una sociedad participativa, también consideró primordial contar con un congreso responsable e instituciones de fiscalización sólidas. Lo anterior, de acuerdo con la organización, puede reducir la corrupción y orientar los recursos hacia la disminución de la</w:t>
      </w:r>
      <w:r>
        <w:rPr>
          <w:spacing w:val="-18"/>
        </w:rPr>
        <w:t> </w:t>
      </w:r>
      <w:r>
        <w:rPr/>
        <w:t>pobreza.</w:t>
      </w:r>
    </w:p>
    <w:p>
      <w:pPr>
        <w:spacing w:after="0" w:line="360" w:lineRule="auto"/>
        <w:jc w:val="both"/>
        <w:sectPr>
          <w:pgSz w:w="12240" w:h="15840"/>
          <w:pgMar w:header="0" w:footer="998" w:top="1360" w:bottom="1180" w:left="1600" w:right="1580"/>
        </w:sectPr>
      </w:pPr>
    </w:p>
    <w:p>
      <w:pPr>
        <w:pStyle w:val="BodyText"/>
        <w:spacing w:line="360" w:lineRule="auto" w:before="55"/>
        <w:ind w:left="100" w:right="101" w:firstLine="427"/>
        <w:jc w:val="both"/>
      </w:pPr>
      <w:r>
        <w:rPr/>
        <w:t>La escala de medición es de 0 a 100 puntos, donde valores altos implican que la información disponible es extensa, mientras que valores 0 y cercanos, poca o nula información. Los resultados muestran que México ha mejorado en presentar información presupuestaria, pasando de 50 puntos en 2006 a 61 en 2012.</w:t>
      </w:r>
    </w:p>
    <w:p>
      <w:pPr>
        <w:pStyle w:val="BodyText"/>
      </w:pPr>
    </w:p>
    <w:p>
      <w:pPr>
        <w:spacing w:before="144"/>
        <w:ind w:left="2001" w:right="0" w:firstLine="0"/>
        <w:jc w:val="left"/>
        <w:rPr>
          <w:sz w:val="20"/>
        </w:rPr>
      </w:pPr>
      <w:r>
        <w:rPr/>
        <w:pict>
          <v:group style="position:absolute;margin-left:107.849991pt;margin-top:28.929907pt;width:393.05pt;height:221.45pt;mso-position-horizontal-relative:page;mso-position-vertical-relative:paragraph;z-index:-352840" coordorigin="2157,579" coordsize="7861,4429">
            <v:shape style="position:absolute;left:2157;top:579;width:7861;height:4429" type="#_x0000_t75" stroked="false">
              <v:imagedata r:id="rId72" o:title=""/>
            </v:shape>
            <v:shape style="position:absolute;left:3690;top:1361;width:4936;height:1231" coordorigin="3690,1361" coordsize="4936,1231" path="m7227,1819l7227,1818,7227,1819,7227,1819m7228,1820l7227,1819,7227,1819,7227,1818,7227,1819,7227,1819,7227,1819,7227,1819,7227,1820,7227,1819,7228,1820m8486,1460l8435,1438,8262,1364,8250,1361,8239,1362,8229,1365,8221,1372,8217,1380,8218,1388,8223,1396,8231,1402,8316,1438,3690,1438,3690,1482,8316,1482,8231,1518,8223,1524,8218,1531,8217,1540,8221,1548,8229,1555,8239,1558,8250,1559,8262,1556,8435,1482,8486,1460m8596,1969l8371,1872,8360,1869,8349,1870,8338,1873,8330,1880,8326,1888,8327,1896,8332,1904,8341,1910,8423,1945,8336,1943,8208,1939,8084,1934,7964,1927,7849,1919,7793,1915,7688,1906,7638,1901,7568,1893,7502,1884,7461,1878,7442,1875,7405,1869,7371,1863,7356,1860,7340,1857,7313,1851,7300,1847,7289,1844,7278,1841,7268,1838,7259,1835,7251,1832,7247,1830,7245,1829,7239,1827,7234,1825,7231,1822,7230,1822,7229,1821,7229,1821,7228,1820,7227,1820,7227,1819,7227,1819,7227,1819,7227,1819,7227,1818,7227,1818,7227,1818,7226,1818,7226,1819,7226,1819,7226,1819,7226,1818,7226,1818,7226,1818,7226,1818,7226,1818,7226,1818,7226,1818,7226,1819,7226,1819,7226,1818,7226,1817,7226,1817,7226,1815,7225,1811,7224,1809,7222,1806,7220,1803,7215,1799,7213,1797,7205,1793,7204,1792,7203,1791,7201,1791,7191,1786,7178,1782,7171,1780,7171,1829,7171,1829,7171,1829,7171,1829,7171,1829,7171,1829,7171,1829,7171,1829,7171,1780,7165,1778,7149,1775,7131,1771,7112,1768,7090,1764,7067,1761,7042,1757,7014,1754,6985,1750,6922,1744,6852,1737,6774,1731,6647,1722,6404,1707,6069,1691,5426,1669,4708,1655,3954,1650,3954,1694,4258,1694,4855,1701,5559,1717,6182,1740,6501,1757,6727,1772,6845,1781,6946,1791,7005,1797,7031,1801,7056,1804,7078,1807,7099,1811,7117,1814,7133,1817,7146,1820,7157,1823,7166,1826,7168,1827,7168,1827,7168,1827,7168,1827,7168,1827,7168,1826,7168,1825,7168,1827,7170,1828,7168,1827,7168,1827,7168,1828,7168,1829,7170,1834,7171,1835,7171,1836,7172,1837,7175,1841,7176,1842,7176,1843,7177,1844,7181,1847,7187,1853,7195,1858,7203,1862,7212,1866,7221,1870,7232,1874,7242,1878,7254,1882,7266,1885,7280,1889,7293,1892,7308,1896,7323,1899,7339,1902,7373,1909,7410,1915,7429,1918,7469,1924,7490,1927,7535,1933,7605,1941,7680,1949,7732,1954,7842,1963,7958,1971,8080,1978,8205,1983,8398,1989,8427,1989,8340,2026,8331,2032,8329,2035,8315,2030,8303,2028,8292,2029,8282,2033,8274,2040,8271,2049,8273,2057,8278,2064,8288,2070,8375,2101,5168,2259,5172,2303,8379,2145,8298,2185,8290,2192,8286,2200,8286,2208,8291,2216,8299,2222,8310,2225,8321,2225,8332,2222,8548,2115,8495,2096,8387,2057,8544,1990,8596,1969m8626,2492l8574,2470,8401,2396,8390,2394,8378,2394,8368,2398,8360,2404,8356,2413,8357,2421,8362,2429,8371,2434,8455,2470,6657,2470,6657,2514,8455,2514,8371,2550,8362,2556,8357,2564,8356,2572,8360,2581,8368,2587,8378,2591,8390,2591,8401,2588,8574,2514,8626,2492e" filled="true" fillcolor="#497dba" stroked="false">
              <v:path arrowok="t"/>
              <v:fill type="solid"/>
            </v:shape>
            <w10:wrap type="none"/>
          </v:group>
        </w:pict>
      </w:r>
      <w:bookmarkStart w:name="_bookmark34" w:id="47"/>
      <w:bookmarkEnd w:id="47"/>
      <w:r>
        <w:rPr/>
      </w:r>
      <w:r>
        <w:rPr>
          <w:sz w:val="20"/>
        </w:rPr>
        <w:t>Esquema 1.6. Índice de Presupuesto Abierto, 2006-2012</w:t>
      </w:r>
    </w:p>
    <w:p>
      <w:pPr>
        <w:pStyle w:val="BodyText"/>
        <w:spacing w:before="4"/>
        <w:rPr>
          <w:sz w:val="17"/>
        </w:rPr>
      </w:pPr>
    </w:p>
    <w:tbl>
      <w:tblPr>
        <w:tblW w:w="0" w:type="auto"/>
        <w:jc w:val="left"/>
        <w:tblInd w:w="5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0"/>
        <w:gridCol w:w="279"/>
        <w:gridCol w:w="615"/>
        <w:gridCol w:w="914"/>
        <w:gridCol w:w="1529"/>
        <w:gridCol w:w="1529"/>
        <w:gridCol w:w="1649"/>
      </w:tblGrid>
      <w:tr>
        <w:trPr>
          <w:trHeight w:val="594" w:hRule="exact"/>
        </w:trPr>
        <w:tc>
          <w:tcPr>
            <w:tcW w:w="1529" w:type="dxa"/>
            <w:gridSpan w:val="2"/>
            <w:tcBorders>
              <w:top w:val="single" w:sz="3" w:space="0" w:color="FFFFFF"/>
              <w:left w:val="single" w:sz="5" w:space="0" w:color="FFFFFF"/>
              <w:bottom w:val="single" w:sz="10" w:space="0" w:color="FFFFFF"/>
              <w:right w:val="single" w:sz="5" w:space="0" w:color="FFFFFF"/>
            </w:tcBorders>
            <w:shd w:val="clear" w:color="auto" w:fill="205868"/>
          </w:tcPr>
          <w:p>
            <w:pPr>
              <w:pStyle w:val="TableParagraph"/>
              <w:spacing w:before="7"/>
              <w:rPr>
                <w:sz w:val="18"/>
              </w:rPr>
            </w:pPr>
          </w:p>
          <w:p>
            <w:pPr>
              <w:pStyle w:val="TableParagraph"/>
              <w:ind w:left="527" w:right="528"/>
              <w:jc w:val="center"/>
              <w:rPr>
                <w:b/>
                <w:sz w:val="14"/>
              </w:rPr>
            </w:pPr>
            <w:r>
              <w:rPr>
                <w:b/>
                <w:color w:val="FFFFFF"/>
                <w:w w:val="135"/>
                <w:sz w:val="14"/>
              </w:rPr>
              <w:t>2006</w:t>
            </w:r>
          </w:p>
        </w:tc>
        <w:tc>
          <w:tcPr>
            <w:tcW w:w="1529" w:type="dxa"/>
            <w:gridSpan w:val="2"/>
            <w:tcBorders>
              <w:top w:val="single" w:sz="3" w:space="0" w:color="FFFFFF"/>
              <w:left w:val="single" w:sz="5" w:space="0" w:color="FFFFFF"/>
              <w:bottom w:val="single" w:sz="10" w:space="0" w:color="FFFFFF"/>
              <w:right w:val="single" w:sz="5" w:space="0" w:color="FFFFFF"/>
            </w:tcBorders>
            <w:shd w:val="clear" w:color="auto" w:fill="205868"/>
          </w:tcPr>
          <w:p>
            <w:pPr>
              <w:pStyle w:val="TableParagraph"/>
              <w:spacing w:before="7"/>
              <w:rPr>
                <w:sz w:val="18"/>
              </w:rPr>
            </w:pPr>
          </w:p>
          <w:p>
            <w:pPr>
              <w:pStyle w:val="TableParagraph"/>
              <w:ind w:left="393" w:right="394"/>
              <w:jc w:val="center"/>
              <w:rPr>
                <w:b/>
                <w:sz w:val="14"/>
              </w:rPr>
            </w:pPr>
            <w:r>
              <w:rPr>
                <w:b/>
                <w:color w:val="FFFFFF"/>
                <w:w w:val="135"/>
                <w:sz w:val="14"/>
              </w:rPr>
              <w:t>2008</w:t>
            </w:r>
          </w:p>
        </w:tc>
        <w:tc>
          <w:tcPr>
            <w:tcW w:w="1529" w:type="dxa"/>
            <w:tcBorders>
              <w:top w:val="single" w:sz="3" w:space="0" w:color="FFFFFF"/>
              <w:left w:val="single" w:sz="5" w:space="0" w:color="FFFFFF"/>
              <w:bottom w:val="single" w:sz="10" w:space="0" w:color="FFFFFF"/>
              <w:right w:val="single" w:sz="5" w:space="0" w:color="FFFFFF"/>
            </w:tcBorders>
            <w:shd w:val="clear" w:color="auto" w:fill="205868"/>
          </w:tcPr>
          <w:p>
            <w:pPr>
              <w:pStyle w:val="TableParagraph"/>
              <w:spacing w:before="7"/>
              <w:rPr>
                <w:sz w:val="18"/>
              </w:rPr>
            </w:pPr>
          </w:p>
          <w:p>
            <w:pPr>
              <w:pStyle w:val="TableParagraph"/>
              <w:ind w:left="395" w:right="394"/>
              <w:jc w:val="center"/>
              <w:rPr>
                <w:b/>
                <w:sz w:val="14"/>
              </w:rPr>
            </w:pPr>
            <w:r>
              <w:rPr>
                <w:b/>
                <w:color w:val="FFFFFF"/>
                <w:w w:val="135"/>
                <w:sz w:val="14"/>
              </w:rPr>
              <w:t>2010</w:t>
            </w:r>
          </w:p>
        </w:tc>
        <w:tc>
          <w:tcPr>
            <w:tcW w:w="1529" w:type="dxa"/>
            <w:tcBorders>
              <w:top w:val="single" w:sz="3" w:space="0" w:color="FFFFFF"/>
              <w:left w:val="single" w:sz="5" w:space="0" w:color="FFFFFF"/>
              <w:bottom w:val="single" w:sz="10" w:space="0" w:color="FFFFFF"/>
              <w:right w:val="single" w:sz="5" w:space="0" w:color="FFFFFF"/>
            </w:tcBorders>
            <w:shd w:val="clear" w:color="auto" w:fill="205868"/>
          </w:tcPr>
          <w:p>
            <w:pPr>
              <w:pStyle w:val="TableParagraph"/>
              <w:spacing w:before="7"/>
              <w:rPr>
                <w:sz w:val="18"/>
              </w:rPr>
            </w:pPr>
          </w:p>
          <w:p>
            <w:pPr>
              <w:pStyle w:val="TableParagraph"/>
              <w:ind w:left="547" w:right="272"/>
              <w:rPr>
                <w:b/>
                <w:sz w:val="14"/>
              </w:rPr>
            </w:pPr>
            <w:r>
              <w:rPr>
                <w:b/>
                <w:color w:val="FFFFFF"/>
                <w:w w:val="135"/>
                <w:sz w:val="14"/>
              </w:rPr>
              <w:t>2012</w:t>
            </w:r>
          </w:p>
        </w:tc>
        <w:tc>
          <w:tcPr>
            <w:tcW w:w="1649" w:type="dxa"/>
            <w:tcBorders>
              <w:top w:val="single" w:sz="3" w:space="0" w:color="FFFFFF"/>
              <w:left w:val="single" w:sz="5" w:space="0" w:color="FFFFFF"/>
              <w:bottom w:val="single" w:sz="10" w:space="0" w:color="FFFFFF"/>
              <w:right w:val="single" w:sz="5" w:space="0" w:color="FFFFFF"/>
            </w:tcBorders>
            <w:shd w:val="clear" w:color="auto" w:fill="205868"/>
          </w:tcPr>
          <w:p>
            <w:pPr>
              <w:pStyle w:val="TableParagraph"/>
              <w:spacing w:before="3"/>
              <w:rPr>
                <w:sz w:val="11"/>
              </w:rPr>
            </w:pPr>
          </w:p>
          <w:p>
            <w:pPr>
              <w:pStyle w:val="TableParagraph"/>
              <w:spacing w:line="249" w:lineRule="auto"/>
              <w:ind w:left="170" w:right="83" w:hanging="76"/>
              <w:rPr>
                <w:b/>
                <w:sz w:val="14"/>
              </w:rPr>
            </w:pPr>
            <w:r>
              <w:rPr>
                <w:b/>
                <w:color w:val="FFFFFF"/>
                <w:w w:val="135"/>
                <w:sz w:val="14"/>
              </w:rPr>
              <w:t>Clasificación de la información</w:t>
            </w:r>
          </w:p>
        </w:tc>
      </w:tr>
      <w:tr>
        <w:trPr>
          <w:trHeight w:val="232" w:hRule="exact"/>
        </w:trPr>
        <w:tc>
          <w:tcPr>
            <w:tcW w:w="1250" w:type="dxa"/>
            <w:tcBorders>
              <w:top w:val="single" w:sz="10" w:space="0" w:color="FFFFFF"/>
              <w:left w:val="single" w:sz="5" w:space="0" w:color="FFFFFF"/>
            </w:tcBorders>
            <w:shd w:val="clear" w:color="auto" w:fill="D0D7E8"/>
          </w:tcPr>
          <w:p>
            <w:pPr>
              <w:pStyle w:val="TableParagraph"/>
              <w:spacing w:before="33"/>
              <w:ind w:right="219"/>
              <w:jc w:val="right"/>
              <w:rPr>
                <w:b/>
                <w:sz w:val="14"/>
              </w:rPr>
            </w:pPr>
            <w:r>
              <w:rPr>
                <w:b/>
                <w:w w:val="135"/>
                <w:sz w:val="14"/>
              </w:rPr>
              <w:t>Reino</w:t>
            </w:r>
          </w:p>
        </w:tc>
        <w:tc>
          <w:tcPr>
            <w:tcW w:w="279" w:type="dxa"/>
            <w:tcBorders>
              <w:top w:val="single" w:sz="10" w:space="0" w:color="FFFFFF"/>
              <w:right w:val="single" w:sz="5" w:space="0" w:color="FFFFFF"/>
            </w:tcBorders>
            <w:shd w:val="clear" w:color="auto" w:fill="D0D7E8"/>
          </w:tcPr>
          <w:p>
            <w:pPr/>
          </w:p>
        </w:tc>
        <w:tc>
          <w:tcPr>
            <w:tcW w:w="615" w:type="dxa"/>
            <w:tcBorders>
              <w:top w:val="single" w:sz="10" w:space="0" w:color="FFFFFF"/>
              <w:left w:val="single" w:sz="5" w:space="0" w:color="FFFFFF"/>
            </w:tcBorders>
            <w:shd w:val="clear" w:color="auto" w:fill="D0D7E8"/>
          </w:tcPr>
          <w:p>
            <w:pPr>
              <w:pStyle w:val="TableParagraph"/>
              <w:spacing w:before="76"/>
              <w:ind w:left="24"/>
              <w:rPr>
                <w:b/>
                <w:sz w:val="12"/>
              </w:rPr>
            </w:pPr>
            <w:r>
              <w:rPr>
                <w:b/>
                <w:color w:val="001F5F"/>
                <w:spacing w:val="-1"/>
                <w:w w:val="139"/>
                <w:sz w:val="12"/>
              </w:rPr>
              <w:t>8</w:t>
            </w:r>
          </w:p>
        </w:tc>
        <w:tc>
          <w:tcPr>
            <w:tcW w:w="914" w:type="dxa"/>
            <w:tcBorders>
              <w:top w:val="single" w:sz="10" w:space="0" w:color="FFFFFF"/>
              <w:right w:val="single" w:sz="5" w:space="0" w:color="FFFFFF"/>
            </w:tcBorders>
            <w:shd w:val="clear" w:color="auto" w:fill="D0D7E8"/>
          </w:tcPr>
          <w:p>
            <w:pPr>
              <w:pStyle w:val="TableParagraph"/>
              <w:spacing w:before="73"/>
              <w:ind w:right="305"/>
              <w:jc w:val="right"/>
              <w:rPr>
                <w:b/>
                <w:sz w:val="12"/>
              </w:rPr>
            </w:pPr>
            <w:r>
              <w:rPr>
                <w:b/>
                <w:color w:val="001F5F"/>
                <w:w w:val="140"/>
                <w:sz w:val="12"/>
              </w:rPr>
              <w:t>88</w:t>
            </w:r>
          </w:p>
        </w:tc>
        <w:tc>
          <w:tcPr>
            <w:tcW w:w="1529" w:type="dxa"/>
            <w:tcBorders>
              <w:top w:val="single" w:sz="10" w:space="0" w:color="FFFFFF"/>
              <w:left w:val="single" w:sz="5" w:space="0" w:color="FFFFFF"/>
              <w:right w:val="single" w:sz="5" w:space="0" w:color="FFFFFF"/>
            </w:tcBorders>
            <w:shd w:val="clear" w:color="auto" w:fill="D0D7E8"/>
          </w:tcPr>
          <w:p>
            <w:pPr>
              <w:pStyle w:val="TableParagraph"/>
              <w:spacing w:before="82"/>
              <w:ind w:left="841" w:right="272"/>
              <w:rPr>
                <w:b/>
                <w:sz w:val="12"/>
              </w:rPr>
            </w:pPr>
            <w:r>
              <w:rPr>
                <w:b/>
                <w:color w:val="001F5F"/>
                <w:w w:val="140"/>
                <w:sz w:val="12"/>
              </w:rPr>
              <w:t>87</w:t>
            </w:r>
          </w:p>
        </w:tc>
        <w:tc>
          <w:tcPr>
            <w:tcW w:w="1529" w:type="dxa"/>
            <w:tcBorders>
              <w:top w:val="single" w:sz="10" w:space="0" w:color="FFFFFF"/>
              <w:left w:val="single" w:sz="5" w:space="0" w:color="FFFFFF"/>
              <w:right w:val="single" w:sz="5" w:space="0" w:color="FFFFFF"/>
            </w:tcBorders>
            <w:shd w:val="clear" w:color="auto" w:fill="D0D7E8"/>
          </w:tcPr>
          <w:p>
            <w:pPr>
              <w:pStyle w:val="TableParagraph"/>
              <w:spacing w:before="59"/>
              <w:ind w:left="840" w:right="272"/>
              <w:rPr>
                <w:b/>
                <w:sz w:val="12"/>
              </w:rPr>
            </w:pPr>
            <w:r>
              <w:rPr>
                <w:b/>
                <w:color w:val="001F5F"/>
                <w:w w:val="140"/>
                <w:sz w:val="12"/>
              </w:rPr>
              <w:t>88</w:t>
            </w:r>
          </w:p>
        </w:tc>
        <w:tc>
          <w:tcPr>
            <w:tcW w:w="1649" w:type="dxa"/>
            <w:tcBorders>
              <w:top w:val="single" w:sz="10" w:space="0" w:color="FFFFFF"/>
              <w:left w:val="single" w:sz="5" w:space="0" w:color="FFFFFF"/>
              <w:right w:val="single" w:sz="5" w:space="0" w:color="FFFFFF"/>
            </w:tcBorders>
            <w:shd w:val="clear" w:color="auto" w:fill="205868"/>
          </w:tcPr>
          <w:p>
            <w:pPr/>
          </w:p>
        </w:tc>
      </w:tr>
      <w:tr>
        <w:trPr>
          <w:trHeight w:val="318" w:hRule="exact"/>
        </w:trPr>
        <w:tc>
          <w:tcPr>
            <w:tcW w:w="1250" w:type="dxa"/>
            <w:tcBorders>
              <w:left w:val="single" w:sz="5" w:space="0" w:color="FFFFFF"/>
            </w:tcBorders>
            <w:shd w:val="clear" w:color="auto" w:fill="D0D7E8"/>
          </w:tcPr>
          <w:p>
            <w:pPr>
              <w:pStyle w:val="TableParagraph"/>
              <w:spacing w:line="143" w:lineRule="exact"/>
              <w:ind w:right="214"/>
              <w:jc w:val="right"/>
              <w:rPr>
                <w:b/>
                <w:sz w:val="14"/>
              </w:rPr>
            </w:pPr>
            <w:r>
              <w:rPr>
                <w:b/>
                <w:w w:val="135"/>
                <w:sz w:val="14"/>
              </w:rPr>
              <w:t>Unido</w:t>
            </w:r>
          </w:p>
        </w:tc>
        <w:tc>
          <w:tcPr>
            <w:tcW w:w="279" w:type="dxa"/>
            <w:tcBorders>
              <w:right w:val="single" w:sz="5" w:space="0" w:color="FFFFFF"/>
            </w:tcBorders>
            <w:shd w:val="clear" w:color="auto" w:fill="D0D7E8"/>
          </w:tcPr>
          <w:p>
            <w:pPr/>
          </w:p>
        </w:tc>
        <w:tc>
          <w:tcPr>
            <w:tcW w:w="615" w:type="dxa"/>
            <w:tcBorders>
              <w:left w:val="single" w:sz="5" w:space="0" w:color="FFFFFF"/>
            </w:tcBorders>
            <w:shd w:val="clear" w:color="auto" w:fill="D0D7E8"/>
          </w:tcPr>
          <w:p>
            <w:pPr>
              <w:pStyle w:val="TableParagraph"/>
              <w:spacing w:before="3"/>
              <w:rPr>
                <w:sz w:val="14"/>
              </w:rPr>
            </w:pPr>
          </w:p>
          <w:p>
            <w:pPr>
              <w:pStyle w:val="TableParagraph"/>
              <w:ind w:left="35"/>
              <w:rPr>
                <w:b/>
                <w:sz w:val="12"/>
              </w:rPr>
            </w:pPr>
            <w:r>
              <w:rPr>
                <w:b/>
                <w:color w:val="001F5F"/>
                <w:w w:val="140"/>
                <w:sz w:val="12"/>
              </w:rPr>
              <w:t>81</w:t>
            </w:r>
          </w:p>
        </w:tc>
        <w:tc>
          <w:tcPr>
            <w:tcW w:w="914" w:type="dxa"/>
            <w:tcBorders>
              <w:right w:val="single" w:sz="5" w:space="0" w:color="FFFFFF"/>
            </w:tcBorders>
            <w:shd w:val="clear" w:color="auto" w:fill="D0D7E8"/>
          </w:tcPr>
          <w:p>
            <w:pPr>
              <w:pStyle w:val="TableParagraph"/>
              <w:spacing w:before="93"/>
              <w:ind w:right="332"/>
              <w:jc w:val="right"/>
              <w:rPr>
                <w:b/>
                <w:sz w:val="12"/>
              </w:rPr>
            </w:pPr>
            <w:r>
              <w:rPr>
                <w:b/>
                <w:color w:val="001F5F"/>
                <w:w w:val="140"/>
                <w:sz w:val="12"/>
              </w:rPr>
              <w:t>82</w:t>
            </w:r>
          </w:p>
        </w:tc>
        <w:tc>
          <w:tcPr>
            <w:tcW w:w="1529" w:type="dxa"/>
            <w:tcBorders>
              <w:left w:val="single" w:sz="5" w:space="0" w:color="FFFFFF"/>
              <w:right w:val="single" w:sz="5" w:space="0" w:color="FFFFFF"/>
            </w:tcBorders>
            <w:shd w:val="clear" w:color="auto" w:fill="D0D7E8"/>
          </w:tcPr>
          <w:p>
            <w:pPr>
              <w:pStyle w:val="TableParagraph"/>
              <w:spacing w:before="103"/>
              <w:ind w:left="841" w:right="272"/>
              <w:rPr>
                <w:b/>
                <w:sz w:val="12"/>
              </w:rPr>
            </w:pPr>
            <w:r>
              <w:rPr>
                <w:b/>
                <w:color w:val="001F5F"/>
                <w:w w:val="140"/>
                <w:sz w:val="12"/>
              </w:rPr>
              <w:t>82</w:t>
            </w:r>
          </w:p>
        </w:tc>
        <w:tc>
          <w:tcPr>
            <w:tcW w:w="1529" w:type="dxa"/>
            <w:tcBorders>
              <w:left w:val="single" w:sz="5" w:space="0" w:color="FFFFFF"/>
              <w:right w:val="single" w:sz="5" w:space="0" w:color="FFFFFF"/>
            </w:tcBorders>
            <w:shd w:val="clear" w:color="auto" w:fill="D0D7E8"/>
          </w:tcPr>
          <w:p>
            <w:pPr/>
          </w:p>
        </w:tc>
        <w:tc>
          <w:tcPr>
            <w:tcW w:w="1649" w:type="dxa"/>
            <w:tcBorders>
              <w:left w:val="single" w:sz="5" w:space="0" w:color="FFFFFF"/>
              <w:right w:val="single" w:sz="5" w:space="0" w:color="FFFFFF"/>
            </w:tcBorders>
            <w:shd w:val="clear" w:color="auto" w:fill="205868"/>
          </w:tcPr>
          <w:p>
            <w:pPr>
              <w:pStyle w:val="TableParagraph"/>
              <w:spacing w:before="3"/>
              <w:ind w:left="454" w:right="83"/>
              <w:rPr>
                <w:b/>
                <w:sz w:val="14"/>
              </w:rPr>
            </w:pPr>
            <w:r>
              <w:rPr>
                <w:b/>
                <w:color w:val="FFFFFF"/>
                <w:w w:val="135"/>
                <w:sz w:val="14"/>
              </w:rPr>
              <w:t>Extensa</w:t>
            </w:r>
          </w:p>
          <w:p>
            <w:pPr>
              <w:pStyle w:val="TableParagraph"/>
              <w:spacing w:before="9"/>
              <w:ind w:left="493" w:right="83"/>
              <w:rPr>
                <w:b/>
                <w:sz w:val="10"/>
              </w:rPr>
            </w:pPr>
            <w:r>
              <w:rPr>
                <w:b/>
                <w:color w:val="FFFFFF"/>
                <w:w w:val="145"/>
                <w:sz w:val="10"/>
              </w:rPr>
              <w:t>(81 a 100)</w:t>
            </w:r>
          </w:p>
        </w:tc>
      </w:tr>
      <w:tr>
        <w:trPr>
          <w:trHeight w:val="203" w:hRule="exact"/>
        </w:trPr>
        <w:tc>
          <w:tcPr>
            <w:tcW w:w="1250" w:type="dxa"/>
            <w:tcBorders>
              <w:left w:val="single" w:sz="5" w:space="0" w:color="FFFFFF"/>
              <w:bottom w:val="single" w:sz="3" w:space="0" w:color="FFFFFF"/>
            </w:tcBorders>
            <w:shd w:val="clear" w:color="auto" w:fill="D0D7E8"/>
          </w:tcPr>
          <w:p>
            <w:pPr>
              <w:pStyle w:val="TableParagraph"/>
              <w:ind w:right="279"/>
              <w:jc w:val="right"/>
              <w:rPr>
                <w:b/>
                <w:sz w:val="14"/>
              </w:rPr>
            </w:pPr>
            <w:r>
              <w:rPr>
                <w:b/>
                <w:w w:val="135"/>
                <w:sz w:val="14"/>
              </w:rPr>
              <w:t>EUA</w:t>
            </w:r>
          </w:p>
        </w:tc>
        <w:tc>
          <w:tcPr>
            <w:tcW w:w="279" w:type="dxa"/>
            <w:tcBorders>
              <w:bottom w:val="single" w:sz="3" w:space="0" w:color="FFFFFF"/>
              <w:right w:val="single" w:sz="5" w:space="0" w:color="FFFFFF"/>
            </w:tcBorders>
            <w:shd w:val="clear" w:color="auto" w:fill="D0D7E8"/>
          </w:tcPr>
          <w:p>
            <w:pPr/>
          </w:p>
        </w:tc>
        <w:tc>
          <w:tcPr>
            <w:tcW w:w="615" w:type="dxa"/>
            <w:tcBorders>
              <w:left w:val="single" w:sz="5" w:space="0" w:color="FFFFFF"/>
              <w:bottom w:val="single" w:sz="3" w:space="0" w:color="FFFFFF"/>
            </w:tcBorders>
            <w:shd w:val="clear" w:color="auto" w:fill="D0D7E8"/>
          </w:tcPr>
          <w:p>
            <w:pPr/>
          </w:p>
        </w:tc>
        <w:tc>
          <w:tcPr>
            <w:tcW w:w="914" w:type="dxa"/>
            <w:tcBorders>
              <w:bottom w:val="single" w:sz="3" w:space="0" w:color="FFFFFF"/>
              <w:right w:val="single" w:sz="5" w:space="0" w:color="FFFFFF"/>
            </w:tcBorders>
            <w:shd w:val="clear" w:color="auto" w:fill="D0D7E8"/>
          </w:tcPr>
          <w:p>
            <w:pPr/>
          </w:p>
        </w:tc>
        <w:tc>
          <w:tcPr>
            <w:tcW w:w="1529" w:type="dxa"/>
            <w:tcBorders>
              <w:left w:val="single" w:sz="5" w:space="0" w:color="FFFFFF"/>
              <w:bottom w:val="single" w:sz="3" w:space="0" w:color="FFFFFF"/>
              <w:right w:val="single" w:sz="5" w:space="0" w:color="FFFFFF"/>
            </w:tcBorders>
            <w:shd w:val="clear" w:color="auto" w:fill="D0D7E8"/>
          </w:tcPr>
          <w:p>
            <w:pPr/>
          </w:p>
        </w:tc>
        <w:tc>
          <w:tcPr>
            <w:tcW w:w="1529" w:type="dxa"/>
            <w:tcBorders>
              <w:left w:val="single" w:sz="5" w:space="0" w:color="FFFFFF"/>
              <w:bottom w:val="single" w:sz="3" w:space="0" w:color="FFFFFF"/>
              <w:right w:val="single" w:sz="5" w:space="0" w:color="FFFFFF"/>
            </w:tcBorders>
            <w:shd w:val="clear" w:color="auto" w:fill="D0D7E8"/>
          </w:tcPr>
          <w:p>
            <w:pPr>
              <w:pStyle w:val="TableParagraph"/>
              <w:spacing w:before="26"/>
              <w:ind w:right="415"/>
              <w:jc w:val="right"/>
              <w:rPr>
                <w:b/>
                <w:sz w:val="12"/>
              </w:rPr>
            </w:pPr>
            <w:r>
              <w:rPr>
                <w:b/>
                <w:color w:val="001F5F"/>
                <w:w w:val="140"/>
                <w:sz w:val="12"/>
              </w:rPr>
              <w:t>79</w:t>
            </w:r>
          </w:p>
        </w:tc>
        <w:tc>
          <w:tcPr>
            <w:tcW w:w="1649" w:type="dxa"/>
            <w:tcBorders>
              <w:left w:val="single" w:sz="5" w:space="0" w:color="FFFFFF"/>
              <w:bottom w:val="single" w:sz="3" w:space="0" w:color="FFFFFF"/>
              <w:right w:val="single" w:sz="5" w:space="0" w:color="FFFFFF"/>
            </w:tcBorders>
            <w:shd w:val="clear" w:color="auto" w:fill="205868"/>
          </w:tcPr>
          <w:p>
            <w:pPr/>
          </w:p>
        </w:tc>
      </w:tr>
      <w:tr>
        <w:trPr>
          <w:trHeight w:val="753" w:hRule="exact"/>
        </w:trPr>
        <w:tc>
          <w:tcPr>
            <w:tcW w:w="1529" w:type="dxa"/>
            <w:gridSpan w:val="2"/>
            <w:tcBorders>
              <w:top w:val="single" w:sz="3" w:space="0" w:color="FFFFFF"/>
              <w:left w:val="single" w:sz="5" w:space="0" w:color="FFFFFF"/>
              <w:bottom w:val="single" w:sz="18" w:space="0" w:color="C00000"/>
              <w:right w:val="single" w:sz="18" w:space="0" w:color="C00000"/>
            </w:tcBorders>
            <w:shd w:val="clear" w:color="auto" w:fill="E9ECF4"/>
          </w:tcPr>
          <w:p>
            <w:pPr/>
          </w:p>
        </w:tc>
        <w:tc>
          <w:tcPr>
            <w:tcW w:w="1529" w:type="dxa"/>
            <w:gridSpan w:val="2"/>
            <w:tcBorders>
              <w:top w:val="single" w:sz="3" w:space="0" w:color="FFFFFF"/>
              <w:left w:val="single" w:sz="18" w:space="0" w:color="C00000"/>
              <w:bottom w:val="single" w:sz="18" w:space="0" w:color="C00000"/>
              <w:right w:val="single" w:sz="18" w:space="0" w:color="C00000"/>
            </w:tcBorders>
            <w:shd w:val="clear" w:color="auto" w:fill="E9ECF4"/>
          </w:tcPr>
          <w:p>
            <w:pPr>
              <w:pStyle w:val="TableParagraph"/>
              <w:spacing w:before="5"/>
              <w:rPr>
                <w:sz w:val="13"/>
              </w:rPr>
            </w:pPr>
          </w:p>
          <w:p>
            <w:pPr>
              <w:pStyle w:val="TableParagraph"/>
              <w:ind w:right="-20"/>
              <w:jc w:val="right"/>
              <w:rPr>
                <w:b/>
                <w:sz w:val="12"/>
              </w:rPr>
            </w:pPr>
            <w:r>
              <w:rPr>
                <w:b/>
                <w:color w:val="001F5F"/>
                <w:w w:val="140"/>
                <w:sz w:val="12"/>
              </w:rPr>
              <w:t>64</w:t>
            </w:r>
          </w:p>
          <w:p>
            <w:pPr>
              <w:pStyle w:val="TableParagraph"/>
              <w:spacing w:before="1"/>
              <w:ind w:left="321"/>
              <w:rPr>
                <w:b/>
                <w:sz w:val="14"/>
              </w:rPr>
            </w:pPr>
            <w:r>
              <w:rPr>
                <w:b/>
                <w:w w:val="135"/>
                <w:sz w:val="14"/>
              </w:rPr>
              <w:t>Alemania</w:t>
            </w:r>
          </w:p>
        </w:tc>
        <w:tc>
          <w:tcPr>
            <w:tcW w:w="1529" w:type="dxa"/>
            <w:tcBorders>
              <w:top w:val="single" w:sz="3" w:space="0" w:color="FFFFFF"/>
              <w:left w:val="single" w:sz="18" w:space="0" w:color="C00000"/>
              <w:bottom w:val="single" w:sz="18" w:space="0" w:color="C00000"/>
              <w:right w:val="single" w:sz="18" w:space="0" w:color="C00000"/>
            </w:tcBorders>
            <w:shd w:val="clear" w:color="auto" w:fill="E9ECF4"/>
          </w:tcPr>
          <w:p>
            <w:pPr>
              <w:pStyle w:val="TableParagraph"/>
              <w:spacing w:before="48"/>
              <w:ind w:left="872"/>
              <w:rPr>
                <w:b/>
                <w:sz w:val="12"/>
              </w:rPr>
            </w:pPr>
            <w:r>
              <w:rPr>
                <w:b/>
                <w:color w:val="001F5F"/>
                <w:w w:val="140"/>
                <w:sz w:val="12"/>
              </w:rPr>
              <w:t>68</w:t>
            </w:r>
          </w:p>
          <w:p>
            <w:pPr>
              <w:pStyle w:val="TableParagraph"/>
              <w:spacing w:before="10"/>
              <w:rPr>
                <w:sz w:val="16"/>
              </w:rPr>
            </w:pPr>
          </w:p>
          <w:p>
            <w:pPr>
              <w:pStyle w:val="TableParagraph"/>
              <w:spacing w:line="109" w:lineRule="exact"/>
              <w:ind w:right="43"/>
              <w:jc w:val="right"/>
              <w:rPr>
                <w:b/>
                <w:sz w:val="12"/>
              </w:rPr>
            </w:pPr>
            <w:r>
              <w:rPr>
                <w:b/>
                <w:color w:val="001F5F"/>
                <w:w w:val="139"/>
                <w:sz w:val="12"/>
              </w:rPr>
              <w:t>6</w:t>
            </w:r>
          </w:p>
          <w:p>
            <w:pPr>
              <w:pStyle w:val="TableParagraph"/>
              <w:spacing w:line="132" w:lineRule="exact"/>
              <w:ind w:left="404"/>
              <w:rPr>
                <w:b/>
                <w:sz w:val="14"/>
              </w:rPr>
            </w:pPr>
            <w:r>
              <w:rPr>
                <w:b/>
                <w:w w:val="135"/>
                <w:sz w:val="14"/>
              </w:rPr>
              <w:t>España</w:t>
            </w:r>
          </w:p>
        </w:tc>
        <w:tc>
          <w:tcPr>
            <w:tcW w:w="1529" w:type="dxa"/>
            <w:tcBorders>
              <w:top w:val="single" w:sz="3" w:space="0" w:color="FFFFFF"/>
              <w:left w:val="single" w:sz="18" w:space="0" w:color="C00000"/>
              <w:bottom w:val="single" w:sz="18" w:space="0" w:color="C00000"/>
              <w:right w:val="single" w:sz="18" w:space="0" w:color="C00000"/>
            </w:tcBorders>
            <w:shd w:val="clear" w:color="auto" w:fill="E9ECF4"/>
          </w:tcPr>
          <w:p>
            <w:pPr>
              <w:pStyle w:val="TableParagraph"/>
              <w:spacing w:before="48"/>
              <w:ind w:left="901"/>
              <w:rPr>
                <w:b/>
                <w:sz w:val="12"/>
              </w:rPr>
            </w:pPr>
            <w:r>
              <w:rPr>
                <w:b/>
                <w:color w:val="001F5F"/>
                <w:w w:val="140"/>
                <w:sz w:val="12"/>
              </w:rPr>
              <w:t>71</w:t>
            </w:r>
          </w:p>
          <w:p>
            <w:pPr>
              <w:pStyle w:val="TableParagraph"/>
              <w:spacing w:before="7"/>
              <w:rPr>
                <w:sz w:val="17"/>
              </w:rPr>
            </w:pPr>
          </w:p>
          <w:p>
            <w:pPr>
              <w:pStyle w:val="TableParagraph"/>
              <w:ind w:left="942"/>
              <w:rPr>
                <w:b/>
                <w:sz w:val="12"/>
              </w:rPr>
            </w:pPr>
            <w:r>
              <w:rPr>
                <w:b/>
                <w:color w:val="001F5F"/>
                <w:w w:val="140"/>
                <w:sz w:val="12"/>
              </w:rPr>
              <w:t>63</w:t>
            </w:r>
          </w:p>
        </w:tc>
        <w:tc>
          <w:tcPr>
            <w:tcW w:w="1649" w:type="dxa"/>
            <w:tcBorders>
              <w:top w:val="single" w:sz="3" w:space="0" w:color="FFFFFF"/>
              <w:left w:val="single" w:sz="18" w:space="0" w:color="C00000"/>
              <w:bottom w:val="single" w:sz="18" w:space="0" w:color="C00000"/>
              <w:right w:val="single" w:sz="5" w:space="0" w:color="FFFFFF"/>
            </w:tcBorders>
            <w:shd w:val="clear" w:color="auto" w:fill="205868"/>
          </w:tcPr>
          <w:p>
            <w:pPr>
              <w:pStyle w:val="TableParagraph"/>
              <w:rPr>
                <w:sz w:val="20"/>
              </w:rPr>
            </w:pPr>
          </w:p>
          <w:p>
            <w:pPr>
              <w:pStyle w:val="TableParagraph"/>
              <w:ind w:left="228" w:right="238"/>
              <w:jc w:val="center"/>
              <w:rPr>
                <w:b/>
                <w:sz w:val="14"/>
              </w:rPr>
            </w:pPr>
            <w:r>
              <w:rPr>
                <w:b/>
                <w:color w:val="FFFFFF"/>
                <w:w w:val="135"/>
                <w:sz w:val="14"/>
              </w:rPr>
              <w:t>Significativa</w:t>
            </w:r>
          </w:p>
          <w:p>
            <w:pPr>
              <w:pStyle w:val="TableParagraph"/>
              <w:spacing w:before="9"/>
              <w:ind w:left="226" w:right="238"/>
              <w:jc w:val="center"/>
              <w:rPr>
                <w:b/>
                <w:sz w:val="10"/>
              </w:rPr>
            </w:pPr>
            <w:r>
              <w:rPr>
                <w:b/>
                <w:color w:val="FFFFFF"/>
                <w:w w:val="145"/>
                <w:sz w:val="10"/>
              </w:rPr>
              <w:t>(61 a 80)</w:t>
            </w:r>
          </w:p>
        </w:tc>
      </w:tr>
      <w:tr>
        <w:trPr>
          <w:trHeight w:val="753" w:hRule="exact"/>
        </w:trPr>
        <w:tc>
          <w:tcPr>
            <w:tcW w:w="1529" w:type="dxa"/>
            <w:gridSpan w:val="2"/>
            <w:tcBorders>
              <w:top w:val="single" w:sz="18" w:space="0" w:color="C00000"/>
              <w:left w:val="single" w:sz="5" w:space="0" w:color="FFFFFF"/>
              <w:bottom w:val="single" w:sz="3" w:space="0" w:color="FFFFFF"/>
              <w:right w:val="single" w:sz="18" w:space="0" w:color="C00000"/>
            </w:tcBorders>
            <w:shd w:val="clear" w:color="auto" w:fill="D0D7E8"/>
          </w:tcPr>
          <w:p>
            <w:pPr>
              <w:pStyle w:val="TableParagraph"/>
              <w:tabs>
                <w:tab w:pos="1453" w:val="right" w:leader="none"/>
              </w:tabs>
              <w:spacing w:before="358"/>
              <w:ind w:left="435"/>
              <w:rPr>
                <w:b/>
                <w:sz w:val="12"/>
              </w:rPr>
            </w:pPr>
            <w:r>
              <w:rPr>
                <w:b/>
                <w:color w:val="C00000"/>
                <w:w w:val="140"/>
                <w:sz w:val="14"/>
              </w:rPr>
              <w:t>México</w:t>
            </w:r>
            <w:r>
              <w:rPr>
                <w:b/>
                <w:color w:val="C00000"/>
                <w:w w:val="140"/>
                <w:position w:val="2"/>
                <w:sz w:val="12"/>
              </w:rPr>
              <w:tab/>
              <w:t>5</w:t>
            </w:r>
          </w:p>
        </w:tc>
        <w:tc>
          <w:tcPr>
            <w:tcW w:w="1529" w:type="dxa"/>
            <w:gridSpan w:val="2"/>
            <w:tcBorders>
              <w:top w:val="single" w:sz="18" w:space="0" w:color="C00000"/>
              <w:left w:val="single" w:sz="18" w:space="0" w:color="C00000"/>
              <w:bottom w:val="single" w:sz="3" w:space="0" w:color="FFFFFF"/>
              <w:right w:val="single" w:sz="18" w:space="0" w:color="C00000"/>
            </w:tcBorders>
            <w:shd w:val="clear" w:color="auto" w:fill="D0D7E8"/>
          </w:tcPr>
          <w:p>
            <w:pPr>
              <w:pStyle w:val="TableParagraph"/>
              <w:spacing w:before="11"/>
              <w:rPr>
                <w:sz w:val="10"/>
              </w:rPr>
            </w:pPr>
          </w:p>
          <w:p>
            <w:pPr>
              <w:pStyle w:val="TableParagraph"/>
              <w:ind w:left="912"/>
              <w:rPr>
                <w:b/>
                <w:sz w:val="12"/>
              </w:rPr>
            </w:pPr>
            <w:r>
              <w:rPr>
                <w:b/>
                <w:color w:val="C00000"/>
                <w:w w:val="140"/>
                <w:sz w:val="12"/>
              </w:rPr>
              <w:t>55</w:t>
            </w:r>
          </w:p>
        </w:tc>
        <w:tc>
          <w:tcPr>
            <w:tcW w:w="1529" w:type="dxa"/>
            <w:tcBorders>
              <w:top w:val="single" w:sz="18" w:space="0" w:color="C00000"/>
              <w:left w:val="single" w:sz="18" w:space="0" w:color="C00000"/>
              <w:bottom w:val="single" w:sz="3" w:space="0" w:color="FFFFFF"/>
              <w:right w:val="single" w:sz="18" w:space="0" w:color="C00000"/>
            </w:tcBorders>
            <w:shd w:val="clear" w:color="auto" w:fill="D0D7E8"/>
          </w:tcPr>
          <w:p>
            <w:pPr>
              <w:pStyle w:val="TableParagraph"/>
              <w:spacing w:before="95"/>
              <w:ind w:right="268"/>
              <w:jc w:val="right"/>
              <w:rPr>
                <w:b/>
                <w:sz w:val="12"/>
              </w:rPr>
            </w:pPr>
            <w:r>
              <w:rPr>
                <w:b/>
                <w:color w:val="C00000"/>
                <w:w w:val="140"/>
                <w:sz w:val="12"/>
              </w:rPr>
              <w:t>52</w:t>
            </w:r>
          </w:p>
        </w:tc>
        <w:tc>
          <w:tcPr>
            <w:tcW w:w="1529" w:type="dxa"/>
            <w:tcBorders>
              <w:top w:val="single" w:sz="18" w:space="0" w:color="C00000"/>
              <w:left w:val="single" w:sz="18" w:space="0" w:color="C00000"/>
              <w:bottom w:val="single" w:sz="3" w:space="0" w:color="FFFFFF"/>
              <w:right w:val="single" w:sz="18" w:space="0" w:color="C00000"/>
            </w:tcBorders>
            <w:shd w:val="clear" w:color="auto" w:fill="D0D7E8"/>
          </w:tcPr>
          <w:p>
            <w:pPr>
              <w:pStyle w:val="TableParagraph"/>
              <w:spacing w:line="52" w:lineRule="exact"/>
              <w:ind w:right="415"/>
              <w:jc w:val="right"/>
              <w:rPr>
                <w:b/>
                <w:sz w:val="12"/>
              </w:rPr>
            </w:pPr>
            <w:r>
              <w:rPr>
                <w:b/>
                <w:color w:val="C00000"/>
                <w:w w:val="140"/>
                <w:sz w:val="12"/>
              </w:rPr>
              <w:t>61</w:t>
            </w:r>
          </w:p>
        </w:tc>
        <w:tc>
          <w:tcPr>
            <w:tcW w:w="1649" w:type="dxa"/>
            <w:tcBorders>
              <w:top w:val="single" w:sz="18" w:space="0" w:color="C00000"/>
              <w:left w:val="single" w:sz="18" w:space="0" w:color="C00000"/>
              <w:bottom w:val="single" w:sz="3" w:space="0" w:color="FFFFFF"/>
              <w:right w:val="single" w:sz="5" w:space="0" w:color="FFFFFF"/>
            </w:tcBorders>
            <w:shd w:val="clear" w:color="auto" w:fill="205868"/>
          </w:tcPr>
          <w:p>
            <w:pPr>
              <w:pStyle w:val="TableParagraph"/>
              <w:spacing w:before="6"/>
              <w:rPr>
                <w:sz w:val="18"/>
              </w:rPr>
            </w:pPr>
          </w:p>
          <w:p>
            <w:pPr>
              <w:pStyle w:val="TableParagraph"/>
              <w:ind w:left="475"/>
              <w:rPr>
                <w:b/>
                <w:sz w:val="14"/>
              </w:rPr>
            </w:pPr>
            <w:r>
              <w:rPr>
                <w:b/>
                <w:color w:val="FFFFFF"/>
                <w:w w:val="135"/>
                <w:sz w:val="14"/>
              </w:rPr>
              <w:t>Escasa</w:t>
            </w:r>
          </w:p>
          <w:p>
            <w:pPr>
              <w:pStyle w:val="TableParagraph"/>
              <w:spacing w:before="9"/>
              <w:ind w:left="517"/>
              <w:rPr>
                <w:b/>
                <w:sz w:val="10"/>
              </w:rPr>
            </w:pPr>
            <w:r>
              <w:rPr>
                <w:b/>
                <w:color w:val="FFFFFF"/>
                <w:w w:val="145"/>
                <w:sz w:val="10"/>
              </w:rPr>
              <w:t>(41 a 60)</w:t>
            </w:r>
          </w:p>
        </w:tc>
      </w:tr>
      <w:tr>
        <w:trPr>
          <w:trHeight w:val="540" w:hRule="exact"/>
        </w:trPr>
        <w:tc>
          <w:tcPr>
            <w:tcW w:w="1529" w:type="dxa"/>
            <w:gridSpan w:val="2"/>
            <w:vMerge w:val="restart"/>
            <w:tcBorders>
              <w:top w:val="single" w:sz="3" w:space="0" w:color="FFFFFF"/>
              <w:left w:val="single" w:sz="5" w:space="0" w:color="FFFFFF"/>
              <w:right w:val="single" w:sz="5" w:space="0" w:color="FFFFFF"/>
            </w:tcBorders>
            <w:shd w:val="clear" w:color="auto" w:fill="E9ECF4"/>
          </w:tcPr>
          <w:p>
            <w:pPr/>
          </w:p>
        </w:tc>
        <w:tc>
          <w:tcPr>
            <w:tcW w:w="1529" w:type="dxa"/>
            <w:gridSpan w:val="2"/>
            <w:vMerge w:val="restart"/>
            <w:tcBorders>
              <w:top w:val="single" w:sz="3" w:space="0" w:color="FFFFFF"/>
              <w:left w:val="single" w:sz="5" w:space="0" w:color="FFFFFF"/>
              <w:right w:val="single" w:sz="5" w:space="0" w:color="FFFFFF"/>
            </w:tcBorders>
            <w:shd w:val="clear" w:color="auto" w:fill="E9ECF4"/>
          </w:tcPr>
          <w:p>
            <w:pPr/>
          </w:p>
        </w:tc>
        <w:tc>
          <w:tcPr>
            <w:tcW w:w="1529" w:type="dxa"/>
            <w:vMerge w:val="restart"/>
            <w:tcBorders>
              <w:top w:val="single" w:sz="3" w:space="0" w:color="FFFFFF"/>
              <w:left w:val="single" w:sz="5" w:space="0" w:color="FFFFFF"/>
              <w:right w:val="single" w:sz="5" w:space="0" w:color="FFFFFF"/>
            </w:tcBorders>
            <w:shd w:val="clear" w:color="auto" w:fill="E9ECF4"/>
          </w:tcPr>
          <w:p>
            <w:pPr/>
          </w:p>
        </w:tc>
        <w:tc>
          <w:tcPr>
            <w:tcW w:w="1529" w:type="dxa"/>
            <w:tcBorders>
              <w:top w:val="single" w:sz="3" w:space="0" w:color="FFFFFF"/>
              <w:left w:val="single" w:sz="5" w:space="0" w:color="FFFFFF"/>
              <w:right w:val="single" w:sz="5" w:space="0" w:color="FFFFFF"/>
            </w:tcBorders>
            <w:shd w:val="clear" w:color="auto" w:fill="E9ECF4"/>
          </w:tcPr>
          <w:p>
            <w:pPr>
              <w:pStyle w:val="TableParagraph"/>
              <w:rPr>
                <w:sz w:val="8"/>
              </w:rPr>
            </w:pPr>
          </w:p>
          <w:p>
            <w:pPr>
              <w:pStyle w:val="TableParagraph"/>
              <w:spacing w:before="7"/>
              <w:rPr>
                <w:sz w:val="11"/>
              </w:rPr>
            </w:pPr>
          </w:p>
          <w:p>
            <w:pPr>
              <w:pStyle w:val="TableParagraph"/>
              <w:spacing w:line="273" w:lineRule="auto"/>
              <w:ind w:left="397" w:right="394"/>
              <w:jc w:val="center"/>
              <w:rPr>
                <w:sz w:val="8"/>
              </w:rPr>
            </w:pPr>
            <w:r>
              <w:rPr>
                <w:w w:val="150"/>
                <w:sz w:val="8"/>
              </w:rPr>
              <w:t>Sierra Leona Venezuela Ecuador</w:t>
            </w:r>
          </w:p>
        </w:tc>
        <w:tc>
          <w:tcPr>
            <w:tcW w:w="1649" w:type="dxa"/>
            <w:tcBorders>
              <w:top w:val="single" w:sz="3" w:space="0" w:color="FFFFFF"/>
              <w:left w:val="single" w:sz="5" w:space="0" w:color="FFFFFF"/>
              <w:right w:val="single" w:sz="5" w:space="0" w:color="FFFFFF"/>
            </w:tcBorders>
            <w:shd w:val="clear" w:color="auto" w:fill="205868"/>
          </w:tcPr>
          <w:p>
            <w:pPr>
              <w:pStyle w:val="TableParagraph"/>
              <w:spacing w:before="1"/>
              <w:rPr>
                <w:sz w:val="20"/>
              </w:rPr>
            </w:pPr>
          </w:p>
          <w:p>
            <w:pPr>
              <w:pStyle w:val="TableParagraph"/>
              <w:ind w:left="492" w:right="83"/>
              <w:rPr>
                <w:b/>
                <w:sz w:val="14"/>
              </w:rPr>
            </w:pPr>
            <w:r>
              <w:rPr>
                <w:b/>
                <w:color w:val="FFFFFF"/>
                <w:w w:val="135"/>
                <w:sz w:val="14"/>
              </w:rPr>
              <w:t>Mínima</w:t>
            </w:r>
          </w:p>
          <w:p>
            <w:pPr>
              <w:pStyle w:val="TableParagraph"/>
              <w:spacing w:before="10"/>
              <w:ind w:left="533" w:right="83"/>
              <w:rPr>
                <w:b/>
                <w:sz w:val="10"/>
              </w:rPr>
            </w:pPr>
            <w:r>
              <w:rPr>
                <w:b/>
                <w:color w:val="FFFFFF"/>
                <w:w w:val="145"/>
                <w:sz w:val="10"/>
              </w:rPr>
              <w:t>(21 a 40)</w:t>
            </w:r>
          </w:p>
        </w:tc>
      </w:tr>
      <w:tr>
        <w:trPr>
          <w:trHeight w:val="213" w:hRule="exact"/>
        </w:trPr>
        <w:tc>
          <w:tcPr>
            <w:tcW w:w="1529" w:type="dxa"/>
            <w:gridSpan w:val="2"/>
            <w:vMerge/>
            <w:tcBorders>
              <w:left w:val="single" w:sz="5" w:space="0" w:color="FFFFFF"/>
              <w:bottom w:val="single" w:sz="3" w:space="0" w:color="FFFFFF"/>
              <w:right w:val="single" w:sz="5" w:space="0" w:color="FFFFFF"/>
            </w:tcBorders>
            <w:shd w:val="clear" w:color="auto" w:fill="E9ECF4"/>
          </w:tcPr>
          <w:p>
            <w:pPr/>
          </w:p>
        </w:tc>
        <w:tc>
          <w:tcPr>
            <w:tcW w:w="1529" w:type="dxa"/>
            <w:gridSpan w:val="2"/>
            <w:vMerge/>
            <w:tcBorders>
              <w:left w:val="single" w:sz="5" w:space="0" w:color="FFFFFF"/>
              <w:bottom w:val="single" w:sz="3" w:space="0" w:color="FFFFFF"/>
              <w:right w:val="single" w:sz="5" w:space="0" w:color="FFFFFF"/>
            </w:tcBorders>
            <w:shd w:val="clear" w:color="auto" w:fill="E9ECF4"/>
          </w:tcPr>
          <w:p>
            <w:pPr/>
          </w:p>
        </w:tc>
        <w:tc>
          <w:tcPr>
            <w:tcW w:w="1529" w:type="dxa"/>
            <w:vMerge/>
            <w:tcBorders>
              <w:left w:val="single" w:sz="5" w:space="0" w:color="FFFFFF"/>
              <w:bottom w:val="single" w:sz="3" w:space="0" w:color="FFFFFF"/>
              <w:right w:val="single" w:sz="5" w:space="0" w:color="FFFFFF"/>
            </w:tcBorders>
            <w:shd w:val="clear" w:color="auto" w:fill="E9ECF4"/>
          </w:tcPr>
          <w:p>
            <w:pPr/>
          </w:p>
        </w:tc>
        <w:tc>
          <w:tcPr>
            <w:tcW w:w="1529" w:type="dxa"/>
            <w:tcBorders>
              <w:left w:val="single" w:sz="5" w:space="0" w:color="FFFFFF"/>
              <w:bottom w:val="single" w:sz="3" w:space="0" w:color="FFFFFF"/>
              <w:right w:val="single" w:sz="5" w:space="0" w:color="FFFFFF"/>
            </w:tcBorders>
            <w:shd w:val="clear" w:color="auto" w:fill="E9ECF4"/>
          </w:tcPr>
          <w:p>
            <w:pPr>
              <w:pStyle w:val="TableParagraph"/>
              <w:spacing w:before="4"/>
              <w:ind w:left="575" w:right="272"/>
              <w:rPr>
                <w:sz w:val="8"/>
              </w:rPr>
            </w:pPr>
            <w:r>
              <w:rPr>
                <w:w w:val="150"/>
                <w:sz w:val="8"/>
              </w:rPr>
              <w:t>Angola</w:t>
            </w:r>
          </w:p>
        </w:tc>
        <w:tc>
          <w:tcPr>
            <w:tcW w:w="1649" w:type="dxa"/>
            <w:tcBorders>
              <w:left w:val="single" w:sz="5" w:space="0" w:color="FFFFFF"/>
              <w:bottom w:val="single" w:sz="3" w:space="0" w:color="FFFFFF"/>
              <w:right w:val="single" w:sz="5" w:space="0" w:color="FFFFFF"/>
            </w:tcBorders>
            <w:shd w:val="clear" w:color="auto" w:fill="205868"/>
          </w:tcPr>
          <w:p>
            <w:pPr/>
          </w:p>
        </w:tc>
      </w:tr>
      <w:tr>
        <w:trPr>
          <w:trHeight w:val="393" w:hRule="exact"/>
        </w:trPr>
        <w:tc>
          <w:tcPr>
            <w:tcW w:w="1529" w:type="dxa"/>
            <w:gridSpan w:val="2"/>
            <w:vMerge w:val="restart"/>
            <w:tcBorders>
              <w:top w:val="single" w:sz="3" w:space="0" w:color="FFFFFF"/>
              <w:left w:val="single" w:sz="5" w:space="0" w:color="FFFFFF"/>
              <w:right w:val="single" w:sz="5" w:space="0" w:color="FFFFFF"/>
            </w:tcBorders>
            <w:shd w:val="clear" w:color="auto" w:fill="D0D7E8"/>
          </w:tcPr>
          <w:p>
            <w:pPr/>
          </w:p>
        </w:tc>
        <w:tc>
          <w:tcPr>
            <w:tcW w:w="1529" w:type="dxa"/>
            <w:gridSpan w:val="2"/>
            <w:vMerge w:val="restart"/>
            <w:tcBorders>
              <w:top w:val="single" w:sz="3" w:space="0" w:color="FFFFFF"/>
              <w:left w:val="single" w:sz="5" w:space="0" w:color="FFFFFF"/>
              <w:right w:val="single" w:sz="5" w:space="0" w:color="FFFFFF"/>
            </w:tcBorders>
            <w:shd w:val="clear" w:color="auto" w:fill="D0D7E8"/>
          </w:tcPr>
          <w:p>
            <w:pPr/>
          </w:p>
        </w:tc>
        <w:tc>
          <w:tcPr>
            <w:tcW w:w="1529" w:type="dxa"/>
            <w:vMerge w:val="restart"/>
            <w:tcBorders>
              <w:top w:val="single" w:sz="3" w:space="0" w:color="FFFFFF"/>
              <w:left w:val="single" w:sz="5" w:space="0" w:color="FFFFFF"/>
              <w:right w:val="single" w:sz="5" w:space="0" w:color="FFFFFF"/>
            </w:tcBorders>
            <w:shd w:val="clear" w:color="auto" w:fill="D0D7E8"/>
          </w:tcPr>
          <w:p>
            <w:pPr/>
          </w:p>
        </w:tc>
        <w:tc>
          <w:tcPr>
            <w:tcW w:w="1529" w:type="dxa"/>
            <w:tcBorders>
              <w:top w:val="single" w:sz="3" w:space="0" w:color="FFFFFF"/>
              <w:left w:val="single" w:sz="5" w:space="0" w:color="FFFFFF"/>
              <w:right w:val="single" w:sz="5" w:space="0" w:color="FFFFFF"/>
            </w:tcBorders>
            <w:shd w:val="clear" w:color="auto" w:fill="D0D7E8"/>
          </w:tcPr>
          <w:p>
            <w:pPr>
              <w:pStyle w:val="TableParagraph"/>
              <w:rPr>
                <w:sz w:val="8"/>
              </w:rPr>
            </w:pPr>
          </w:p>
          <w:p>
            <w:pPr>
              <w:pStyle w:val="TableParagraph"/>
              <w:rPr>
                <w:sz w:val="7"/>
              </w:rPr>
            </w:pPr>
          </w:p>
          <w:p>
            <w:pPr>
              <w:pStyle w:val="TableParagraph"/>
              <w:spacing w:line="273" w:lineRule="auto"/>
              <w:ind w:left="371" w:right="272" w:firstLine="233"/>
              <w:rPr>
                <w:sz w:val="8"/>
              </w:rPr>
            </w:pPr>
            <w:r>
              <w:rPr>
                <w:w w:val="150"/>
                <w:sz w:val="8"/>
              </w:rPr>
              <w:t>China Arabia Saudita</w:t>
            </w:r>
          </w:p>
        </w:tc>
        <w:tc>
          <w:tcPr>
            <w:tcW w:w="1649" w:type="dxa"/>
            <w:tcBorders>
              <w:top w:val="single" w:sz="3" w:space="0" w:color="FFFFFF"/>
              <w:left w:val="single" w:sz="5" w:space="0" w:color="FFFFFF"/>
              <w:right w:val="single" w:sz="5" w:space="0" w:color="FFFFFF"/>
            </w:tcBorders>
            <w:shd w:val="clear" w:color="auto" w:fill="205868"/>
          </w:tcPr>
          <w:p>
            <w:pPr>
              <w:pStyle w:val="TableParagraph"/>
              <w:spacing w:before="1"/>
              <w:rPr>
                <w:sz w:val="20"/>
              </w:rPr>
            </w:pPr>
          </w:p>
          <w:p>
            <w:pPr>
              <w:pStyle w:val="TableParagraph"/>
              <w:ind w:left="270" w:right="266"/>
              <w:jc w:val="center"/>
              <w:rPr>
                <w:b/>
                <w:sz w:val="14"/>
              </w:rPr>
            </w:pPr>
            <w:r>
              <w:rPr>
                <w:b/>
                <w:color w:val="FFFFFF"/>
                <w:w w:val="135"/>
                <w:sz w:val="14"/>
              </w:rPr>
              <w:t>Poca o nula</w:t>
            </w:r>
          </w:p>
        </w:tc>
      </w:tr>
      <w:tr>
        <w:trPr>
          <w:trHeight w:val="360" w:hRule="exact"/>
        </w:trPr>
        <w:tc>
          <w:tcPr>
            <w:tcW w:w="1529" w:type="dxa"/>
            <w:gridSpan w:val="2"/>
            <w:vMerge/>
            <w:tcBorders>
              <w:left w:val="single" w:sz="5" w:space="0" w:color="FFFFFF"/>
              <w:bottom w:val="single" w:sz="3" w:space="0" w:color="FFFFFF"/>
              <w:right w:val="single" w:sz="5" w:space="0" w:color="FFFFFF"/>
            </w:tcBorders>
            <w:shd w:val="clear" w:color="auto" w:fill="D0D7E8"/>
          </w:tcPr>
          <w:p>
            <w:pPr/>
          </w:p>
        </w:tc>
        <w:tc>
          <w:tcPr>
            <w:tcW w:w="1529" w:type="dxa"/>
            <w:gridSpan w:val="2"/>
            <w:vMerge/>
            <w:tcBorders>
              <w:left w:val="single" w:sz="5" w:space="0" w:color="FFFFFF"/>
              <w:bottom w:val="single" w:sz="3" w:space="0" w:color="FFFFFF"/>
              <w:right w:val="single" w:sz="5" w:space="0" w:color="FFFFFF"/>
            </w:tcBorders>
            <w:shd w:val="clear" w:color="auto" w:fill="D0D7E8"/>
          </w:tcPr>
          <w:p>
            <w:pPr/>
          </w:p>
        </w:tc>
        <w:tc>
          <w:tcPr>
            <w:tcW w:w="1529" w:type="dxa"/>
            <w:vMerge/>
            <w:tcBorders>
              <w:left w:val="single" w:sz="5" w:space="0" w:color="FFFFFF"/>
              <w:bottom w:val="single" w:sz="3" w:space="0" w:color="FFFFFF"/>
              <w:right w:val="single" w:sz="5" w:space="0" w:color="FFFFFF"/>
            </w:tcBorders>
            <w:shd w:val="clear" w:color="auto" w:fill="D0D7E8"/>
          </w:tcPr>
          <w:p>
            <w:pPr/>
          </w:p>
        </w:tc>
        <w:tc>
          <w:tcPr>
            <w:tcW w:w="1529" w:type="dxa"/>
            <w:tcBorders>
              <w:left w:val="single" w:sz="5" w:space="0" w:color="FFFFFF"/>
              <w:bottom w:val="single" w:sz="3" w:space="0" w:color="FFFFFF"/>
              <w:right w:val="single" w:sz="5" w:space="0" w:color="FFFFFF"/>
            </w:tcBorders>
            <w:shd w:val="clear" w:color="auto" w:fill="D0D7E8"/>
          </w:tcPr>
          <w:p>
            <w:pPr>
              <w:pStyle w:val="TableParagraph"/>
              <w:spacing w:line="273" w:lineRule="auto"/>
              <w:ind w:left="609" w:right="608" w:hanging="2"/>
              <w:jc w:val="center"/>
              <w:rPr>
                <w:sz w:val="8"/>
              </w:rPr>
            </w:pPr>
            <w:r>
              <w:rPr>
                <w:w w:val="150"/>
                <w:sz w:val="8"/>
              </w:rPr>
              <w:t>Irak </w:t>
            </w:r>
            <w:r>
              <w:rPr>
                <w:w w:val="145"/>
                <w:sz w:val="8"/>
              </w:rPr>
              <w:t>Qatar</w:t>
            </w:r>
          </w:p>
        </w:tc>
        <w:tc>
          <w:tcPr>
            <w:tcW w:w="1649" w:type="dxa"/>
            <w:tcBorders>
              <w:left w:val="single" w:sz="5" w:space="0" w:color="FFFFFF"/>
              <w:bottom w:val="single" w:sz="3" w:space="0" w:color="FFFFFF"/>
              <w:right w:val="single" w:sz="5" w:space="0" w:color="FFFFFF"/>
            </w:tcBorders>
            <w:shd w:val="clear" w:color="auto" w:fill="205868"/>
          </w:tcPr>
          <w:p>
            <w:pPr>
              <w:pStyle w:val="TableParagraph"/>
              <w:spacing w:before="13"/>
              <w:ind w:left="269" w:right="266"/>
              <w:jc w:val="center"/>
              <w:rPr>
                <w:b/>
                <w:sz w:val="10"/>
              </w:rPr>
            </w:pPr>
            <w:r>
              <w:rPr>
                <w:b/>
                <w:color w:val="FFFFFF"/>
                <w:w w:val="145"/>
                <w:sz w:val="10"/>
              </w:rPr>
              <w:t>(0 a 20)</w:t>
            </w:r>
          </w:p>
        </w:tc>
      </w:tr>
    </w:tbl>
    <w:p>
      <w:pPr>
        <w:pStyle w:val="BodyText"/>
        <w:spacing w:before="3"/>
        <w:rPr>
          <w:sz w:val="17"/>
        </w:rPr>
      </w:pPr>
    </w:p>
    <w:p>
      <w:pPr>
        <w:spacing w:line="137" w:lineRule="exact" w:before="0"/>
        <w:ind w:left="1517" w:right="0" w:firstLine="0"/>
        <w:jc w:val="left"/>
        <w:rPr>
          <w:i/>
          <w:sz w:val="12"/>
        </w:rPr>
      </w:pPr>
      <w:r>
        <w:rPr>
          <w:sz w:val="12"/>
        </w:rPr>
        <w:t>FUENTE:     Elaboración propia con base en: International Budget Partnership, </w:t>
      </w:r>
      <w:r>
        <w:rPr>
          <w:i/>
          <w:sz w:val="12"/>
        </w:rPr>
        <w:t>Open Budget Survey 2012.</w:t>
      </w:r>
    </w:p>
    <w:p>
      <w:pPr>
        <w:spacing w:line="242" w:lineRule="auto" w:before="0"/>
        <w:ind w:left="2225" w:right="4600" w:firstLine="0"/>
        <w:jc w:val="left"/>
        <w:rPr>
          <w:sz w:val="12"/>
        </w:rPr>
      </w:pPr>
      <w:r>
        <w:rPr>
          <w:i/>
          <w:sz w:val="12"/>
        </w:rPr>
        <w:t>Open Budgets. Transformlives</w:t>
      </w:r>
      <w:r>
        <w:rPr>
          <w:sz w:val="12"/>
        </w:rPr>
        <w:t>, pp.50-51. [Fecha de consulta: 29 de agosto, 2015]</w:t>
      </w:r>
    </w:p>
    <w:p>
      <w:pPr>
        <w:spacing w:line="135" w:lineRule="exact" w:before="0"/>
        <w:ind w:left="2225" w:right="0" w:firstLine="0"/>
        <w:jc w:val="left"/>
        <w:rPr>
          <w:sz w:val="12"/>
        </w:rPr>
      </w:pPr>
      <w:r>
        <w:rPr>
          <w:sz w:val="12"/>
        </w:rPr>
        <w:t>Disponible en: </w:t>
      </w:r>
      <w:hyperlink r:id="rId73">
        <w:r>
          <w:rPr>
            <w:sz w:val="12"/>
          </w:rPr>
          <w:t>http://internationalbudget.org/wp-content/uploads/OBI2012-Report-English.pdf</w:t>
        </w:r>
      </w:hyperlink>
    </w:p>
    <w:p>
      <w:pPr>
        <w:pStyle w:val="BodyText"/>
        <w:rPr>
          <w:sz w:val="12"/>
        </w:rPr>
      </w:pPr>
    </w:p>
    <w:p>
      <w:pPr>
        <w:pStyle w:val="BodyText"/>
        <w:rPr>
          <w:sz w:val="12"/>
        </w:rPr>
      </w:pPr>
    </w:p>
    <w:p>
      <w:pPr>
        <w:pStyle w:val="BodyText"/>
        <w:spacing w:before="3"/>
        <w:rPr>
          <w:sz w:val="12"/>
        </w:rPr>
      </w:pPr>
    </w:p>
    <w:p>
      <w:pPr>
        <w:pStyle w:val="BodyText"/>
        <w:spacing w:line="360" w:lineRule="auto" w:before="1"/>
        <w:ind w:left="100" w:right="100"/>
        <w:jc w:val="both"/>
      </w:pPr>
      <w:r>
        <w:rPr/>
        <w:t>La ONG destaca que México ha logrado avances importantes en presentar información presupuestaria y considera que los elementos que podrían coadyuvar en mejorar aún más la apertura presupuestaria en el país son los siguientes:</w:t>
      </w:r>
    </w:p>
    <w:p>
      <w:pPr>
        <w:pStyle w:val="BodyText"/>
      </w:pPr>
    </w:p>
    <w:p>
      <w:pPr>
        <w:pStyle w:val="ListParagraph"/>
        <w:numPr>
          <w:ilvl w:val="1"/>
          <w:numId w:val="38"/>
        </w:numPr>
        <w:tabs>
          <w:tab w:pos="821" w:val="left" w:leader="none"/>
        </w:tabs>
        <w:spacing w:line="362" w:lineRule="auto" w:before="141" w:after="0"/>
        <w:ind w:left="821" w:right="102" w:hanging="361"/>
        <w:jc w:val="left"/>
        <w:rPr>
          <w:sz w:val="24"/>
        </w:rPr>
      </w:pPr>
      <w:r>
        <w:rPr>
          <w:sz w:val="24"/>
        </w:rPr>
        <w:t>Facultar al Congreso para modificar el presupuesto a inicios del ejercicio presupuestal y en el transcurso del</w:t>
      </w:r>
      <w:r>
        <w:rPr>
          <w:spacing w:val="-21"/>
          <w:sz w:val="24"/>
        </w:rPr>
        <w:t> </w:t>
      </w:r>
      <w:r>
        <w:rPr>
          <w:sz w:val="24"/>
        </w:rPr>
        <w:t>año.</w:t>
      </w:r>
    </w:p>
    <w:p>
      <w:pPr>
        <w:pStyle w:val="ListParagraph"/>
        <w:numPr>
          <w:ilvl w:val="1"/>
          <w:numId w:val="38"/>
        </w:numPr>
        <w:tabs>
          <w:tab w:pos="821" w:val="left" w:leader="none"/>
        </w:tabs>
        <w:spacing w:line="362" w:lineRule="auto" w:before="0" w:after="0"/>
        <w:ind w:left="821" w:right="104" w:hanging="361"/>
        <w:jc w:val="left"/>
        <w:rPr>
          <w:sz w:val="24"/>
        </w:rPr>
      </w:pPr>
      <w:r>
        <w:rPr>
          <w:sz w:val="24"/>
        </w:rPr>
        <w:t>Que</w:t>
      </w:r>
      <w:r>
        <w:rPr>
          <w:spacing w:val="-13"/>
          <w:sz w:val="24"/>
        </w:rPr>
        <w:t> </w:t>
      </w:r>
      <w:r>
        <w:rPr>
          <w:sz w:val="24"/>
        </w:rPr>
        <w:t>la</w:t>
      </w:r>
      <w:r>
        <w:rPr>
          <w:spacing w:val="-13"/>
          <w:sz w:val="24"/>
        </w:rPr>
        <w:t> </w:t>
      </w:r>
      <w:r>
        <w:rPr>
          <w:sz w:val="24"/>
        </w:rPr>
        <w:t>Entidad</w:t>
      </w:r>
      <w:r>
        <w:rPr>
          <w:spacing w:val="-13"/>
          <w:sz w:val="24"/>
        </w:rPr>
        <w:t> </w:t>
      </w:r>
      <w:r>
        <w:rPr>
          <w:sz w:val="24"/>
        </w:rPr>
        <w:t>de</w:t>
      </w:r>
      <w:r>
        <w:rPr>
          <w:spacing w:val="-13"/>
          <w:sz w:val="24"/>
        </w:rPr>
        <w:t> </w:t>
      </w:r>
      <w:r>
        <w:rPr>
          <w:sz w:val="24"/>
        </w:rPr>
        <w:t>Fiscalización</w:t>
      </w:r>
      <w:r>
        <w:rPr>
          <w:spacing w:val="-11"/>
          <w:sz w:val="24"/>
        </w:rPr>
        <w:t> </w:t>
      </w:r>
      <w:r>
        <w:rPr>
          <w:sz w:val="24"/>
        </w:rPr>
        <w:t>emita</w:t>
      </w:r>
      <w:r>
        <w:rPr>
          <w:spacing w:val="-13"/>
          <w:sz w:val="24"/>
        </w:rPr>
        <w:t> </w:t>
      </w:r>
      <w:r>
        <w:rPr>
          <w:sz w:val="24"/>
        </w:rPr>
        <w:t>informes</w:t>
      </w:r>
      <w:r>
        <w:rPr>
          <w:spacing w:val="-11"/>
          <w:sz w:val="24"/>
        </w:rPr>
        <w:t> </w:t>
      </w:r>
      <w:r>
        <w:rPr>
          <w:sz w:val="24"/>
        </w:rPr>
        <w:t>de</w:t>
      </w:r>
      <w:r>
        <w:rPr>
          <w:spacing w:val="-13"/>
          <w:sz w:val="24"/>
        </w:rPr>
        <w:t> </w:t>
      </w:r>
      <w:r>
        <w:rPr>
          <w:sz w:val="24"/>
        </w:rPr>
        <w:t>auditoría</w:t>
      </w:r>
      <w:r>
        <w:rPr>
          <w:spacing w:val="-13"/>
          <w:sz w:val="24"/>
        </w:rPr>
        <w:t> </w:t>
      </w:r>
      <w:r>
        <w:rPr>
          <w:sz w:val="24"/>
        </w:rPr>
        <w:t>y</w:t>
      </w:r>
      <w:r>
        <w:rPr>
          <w:spacing w:val="-15"/>
          <w:sz w:val="24"/>
        </w:rPr>
        <w:t> </w:t>
      </w:r>
      <w:r>
        <w:rPr>
          <w:sz w:val="24"/>
        </w:rPr>
        <w:t>de</w:t>
      </w:r>
      <w:r>
        <w:rPr>
          <w:spacing w:val="-13"/>
          <w:sz w:val="24"/>
        </w:rPr>
        <w:t> </w:t>
      </w:r>
      <w:r>
        <w:rPr>
          <w:sz w:val="24"/>
        </w:rPr>
        <w:t>seguimiento de mayor calidad y que éstos sean</w:t>
      </w:r>
      <w:r>
        <w:rPr>
          <w:spacing w:val="-23"/>
          <w:sz w:val="24"/>
        </w:rPr>
        <w:t> </w:t>
      </w:r>
      <w:r>
        <w:rPr>
          <w:sz w:val="24"/>
        </w:rPr>
        <w:t>oportunos.</w:t>
      </w:r>
    </w:p>
    <w:p>
      <w:pPr>
        <w:pStyle w:val="ListParagraph"/>
        <w:numPr>
          <w:ilvl w:val="1"/>
          <w:numId w:val="38"/>
        </w:numPr>
        <w:tabs>
          <w:tab w:pos="821" w:val="left" w:leader="none"/>
        </w:tabs>
        <w:spacing w:line="275" w:lineRule="exact" w:before="0" w:after="0"/>
        <w:ind w:left="821" w:right="0" w:hanging="361"/>
        <w:jc w:val="left"/>
        <w:rPr>
          <w:sz w:val="24"/>
        </w:rPr>
      </w:pPr>
      <w:r>
        <w:rPr>
          <w:sz w:val="24"/>
        </w:rPr>
        <w:t>Ampliar la participación</w:t>
      </w:r>
      <w:r>
        <w:rPr>
          <w:spacing w:val="-21"/>
          <w:sz w:val="24"/>
        </w:rPr>
        <w:t> </w:t>
      </w:r>
      <w:r>
        <w:rPr>
          <w:sz w:val="24"/>
        </w:rPr>
        <w:t>pública.</w:t>
      </w:r>
    </w:p>
    <w:p>
      <w:pPr>
        <w:spacing w:after="0" w:line="275" w:lineRule="exact"/>
        <w:jc w:val="left"/>
        <w:rPr>
          <w:sz w:val="24"/>
        </w:rPr>
        <w:sectPr>
          <w:pgSz w:w="12240" w:h="15840"/>
          <w:pgMar w:header="0" w:footer="998" w:top="1360" w:bottom="1180" w:left="1600" w:right="1600"/>
        </w:sectPr>
      </w:pPr>
    </w:p>
    <w:p>
      <w:pPr>
        <w:pStyle w:val="BodyText"/>
        <w:spacing w:line="360" w:lineRule="auto" w:before="55"/>
        <w:ind w:left="120" w:right="124"/>
        <w:jc w:val="both"/>
      </w:pPr>
      <w:r>
        <w:rPr/>
        <w:t>La transparencia es una condición necesaria, pero no es suficiente para mejorar la gobernabilidad, se requiere ampliar las oportunidades para que la ciudadanía amplíe su participación en todo el ciclo presupuestario.</w:t>
      </w:r>
    </w:p>
    <w:p>
      <w:pPr>
        <w:spacing w:before="202"/>
        <w:ind w:left="120" w:right="0" w:firstLine="0"/>
        <w:jc w:val="both"/>
        <w:rPr>
          <w:i/>
          <w:sz w:val="24"/>
        </w:rPr>
      </w:pPr>
      <w:r>
        <w:rPr>
          <w:i/>
          <w:sz w:val="24"/>
        </w:rPr>
        <w:t>Calidad institucional</w:t>
      </w:r>
    </w:p>
    <w:p>
      <w:pPr>
        <w:pStyle w:val="ListParagraph"/>
        <w:numPr>
          <w:ilvl w:val="0"/>
          <w:numId w:val="39"/>
        </w:numPr>
        <w:tabs>
          <w:tab w:pos="401" w:val="left" w:leader="none"/>
        </w:tabs>
        <w:spacing w:line="240" w:lineRule="auto" w:before="136" w:after="0"/>
        <w:ind w:left="400" w:right="0" w:hanging="280"/>
        <w:jc w:val="both"/>
        <w:rPr>
          <w:i/>
          <w:sz w:val="24"/>
        </w:rPr>
      </w:pPr>
      <w:r>
        <w:rPr>
          <w:i/>
          <w:sz w:val="24"/>
        </w:rPr>
        <w:t>Índice de Calidad Institucional,</w:t>
      </w:r>
      <w:r>
        <w:rPr>
          <w:i/>
          <w:spacing w:val="-19"/>
          <w:sz w:val="24"/>
        </w:rPr>
        <w:t> </w:t>
      </w:r>
      <w:r>
        <w:rPr>
          <w:i/>
          <w:sz w:val="24"/>
        </w:rPr>
        <w:t>2012</w:t>
      </w:r>
    </w:p>
    <w:p>
      <w:pPr>
        <w:pStyle w:val="BodyText"/>
        <w:rPr>
          <w:i/>
        </w:rPr>
      </w:pPr>
    </w:p>
    <w:p>
      <w:pPr>
        <w:pStyle w:val="BodyText"/>
        <w:spacing w:before="10"/>
        <w:rPr>
          <w:i/>
          <w:sz w:val="23"/>
        </w:rPr>
      </w:pPr>
    </w:p>
    <w:p>
      <w:pPr>
        <w:pStyle w:val="BodyText"/>
        <w:spacing w:line="360" w:lineRule="auto"/>
        <w:ind w:left="120" w:right="117"/>
        <w:jc w:val="both"/>
      </w:pPr>
      <w:r>
        <w:rPr/>
        <w:t>El índice publicado por la ONG CIIMA es un agregado de 8 indicadores</w:t>
      </w:r>
      <w:r>
        <w:rPr>
          <w:position w:val="8"/>
          <w:sz w:val="16"/>
        </w:rPr>
        <w:t>35 </w:t>
      </w:r>
      <w:r>
        <w:rPr/>
        <w:t>que son promediados</w:t>
      </w:r>
      <w:r>
        <w:rPr>
          <w:spacing w:val="-15"/>
        </w:rPr>
        <w:t> </w:t>
      </w:r>
      <w:r>
        <w:rPr/>
        <w:t>en</w:t>
      </w:r>
      <w:r>
        <w:rPr>
          <w:spacing w:val="-18"/>
        </w:rPr>
        <w:t> </w:t>
      </w:r>
      <w:r>
        <w:rPr/>
        <w:t>cada</w:t>
      </w:r>
      <w:r>
        <w:rPr>
          <w:spacing w:val="-18"/>
        </w:rPr>
        <w:t> </w:t>
      </w:r>
      <w:r>
        <w:rPr/>
        <w:t>uno</w:t>
      </w:r>
      <w:r>
        <w:rPr>
          <w:spacing w:val="-18"/>
        </w:rPr>
        <w:t> </w:t>
      </w:r>
      <w:r>
        <w:rPr/>
        <w:t>de</w:t>
      </w:r>
      <w:r>
        <w:rPr>
          <w:spacing w:val="-18"/>
        </w:rPr>
        <w:t> </w:t>
      </w:r>
      <w:r>
        <w:rPr/>
        <w:t>los</w:t>
      </w:r>
      <w:r>
        <w:rPr>
          <w:spacing w:val="-16"/>
        </w:rPr>
        <w:t> </w:t>
      </w:r>
      <w:r>
        <w:rPr/>
        <w:t>191</w:t>
      </w:r>
      <w:r>
        <w:rPr>
          <w:spacing w:val="-18"/>
        </w:rPr>
        <w:t> </w:t>
      </w:r>
      <w:r>
        <w:rPr/>
        <w:t>países</w:t>
      </w:r>
      <w:r>
        <w:rPr>
          <w:spacing w:val="-16"/>
        </w:rPr>
        <w:t> </w:t>
      </w:r>
      <w:r>
        <w:rPr/>
        <w:t>analizados.</w:t>
      </w:r>
      <w:r>
        <w:rPr>
          <w:spacing w:val="-15"/>
        </w:rPr>
        <w:t> </w:t>
      </w:r>
      <w:r>
        <w:rPr/>
        <w:t>En</w:t>
      </w:r>
      <w:r>
        <w:rPr>
          <w:spacing w:val="-18"/>
        </w:rPr>
        <w:t> </w:t>
      </w:r>
      <w:r>
        <w:rPr/>
        <w:t>el</w:t>
      </w:r>
      <w:r>
        <w:rPr>
          <w:spacing w:val="-17"/>
        </w:rPr>
        <w:t> </w:t>
      </w:r>
      <w:r>
        <w:rPr/>
        <w:t>estudio</w:t>
      </w:r>
      <w:r>
        <w:rPr>
          <w:spacing w:val="-18"/>
        </w:rPr>
        <w:t> </w:t>
      </w:r>
      <w:r>
        <w:rPr/>
        <w:t>se</w:t>
      </w:r>
      <w:r>
        <w:rPr>
          <w:spacing w:val="-18"/>
        </w:rPr>
        <w:t> </w:t>
      </w:r>
      <w:r>
        <w:rPr/>
        <w:t>consideran como instituciones a las normas que regulan las relaciones entre los individuos y</w:t>
      </w:r>
      <w:r>
        <w:rPr>
          <w:spacing w:val="-38"/>
        </w:rPr>
        <w:t> </w:t>
      </w:r>
      <w:r>
        <w:rPr/>
        <w:t>la sociedad, con el objetivo de ahorrar costos de</w:t>
      </w:r>
      <w:r>
        <w:rPr>
          <w:spacing w:val="-34"/>
        </w:rPr>
        <w:t> </w:t>
      </w:r>
      <w:r>
        <w:rPr/>
        <w:t>información.</w:t>
      </w:r>
    </w:p>
    <w:p>
      <w:pPr>
        <w:pStyle w:val="BodyText"/>
        <w:spacing w:line="360" w:lineRule="auto" w:before="2"/>
        <w:ind w:left="120" w:right="116" w:firstLine="427"/>
        <w:jc w:val="both"/>
      </w:pPr>
      <w:r>
        <w:rPr/>
        <w:t>Las puntuaciones cercanas a 1 indican un mejor desempeño en el respeto a “las reglas” de política y mercado (calidad institucional) y 0 un mal desempeño. México ocupó la posición 87 de las 191 posiciones (0.5146 puntos), Respecto de los dos estudios previos (2010 y 2011), México retrocedió en total 5 posiciones, lo que manifiesta una menor calidad institucional durante el tiempo.</w:t>
      </w:r>
    </w:p>
    <w:p>
      <w:pPr>
        <w:pStyle w:val="BodyText"/>
      </w:pPr>
    </w:p>
    <w:p>
      <w:pPr>
        <w:pStyle w:val="BodyText"/>
      </w:pPr>
    </w:p>
    <w:p>
      <w:pPr>
        <w:pStyle w:val="BodyText"/>
      </w:pPr>
    </w:p>
    <w:p>
      <w:pPr>
        <w:spacing w:before="207"/>
        <w:ind w:left="2353" w:right="0" w:firstLine="0"/>
        <w:jc w:val="left"/>
        <w:rPr>
          <w:sz w:val="20"/>
        </w:rPr>
      </w:pPr>
      <w:bookmarkStart w:name="_bookmark35" w:id="48"/>
      <w:bookmarkEnd w:id="48"/>
      <w:r>
        <w:rPr/>
      </w:r>
      <w:r>
        <w:rPr>
          <w:sz w:val="20"/>
        </w:rPr>
        <w:t>Cuadro 1.10. Índice de calidad institucional, 2012</w:t>
      </w:r>
    </w:p>
    <w:p>
      <w:pPr>
        <w:pStyle w:val="BodyText"/>
        <w:spacing w:before="10"/>
        <w:rPr>
          <w:sz w:val="17"/>
        </w:rPr>
      </w:pPr>
    </w:p>
    <w:tbl>
      <w:tblPr>
        <w:tblW w:w="0" w:type="auto"/>
        <w:jc w:val="left"/>
        <w:tblInd w:w="1096" w:type="dxa"/>
        <w:tblBorders>
          <w:top w:val="single" w:sz="11" w:space="0" w:color="D9D9D9"/>
          <w:left w:val="single" w:sz="11" w:space="0" w:color="D9D9D9"/>
          <w:bottom w:val="single" w:sz="11" w:space="0" w:color="D9D9D9"/>
          <w:right w:val="single" w:sz="11" w:space="0" w:color="D9D9D9"/>
          <w:insideH w:val="single" w:sz="11" w:space="0" w:color="D9D9D9"/>
          <w:insideV w:val="single" w:sz="11" w:space="0" w:color="D9D9D9"/>
        </w:tblBorders>
        <w:tblLayout w:type="fixed"/>
        <w:tblCellMar>
          <w:top w:w="0" w:type="dxa"/>
          <w:left w:w="0" w:type="dxa"/>
          <w:bottom w:w="0" w:type="dxa"/>
          <w:right w:w="0" w:type="dxa"/>
        </w:tblCellMar>
        <w:tblLook w:val="01E0"/>
      </w:tblPr>
      <w:tblGrid>
        <w:gridCol w:w="2029"/>
        <w:gridCol w:w="1228"/>
        <w:gridCol w:w="1200"/>
        <w:gridCol w:w="1201"/>
        <w:gridCol w:w="1200"/>
      </w:tblGrid>
      <w:tr>
        <w:trPr>
          <w:trHeight w:val="317" w:hRule="exact"/>
        </w:trPr>
        <w:tc>
          <w:tcPr>
            <w:tcW w:w="2029" w:type="dxa"/>
            <w:vMerge w:val="restart"/>
          </w:tcPr>
          <w:p>
            <w:pPr>
              <w:pStyle w:val="TableParagraph"/>
              <w:spacing w:before="8"/>
              <w:rPr>
                <w:sz w:val="15"/>
              </w:rPr>
            </w:pPr>
          </w:p>
          <w:p>
            <w:pPr>
              <w:pStyle w:val="TableParagraph"/>
              <w:ind w:left="772" w:right="777"/>
              <w:jc w:val="center"/>
              <w:rPr>
                <w:b/>
                <w:sz w:val="20"/>
              </w:rPr>
            </w:pPr>
            <w:r>
              <w:rPr>
                <w:b/>
                <w:sz w:val="20"/>
              </w:rPr>
              <w:t>País</w:t>
            </w:r>
          </w:p>
        </w:tc>
        <w:tc>
          <w:tcPr>
            <w:tcW w:w="1228" w:type="dxa"/>
            <w:vMerge w:val="restart"/>
          </w:tcPr>
          <w:p>
            <w:pPr>
              <w:pStyle w:val="TableParagraph"/>
              <w:spacing w:line="242" w:lineRule="auto" w:before="133"/>
              <w:ind w:left="403" w:right="36" w:hanging="348"/>
              <w:rPr>
                <w:b/>
                <w:sz w:val="20"/>
              </w:rPr>
            </w:pPr>
            <w:r>
              <w:rPr>
                <w:b/>
                <w:sz w:val="20"/>
              </w:rPr>
              <w:t>Puntuación 2012</w:t>
            </w:r>
          </w:p>
        </w:tc>
        <w:tc>
          <w:tcPr>
            <w:tcW w:w="3601" w:type="dxa"/>
            <w:gridSpan w:val="3"/>
          </w:tcPr>
          <w:p>
            <w:pPr>
              <w:pStyle w:val="TableParagraph"/>
              <w:spacing w:before="49"/>
              <w:ind w:left="1350" w:right="1349"/>
              <w:jc w:val="center"/>
              <w:rPr>
                <w:b/>
                <w:sz w:val="20"/>
              </w:rPr>
            </w:pPr>
            <w:r>
              <w:rPr>
                <w:b/>
                <w:sz w:val="20"/>
              </w:rPr>
              <w:t>Posición</w:t>
            </w:r>
          </w:p>
        </w:tc>
      </w:tr>
      <w:tr>
        <w:trPr>
          <w:trHeight w:val="312" w:hRule="exact"/>
        </w:trPr>
        <w:tc>
          <w:tcPr>
            <w:tcW w:w="2029" w:type="dxa"/>
            <w:vMerge/>
          </w:tcPr>
          <w:p>
            <w:pPr/>
          </w:p>
        </w:tc>
        <w:tc>
          <w:tcPr>
            <w:tcW w:w="1228" w:type="dxa"/>
            <w:vMerge/>
          </w:tcPr>
          <w:p>
            <w:pPr/>
          </w:p>
        </w:tc>
        <w:tc>
          <w:tcPr>
            <w:tcW w:w="1200" w:type="dxa"/>
          </w:tcPr>
          <w:p>
            <w:pPr>
              <w:pStyle w:val="TableParagraph"/>
              <w:spacing w:before="48"/>
              <w:ind w:left="345" w:right="341"/>
              <w:jc w:val="center"/>
              <w:rPr>
                <w:b/>
                <w:sz w:val="20"/>
              </w:rPr>
            </w:pPr>
            <w:r>
              <w:rPr>
                <w:b/>
                <w:sz w:val="20"/>
              </w:rPr>
              <w:t>2010</w:t>
            </w:r>
          </w:p>
        </w:tc>
        <w:tc>
          <w:tcPr>
            <w:tcW w:w="1201" w:type="dxa"/>
          </w:tcPr>
          <w:p>
            <w:pPr>
              <w:pStyle w:val="TableParagraph"/>
              <w:spacing w:before="48"/>
              <w:ind w:left="130" w:right="126"/>
              <w:jc w:val="center"/>
              <w:rPr>
                <w:b/>
                <w:sz w:val="20"/>
              </w:rPr>
            </w:pPr>
            <w:r>
              <w:rPr>
                <w:b/>
                <w:sz w:val="20"/>
              </w:rPr>
              <w:t>2011</w:t>
            </w:r>
          </w:p>
        </w:tc>
        <w:tc>
          <w:tcPr>
            <w:tcW w:w="1200" w:type="dxa"/>
          </w:tcPr>
          <w:p>
            <w:pPr>
              <w:pStyle w:val="TableParagraph"/>
              <w:spacing w:before="48"/>
              <w:ind w:left="345" w:right="342"/>
              <w:jc w:val="center"/>
              <w:rPr>
                <w:b/>
                <w:sz w:val="20"/>
              </w:rPr>
            </w:pPr>
            <w:r>
              <w:rPr>
                <w:b/>
                <w:sz w:val="20"/>
              </w:rPr>
              <w:t>2012</w:t>
            </w:r>
          </w:p>
        </w:tc>
      </w:tr>
      <w:tr>
        <w:trPr>
          <w:trHeight w:val="300" w:hRule="exact"/>
        </w:trPr>
        <w:tc>
          <w:tcPr>
            <w:tcW w:w="2029" w:type="dxa"/>
          </w:tcPr>
          <w:p>
            <w:pPr>
              <w:pStyle w:val="TableParagraph"/>
              <w:spacing w:before="40"/>
              <w:ind w:left="56"/>
              <w:rPr>
                <w:sz w:val="20"/>
              </w:rPr>
            </w:pPr>
            <w:r>
              <w:rPr>
                <w:sz w:val="20"/>
              </w:rPr>
              <w:t>Dinamarca</w:t>
            </w:r>
          </w:p>
        </w:tc>
        <w:tc>
          <w:tcPr>
            <w:tcW w:w="1228" w:type="dxa"/>
          </w:tcPr>
          <w:p>
            <w:pPr>
              <w:pStyle w:val="TableParagraph"/>
              <w:spacing w:before="40"/>
              <w:ind w:right="293"/>
              <w:jc w:val="right"/>
              <w:rPr>
                <w:sz w:val="20"/>
              </w:rPr>
            </w:pPr>
            <w:r>
              <w:rPr>
                <w:sz w:val="20"/>
              </w:rPr>
              <w:t>0.9637</w:t>
            </w:r>
          </w:p>
        </w:tc>
        <w:tc>
          <w:tcPr>
            <w:tcW w:w="1200" w:type="dxa"/>
          </w:tcPr>
          <w:p>
            <w:pPr>
              <w:pStyle w:val="TableParagraph"/>
              <w:spacing w:before="40"/>
              <w:ind w:right="2"/>
              <w:jc w:val="center"/>
              <w:rPr>
                <w:sz w:val="20"/>
              </w:rPr>
            </w:pPr>
            <w:r>
              <w:rPr>
                <w:w w:val="99"/>
                <w:sz w:val="20"/>
              </w:rPr>
              <w:t>1</w:t>
            </w:r>
          </w:p>
        </w:tc>
        <w:tc>
          <w:tcPr>
            <w:tcW w:w="1201" w:type="dxa"/>
          </w:tcPr>
          <w:p>
            <w:pPr>
              <w:pStyle w:val="TableParagraph"/>
              <w:spacing w:before="40"/>
              <w:ind w:right="2"/>
              <w:jc w:val="center"/>
              <w:rPr>
                <w:sz w:val="20"/>
              </w:rPr>
            </w:pPr>
            <w:r>
              <w:rPr>
                <w:w w:val="99"/>
                <w:sz w:val="20"/>
              </w:rPr>
              <w:t>1</w:t>
            </w:r>
          </w:p>
        </w:tc>
        <w:tc>
          <w:tcPr>
            <w:tcW w:w="1200" w:type="dxa"/>
          </w:tcPr>
          <w:p>
            <w:pPr>
              <w:pStyle w:val="TableParagraph"/>
              <w:spacing w:before="40"/>
              <w:ind w:right="2"/>
              <w:jc w:val="center"/>
              <w:rPr>
                <w:sz w:val="20"/>
              </w:rPr>
            </w:pPr>
            <w:r>
              <w:rPr>
                <w:w w:val="99"/>
                <w:sz w:val="20"/>
              </w:rPr>
              <w:t>2</w:t>
            </w:r>
          </w:p>
        </w:tc>
      </w:tr>
      <w:tr>
        <w:trPr>
          <w:trHeight w:val="288" w:hRule="exact"/>
        </w:trPr>
        <w:tc>
          <w:tcPr>
            <w:tcW w:w="2029" w:type="dxa"/>
          </w:tcPr>
          <w:p>
            <w:pPr>
              <w:pStyle w:val="TableParagraph"/>
              <w:spacing w:before="24"/>
              <w:ind w:left="56"/>
              <w:rPr>
                <w:sz w:val="20"/>
              </w:rPr>
            </w:pPr>
            <w:r>
              <w:rPr>
                <w:sz w:val="20"/>
              </w:rPr>
              <w:t>Nueva Zelanda</w:t>
            </w:r>
          </w:p>
        </w:tc>
        <w:tc>
          <w:tcPr>
            <w:tcW w:w="1228" w:type="dxa"/>
          </w:tcPr>
          <w:p>
            <w:pPr>
              <w:pStyle w:val="TableParagraph"/>
              <w:spacing w:before="24"/>
              <w:ind w:right="293"/>
              <w:jc w:val="right"/>
              <w:rPr>
                <w:sz w:val="20"/>
              </w:rPr>
            </w:pPr>
            <w:r>
              <w:rPr>
                <w:sz w:val="20"/>
              </w:rPr>
              <w:t>0.9595</w:t>
            </w:r>
          </w:p>
        </w:tc>
        <w:tc>
          <w:tcPr>
            <w:tcW w:w="1200" w:type="dxa"/>
          </w:tcPr>
          <w:p>
            <w:pPr>
              <w:pStyle w:val="TableParagraph"/>
              <w:spacing w:before="24"/>
              <w:ind w:right="2"/>
              <w:jc w:val="center"/>
              <w:rPr>
                <w:sz w:val="20"/>
              </w:rPr>
            </w:pPr>
            <w:r>
              <w:rPr>
                <w:w w:val="99"/>
                <w:sz w:val="20"/>
              </w:rPr>
              <w:t>3</w:t>
            </w:r>
          </w:p>
        </w:tc>
        <w:tc>
          <w:tcPr>
            <w:tcW w:w="1201" w:type="dxa"/>
          </w:tcPr>
          <w:p>
            <w:pPr>
              <w:pStyle w:val="TableParagraph"/>
              <w:spacing w:before="24"/>
              <w:ind w:right="2"/>
              <w:jc w:val="center"/>
              <w:rPr>
                <w:sz w:val="20"/>
              </w:rPr>
            </w:pPr>
            <w:r>
              <w:rPr>
                <w:w w:val="99"/>
                <w:sz w:val="20"/>
              </w:rPr>
              <w:t>2</w:t>
            </w:r>
          </w:p>
        </w:tc>
        <w:tc>
          <w:tcPr>
            <w:tcW w:w="1200" w:type="dxa"/>
          </w:tcPr>
          <w:p>
            <w:pPr>
              <w:pStyle w:val="TableParagraph"/>
              <w:spacing w:before="24"/>
              <w:ind w:right="2"/>
              <w:jc w:val="center"/>
              <w:rPr>
                <w:sz w:val="20"/>
              </w:rPr>
            </w:pPr>
            <w:r>
              <w:rPr>
                <w:w w:val="99"/>
                <w:sz w:val="20"/>
              </w:rPr>
              <w:t>4</w:t>
            </w:r>
          </w:p>
        </w:tc>
      </w:tr>
      <w:tr>
        <w:trPr>
          <w:trHeight w:val="284" w:hRule="exact"/>
        </w:trPr>
        <w:tc>
          <w:tcPr>
            <w:tcW w:w="2029" w:type="dxa"/>
          </w:tcPr>
          <w:p>
            <w:pPr>
              <w:pStyle w:val="TableParagraph"/>
              <w:spacing w:before="20"/>
              <w:ind w:left="56"/>
              <w:rPr>
                <w:sz w:val="20"/>
              </w:rPr>
            </w:pPr>
            <w:r>
              <w:rPr>
                <w:sz w:val="20"/>
              </w:rPr>
              <w:t>Suiza</w:t>
            </w:r>
          </w:p>
        </w:tc>
        <w:tc>
          <w:tcPr>
            <w:tcW w:w="1228" w:type="dxa"/>
          </w:tcPr>
          <w:p>
            <w:pPr>
              <w:pStyle w:val="TableParagraph"/>
              <w:spacing w:before="20"/>
              <w:ind w:right="293"/>
              <w:jc w:val="right"/>
              <w:rPr>
                <w:sz w:val="20"/>
              </w:rPr>
            </w:pPr>
            <w:r>
              <w:rPr>
                <w:sz w:val="20"/>
              </w:rPr>
              <w:t>0.9630</w:t>
            </w:r>
          </w:p>
        </w:tc>
        <w:tc>
          <w:tcPr>
            <w:tcW w:w="1200" w:type="dxa"/>
          </w:tcPr>
          <w:p>
            <w:pPr>
              <w:pStyle w:val="TableParagraph"/>
              <w:spacing w:before="20"/>
              <w:ind w:right="2"/>
              <w:jc w:val="center"/>
              <w:rPr>
                <w:sz w:val="20"/>
              </w:rPr>
            </w:pPr>
            <w:r>
              <w:rPr>
                <w:w w:val="99"/>
                <w:sz w:val="20"/>
              </w:rPr>
              <w:t>2</w:t>
            </w:r>
          </w:p>
        </w:tc>
        <w:tc>
          <w:tcPr>
            <w:tcW w:w="1201" w:type="dxa"/>
          </w:tcPr>
          <w:p>
            <w:pPr>
              <w:pStyle w:val="TableParagraph"/>
              <w:spacing w:before="20"/>
              <w:ind w:right="2"/>
              <w:jc w:val="center"/>
              <w:rPr>
                <w:sz w:val="20"/>
              </w:rPr>
            </w:pPr>
            <w:r>
              <w:rPr>
                <w:w w:val="99"/>
                <w:sz w:val="20"/>
              </w:rPr>
              <w:t>3</w:t>
            </w:r>
          </w:p>
        </w:tc>
        <w:tc>
          <w:tcPr>
            <w:tcW w:w="1200" w:type="dxa"/>
          </w:tcPr>
          <w:p>
            <w:pPr>
              <w:pStyle w:val="TableParagraph"/>
              <w:spacing w:before="20"/>
              <w:ind w:right="2"/>
              <w:jc w:val="center"/>
              <w:rPr>
                <w:sz w:val="20"/>
              </w:rPr>
            </w:pPr>
            <w:r>
              <w:rPr>
                <w:w w:val="99"/>
                <w:sz w:val="20"/>
              </w:rPr>
              <w:t>3</w:t>
            </w:r>
          </w:p>
        </w:tc>
      </w:tr>
      <w:tr>
        <w:trPr>
          <w:trHeight w:val="284" w:hRule="exact"/>
        </w:trPr>
        <w:tc>
          <w:tcPr>
            <w:tcW w:w="2029" w:type="dxa"/>
          </w:tcPr>
          <w:p>
            <w:pPr>
              <w:pStyle w:val="TableParagraph"/>
              <w:spacing w:before="24"/>
              <w:ind w:left="56"/>
              <w:rPr>
                <w:sz w:val="20"/>
              </w:rPr>
            </w:pPr>
            <w:r>
              <w:rPr>
                <w:sz w:val="20"/>
              </w:rPr>
              <w:t>Estados Unidos</w:t>
            </w:r>
          </w:p>
        </w:tc>
        <w:tc>
          <w:tcPr>
            <w:tcW w:w="1228" w:type="dxa"/>
          </w:tcPr>
          <w:p>
            <w:pPr>
              <w:pStyle w:val="TableParagraph"/>
              <w:spacing w:before="24"/>
              <w:ind w:right="293"/>
              <w:jc w:val="right"/>
              <w:rPr>
                <w:sz w:val="20"/>
              </w:rPr>
            </w:pPr>
            <w:r>
              <w:rPr>
                <w:sz w:val="20"/>
              </w:rPr>
              <w:t>0.9277</w:t>
            </w:r>
          </w:p>
        </w:tc>
        <w:tc>
          <w:tcPr>
            <w:tcW w:w="1200" w:type="dxa"/>
          </w:tcPr>
          <w:p>
            <w:pPr>
              <w:pStyle w:val="TableParagraph"/>
              <w:spacing w:before="24"/>
              <w:ind w:right="2"/>
              <w:jc w:val="center"/>
              <w:rPr>
                <w:sz w:val="20"/>
              </w:rPr>
            </w:pPr>
            <w:r>
              <w:rPr>
                <w:w w:val="99"/>
                <w:sz w:val="20"/>
              </w:rPr>
              <w:t>7</w:t>
            </w:r>
          </w:p>
        </w:tc>
        <w:tc>
          <w:tcPr>
            <w:tcW w:w="1201" w:type="dxa"/>
          </w:tcPr>
          <w:p>
            <w:pPr>
              <w:pStyle w:val="TableParagraph"/>
              <w:spacing w:before="24"/>
              <w:ind w:right="2"/>
              <w:jc w:val="center"/>
              <w:rPr>
                <w:sz w:val="20"/>
              </w:rPr>
            </w:pPr>
            <w:r>
              <w:rPr>
                <w:w w:val="99"/>
                <w:sz w:val="20"/>
              </w:rPr>
              <w:t>9</w:t>
            </w:r>
          </w:p>
        </w:tc>
        <w:tc>
          <w:tcPr>
            <w:tcW w:w="1200" w:type="dxa"/>
          </w:tcPr>
          <w:p>
            <w:pPr>
              <w:pStyle w:val="TableParagraph"/>
              <w:spacing w:before="24"/>
              <w:ind w:right="2"/>
              <w:jc w:val="center"/>
              <w:rPr>
                <w:sz w:val="20"/>
              </w:rPr>
            </w:pPr>
            <w:r>
              <w:rPr>
                <w:w w:val="99"/>
                <w:sz w:val="20"/>
              </w:rPr>
              <w:t>9</w:t>
            </w:r>
          </w:p>
        </w:tc>
      </w:tr>
      <w:tr>
        <w:trPr>
          <w:trHeight w:val="284" w:hRule="exact"/>
        </w:trPr>
        <w:tc>
          <w:tcPr>
            <w:tcW w:w="2029" w:type="dxa"/>
          </w:tcPr>
          <w:p>
            <w:pPr>
              <w:pStyle w:val="TableParagraph"/>
              <w:spacing w:before="24"/>
              <w:ind w:left="56"/>
              <w:rPr>
                <w:sz w:val="20"/>
              </w:rPr>
            </w:pPr>
            <w:r>
              <w:rPr>
                <w:sz w:val="20"/>
              </w:rPr>
              <w:t>Reino Unido</w:t>
            </w:r>
          </w:p>
        </w:tc>
        <w:tc>
          <w:tcPr>
            <w:tcW w:w="1228" w:type="dxa"/>
          </w:tcPr>
          <w:p>
            <w:pPr>
              <w:pStyle w:val="TableParagraph"/>
              <w:spacing w:before="24"/>
              <w:ind w:right="293"/>
              <w:jc w:val="right"/>
              <w:rPr>
                <w:sz w:val="20"/>
              </w:rPr>
            </w:pPr>
            <w:r>
              <w:rPr>
                <w:sz w:val="20"/>
              </w:rPr>
              <w:t>0.9300</w:t>
            </w:r>
          </w:p>
        </w:tc>
        <w:tc>
          <w:tcPr>
            <w:tcW w:w="1200" w:type="dxa"/>
          </w:tcPr>
          <w:p>
            <w:pPr>
              <w:pStyle w:val="TableParagraph"/>
              <w:spacing w:before="24"/>
              <w:ind w:left="338" w:right="341"/>
              <w:jc w:val="center"/>
              <w:rPr>
                <w:sz w:val="20"/>
              </w:rPr>
            </w:pPr>
            <w:r>
              <w:rPr>
                <w:sz w:val="20"/>
              </w:rPr>
              <w:t>12</w:t>
            </w:r>
          </w:p>
        </w:tc>
        <w:tc>
          <w:tcPr>
            <w:tcW w:w="1201" w:type="dxa"/>
          </w:tcPr>
          <w:p>
            <w:pPr>
              <w:pStyle w:val="TableParagraph"/>
              <w:spacing w:before="24"/>
              <w:ind w:left="129" w:right="130"/>
              <w:jc w:val="center"/>
              <w:rPr>
                <w:sz w:val="20"/>
              </w:rPr>
            </w:pPr>
            <w:r>
              <w:rPr>
                <w:sz w:val="20"/>
              </w:rPr>
              <w:t>10</w:t>
            </w:r>
          </w:p>
        </w:tc>
        <w:tc>
          <w:tcPr>
            <w:tcW w:w="1200" w:type="dxa"/>
          </w:tcPr>
          <w:p>
            <w:pPr>
              <w:pStyle w:val="TableParagraph"/>
              <w:spacing w:before="24"/>
              <w:ind w:right="2"/>
              <w:jc w:val="center"/>
              <w:rPr>
                <w:sz w:val="20"/>
              </w:rPr>
            </w:pPr>
            <w:r>
              <w:rPr>
                <w:w w:val="99"/>
                <w:sz w:val="20"/>
              </w:rPr>
              <w:t>8</w:t>
            </w:r>
          </w:p>
        </w:tc>
      </w:tr>
      <w:tr>
        <w:trPr>
          <w:trHeight w:val="288" w:hRule="exact"/>
        </w:trPr>
        <w:tc>
          <w:tcPr>
            <w:tcW w:w="2029" w:type="dxa"/>
          </w:tcPr>
          <w:p>
            <w:pPr>
              <w:pStyle w:val="TableParagraph"/>
              <w:spacing w:before="25"/>
              <w:ind w:left="56"/>
              <w:rPr>
                <w:sz w:val="20"/>
              </w:rPr>
            </w:pPr>
            <w:r>
              <w:rPr>
                <w:sz w:val="20"/>
              </w:rPr>
              <w:t>Alemania</w:t>
            </w:r>
          </w:p>
        </w:tc>
        <w:tc>
          <w:tcPr>
            <w:tcW w:w="1228" w:type="dxa"/>
          </w:tcPr>
          <w:p>
            <w:pPr>
              <w:pStyle w:val="TableParagraph"/>
              <w:spacing w:before="25"/>
              <w:ind w:right="293"/>
              <w:jc w:val="right"/>
              <w:rPr>
                <w:sz w:val="20"/>
              </w:rPr>
            </w:pPr>
            <w:r>
              <w:rPr>
                <w:sz w:val="20"/>
              </w:rPr>
              <w:t>0.9108</w:t>
            </w:r>
          </w:p>
        </w:tc>
        <w:tc>
          <w:tcPr>
            <w:tcW w:w="1200" w:type="dxa"/>
          </w:tcPr>
          <w:p>
            <w:pPr>
              <w:pStyle w:val="TableParagraph"/>
              <w:spacing w:before="25"/>
              <w:ind w:left="338" w:right="341"/>
              <w:jc w:val="center"/>
              <w:rPr>
                <w:sz w:val="20"/>
              </w:rPr>
            </w:pPr>
            <w:r>
              <w:rPr>
                <w:sz w:val="20"/>
              </w:rPr>
              <w:t>14</w:t>
            </w:r>
          </w:p>
        </w:tc>
        <w:tc>
          <w:tcPr>
            <w:tcW w:w="1201" w:type="dxa"/>
          </w:tcPr>
          <w:p>
            <w:pPr>
              <w:pStyle w:val="TableParagraph"/>
              <w:spacing w:before="25"/>
              <w:ind w:left="129" w:right="130"/>
              <w:jc w:val="center"/>
              <w:rPr>
                <w:sz w:val="20"/>
              </w:rPr>
            </w:pPr>
            <w:r>
              <w:rPr>
                <w:sz w:val="20"/>
              </w:rPr>
              <w:t>14</w:t>
            </w:r>
          </w:p>
        </w:tc>
        <w:tc>
          <w:tcPr>
            <w:tcW w:w="1200" w:type="dxa"/>
          </w:tcPr>
          <w:p>
            <w:pPr>
              <w:pStyle w:val="TableParagraph"/>
              <w:spacing w:before="25"/>
              <w:ind w:left="341" w:right="342"/>
              <w:jc w:val="center"/>
              <w:rPr>
                <w:sz w:val="20"/>
              </w:rPr>
            </w:pPr>
            <w:r>
              <w:rPr>
                <w:sz w:val="20"/>
              </w:rPr>
              <w:t>12</w:t>
            </w:r>
          </w:p>
        </w:tc>
      </w:tr>
      <w:tr>
        <w:trPr>
          <w:trHeight w:val="270" w:hRule="exact"/>
        </w:trPr>
        <w:tc>
          <w:tcPr>
            <w:tcW w:w="2029" w:type="dxa"/>
            <w:tcBorders>
              <w:bottom w:val="nil"/>
            </w:tcBorders>
          </w:tcPr>
          <w:p>
            <w:pPr>
              <w:pStyle w:val="TableParagraph"/>
              <w:spacing w:before="20"/>
              <w:ind w:left="56"/>
              <w:rPr>
                <w:sz w:val="20"/>
              </w:rPr>
            </w:pPr>
            <w:r>
              <w:rPr>
                <w:sz w:val="20"/>
              </w:rPr>
              <w:t>España</w:t>
            </w:r>
          </w:p>
        </w:tc>
        <w:tc>
          <w:tcPr>
            <w:tcW w:w="1228" w:type="dxa"/>
            <w:tcBorders>
              <w:bottom w:val="nil"/>
            </w:tcBorders>
          </w:tcPr>
          <w:p>
            <w:pPr>
              <w:pStyle w:val="TableParagraph"/>
              <w:spacing w:before="20"/>
              <w:ind w:right="293"/>
              <w:jc w:val="right"/>
              <w:rPr>
                <w:sz w:val="20"/>
              </w:rPr>
            </w:pPr>
            <w:r>
              <w:rPr>
                <w:sz w:val="20"/>
              </w:rPr>
              <w:t>0.7888</w:t>
            </w:r>
          </w:p>
        </w:tc>
        <w:tc>
          <w:tcPr>
            <w:tcW w:w="1200" w:type="dxa"/>
            <w:tcBorders>
              <w:bottom w:val="nil"/>
            </w:tcBorders>
          </w:tcPr>
          <w:p>
            <w:pPr>
              <w:pStyle w:val="TableParagraph"/>
              <w:spacing w:before="20"/>
              <w:ind w:left="338" w:right="341"/>
              <w:jc w:val="center"/>
              <w:rPr>
                <w:sz w:val="20"/>
              </w:rPr>
            </w:pPr>
            <w:r>
              <w:rPr>
                <w:sz w:val="20"/>
              </w:rPr>
              <w:t>43</w:t>
            </w:r>
          </w:p>
        </w:tc>
        <w:tc>
          <w:tcPr>
            <w:tcW w:w="1201" w:type="dxa"/>
            <w:tcBorders>
              <w:bottom w:val="nil"/>
            </w:tcBorders>
          </w:tcPr>
          <w:p>
            <w:pPr>
              <w:pStyle w:val="TableParagraph"/>
              <w:spacing w:before="20"/>
              <w:ind w:left="129" w:right="130"/>
              <w:jc w:val="center"/>
              <w:rPr>
                <w:sz w:val="20"/>
              </w:rPr>
            </w:pPr>
            <w:r>
              <w:rPr>
                <w:sz w:val="20"/>
              </w:rPr>
              <w:t>30</w:t>
            </w:r>
          </w:p>
        </w:tc>
        <w:tc>
          <w:tcPr>
            <w:tcW w:w="1200" w:type="dxa"/>
            <w:tcBorders>
              <w:bottom w:val="nil"/>
            </w:tcBorders>
          </w:tcPr>
          <w:p>
            <w:pPr>
              <w:pStyle w:val="TableParagraph"/>
              <w:spacing w:before="20"/>
              <w:ind w:left="341" w:right="342"/>
              <w:jc w:val="center"/>
              <w:rPr>
                <w:sz w:val="20"/>
              </w:rPr>
            </w:pPr>
            <w:r>
              <w:rPr>
                <w:sz w:val="20"/>
              </w:rPr>
              <w:t>30</w:t>
            </w:r>
          </w:p>
        </w:tc>
      </w:tr>
      <w:tr>
        <w:trPr>
          <w:trHeight w:val="328" w:hRule="exact"/>
        </w:trPr>
        <w:tc>
          <w:tcPr>
            <w:tcW w:w="2029" w:type="dxa"/>
            <w:tcBorders>
              <w:top w:val="nil"/>
              <w:left w:val="nil"/>
              <w:bottom w:val="nil"/>
              <w:right w:val="nil"/>
            </w:tcBorders>
            <w:shd w:val="clear" w:color="auto" w:fill="D9D9D9"/>
          </w:tcPr>
          <w:p>
            <w:pPr>
              <w:pStyle w:val="TableParagraph"/>
              <w:spacing w:before="60"/>
              <w:ind w:left="70"/>
              <w:rPr>
                <w:b/>
                <w:sz w:val="20"/>
              </w:rPr>
            </w:pPr>
            <w:r>
              <w:rPr>
                <w:b/>
                <w:sz w:val="20"/>
              </w:rPr>
              <w:t>México</w:t>
            </w:r>
          </w:p>
        </w:tc>
        <w:tc>
          <w:tcPr>
            <w:tcW w:w="1228" w:type="dxa"/>
            <w:tcBorders>
              <w:top w:val="nil"/>
              <w:left w:val="nil"/>
              <w:bottom w:val="nil"/>
              <w:right w:val="nil"/>
            </w:tcBorders>
            <w:shd w:val="clear" w:color="auto" w:fill="D9D9D9"/>
          </w:tcPr>
          <w:p>
            <w:pPr>
              <w:pStyle w:val="TableParagraph"/>
              <w:spacing w:before="60"/>
              <w:ind w:right="307"/>
              <w:jc w:val="right"/>
              <w:rPr>
                <w:b/>
                <w:sz w:val="20"/>
              </w:rPr>
            </w:pPr>
            <w:r>
              <w:rPr>
                <w:b/>
                <w:sz w:val="20"/>
              </w:rPr>
              <w:t>0.5146</w:t>
            </w:r>
          </w:p>
        </w:tc>
        <w:tc>
          <w:tcPr>
            <w:tcW w:w="1200" w:type="dxa"/>
            <w:tcBorders>
              <w:top w:val="nil"/>
              <w:left w:val="nil"/>
              <w:bottom w:val="nil"/>
              <w:right w:val="nil"/>
            </w:tcBorders>
            <w:shd w:val="clear" w:color="auto" w:fill="D9D9D9"/>
          </w:tcPr>
          <w:p>
            <w:pPr>
              <w:pStyle w:val="TableParagraph"/>
              <w:spacing w:before="60"/>
              <w:ind w:left="467" w:right="470"/>
              <w:jc w:val="center"/>
              <w:rPr>
                <w:b/>
                <w:sz w:val="20"/>
              </w:rPr>
            </w:pPr>
            <w:r>
              <w:rPr>
                <w:b/>
                <w:sz w:val="20"/>
              </w:rPr>
              <w:t>82</w:t>
            </w:r>
          </w:p>
        </w:tc>
        <w:tc>
          <w:tcPr>
            <w:tcW w:w="1201" w:type="dxa"/>
            <w:tcBorders>
              <w:top w:val="nil"/>
              <w:left w:val="nil"/>
              <w:bottom w:val="nil"/>
              <w:right w:val="nil"/>
            </w:tcBorders>
            <w:shd w:val="clear" w:color="auto" w:fill="D9D9D9"/>
          </w:tcPr>
          <w:p>
            <w:pPr>
              <w:pStyle w:val="TableParagraph"/>
              <w:spacing w:before="60"/>
              <w:ind w:left="468" w:right="469"/>
              <w:jc w:val="center"/>
              <w:rPr>
                <w:b/>
                <w:sz w:val="20"/>
              </w:rPr>
            </w:pPr>
            <w:r>
              <w:rPr>
                <w:b/>
                <w:sz w:val="20"/>
              </w:rPr>
              <w:t>85</w:t>
            </w:r>
          </w:p>
        </w:tc>
        <w:tc>
          <w:tcPr>
            <w:tcW w:w="1200" w:type="dxa"/>
            <w:tcBorders>
              <w:top w:val="nil"/>
              <w:left w:val="nil"/>
              <w:bottom w:val="nil"/>
              <w:right w:val="nil"/>
            </w:tcBorders>
            <w:shd w:val="clear" w:color="auto" w:fill="D9D9D9"/>
          </w:tcPr>
          <w:p>
            <w:pPr>
              <w:pStyle w:val="TableParagraph"/>
              <w:spacing w:before="60"/>
              <w:ind w:left="468" w:right="469"/>
              <w:jc w:val="center"/>
              <w:rPr>
                <w:b/>
                <w:sz w:val="20"/>
              </w:rPr>
            </w:pPr>
            <w:r>
              <w:rPr>
                <w:b/>
                <w:sz w:val="20"/>
              </w:rPr>
              <w:t>87</w:t>
            </w:r>
          </w:p>
        </w:tc>
      </w:tr>
    </w:tbl>
    <w:p>
      <w:pPr>
        <w:pStyle w:val="BodyText"/>
        <w:spacing w:before="6"/>
        <w:rPr>
          <w:sz w:val="10"/>
        </w:rPr>
      </w:pPr>
    </w:p>
    <w:p>
      <w:pPr>
        <w:spacing w:line="137" w:lineRule="exact" w:before="0"/>
        <w:ind w:left="1537" w:right="0" w:firstLine="0"/>
        <w:jc w:val="left"/>
        <w:rPr>
          <w:sz w:val="12"/>
        </w:rPr>
      </w:pPr>
      <w:r>
        <w:rPr>
          <w:sz w:val="12"/>
        </w:rPr>
        <w:t>FUENTE:      Elaboración propia con base en:</w:t>
      </w:r>
    </w:p>
    <w:p>
      <w:pPr>
        <w:spacing w:line="137" w:lineRule="exact" w:before="0"/>
        <w:ind w:left="2245" w:right="0" w:firstLine="0"/>
        <w:jc w:val="left"/>
        <w:rPr>
          <w:sz w:val="12"/>
        </w:rPr>
      </w:pPr>
      <w:r>
        <w:rPr>
          <w:sz w:val="12"/>
        </w:rPr>
        <w:t>CIIMA, ESEADE, IPN, </w:t>
      </w:r>
      <w:r>
        <w:rPr>
          <w:i/>
          <w:sz w:val="12"/>
        </w:rPr>
        <w:t>Índice de Calidad Institucional 2012</w:t>
      </w:r>
      <w:r>
        <w:rPr>
          <w:sz w:val="12"/>
        </w:rPr>
        <w:t>, pp. 42-47.</w:t>
      </w:r>
    </w:p>
    <w:p>
      <w:pPr>
        <w:spacing w:before="2"/>
        <w:ind w:left="2245" w:right="1805" w:firstLine="0"/>
        <w:jc w:val="left"/>
        <w:rPr>
          <w:sz w:val="12"/>
        </w:rPr>
      </w:pPr>
      <w:r>
        <w:rPr>
          <w:sz w:val="12"/>
        </w:rPr>
        <w:t>Disponible en: </w:t>
      </w:r>
      <w:hyperlink r:id="rId74">
        <w:r>
          <w:rPr>
            <w:sz w:val="12"/>
          </w:rPr>
          <w:t>http://www.libertadyprogresonline.org/wp-content/uploads/2012/07/ICI-2012.pdf</w:t>
        </w:r>
      </w:hyperlink>
      <w:r>
        <w:rPr>
          <w:sz w:val="12"/>
        </w:rPr>
        <w:t> [Fecha de consulta: 29 de agosto, 2015]</w:t>
      </w:r>
    </w:p>
    <w:p>
      <w:pPr>
        <w:pStyle w:val="BodyText"/>
        <w:rPr>
          <w:sz w:val="20"/>
        </w:rPr>
      </w:pPr>
    </w:p>
    <w:p>
      <w:pPr>
        <w:pStyle w:val="BodyText"/>
        <w:spacing w:before="5"/>
        <w:rPr>
          <w:sz w:val="23"/>
        </w:rPr>
      </w:pPr>
      <w:r>
        <w:rPr/>
        <w:pict>
          <v:line style="position:absolute;mso-position-horizontal-relative:page;mso-position-vertical-relative:paragraph;z-index:5488;mso-wrap-distance-left:0;mso-wrap-distance-right:0" from="85.025002pt,15.829503pt" to="229.075002pt,15.829503pt" stroked="true" strokeweight=".79999pt" strokecolor="#000000">
            <w10:wrap type="topAndBottom"/>
          </v:line>
        </w:pict>
      </w:r>
    </w:p>
    <w:p>
      <w:pPr>
        <w:spacing w:line="249" w:lineRule="auto" w:before="70"/>
        <w:ind w:left="120" w:right="118" w:firstLine="0"/>
        <w:jc w:val="both"/>
        <w:rPr>
          <w:sz w:val="16"/>
        </w:rPr>
      </w:pPr>
      <w:r>
        <w:rPr>
          <w:rFonts w:ascii="Calibri" w:hAnsi="Calibri"/>
          <w:position w:val="8"/>
          <w:sz w:val="14"/>
        </w:rPr>
        <w:t>35</w:t>
      </w:r>
      <w:r>
        <w:rPr>
          <w:sz w:val="16"/>
        </w:rPr>
        <w:t>Los indicadores son: Voz y Rendición de Cuentas (Banco Mundial), Vigencia de Derecho (Banco Mundial), Percepción de la Corrupción (Transparencia Internacional), Libertad de Prensa (</w:t>
      </w:r>
      <w:r>
        <w:rPr>
          <w:i/>
          <w:sz w:val="16"/>
        </w:rPr>
        <w:t>FreedomHouse</w:t>
      </w:r>
      <w:r>
        <w:rPr>
          <w:sz w:val="16"/>
        </w:rPr>
        <w:t>), Haciendo Negocios (Banco Mundial), Competitividad</w:t>
      </w:r>
      <w:r>
        <w:rPr>
          <w:spacing w:val="-9"/>
          <w:sz w:val="16"/>
        </w:rPr>
        <w:t> </w:t>
      </w:r>
      <w:r>
        <w:rPr>
          <w:sz w:val="16"/>
        </w:rPr>
        <w:t>Global</w:t>
      </w:r>
      <w:r>
        <w:rPr>
          <w:spacing w:val="-11"/>
          <w:sz w:val="16"/>
        </w:rPr>
        <w:t> </w:t>
      </w:r>
      <w:r>
        <w:rPr>
          <w:sz w:val="16"/>
        </w:rPr>
        <w:t>(Foro</w:t>
      </w:r>
      <w:r>
        <w:rPr>
          <w:spacing w:val="-9"/>
          <w:sz w:val="16"/>
        </w:rPr>
        <w:t> </w:t>
      </w:r>
      <w:r>
        <w:rPr>
          <w:sz w:val="16"/>
        </w:rPr>
        <w:t>Económico</w:t>
      </w:r>
      <w:r>
        <w:rPr>
          <w:spacing w:val="-9"/>
          <w:sz w:val="16"/>
        </w:rPr>
        <w:t> </w:t>
      </w:r>
      <w:r>
        <w:rPr>
          <w:sz w:val="16"/>
        </w:rPr>
        <w:t>Mundial),</w:t>
      </w:r>
      <w:r>
        <w:rPr>
          <w:spacing w:val="-8"/>
          <w:sz w:val="16"/>
        </w:rPr>
        <w:t> </w:t>
      </w:r>
      <w:r>
        <w:rPr>
          <w:sz w:val="16"/>
        </w:rPr>
        <w:t>Libertad</w:t>
      </w:r>
      <w:r>
        <w:rPr>
          <w:spacing w:val="-9"/>
          <w:sz w:val="16"/>
        </w:rPr>
        <w:t> </w:t>
      </w:r>
      <w:r>
        <w:rPr>
          <w:sz w:val="16"/>
        </w:rPr>
        <w:t>Económica</w:t>
      </w:r>
      <w:r>
        <w:rPr>
          <w:spacing w:val="-9"/>
          <w:sz w:val="16"/>
        </w:rPr>
        <w:t> </w:t>
      </w:r>
      <w:r>
        <w:rPr>
          <w:sz w:val="16"/>
        </w:rPr>
        <w:t>(</w:t>
      </w:r>
      <w:r>
        <w:rPr>
          <w:i/>
          <w:sz w:val="16"/>
        </w:rPr>
        <w:t>Wall</w:t>
      </w:r>
      <w:r>
        <w:rPr>
          <w:i/>
          <w:spacing w:val="-8"/>
          <w:sz w:val="16"/>
        </w:rPr>
        <w:t> </w:t>
      </w:r>
      <w:r>
        <w:rPr>
          <w:i/>
          <w:sz w:val="16"/>
        </w:rPr>
        <w:t>Street</w:t>
      </w:r>
      <w:r>
        <w:rPr>
          <w:i/>
          <w:spacing w:val="-8"/>
          <w:sz w:val="16"/>
        </w:rPr>
        <w:t> </w:t>
      </w:r>
      <w:r>
        <w:rPr>
          <w:i/>
          <w:sz w:val="16"/>
        </w:rPr>
        <w:t>Journal</w:t>
      </w:r>
      <w:r>
        <w:rPr>
          <w:i/>
          <w:spacing w:val="-8"/>
          <w:sz w:val="16"/>
        </w:rPr>
        <w:t> </w:t>
      </w:r>
      <w:r>
        <w:rPr>
          <w:i/>
          <w:sz w:val="16"/>
        </w:rPr>
        <w:t>and</w:t>
      </w:r>
      <w:r>
        <w:rPr>
          <w:i/>
          <w:spacing w:val="-9"/>
          <w:sz w:val="16"/>
        </w:rPr>
        <w:t> </w:t>
      </w:r>
      <w:r>
        <w:rPr>
          <w:i/>
          <w:sz w:val="16"/>
        </w:rPr>
        <w:t>HeritageFundation</w:t>
      </w:r>
      <w:r>
        <w:rPr>
          <w:sz w:val="16"/>
        </w:rPr>
        <w:t>)</w:t>
      </w:r>
      <w:r>
        <w:rPr>
          <w:spacing w:val="-5"/>
          <w:sz w:val="16"/>
        </w:rPr>
        <w:t> </w:t>
      </w:r>
      <w:r>
        <w:rPr>
          <w:sz w:val="16"/>
        </w:rPr>
        <w:t>y</w:t>
      </w:r>
      <w:r>
        <w:rPr>
          <w:spacing w:val="-11"/>
          <w:sz w:val="16"/>
        </w:rPr>
        <w:t> </w:t>
      </w:r>
      <w:r>
        <w:rPr>
          <w:sz w:val="16"/>
        </w:rPr>
        <w:t>Libertad Económica en el Mundo</w:t>
      </w:r>
      <w:r>
        <w:rPr>
          <w:spacing w:val="-12"/>
          <w:sz w:val="16"/>
        </w:rPr>
        <w:t> </w:t>
      </w:r>
      <w:r>
        <w:rPr>
          <w:sz w:val="16"/>
        </w:rPr>
        <w:t>(</w:t>
      </w:r>
      <w:r>
        <w:rPr>
          <w:i/>
          <w:sz w:val="16"/>
        </w:rPr>
        <w:t>FraserInstitute</w:t>
      </w:r>
      <w:r>
        <w:rPr>
          <w:sz w:val="16"/>
        </w:rPr>
        <w:t>).</w:t>
      </w:r>
    </w:p>
    <w:p>
      <w:pPr>
        <w:spacing w:after="0" w:line="249" w:lineRule="auto"/>
        <w:jc w:val="both"/>
        <w:rPr>
          <w:sz w:val="16"/>
        </w:rPr>
        <w:sectPr>
          <w:pgSz w:w="12240" w:h="15840"/>
          <w:pgMar w:header="0" w:footer="998" w:top="1360" w:bottom="1180" w:left="1580" w:right="1580"/>
        </w:sectPr>
      </w:pPr>
    </w:p>
    <w:p>
      <w:pPr>
        <w:pStyle w:val="ListParagraph"/>
        <w:numPr>
          <w:ilvl w:val="0"/>
          <w:numId w:val="39"/>
        </w:numPr>
        <w:tabs>
          <w:tab w:pos="381" w:val="left" w:leader="none"/>
        </w:tabs>
        <w:spacing w:line="240" w:lineRule="auto" w:before="51" w:after="0"/>
        <w:ind w:left="380" w:right="0" w:hanging="280"/>
        <w:jc w:val="left"/>
        <w:rPr>
          <w:i/>
          <w:sz w:val="24"/>
        </w:rPr>
      </w:pPr>
      <w:r>
        <w:rPr>
          <w:i/>
          <w:sz w:val="24"/>
        </w:rPr>
        <w:t>Índice de Competitividad Internacional,</w:t>
      </w:r>
      <w:r>
        <w:rPr>
          <w:i/>
          <w:spacing w:val="-29"/>
          <w:sz w:val="24"/>
        </w:rPr>
        <w:t> </w:t>
      </w:r>
      <w:r>
        <w:rPr>
          <w:i/>
          <w:sz w:val="24"/>
        </w:rPr>
        <w:t>2011</w:t>
      </w:r>
    </w:p>
    <w:p>
      <w:pPr>
        <w:pStyle w:val="BodyText"/>
        <w:spacing w:before="10"/>
        <w:rPr>
          <w:i/>
          <w:sz w:val="29"/>
        </w:rPr>
      </w:pPr>
    </w:p>
    <w:p>
      <w:pPr>
        <w:pStyle w:val="BodyText"/>
        <w:spacing w:line="360" w:lineRule="auto"/>
        <w:ind w:left="100" w:right="103" w:firstLine="427"/>
        <w:jc w:val="both"/>
      </w:pPr>
      <w:r>
        <w:rPr/>
        <w:t>El Instituto Mexicano para la Competitividad, A.C., (IMCO) publicó en octubre de 2011 el </w:t>
      </w:r>
      <w:r>
        <w:rPr>
          <w:i/>
        </w:rPr>
        <w:t>Informe sobre la Competitividad Internacional 2011 más allá de los </w:t>
      </w:r>
      <w:r>
        <w:rPr>
          <w:i/>
        </w:rPr>
        <w:t>BRICS</w:t>
      </w:r>
      <w:r>
        <w:rPr/>
        <w:t>. El periodo de estudio es de 2001 a 2010 para 46 países. El índice aporta información útil para diseñar, priorizar y dar seguimiento a las políticas públicas; la atracción de la inversión productiva (formación bruta de capital fijo) y el logro del desarrollo económico de México. El país con menor competitividad tiene valores cercanos a 0, mientras que el valor de 100 representa mayor competitividad.</w:t>
      </w:r>
    </w:p>
    <w:p>
      <w:pPr>
        <w:pStyle w:val="BodyText"/>
      </w:pPr>
    </w:p>
    <w:p>
      <w:pPr>
        <w:pStyle w:val="BodyText"/>
        <w:spacing w:before="1"/>
        <w:rPr>
          <w:sz w:val="19"/>
        </w:rPr>
      </w:pPr>
    </w:p>
    <w:p>
      <w:pPr>
        <w:spacing w:before="0"/>
        <w:ind w:left="1965" w:right="0" w:firstLine="0"/>
        <w:jc w:val="left"/>
        <w:rPr>
          <w:sz w:val="20"/>
        </w:rPr>
      </w:pPr>
      <w:bookmarkStart w:name="_bookmark36" w:id="49"/>
      <w:bookmarkEnd w:id="49"/>
      <w:r>
        <w:rPr/>
      </w:r>
      <w:r>
        <w:rPr>
          <w:sz w:val="20"/>
        </w:rPr>
        <w:t>Cuadro 1.11. Índice de competitividad internacional, 2011</w:t>
      </w:r>
    </w:p>
    <w:p>
      <w:pPr>
        <w:pStyle w:val="BodyText"/>
        <w:spacing w:before="6"/>
        <w:rPr>
          <w:sz w:val="17"/>
        </w:rPr>
      </w:pPr>
    </w:p>
    <w:tbl>
      <w:tblPr>
        <w:tblW w:w="0" w:type="auto"/>
        <w:jc w:val="left"/>
        <w:tblInd w:w="1913" w:type="dxa"/>
        <w:tblBorders>
          <w:top w:val="single" w:sz="11" w:space="0" w:color="D9D9D9"/>
          <w:left w:val="single" w:sz="11" w:space="0" w:color="D9D9D9"/>
          <w:bottom w:val="single" w:sz="11" w:space="0" w:color="D9D9D9"/>
          <w:right w:val="single" w:sz="11" w:space="0" w:color="D9D9D9"/>
          <w:insideH w:val="single" w:sz="11" w:space="0" w:color="D9D9D9"/>
          <w:insideV w:val="single" w:sz="11" w:space="0" w:color="D9D9D9"/>
        </w:tblBorders>
        <w:tblLayout w:type="fixed"/>
        <w:tblCellMar>
          <w:top w:w="0" w:type="dxa"/>
          <w:left w:w="0" w:type="dxa"/>
          <w:bottom w:w="0" w:type="dxa"/>
          <w:right w:w="0" w:type="dxa"/>
        </w:tblCellMar>
        <w:tblLook w:val="01E0"/>
      </w:tblPr>
      <w:tblGrid>
        <w:gridCol w:w="2189"/>
        <w:gridCol w:w="1128"/>
        <w:gridCol w:w="953"/>
        <w:gridCol w:w="916"/>
      </w:tblGrid>
      <w:tr>
        <w:trPr>
          <w:trHeight w:val="332" w:hRule="exact"/>
        </w:trPr>
        <w:tc>
          <w:tcPr>
            <w:tcW w:w="2189" w:type="dxa"/>
            <w:vMerge w:val="restart"/>
          </w:tcPr>
          <w:p>
            <w:pPr>
              <w:pStyle w:val="TableParagraph"/>
              <w:spacing w:before="3"/>
              <w:rPr>
                <w:sz w:val="19"/>
              </w:rPr>
            </w:pPr>
          </w:p>
          <w:p>
            <w:pPr>
              <w:pStyle w:val="TableParagraph"/>
              <w:ind w:left="896" w:right="895"/>
              <w:jc w:val="center"/>
              <w:rPr>
                <w:b/>
                <w:sz w:val="16"/>
              </w:rPr>
            </w:pPr>
            <w:r>
              <w:rPr>
                <w:b/>
                <w:sz w:val="16"/>
              </w:rPr>
              <w:t>País</w:t>
            </w:r>
          </w:p>
        </w:tc>
        <w:tc>
          <w:tcPr>
            <w:tcW w:w="1128" w:type="dxa"/>
            <w:vMerge w:val="restart"/>
          </w:tcPr>
          <w:p>
            <w:pPr>
              <w:pStyle w:val="TableParagraph"/>
              <w:spacing w:before="130"/>
              <w:ind w:left="376" w:right="88" w:hanging="256"/>
              <w:rPr>
                <w:b/>
                <w:sz w:val="16"/>
              </w:rPr>
            </w:pPr>
            <w:r>
              <w:rPr>
                <w:b/>
                <w:sz w:val="16"/>
              </w:rPr>
              <w:t>Puntuación 2011</w:t>
            </w:r>
          </w:p>
        </w:tc>
        <w:tc>
          <w:tcPr>
            <w:tcW w:w="1869" w:type="dxa"/>
            <w:gridSpan w:val="2"/>
          </w:tcPr>
          <w:p>
            <w:pPr>
              <w:pStyle w:val="TableParagraph"/>
              <w:spacing w:before="54"/>
              <w:ind w:left="584"/>
              <w:rPr>
                <w:b/>
                <w:sz w:val="16"/>
              </w:rPr>
            </w:pPr>
            <w:r>
              <w:rPr>
                <w:b/>
                <w:sz w:val="16"/>
              </w:rPr>
              <w:t>Posición</w:t>
            </w:r>
          </w:p>
        </w:tc>
      </w:tr>
      <w:tr>
        <w:trPr>
          <w:trHeight w:val="328" w:hRule="exact"/>
        </w:trPr>
        <w:tc>
          <w:tcPr>
            <w:tcW w:w="2189" w:type="dxa"/>
            <w:vMerge/>
          </w:tcPr>
          <w:p>
            <w:pPr/>
          </w:p>
        </w:tc>
        <w:tc>
          <w:tcPr>
            <w:tcW w:w="1128" w:type="dxa"/>
            <w:vMerge/>
          </w:tcPr>
          <w:p>
            <w:pPr/>
          </w:p>
        </w:tc>
        <w:tc>
          <w:tcPr>
            <w:tcW w:w="953" w:type="dxa"/>
          </w:tcPr>
          <w:p>
            <w:pPr>
              <w:pStyle w:val="TableParagraph"/>
              <w:spacing w:before="53"/>
              <w:ind w:left="263" w:right="265"/>
              <w:jc w:val="center"/>
              <w:rPr>
                <w:b/>
                <w:sz w:val="16"/>
              </w:rPr>
            </w:pPr>
            <w:r>
              <w:rPr>
                <w:b/>
                <w:sz w:val="16"/>
              </w:rPr>
              <w:t>2007</w:t>
            </w:r>
          </w:p>
        </w:tc>
        <w:tc>
          <w:tcPr>
            <w:tcW w:w="916" w:type="dxa"/>
          </w:tcPr>
          <w:p>
            <w:pPr>
              <w:pStyle w:val="TableParagraph"/>
              <w:spacing w:before="53"/>
              <w:ind w:left="242" w:right="249"/>
              <w:jc w:val="center"/>
              <w:rPr>
                <w:b/>
                <w:sz w:val="16"/>
              </w:rPr>
            </w:pPr>
            <w:r>
              <w:rPr>
                <w:b/>
                <w:sz w:val="16"/>
              </w:rPr>
              <w:t>2010</w:t>
            </w:r>
          </w:p>
        </w:tc>
      </w:tr>
      <w:tr>
        <w:trPr>
          <w:trHeight w:val="228" w:hRule="exact"/>
        </w:trPr>
        <w:tc>
          <w:tcPr>
            <w:tcW w:w="2189" w:type="dxa"/>
          </w:tcPr>
          <w:p>
            <w:pPr>
              <w:pStyle w:val="TableParagraph"/>
              <w:spacing w:before="10"/>
              <w:ind w:left="55"/>
              <w:rPr>
                <w:sz w:val="16"/>
              </w:rPr>
            </w:pPr>
            <w:r>
              <w:rPr>
                <w:sz w:val="16"/>
              </w:rPr>
              <w:t>Suiza</w:t>
            </w:r>
          </w:p>
        </w:tc>
        <w:tc>
          <w:tcPr>
            <w:tcW w:w="1128" w:type="dxa"/>
          </w:tcPr>
          <w:p>
            <w:pPr>
              <w:pStyle w:val="TableParagraph"/>
              <w:spacing w:before="10"/>
              <w:ind w:left="329" w:right="329"/>
              <w:jc w:val="center"/>
              <w:rPr>
                <w:sz w:val="16"/>
              </w:rPr>
            </w:pPr>
            <w:r>
              <w:rPr>
                <w:sz w:val="16"/>
              </w:rPr>
              <w:t>74.16</w:t>
            </w:r>
          </w:p>
        </w:tc>
        <w:tc>
          <w:tcPr>
            <w:tcW w:w="953" w:type="dxa"/>
          </w:tcPr>
          <w:p>
            <w:pPr>
              <w:pStyle w:val="TableParagraph"/>
              <w:spacing w:before="10"/>
              <w:jc w:val="center"/>
              <w:rPr>
                <w:sz w:val="16"/>
              </w:rPr>
            </w:pPr>
            <w:r>
              <w:rPr>
                <w:w w:val="99"/>
                <w:sz w:val="16"/>
              </w:rPr>
              <w:t>1</w:t>
            </w:r>
          </w:p>
        </w:tc>
        <w:tc>
          <w:tcPr>
            <w:tcW w:w="916" w:type="dxa"/>
          </w:tcPr>
          <w:p>
            <w:pPr>
              <w:pStyle w:val="TableParagraph"/>
              <w:spacing w:before="10"/>
              <w:jc w:val="center"/>
              <w:rPr>
                <w:sz w:val="16"/>
              </w:rPr>
            </w:pPr>
            <w:r>
              <w:rPr>
                <w:w w:val="99"/>
                <w:sz w:val="16"/>
              </w:rPr>
              <w:t>1</w:t>
            </w:r>
          </w:p>
        </w:tc>
      </w:tr>
      <w:tr>
        <w:trPr>
          <w:trHeight w:val="212" w:hRule="exact"/>
        </w:trPr>
        <w:tc>
          <w:tcPr>
            <w:tcW w:w="2189" w:type="dxa"/>
          </w:tcPr>
          <w:p>
            <w:pPr>
              <w:pStyle w:val="TableParagraph"/>
              <w:spacing w:line="178" w:lineRule="exact"/>
              <w:ind w:left="55"/>
              <w:rPr>
                <w:sz w:val="16"/>
              </w:rPr>
            </w:pPr>
            <w:r>
              <w:rPr>
                <w:sz w:val="16"/>
              </w:rPr>
              <w:t>Suecia</w:t>
            </w:r>
          </w:p>
        </w:tc>
        <w:tc>
          <w:tcPr>
            <w:tcW w:w="1128" w:type="dxa"/>
          </w:tcPr>
          <w:p>
            <w:pPr>
              <w:pStyle w:val="TableParagraph"/>
              <w:spacing w:line="178" w:lineRule="exact"/>
              <w:ind w:left="329" w:right="329"/>
              <w:jc w:val="center"/>
              <w:rPr>
                <w:sz w:val="16"/>
              </w:rPr>
            </w:pPr>
            <w:r>
              <w:rPr>
                <w:sz w:val="16"/>
              </w:rPr>
              <w:t>71.93</w:t>
            </w:r>
          </w:p>
        </w:tc>
        <w:tc>
          <w:tcPr>
            <w:tcW w:w="953" w:type="dxa"/>
          </w:tcPr>
          <w:p>
            <w:pPr>
              <w:pStyle w:val="TableParagraph"/>
              <w:spacing w:line="178" w:lineRule="exact"/>
              <w:jc w:val="center"/>
              <w:rPr>
                <w:sz w:val="16"/>
              </w:rPr>
            </w:pPr>
            <w:r>
              <w:rPr>
                <w:w w:val="99"/>
                <w:sz w:val="16"/>
              </w:rPr>
              <w:t>2</w:t>
            </w:r>
          </w:p>
        </w:tc>
        <w:tc>
          <w:tcPr>
            <w:tcW w:w="916" w:type="dxa"/>
          </w:tcPr>
          <w:p>
            <w:pPr>
              <w:pStyle w:val="TableParagraph"/>
              <w:spacing w:line="178" w:lineRule="exact"/>
              <w:jc w:val="center"/>
              <w:rPr>
                <w:sz w:val="16"/>
              </w:rPr>
            </w:pPr>
            <w:r>
              <w:rPr>
                <w:w w:val="99"/>
                <w:sz w:val="16"/>
              </w:rPr>
              <w:t>2</w:t>
            </w:r>
          </w:p>
        </w:tc>
      </w:tr>
      <w:tr>
        <w:trPr>
          <w:trHeight w:val="216" w:hRule="exact"/>
        </w:trPr>
        <w:tc>
          <w:tcPr>
            <w:tcW w:w="2189" w:type="dxa"/>
          </w:tcPr>
          <w:p>
            <w:pPr>
              <w:pStyle w:val="TableParagraph"/>
              <w:spacing w:line="182" w:lineRule="exact"/>
              <w:ind w:left="55"/>
              <w:rPr>
                <w:sz w:val="16"/>
              </w:rPr>
            </w:pPr>
            <w:r>
              <w:rPr>
                <w:sz w:val="16"/>
              </w:rPr>
              <w:t>Noruega</w:t>
            </w:r>
          </w:p>
        </w:tc>
        <w:tc>
          <w:tcPr>
            <w:tcW w:w="1128" w:type="dxa"/>
          </w:tcPr>
          <w:p>
            <w:pPr>
              <w:pStyle w:val="TableParagraph"/>
              <w:spacing w:line="182" w:lineRule="exact"/>
              <w:ind w:left="329" w:right="329"/>
              <w:jc w:val="center"/>
              <w:rPr>
                <w:sz w:val="16"/>
              </w:rPr>
            </w:pPr>
            <w:r>
              <w:rPr>
                <w:sz w:val="16"/>
              </w:rPr>
              <w:t>71.38</w:t>
            </w:r>
          </w:p>
        </w:tc>
        <w:tc>
          <w:tcPr>
            <w:tcW w:w="953" w:type="dxa"/>
          </w:tcPr>
          <w:p>
            <w:pPr>
              <w:pStyle w:val="TableParagraph"/>
              <w:spacing w:line="182" w:lineRule="exact"/>
              <w:jc w:val="center"/>
              <w:rPr>
                <w:sz w:val="16"/>
              </w:rPr>
            </w:pPr>
            <w:r>
              <w:rPr>
                <w:w w:val="99"/>
                <w:sz w:val="16"/>
              </w:rPr>
              <w:t>3</w:t>
            </w:r>
          </w:p>
        </w:tc>
        <w:tc>
          <w:tcPr>
            <w:tcW w:w="916" w:type="dxa"/>
          </w:tcPr>
          <w:p>
            <w:pPr>
              <w:pStyle w:val="TableParagraph"/>
              <w:spacing w:line="182" w:lineRule="exact"/>
              <w:jc w:val="center"/>
              <w:rPr>
                <w:sz w:val="16"/>
              </w:rPr>
            </w:pPr>
            <w:r>
              <w:rPr>
                <w:w w:val="99"/>
                <w:sz w:val="16"/>
              </w:rPr>
              <w:t>3</w:t>
            </w:r>
          </w:p>
        </w:tc>
      </w:tr>
      <w:tr>
        <w:trPr>
          <w:trHeight w:val="213" w:hRule="exact"/>
        </w:trPr>
        <w:tc>
          <w:tcPr>
            <w:tcW w:w="2189" w:type="dxa"/>
          </w:tcPr>
          <w:p>
            <w:pPr>
              <w:pStyle w:val="TableParagraph"/>
              <w:spacing w:line="178" w:lineRule="exact"/>
              <w:ind w:left="55"/>
              <w:rPr>
                <w:sz w:val="16"/>
              </w:rPr>
            </w:pPr>
            <w:r>
              <w:rPr>
                <w:sz w:val="16"/>
              </w:rPr>
              <w:t>Estados Unidos</w:t>
            </w:r>
          </w:p>
        </w:tc>
        <w:tc>
          <w:tcPr>
            <w:tcW w:w="1128" w:type="dxa"/>
          </w:tcPr>
          <w:p>
            <w:pPr>
              <w:pStyle w:val="TableParagraph"/>
              <w:spacing w:line="178" w:lineRule="exact"/>
              <w:ind w:left="329" w:right="329"/>
              <w:jc w:val="center"/>
              <w:rPr>
                <w:sz w:val="16"/>
              </w:rPr>
            </w:pPr>
            <w:r>
              <w:rPr>
                <w:sz w:val="16"/>
              </w:rPr>
              <w:t>66.89</w:t>
            </w:r>
          </w:p>
        </w:tc>
        <w:tc>
          <w:tcPr>
            <w:tcW w:w="953" w:type="dxa"/>
          </w:tcPr>
          <w:p>
            <w:pPr>
              <w:pStyle w:val="TableParagraph"/>
              <w:spacing w:line="178" w:lineRule="exact"/>
              <w:jc w:val="center"/>
              <w:rPr>
                <w:sz w:val="16"/>
              </w:rPr>
            </w:pPr>
            <w:r>
              <w:rPr>
                <w:w w:val="99"/>
                <w:sz w:val="16"/>
              </w:rPr>
              <w:t>1</w:t>
            </w:r>
          </w:p>
        </w:tc>
        <w:tc>
          <w:tcPr>
            <w:tcW w:w="916" w:type="dxa"/>
          </w:tcPr>
          <w:p>
            <w:pPr>
              <w:pStyle w:val="TableParagraph"/>
              <w:spacing w:line="178" w:lineRule="exact"/>
              <w:jc w:val="center"/>
              <w:rPr>
                <w:sz w:val="16"/>
              </w:rPr>
            </w:pPr>
            <w:r>
              <w:rPr>
                <w:w w:val="99"/>
                <w:sz w:val="16"/>
              </w:rPr>
              <w:t>8</w:t>
            </w:r>
          </w:p>
        </w:tc>
      </w:tr>
      <w:tr>
        <w:trPr>
          <w:trHeight w:val="216" w:hRule="exact"/>
        </w:trPr>
        <w:tc>
          <w:tcPr>
            <w:tcW w:w="2189" w:type="dxa"/>
          </w:tcPr>
          <w:p>
            <w:pPr>
              <w:pStyle w:val="TableParagraph"/>
              <w:spacing w:line="182" w:lineRule="exact"/>
              <w:ind w:left="55"/>
              <w:rPr>
                <w:sz w:val="16"/>
              </w:rPr>
            </w:pPr>
            <w:r>
              <w:rPr>
                <w:sz w:val="16"/>
              </w:rPr>
              <w:t>Reino Unido</w:t>
            </w:r>
          </w:p>
        </w:tc>
        <w:tc>
          <w:tcPr>
            <w:tcW w:w="1128" w:type="dxa"/>
          </w:tcPr>
          <w:p>
            <w:pPr>
              <w:pStyle w:val="TableParagraph"/>
              <w:spacing w:line="182" w:lineRule="exact"/>
              <w:ind w:left="329" w:right="329"/>
              <w:jc w:val="center"/>
              <w:rPr>
                <w:sz w:val="16"/>
              </w:rPr>
            </w:pPr>
            <w:r>
              <w:rPr>
                <w:sz w:val="16"/>
              </w:rPr>
              <w:t>66.00</w:t>
            </w:r>
          </w:p>
        </w:tc>
        <w:tc>
          <w:tcPr>
            <w:tcW w:w="953" w:type="dxa"/>
          </w:tcPr>
          <w:p>
            <w:pPr>
              <w:pStyle w:val="TableParagraph"/>
              <w:spacing w:line="182" w:lineRule="exact"/>
              <w:jc w:val="center"/>
              <w:rPr>
                <w:sz w:val="16"/>
              </w:rPr>
            </w:pPr>
            <w:r>
              <w:rPr>
                <w:w w:val="99"/>
                <w:sz w:val="16"/>
              </w:rPr>
              <w:t>7</w:t>
            </w:r>
          </w:p>
        </w:tc>
        <w:tc>
          <w:tcPr>
            <w:tcW w:w="916" w:type="dxa"/>
          </w:tcPr>
          <w:p>
            <w:pPr>
              <w:pStyle w:val="TableParagraph"/>
              <w:spacing w:line="182" w:lineRule="exact"/>
              <w:ind w:left="242" w:right="242"/>
              <w:jc w:val="center"/>
              <w:rPr>
                <w:sz w:val="16"/>
              </w:rPr>
            </w:pPr>
            <w:r>
              <w:rPr>
                <w:sz w:val="16"/>
              </w:rPr>
              <w:t>11</w:t>
            </w:r>
          </w:p>
        </w:tc>
      </w:tr>
      <w:tr>
        <w:trPr>
          <w:trHeight w:val="212" w:hRule="exact"/>
        </w:trPr>
        <w:tc>
          <w:tcPr>
            <w:tcW w:w="2189" w:type="dxa"/>
          </w:tcPr>
          <w:p>
            <w:pPr>
              <w:pStyle w:val="TableParagraph"/>
              <w:spacing w:line="178" w:lineRule="exact"/>
              <w:ind w:left="55"/>
              <w:rPr>
                <w:sz w:val="16"/>
              </w:rPr>
            </w:pPr>
            <w:r>
              <w:rPr>
                <w:sz w:val="16"/>
              </w:rPr>
              <w:t>Alemania</w:t>
            </w:r>
          </w:p>
        </w:tc>
        <w:tc>
          <w:tcPr>
            <w:tcW w:w="1128" w:type="dxa"/>
          </w:tcPr>
          <w:p>
            <w:pPr>
              <w:pStyle w:val="TableParagraph"/>
              <w:spacing w:line="178" w:lineRule="exact"/>
              <w:ind w:left="329" w:right="329"/>
              <w:jc w:val="center"/>
              <w:rPr>
                <w:sz w:val="16"/>
              </w:rPr>
            </w:pPr>
            <w:r>
              <w:rPr>
                <w:sz w:val="16"/>
              </w:rPr>
              <w:t>65.75</w:t>
            </w:r>
          </w:p>
        </w:tc>
        <w:tc>
          <w:tcPr>
            <w:tcW w:w="953" w:type="dxa"/>
          </w:tcPr>
          <w:p>
            <w:pPr>
              <w:pStyle w:val="TableParagraph"/>
              <w:spacing w:line="178" w:lineRule="exact"/>
              <w:ind w:left="263" w:right="264"/>
              <w:jc w:val="center"/>
              <w:rPr>
                <w:sz w:val="16"/>
              </w:rPr>
            </w:pPr>
            <w:r>
              <w:rPr>
                <w:sz w:val="16"/>
              </w:rPr>
              <w:t>15</w:t>
            </w:r>
          </w:p>
        </w:tc>
        <w:tc>
          <w:tcPr>
            <w:tcW w:w="916" w:type="dxa"/>
          </w:tcPr>
          <w:p>
            <w:pPr>
              <w:pStyle w:val="TableParagraph"/>
              <w:spacing w:line="178" w:lineRule="exact"/>
              <w:ind w:left="242" w:right="242"/>
              <w:jc w:val="center"/>
              <w:rPr>
                <w:sz w:val="16"/>
              </w:rPr>
            </w:pPr>
            <w:r>
              <w:rPr>
                <w:sz w:val="16"/>
              </w:rPr>
              <w:t>14</w:t>
            </w:r>
          </w:p>
        </w:tc>
      </w:tr>
      <w:tr>
        <w:trPr>
          <w:trHeight w:val="216" w:hRule="exact"/>
        </w:trPr>
        <w:tc>
          <w:tcPr>
            <w:tcW w:w="2189" w:type="dxa"/>
          </w:tcPr>
          <w:p>
            <w:pPr>
              <w:pStyle w:val="TableParagraph"/>
              <w:spacing w:line="182" w:lineRule="exact"/>
              <w:ind w:left="55"/>
              <w:rPr>
                <w:sz w:val="16"/>
              </w:rPr>
            </w:pPr>
            <w:r>
              <w:rPr>
                <w:sz w:val="16"/>
              </w:rPr>
              <w:t>España</w:t>
            </w:r>
          </w:p>
        </w:tc>
        <w:tc>
          <w:tcPr>
            <w:tcW w:w="1128" w:type="dxa"/>
          </w:tcPr>
          <w:p>
            <w:pPr>
              <w:pStyle w:val="TableParagraph"/>
              <w:spacing w:line="182" w:lineRule="exact"/>
              <w:ind w:left="329" w:right="329"/>
              <w:jc w:val="center"/>
              <w:rPr>
                <w:sz w:val="16"/>
              </w:rPr>
            </w:pPr>
            <w:r>
              <w:rPr>
                <w:sz w:val="16"/>
              </w:rPr>
              <w:t>59.31</w:t>
            </w:r>
          </w:p>
        </w:tc>
        <w:tc>
          <w:tcPr>
            <w:tcW w:w="953" w:type="dxa"/>
          </w:tcPr>
          <w:p>
            <w:pPr>
              <w:pStyle w:val="TableParagraph"/>
              <w:spacing w:line="182" w:lineRule="exact"/>
              <w:ind w:left="263" w:right="264"/>
              <w:jc w:val="center"/>
              <w:rPr>
                <w:sz w:val="16"/>
              </w:rPr>
            </w:pPr>
            <w:r>
              <w:rPr>
                <w:sz w:val="16"/>
              </w:rPr>
              <w:t>17</w:t>
            </w:r>
          </w:p>
        </w:tc>
        <w:tc>
          <w:tcPr>
            <w:tcW w:w="916" w:type="dxa"/>
          </w:tcPr>
          <w:p>
            <w:pPr>
              <w:pStyle w:val="TableParagraph"/>
              <w:spacing w:line="182" w:lineRule="exact"/>
              <w:ind w:left="242" w:right="242"/>
              <w:jc w:val="center"/>
              <w:rPr>
                <w:sz w:val="16"/>
              </w:rPr>
            </w:pPr>
            <w:r>
              <w:rPr>
                <w:sz w:val="16"/>
              </w:rPr>
              <w:t>17</w:t>
            </w:r>
          </w:p>
        </w:tc>
      </w:tr>
      <w:tr>
        <w:trPr>
          <w:trHeight w:val="214" w:hRule="exact"/>
        </w:trPr>
        <w:tc>
          <w:tcPr>
            <w:tcW w:w="2189" w:type="dxa"/>
            <w:shd w:val="clear" w:color="auto" w:fill="FFFF00"/>
          </w:tcPr>
          <w:p>
            <w:pPr>
              <w:pStyle w:val="TableParagraph"/>
              <w:spacing w:line="178" w:lineRule="exact"/>
              <w:ind w:left="55"/>
              <w:rPr>
                <w:b/>
                <w:sz w:val="16"/>
              </w:rPr>
            </w:pPr>
            <w:r>
              <w:rPr>
                <w:b/>
                <w:sz w:val="16"/>
              </w:rPr>
              <w:t>México</w:t>
            </w:r>
          </w:p>
        </w:tc>
        <w:tc>
          <w:tcPr>
            <w:tcW w:w="1128" w:type="dxa"/>
            <w:shd w:val="clear" w:color="auto" w:fill="FFFF00"/>
          </w:tcPr>
          <w:p>
            <w:pPr>
              <w:pStyle w:val="TableParagraph"/>
              <w:spacing w:line="178" w:lineRule="exact"/>
              <w:ind w:left="329" w:right="329"/>
              <w:jc w:val="center"/>
              <w:rPr>
                <w:b/>
                <w:sz w:val="16"/>
              </w:rPr>
            </w:pPr>
            <w:r>
              <w:rPr>
                <w:b/>
                <w:sz w:val="16"/>
              </w:rPr>
              <w:t>42.68</w:t>
            </w:r>
          </w:p>
        </w:tc>
        <w:tc>
          <w:tcPr>
            <w:tcW w:w="953" w:type="dxa"/>
            <w:shd w:val="clear" w:color="auto" w:fill="FFFF00"/>
          </w:tcPr>
          <w:p>
            <w:pPr>
              <w:pStyle w:val="TableParagraph"/>
              <w:spacing w:line="178" w:lineRule="exact"/>
              <w:ind w:left="263" w:right="264"/>
              <w:jc w:val="center"/>
              <w:rPr>
                <w:b/>
                <w:sz w:val="16"/>
              </w:rPr>
            </w:pPr>
            <w:r>
              <w:rPr>
                <w:b/>
                <w:sz w:val="16"/>
              </w:rPr>
              <w:t>33</w:t>
            </w:r>
          </w:p>
        </w:tc>
        <w:tc>
          <w:tcPr>
            <w:tcW w:w="916" w:type="dxa"/>
            <w:shd w:val="clear" w:color="auto" w:fill="FFFF00"/>
          </w:tcPr>
          <w:p>
            <w:pPr>
              <w:pStyle w:val="TableParagraph"/>
              <w:spacing w:line="178" w:lineRule="exact"/>
              <w:ind w:left="242" w:right="242"/>
              <w:jc w:val="center"/>
              <w:rPr>
                <w:b/>
                <w:sz w:val="16"/>
              </w:rPr>
            </w:pPr>
            <w:r>
              <w:rPr>
                <w:b/>
                <w:sz w:val="16"/>
              </w:rPr>
              <w:t>33</w:t>
            </w:r>
          </w:p>
        </w:tc>
      </w:tr>
    </w:tbl>
    <w:p>
      <w:pPr>
        <w:pStyle w:val="BodyText"/>
        <w:spacing w:before="7"/>
        <w:rPr>
          <w:sz w:val="12"/>
        </w:rPr>
      </w:pPr>
    </w:p>
    <w:p>
      <w:pPr>
        <w:spacing w:before="0"/>
        <w:ind w:left="2225" w:right="0" w:firstLine="0"/>
        <w:jc w:val="left"/>
        <w:rPr>
          <w:sz w:val="12"/>
        </w:rPr>
      </w:pPr>
      <w:r>
        <w:rPr>
          <w:sz w:val="12"/>
        </w:rPr>
        <w:t>FUENTE:      Elaboración propia con base en:</w:t>
      </w:r>
    </w:p>
    <w:p>
      <w:pPr>
        <w:spacing w:line="264" w:lineRule="auto" w:before="14"/>
        <w:ind w:left="2933" w:right="1124" w:firstLine="0"/>
        <w:jc w:val="left"/>
        <w:rPr>
          <w:sz w:val="12"/>
        </w:rPr>
      </w:pPr>
      <w:r>
        <w:rPr>
          <w:sz w:val="12"/>
        </w:rPr>
        <w:t>IMCO, Índice de Competitividad Internacional 2011, más allá de los BRICS, pp. 26-27 Disponible en: </w:t>
      </w:r>
      <w:hyperlink r:id="rId75">
        <w:r>
          <w:rPr>
            <w:sz w:val="12"/>
          </w:rPr>
          <w:t>http://imco.org.mx/images/pdf/Indice-de-Competitividad-Internacional-2011.pdf</w:t>
        </w:r>
      </w:hyperlink>
      <w:r>
        <w:rPr>
          <w:sz w:val="12"/>
        </w:rPr>
        <w:t> [Fecha de consulta: 31 de agosto, 2015]</w:t>
      </w:r>
    </w:p>
    <w:p>
      <w:pPr>
        <w:pStyle w:val="BodyText"/>
        <w:rPr>
          <w:sz w:val="12"/>
        </w:rPr>
      </w:pPr>
    </w:p>
    <w:p>
      <w:pPr>
        <w:pStyle w:val="BodyText"/>
        <w:spacing w:before="4"/>
        <w:rPr>
          <w:sz w:val="11"/>
        </w:rPr>
      </w:pPr>
    </w:p>
    <w:p>
      <w:pPr>
        <w:pStyle w:val="BodyText"/>
        <w:spacing w:line="360" w:lineRule="auto"/>
        <w:ind w:left="100" w:right="100" w:firstLine="427"/>
        <w:jc w:val="both"/>
        <w:rPr>
          <w:i/>
        </w:rPr>
      </w:pPr>
      <w:r>
        <w:rPr/>
        <w:t>El</w:t>
      </w:r>
      <w:r>
        <w:rPr>
          <w:spacing w:val="-18"/>
        </w:rPr>
        <w:t> </w:t>
      </w:r>
      <w:r>
        <w:rPr/>
        <w:t>principal</w:t>
      </w:r>
      <w:r>
        <w:rPr>
          <w:spacing w:val="-17"/>
        </w:rPr>
        <w:t> </w:t>
      </w:r>
      <w:r>
        <w:rPr/>
        <w:t>socio</w:t>
      </w:r>
      <w:r>
        <w:rPr>
          <w:spacing w:val="-18"/>
        </w:rPr>
        <w:t> </w:t>
      </w:r>
      <w:r>
        <w:rPr/>
        <w:t>comercial</w:t>
      </w:r>
      <w:r>
        <w:rPr>
          <w:spacing w:val="-17"/>
        </w:rPr>
        <w:t> </w:t>
      </w:r>
      <w:r>
        <w:rPr/>
        <w:t>de</w:t>
      </w:r>
      <w:r>
        <w:rPr>
          <w:spacing w:val="-14"/>
        </w:rPr>
        <w:t> </w:t>
      </w:r>
      <w:r>
        <w:rPr/>
        <w:t>México</w:t>
      </w:r>
      <w:r>
        <w:rPr>
          <w:spacing w:val="-14"/>
        </w:rPr>
        <w:t> </w:t>
      </w:r>
      <w:r>
        <w:rPr/>
        <w:t>(Estados</w:t>
      </w:r>
      <w:r>
        <w:rPr>
          <w:spacing w:val="-16"/>
        </w:rPr>
        <w:t> </w:t>
      </w:r>
      <w:r>
        <w:rPr/>
        <w:t>Unidos)</w:t>
      </w:r>
      <w:r>
        <w:rPr>
          <w:spacing w:val="-16"/>
        </w:rPr>
        <w:t> </w:t>
      </w:r>
      <w:r>
        <w:rPr/>
        <w:t>es</w:t>
      </w:r>
      <w:r>
        <w:rPr>
          <w:spacing w:val="-16"/>
        </w:rPr>
        <w:t> </w:t>
      </w:r>
      <w:r>
        <w:rPr/>
        <w:t>el</w:t>
      </w:r>
      <w:r>
        <w:rPr>
          <w:spacing w:val="-13"/>
        </w:rPr>
        <w:t> </w:t>
      </w:r>
      <w:r>
        <w:rPr/>
        <w:t>mejor</w:t>
      </w:r>
      <w:r>
        <w:rPr>
          <w:spacing w:val="-16"/>
        </w:rPr>
        <w:t> </w:t>
      </w:r>
      <w:r>
        <w:rPr/>
        <w:t>posicionado entre los 5 países estudiados. El IMCO señaló que México ha logrado avances importantes en: “sofisticación e innovación de los sectores económicos” y en “gobiernos</w:t>
      </w:r>
      <w:r>
        <w:rPr>
          <w:spacing w:val="-16"/>
        </w:rPr>
        <w:t> </w:t>
      </w:r>
      <w:r>
        <w:rPr/>
        <w:t>eficientes</w:t>
      </w:r>
      <w:r>
        <w:rPr>
          <w:spacing w:val="-13"/>
        </w:rPr>
        <w:t> </w:t>
      </w:r>
      <w:r>
        <w:rPr/>
        <w:t>y</w:t>
      </w:r>
      <w:r>
        <w:rPr>
          <w:spacing w:val="-18"/>
        </w:rPr>
        <w:t> </w:t>
      </w:r>
      <w:r>
        <w:rPr/>
        <w:t>eficaces”</w:t>
      </w:r>
      <w:r>
        <w:rPr>
          <w:spacing w:val="-16"/>
        </w:rPr>
        <w:t> </w:t>
      </w:r>
      <w:r>
        <w:rPr/>
        <w:t>por</w:t>
      </w:r>
      <w:r>
        <w:rPr>
          <w:spacing w:val="-16"/>
        </w:rPr>
        <w:t> </w:t>
      </w:r>
      <w:r>
        <w:rPr/>
        <w:t>mantener</w:t>
      </w:r>
      <w:r>
        <w:rPr>
          <w:spacing w:val="-16"/>
        </w:rPr>
        <w:t> </w:t>
      </w:r>
      <w:r>
        <w:rPr/>
        <w:t>el</w:t>
      </w:r>
      <w:r>
        <w:rPr>
          <w:spacing w:val="-17"/>
        </w:rPr>
        <w:t> </w:t>
      </w:r>
      <w:r>
        <w:rPr/>
        <w:t>balance</w:t>
      </w:r>
      <w:r>
        <w:rPr>
          <w:spacing w:val="-18"/>
        </w:rPr>
        <w:t> </w:t>
      </w:r>
      <w:r>
        <w:rPr/>
        <w:t>presupuestal</w:t>
      </w:r>
      <w:r>
        <w:rPr>
          <w:spacing w:val="-17"/>
        </w:rPr>
        <w:t> </w:t>
      </w:r>
      <w:r>
        <w:rPr/>
        <w:t>en</w:t>
      </w:r>
      <w:r>
        <w:rPr>
          <w:spacing w:val="-18"/>
        </w:rPr>
        <w:t> </w:t>
      </w:r>
      <w:r>
        <w:rPr/>
        <w:t>el</w:t>
      </w:r>
      <w:r>
        <w:rPr>
          <w:spacing w:val="-17"/>
        </w:rPr>
        <w:t> </w:t>
      </w:r>
      <w:r>
        <w:rPr/>
        <w:t>periodo de estudio; pero los subíndices en los que México ha retrocedido son: “sistema político</w:t>
      </w:r>
      <w:r>
        <w:rPr>
          <w:spacing w:val="-13"/>
        </w:rPr>
        <w:t> </w:t>
      </w:r>
      <w:r>
        <w:rPr/>
        <w:t>estable</w:t>
      </w:r>
      <w:r>
        <w:rPr>
          <w:spacing w:val="-9"/>
        </w:rPr>
        <w:t> </w:t>
      </w:r>
      <w:r>
        <w:rPr/>
        <w:t>y</w:t>
      </w:r>
      <w:r>
        <w:rPr>
          <w:spacing w:val="-15"/>
        </w:rPr>
        <w:t> </w:t>
      </w:r>
      <w:r>
        <w:rPr/>
        <w:t>funcional”,</w:t>
      </w:r>
      <w:r>
        <w:rPr>
          <w:spacing w:val="-10"/>
        </w:rPr>
        <w:t> </w:t>
      </w:r>
      <w:r>
        <w:rPr/>
        <w:t>“manejo</w:t>
      </w:r>
      <w:r>
        <w:rPr>
          <w:spacing w:val="-13"/>
        </w:rPr>
        <w:t> </w:t>
      </w:r>
      <w:r>
        <w:rPr/>
        <w:t>sustentable</w:t>
      </w:r>
      <w:r>
        <w:rPr>
          <w:spacing w:val="-13"/>
        </w:rPr>
        <w:t> </w:t>
      </w:r>
      <w:r>
        <w:rPr/>
        <w:t>del</w:t>
      </w:r>
      <w:r>
        <w:rPr>
          <w:spacing w:val="-12"/>
        </w:rPr>
        <w:t> </w:t>
      </w:r>
      <w:r>
        <w:rPr/>
        <w:t>medio</w:t>
      </w:r>
      <w:r>
        <w:rPr>
          <w:spacing w:val="-13"/>
        </w:rPr>
        <w:t> </w:t>
      </w:r>
      <w:r>
        <w:rPr/>
        <w:t>ambiente”</w:t>
      </w:r>
      <w:r>
        <w:rPr>
          <w:spacing w:val="-7"/>
        </w:rPr>
        <w:t> </w:t>
      </w:r>
      <w:r>
        <w:rPr/>
        <w:t>y</w:t>
      </w:r>
      <w:r>
        <w:rPr>
          <w:spacing w:val="-15"/>
        </w:rPr>
        <w:t> </w:t>
      </w:r>
      <w:r>
        <w:rPr/>
        <w:t>“sistema</w:t>
      </w:r>
      <w:r>
        <w:rPr>
          <w:spacing w:val="-13"/>
        </w:rPr>
        <w:t> </w:t>
      </w:r>
      <w:r>
        <w:rPr/>
        <w:t>de derecho confiable y objetivo”, este último por la independencia del Poder Judicial, resultado relacionado con el del indicador líder </w:t>
      </w:r>
      <w:r>
        <w:rPr>
          <w:i/>
        </w:rPr>
        <w:t>Indicadores Mundiales de </w:t>
      </w:r>
      <w:r>
        <w:rPr>
          <w:i/>
        </w:rPr>
        <w:t>Gobernabilidad.</w:t>
      </w:r>
    </w:p>
    <w:p>
      <w:pPr>
        <w:spacing w:after="0" w:line="360" w:lineRule="auto"/>
        <w:jc w:val="both"/>
        <w:sectPr>
          <w:pgSz w:w="12240" w:h="15840"/>
          <w:pgMar w:header="0" w:footer="998" w:top="1360" w:bottom="1180" w:left="1600" w:right="1600"/>
        </w:sectPr>
      </w:pPr>
    </w:p>
    <w:p>
      <w:pPr>
        <w:spacing w:before="51"/>
        <w:ind w:left="100" w:right="0" w:firstLine="0"/>
        <w:jc w:val="both"/>
        <w:rPr>
          <w:i/>
          <w:sz w:val="24"/>
        </w:rPr>
      </w:pPr>
      <w:r>
        <w:rPr>
          <w:i/>
          <w:sz w:val="24"/>
        </w:rPr>
        <w:t>Buen Gobierno</w:t>
      </w:r>
    </w:p>
    <w:p>
      <w:pPr>
        <w:pStyle w:val="BodyText"/>
        <w:spacing w:before="6"/>
        <w:rPr>
          <w:i/>
          <w:sz w:val="29"/>
        </w:rPr>
      </w:pPr>
    </w:p>
    <w:p>
      <w:pPr>
        <w:pStyle w:val="ListParagraph"/>
        <w:numPr>
          <w:ilvl w:val="0"/>
          <w:numId w:val="40"/>
        </w:numPr>
        <w:tabs>
          <w:tab w:pos="381" w:val="left" w:leader="none"/>
        </w:tabs>
        <w:spacing w:line="240" w:lineRule="auto" w:before="0" w:after="0"/>
        <w:ind w:left="380" w:right="0" w:hanging="280"/>
        <w:jc w:val="both"/>
        <w:rPr>
          <w:i/>
          <w:sz w:val="24"/>
        </w:rPr>
      </w:pPr>
      <w:r>
        <w:rPr>
          <w:i/>
          <w:sz w:val="24"/>
        </w:rPr>
        <w:t>Participación en Elecciones,</w:t>
      </w:r>
      <w:r>
        <w:rPr>
          <w:i/>
          <w:spacing w:val="-17"/>
          <w:sz w:val="24"/>
        </w:rPr>
        <w:t> </w:t>
      </w:r>
      <w:r>
        <w:rPr>
          <w:i/>
          <w:sz w:val="24"/>
        </w:rPr>
        <w:t>2011</w:t>
      </w:r>
    </w:p>
    <w:p>
      <w:pPr>
        <w:pStyle w:val="BodyText"/>
        <w:spacing w:before="6"/>
        <w:rPr>
          <w:i/>
          <w:sz w:val="29"/>
        </w:rPr>
      </w:pPr>
    </w:p>
    <w:p>
      <w:pPr>
        <w:pStyle w:val="BodyText"/>
        <w:spacing w:line="360" w:lineRule="auto"/>
        <w:ind w:left="100" w:right="118"/>
        <w:jc w:val="both"/>
      </w:pPr>
      <w:r>
        <w:rPr/>
        <w:t>La medición de la participación de los ciudadanos en los procesos electorales es presentada por la OCDE en el informe bienal </w:t>
      </w:r>
      <w:r>
        <w:rPr>
          <w:i/>
        </w:rPr>
        <w:t>Society at a Glance 2011, OECD </w:t>
      </w:r>
      <w:r>
        <w:rPr>
          <w:i/>
        </w:rPr>
        <w:t>Social Indicators </w:t>
      </w:r>
      <w:r>
        <w:rPr/>
        <w:t>(Un Vistazo a la Sociedad 2011, Indicadores Sociales OCDE). La participación de 59% del electorado en México es mayor que la de Estados Unidos (48%), y mostró un avance del 9% respecto de los comicios de 1980.</w:t>
      </w:r>
    </w:p>
    <w:p>
      <w:pPr>
        <w:pStyle w:val="BodyText"/>
        <w:spacing w:line="360" w:lineRule="auto" w:before="6"/>
        <w:ind w:left="100" w:right="118" w:firstLine="427"/>
        <w:jc w:val="both"/>
      </w:pPr>
      <w:r>
        <w:rPr/>
        <w:t>Como integrantes de la OCDE, sólo México, España, Luxemburgo y Australia mostraron avances en participación; y los 30 países restantes disminuyeron. De acuerdo con la organización, esta disminución podría ser un indicativo de la insatisfacción ciudadana con su Estado.</w:t>
      </w:r>
    </w:p>
    <w:p>
      <w:pPr>
        <w:pStyle w:val="BodyText"/>
      </w:pPr>
    </w:p>
    <w:p>
      <w:pPr>
        <w:spacing w:before="139"/>
        <w:ind w:left="2421" w:right="132" w:firstLine="0"/>
        <w:jc w:val="left"/>
        <w:rPr>
          <w:sz w:val="20"/>
        </w:rPr>
      </w:pPr>
      <w:bookmarkStart w:name="_bookmark37" w:id="50"/>
      <w:bookmarkEnd w:id="50"/>
      <w:r>
        <w:rPr/>
      </w:r>
      <w:r>
        <w:rPr>
          <w:sz w:val="20"/>
        </w:rPr>
        <w:t>Cuadro 1.12. Participación en elecciones, 2011</w:t>
      </w:r>
    </w:p>
    <w:p>
      <w:pPr>
        <w:pStyle w:val="BodyText"/>
        <w:spacing w:before="9" w:after="1"/>
        <w:rPr>
          <w:sz w:val="17"/>
        </w:rPr>
      </w:pPr>
    </w:p>
    <w:tbl>
      <w:tblPr>
        <w:tblW w:w="0" w:type="auto"/>
        <w:jc w:val="left"/>
        <w:tblInd w:w="2196" w:type="dxa"/>
        <w:tblBorders>
          <w:top w:val="single" w:sz="11" w:space="0" w:color="D9D9D9"/>
          <w:left w:val="single" w:sz="11" w:space="0" w:color="D9D9D9"/>
          <w:bottom w:val="single" w:sz="11" w:space="0" w:color="D9D9D9"/>
          <w:right w:val="single" w:sz="11" w:space="0" w:color="D9D9D9"/>
          <w:insideH w:val="single" w:sz="11" w:space="0" w:color="D9D9D9"/>
          <w:insideV w:val="single" w:sz="11" w:space="0" w:color="D9D9D9"/>
        </w:tblBorders>
        <w:tblLayout w:type="fixed"/>
        <w:tblCellMar>
          <w:top w:w="0" w:type="dxa"/>
          <w:left w:w="0" w:type="dxa"/>
          <w:bottom w:w="0" w:type="dxa"/>
          <w:right w:w="0" w:type="dxa"/>
        </w:tblCellMar>
        <w:tblLook w:val="01E0"/>
      </w:tblPr>
      <w:tblGrid>
        <w:gridCol w:w="1717"/>
        <w:gridCol w:w="1012"/>
        <w:gridCol w:w="1144"/>
        <w:gridCol w:w="744"/>
      </w:tblGrid>
      <w:tr>
        <w:trPr>
          <w:trHeight w:val="329" w:hRule="exact"/>
        </w:trPr>
        <w:tc>
          <w:tcPr>
            <w:tcW w:w="1717" w:type="dxa"/>
            <w:vMerge w:val="restart"/>
          </w:tcPr>
          <w:p>
            <w:pPr>
              <w:pStyle w:val="TableParagraph"/>
              <w:rPr>
                <w:sz w:val="19"/>
              </w:rPr>
            </w:pPr>
          </w:p>
          <w:p>
            <w:pPr>
              <w:pStyle w:val="TableParagraph"/>
              <w:ind w:left="660" w:right="659"/>
              <w:jc w:val="center"/>
              <w:rPr>
                <w:b/>
                <w:sz w:val="16"/>
              </w:rPr>
            </w:pPr>
            <w:r>
              <w:rPr>
                <w:b/>
                <w:sz w:val="16"/>
              </w:rPr>
              <w:t>País</w:t>
            </w:r>
          </w:p>
        </w:tc>
        <w:tc>
          <w:tcPr>
            <w:tcW w:w="1012" w:type="dxa"/>
            <w:vMerge w:val="restart"/>
          </w:tcPr>
          <w:p>
            <w:pPr>
              <w:pStyle w:val="TableParagraph"/>
              <w:rPr>
                <w:sz w:val="19"/>
              </w:rPr>
            </w:pPr>
          </w:p>
          <w:p>
            <w:pPr>
              <w:pStyle w:val="TableParagraph"/>
              <w:ind w:left="156"/>
              <w:rPr>
                <w:b/>
                <w:sz w:val="16"/>
              </w:rPr>
            </w:pPr>
            <w:r>
              <w:rPr>
                <w:b/>
                <w:sz w:val="16"/>
              </w:rPr>
              <w:t>Posición</w:t>
            </w:r>
          </w:p>
        </w:tc>
        <w:tc>
          <w:tcPr>
            <w:tcW w:w="1889" w:type="dxa"/>
            <w:gridSpan w:val="2"/>
          </w:tcPr>
          <w:p>
            <w:pPr>
              <w:pStyle w:val="TableParagraph"/>
              <w:spacing w:before="54"/>
              <w:ind w:left="520"/>
              <w:rPr>
                <w:b/>
                <w:sz w:val="16"/>
              </w:rPr>
            </w:pPr>
            <w:r>
              <w:rPr>
                <w:b/>
                <w:sz w:val="16"/>
              </w:rPr>
              <w:t>Porcentaje</w:t>
            </w:r>
          </w:p>
        </w:tc>
      </w:tr>
      <w:tr>
        <w:trPr>
          <w:trHeight w:val="332" w:hRule="exact"/>
        </w:trPr>
        <w:tc>
          <w:tcPr>
            <w:tcW w:w="1717" w:type="dxa"/>
            <w:vMerge/>
          </w:tcPr>
          <w:p>
            <w:pPr/>
          </w:p>
        </w:tc>
        <w:tc>
          <w:tcPr>
            <w:tcW w:w="1012" w:type="dxa"/>
            <w:vMerge/>
          </w:tcPr>
          <w:p>
            <w:pPr/>
          </w:p>
        </w:tc>
        <w:tc>
          <w:tcPr>
            <w:tcW w:w="1144" w:type="dxa"/>
          </w:tcPr>
          <w:p>
            <w:pPr>
              <w:pStyle w:val="TableParagraph"/>
              <w:spacing w:before="54"/>
              <w:ind w:left="35" w:right="35"/>
              <w:jc w:val="center"/>
              <w:rPr>
                <w:b/>
                <w:sz w:val="16"/>
              </w:rPr>
            </w:pPr>
            <w:r>
              <w:rPr>
                <w:b/>
                <w:sz w:val="16"/>
              </w:rPr>
              <w:t>Participación</w:t>
            </w:r>
          </w:p>
        </w:tc>
        <w:tc>
          <w:tcPr>
            <w:tcW w:w="744" w:type="dxa"/>
          </w:tcPr>
          <w:p>
            <w:pPr>
              <w:pStyle w:val="TableParagraph"/>
              <w:spacing w:before="54"/>
              <w:ind w:left="47" w:right="42"/>
              <w:jc w:val="center"/>
              <w:rPr>
                <w:b/>
                <w:sz w:val="16"/>
              </w:rPr>
            </w:pPr>
            <w:r>
              <w:rPr>
                <w:b/>
                <w:sz w:val="16"/>
              </w:rPr>
              <w:t>Cambio</w:t>
            </w:r>
          </w:p>
        </w:tc>
      </w:tr>
      <w:tr>
        <w:trPr>
          <w:trHeight w:val="224" w:hRule="exact"/>
        </w:trPr>
        <w:tc>
          <w:tcPr>
            <w:tcW w:w="1717" w:type="dxa"/>
          </w:tcPr>
          <w:p>
            <w:pPr>
              <w:pStyle w:val="TableParagraph"/>
              <w:spacing w:before="6"/>
              <w:ind w:left="56"/>
              <w:rPr>
                <w:sz w:val="16"/>
              </w:rPr>
            </w:pPr>
            <w:r>
              <w:rPr>
                <w:sz w:val="16"/>
              </w:rPr>
              <w:t>Australia</w:t>
            </w:r>
          </w:p>
        </w:tc>
        <w:tc>
          <w:tcPr>
            <w:tcW w:w="1012" w:type="dxa"/>
          </w:tcPr>
          <w:p>
            <w:pPr>
              <w:pStyle w:val="TableParagraph"/>
              <w:spacing w:before="6"/>
              <w:ind w:left="1"/>
              <w:jc w:val="center"/>
              <w:rPr>
                <w:sz w:val="16"/>
              </w:rPr>
            </w:pPr>
            <w:r>
              <w:rPr>
                <w:w w:val="99"/>
                <w:sz w:val="16"/>
              </w:rPr>
              <w:t>1</w:t>
            </w:r>
          </w:p>
        </w:tc>
        <w:tc>
          <w:tcPr>
            <w:tcW w:w="1144" w:type="dxa"/>
          </w:tcPr>
          <w:p>
            <w:pPr>
              <w:pStyle w:val="TableParagraph"/>
              <w:spacing w:before="6"/>
              <w:ind w:left="33" w:right="35"/>
              <w:jc w:val="center"/>
              <w:rPr>
                <w:sz w:val="16"/>
              </w:rPr>
            </w:pPr>
            <w:r>
              <w:rPr>
                <w:sz w:val="16"/>
              </w:rPr>
              <w:t>95</w:t>
            </w:r>
          </w:p>
        </w:tc>
        <w:tc>
          <w:tcPr>
            <w:tcW w:w="744" w:type="dxa"/>
          </w:tcPr>
          <w:p>
            <w:pPr>
              <w:pStyle w:val="TableParagraph"/>
              <w:spacing w:before="6"/>
              <w:ind w:left="5"/>
              <w:jc w:val="center"/>
              <w:rPr>
                <w:sz w:val="16"/>
              </w:rPr>
            </w:pPr>
            <w:r>
              <w:rPr>
                <w:w w:val="99"/>
                <w:sz w:val="16"/>
              </w:rPr>
              <w:t>1</w:t>
            </w:r>
          </w:p>
        </w:tc>
      </w:tr>
      <w:tr>
        <w:trPr>
          <w:trHeight w:val="212" w:hRule="exact"/>
        </w:trPr>
        <w:tc>
          <w:tcPr>
            <w:tcW w:w="1717" w:type="dxa"/>
          </w:tcPr>
          <w:p>
            <w:pPr>
              <w:pStyle w:val="TableParagraph"/>
              <w:spacing w:line="178" w:lineRule="exact"/>
              <w:ind w:left="56"/>
              <w:rPr>
                <w:sz w:val="16"/>
              </w:rPr>
            </w:pPr>
            <w:r>
              <w:rPr>
                <w:sz w:val="16"/>
              </w:rPr>
              <w:t>Luxemburgo</w:t>
            </w:r>
          </w:p>
        </w:tc>
        <w:tc>
          <w:tcPr>
            <w:tcW w:w="1012" w:type="dxa"/>
          </w:tcPr>
          <w:p>
            <w:pPr>
              <w:pStyle w:val="TableParagraph"/>
              <w:spacing w:line="178" w:lineRule="exact"/>
              <w:ind w:left="1"/>
              <w:jc w:val="center"/>
              <w:rPr>
                <w:sz w:val="16"/>
              </w:rPr>
            </w:pPr>
            <w:r>
              <w:rPr>
                <w:w w:val="99"/>
                <w:sz w:val="16"/>
              </w:rPr>
              <w:t>2</w:t>
            </w:r>
          </w:p>
        </w:tc>
        <w:tc>
          <w:tcPr>
            <w:tcW w:w="1144" w:type="dxa"/>
          </w:tcPr>
          <w:p>
            <w:pPr>
              <w:pStyle w:val="TableParagraph"/>
              <w:spacing w:line="178" w:lineRule="exact"/>
              <w:ind w:left="33" w:right="35"/>
              <w:jc w:val="center"/>
              <w:rPr>
                <w:sz w:val="16"/>
              </w:rPr>
            </w:pPr>
            <w:r>
              <w:rPr>
                <w:sz w:val="16"/>
              </w:rPr>
              <w:t>92</w:t>
            </w:r>
          </w:p>
        </w:tc>
        <w:tc>
          <w:tcPr>
            <w:tcW w:w="744" w:type="dxa"/>
          </w:tcPr>
          <w:p>
            <w:pPr>
              <w:pStyle w:val="TableParagraph"/>
              <w:spacing w:line="178" w:lineRule="exact"/>
              <w:ind w:left="5"/>
              <w:jc w:val="center"/>
              <w:rPr>
                <w:sz w:val="16"/>
              </w:rPr>
            </w:pPr>
            <w:r>
              <w:rPr>
                <w:w w:val="99"/>
                <w:sz w:val="16"/>
              </w:rPr>
              <w:t>3</w:t>
            </w:r>
          </w:p>
        </w:tc>
      </w:tr>
      <w:tr>
        <w:trPr>
          <w:trHeight w:val="216" w:hRule="exact"/>
        </w:trPr>
        <w:tc>
          <w:tcPr>
            <w:tcW w:w="1717" w:type="dxa"/>
          </w:tcPr>
          <w:p>
            <w:pPr>
              <w:pStyle w:val="TableParagraph"/>
              <w:spacing w:line="182" w:lineRule="exact"/>
              <w:ind w:left="56"/>
              <w:rPr>
                <w:sz w:val="16"/>
              </w:rPr>
            </w:pPr>
            <w:r>
              <w:rPr>
                <w:sz w:val="16"/>
              </w:rPr>
              <w:t>Bélgica</w:t>
            </w:r>
          </w:p>
        </w:tc>
        <w:tc>
          <w:tcPr>
            <w:tcW w:w="1012" w:type="dxa"/>
          </w:tcPr>
          <w:p>
            <w:pPr>
              <w:pStyle w:val="TableParagraph"/>
              <w:spacing w:line="182" w:lineRule="exact"/>
              <w:ind w:left="1"/>
              <w:jc w:val="center"/>
              <w:rPr>
                <w:sz w:val="16"/>
              </w:rPr>
            </w:pPr>
            <w:r>
              <w:rPr>
                <w:w w:val="99"/>
                <w:sz w:val="16"/>
              </w:rPr>
              <w:t>3</w:t>
            </w:r>
          </w:p>
        </w:tc>
        <w:tc>
          <w:tcPr>
            <w:tcW w:w="1144" w:type="dxa"/>
          </w:tcPr>
          <w:p>
            <w:pPr>
              <w:pStyle w:val="TableParagraph"/>
              <w:spacing w:line="182" w:lineRule="exact"/>
              <w:ind w:left="33" w:right="35"/>
              <w:jc w:val="center"/>
              <w:rPr>
                <w:sz w:val="16"/>
              </w:rPr>
            </w:pPr>
            <w:r>
              <w:rPr>
                <w:sz w:val="16"/>
              </w:rPr>
              <w:t>91</w:t>
            </w:r>
          </w:p>
        </w:tc>
        <w:tc>
          <w:tcPr>
            <w:tcW w:w="744" w:type="dxa"/>
          </w:tcPr>
          <w:p>
            <w:pPr>
              <w:pStyle w:val="TableParagraph"/>
              <w:spacing w:line="182" w:lineRule="exact"/>
              <w:ind w:left="42" w:right="42"/>
              <w:jc w:val="center"/>
              <w:rPr>
                <w:sz w:val="16"/>
              </w:rPr>
            </w:pPr>
            <w:r>
              <w:rPr>
                <w:sz w:val="16"/>
              </w:rPr>
              <w:t>-3</w:t>
            </w:r>
          </w:p>
        </w:tc>
      </w:tr>
      <w:tr>
        <w:trPr>
          <w:trHeight w:val="212" w:hRule="exact"/>
        </w:trPr>
        <w:tc>
          <w:tcPr>
            <w:tcW w:w="1717" w:type="dxa"/>
          </w:tcPr>
          <w:p>
            <w:pPr>
              <w:pStyle w:val="TableParagraph"/>
              <w:spacing w:line="178" w:lineRule="exact"/>
              <w:ind w:left="56"/>
              <w:rPr>
                <w:sz w:val="16"/>
              </w:rPr>
            </w:pPr>
            <w:r>
              <w:rPr>
                <w:sz w:val="16"/>
              </w:rPr>
              <w:t>Alemania</w:t>
            </w:r>
          </w:p>
        </w:tc>
        <w:tc>
          <w:tcPr>
            <w:tcW w:w="1012" w:type="dxa"/>
          </w:tcPr>
          <w:p>
            <w:pPr>
              <w:pStyle w:val="TableParagraph"/>
              <w:spacing w:line="178" w:lineRule="exact"/>
              <w:ind w:left="383" w:right="383"/>
              <w:jc w:val="center"/>
              <w:rPr>
                <w:sz w:val="16"/>
              </w:rPr>
            </w:pPr>
            <w:r>
              <w:rPr>
                <w:sz w:val="16"/>
              </w:rPr>
              <w:t>13</w:t>
            </w:r>
          </w:p>
        </w:tc>
        <w:tc>
          <w:tcPr>
            <w:tcW w:w="1144" w:type="dxa"/>
          </w:tcPr>
          <w:p>
            <w:pPr>
              <w:pStyle w:val="TableParagraph"/>
              <w:spacing w:line="178" w:lineRule="exact"/>
              <w:ind w:left="33" w:right="35"/>
              <w:jc w:val="center"/>
              <w:rPr>
                <w:sz w:val="16"/>
              </w:rPr>
            </w:pPr>
            <w:r>
              <w:rPr>
                <w:sz w:val="16"/>
              </w:rPr>
              <w:t>78</w:t>
            </w:r>
          </w:p>
        </w:tc>
        <w:tc>
          <w:tcPr>
            <w:tcW w:w="744" w:type="dxa"/>
          </w:tcPr>
          <w:p>
            <w:pPr>
              <w:pStyle w:val="TableParagraph"/>
              <w:spacing w:line="178" w:lineRule="exact"/>
              <w:ind w:left="42" w:right="42"/>
              <w:jc w:val="center"/>
              <w:rPr>
                <w:sz w:val="16"/>
              </w:rPr>
            </w:pPr>
            <w:r>
              <w:rPr>
                <w:sz w:val="16"/>
              </w:rPr>
              <w:t>-11</w:t>
            </w:r>
          </w:p>
        </w:tc>
      </w:tr>
      <w:tr>
        <w:trPr>
          <w:trHeight w:val="216" w:hRule="exact"/>
        </w:trPr>
        <w:tc>
          <w:tcPr>
            <w:tcW w:w="1717" w:type="dxa"/>
          </w:tcPr>
          <w:p>
            <w:pPr>
              <w:pStyle w:val="TableParagraph"/>
              <w:spacing w:line="182" w:lineRule="exact"/>
              <w:ind w:left="56"/>
              <w:rPr>
                <w:sz w:val="16"/>
              </w:rPr>
            </w:pPr>
            <w:r>
              <w:rPr>
                <w:sz w:val="16"/>
              </w:rPr>
              <w:t>España</w:t>
            </w:r>
          </w:p>
        </w:tc>
        <w:tc>
          <w:tcPr>
            <w:tcW w:w="1012" w:type="dxa"/>
          </w:tcPr>
          <w:p>
            <w:pPr>
              <w:pStyle w:val="TableParagraph"/>
              <w:spacing w:line="182" w:lineRule="exact"/>
              <w:ind w:left="383" w:right="383"/>
              <w:jc w:val="center"/>
              <w:rPr>
                <w:sz w:val="16"/>
              </w:rPr>
            </w:pPr>
            <w:r>
              <w:rPr>
                <w:sz w:val="16"/>
              </w:rPr>
              <w:t>15</w:t>
            </w:r>
          </w:p>
        </w:tc>
        <w:tc>
          <w:tcPr>
            <w:tcW w:w="1144" w:type="dxa"/>
          </w:tcPr>
          <w:p>
            <w:pPr>
              <w:pStyle w:val="TableParagraph"/>
              <w:spacing w:line="182" w:lineRule="exact"/>
              <w:ind w:left="33" w:right="35"/>
              <w:jc w:val="center"/>
              <w:rPr>
                <w:sz w:val="16"/>
              </w:rPr>
            </w:pPr>
            <w:r>
              <w:rPr>
                <w:sz w:val="16"/>
              </w:rPr>
              <w:t>75</w:t>
            </w:r>
          </w:p>
        </w:tc>
        <w:tc>
          <w:tcPr>
            <w:tcW w:w="744" w:type="dxa"/>
          </w:tcPr>
          <w:p>
            <w:pPr>
              <w:pStyle w:val="TableParagraph"/>
              <w:spacing w:line="182" w:lineRule="exact"/>
              <w:ind w:left="5"/>
              <w:jc w:val="center"/>
              <w:rPr>
                <w:sz w:val="16"/>
              </w:rPr>
            </w:pPr>
            <w:r>
              <w:rPr>
                <w:w w:val="99"/>
                <w:sz w:val="16"/>
              </w:rPr>
              <w:t>7</w:t>
            </w:r>
          </w:p>
        </w:tc>
      </w:tr>
      <w:tr>
        <w:trPr>
          <w:trHeight w:val="214" w:hRule="exact"/>
        </w:trPr>
        <w:tc>
          <w:tcPr>
            <w:tcW w:w="1717" w:type="dxa"/>
          </w:tcPr>
          <w:p>
            <w:pPr>
              <w:pStyle w:val="TableParagraph"/>
              <w:spacing w:line="178" w:lineRule="exact"/>
              <w:ind w:left="56"/>
              <w:rPr>
                <w:sz w:val="16"/>
              </w:rPr>
            </w:pPr>
            <w:r>
              <w:rPr>
                <w:sz w:val="16"/>
              </w:rPr>
              <w:t>Reino Unido</w:t>
            </w:r>
          </w:p>
        </w:tc>
        <w:tc>
          <w:tcPr>
            <w:tcW w:w="1012" w:type="dxa"/>
          </w:tcPr>
          <w:p>
            <w:pPr>
              <w:pStyle w:val="TableParagraph"/>
              <w:spacing w:line="178" w:lineRule="exact"/>
              <w:ind w:left="383" w:right="383"/>
              <w:jc w:val="center"/>
              <w:rPr>
                <w:sz w:val="16"/>
              </w:rPr>
            </w:pPr>
            <w:r>
              <w:rPr>
                <w:sz w:val="16"/>
              </w:rPr>
              <w:t>25</w:t>
            </w:r>
          </w:p>
        </w:tc>
        <w:tc>
          <w:tcPr>
            <w:tcW w:w="1144" w:type="dxa"/>
          </w:tcPr>
          <w:p>
            <w:pPr>
              <w:pStyle w:val="TableParagraph"/>
              <w:spacing w:line="178" w:lineRule="exact"/>
              <w:ind w:left="33" w:right="35"/>
              <w:jc w:val="center"/>
              <w:rPr>
                <w:sz w:val="16"/>
              </w:rPr>
            </w:pPr>
            <w:r>
              <w:rPr>
                <w:sz w:val="16"/>
              </w:rPr>
              <w:t>61</w:t>
            </w:r>
          </w:p>
        </w:tc>
        <w:tc>
          <w:tcPr>
            <w:tcW w:w="744" w:type="dxa"/>
          </w:tcPr>
          <w:p>
            <w:pPr>
              <w:pStyle w:val="TableParagraph"/>
              <w:spacing w:line="178" w:lineRule="exact"/>
              <w:ind w:left="42" w:right="42"/>
              <w:jc w:val="center"/>
              <w:rPr>
                <w:sz w:val="16"/>
              </w:rPr>
            </w:pPr>
            <w:r>
              <w:rPr>
                <w:sz w:val="16"/>
              </w:rPr>
              <w:t>-15</w:t>
            </w:r>
          </w:p>
        </w:tc>
      </w:tr>
      <w:tr>
        <w:trPr>
          <w:trHeight w:val="214" w:hRule="exact"/>
        </w:trPr>
        <w:tc>
          <w:tcPr>
            <w:tcW w:w="1717" w:type="dxa"/>
            <w:shd w:val="clear" w:color="auto" w:fill="FFFF00"/>
          </w:tcPr>
          <w:p>
            <w:pPr>
              <w:pStyle w:val="TableParagraph"/>
              <w:spacing w:line="180" w:lineRule="exact"/>
              <w:ind w:left="56"/>
              <w:rPr>
                <w:b/>
                <w:sz w:val="16"/>
              </w:rPr>
            </w:pPr>
            <w:r>
              <w:rPr>
                <w:b/>
                <w:sz w:val="16"/>
              </w:rPr>
              <w:t>México</w:t>
            </w:r>
          </w:p>
        </w:tc>
        <w:tc>
          <w:tcPr>
            <w:tcW w:w="1012" w:type="dxa"/>
            <w:shd w:val="clear" w:color="auto" w:fill="FFFF00"/>
          </w:tcPr>
          <w:p>
            <w:pPr>
              <w:pStyle w:val="TableParagraph"/>
              <w:spacing w:line="180" w:lineRule="exact"/>
              <w:ind w:left="383" w:right="383"/>
              <w:jc w:val="center"/>
              <w:rPr>
                <w:b/>
                <w:sz w:val="16"/>
              </w:rPr>
            </w:pPr>
            <w:r>
              <w:rPr>
                <w:b/>
                <w:sz w:val="16"/>
              </w:rPr>
              <w:t>29</w:t>
            </w:r>
          </w:p>
        </w:tc>
        <w:tc>
          <w:tcPr>
            <w:tcW w:w="1144" w:type="dxa"/>
            <w:shd w:val="clear" w:color="auto" w:fill="FFFF00"/>
          </w:tcPr>
          <w:p>
            <w:pPr>
              <w:pStyle w:val="TableParagraph"/>
              <w:spacing w:line="180" w:lineRule="exact"/>
              <w:ind w:left="33" w:right="35"/>
              <w:jc w:val="center"/>
              <w:rPr>
                <w:b/>
                <w:sz w:val="16"/>
              </w:rPr>
            </w:pPr>
            <w:r>
              <w:rPr>
                <w:b/>
                <w:sz w:val="16"/>
              </w:rPr>
              <w:t>59</w:t>
            </w:r>
          </w:p>
        </w:tc>
        <w:tc>
          <w:tcPr>
            <w:tcW w:w="744" w:type="dxa"/>
            <w:shd w:val="clear" w:color="auto" w:fill="FFFF00"/>
          </w:tcPr>
          <w:p>
            <w:pPr>
              <w:pStyle w:val="TableParagraph"/>
              <w:spacing w:line="180" w:lineRule="exact"/>
              <w:ind w:left="5"/>
              <w:jc w:val="center"/>
              <w:rPr>
                <w:b/>
                <w:sz w:val="16"/>
              </w:rPr>
            </w:pPr>
            <w:r>
              <w:rPr>
                <w:b/>
                <w:w w:val="99"/>
                <w:sz w:val="16"/>
              </w:rPr>
              <w:t>9</w:t>
            </w:r>
          </w:p>
        </w:tc>
      </w:tr>
      <w:tr>
        <w:trPr>
          <w:trHeight w:val="231" w:hRule="exact"/>
        </w:trPr>
        <w:tc>
          <w:tcPr>
            <w:tcW w:w="1717" w:type="dxa"/>
          </w:tcPr>
          <w:p>
            <w:pPr>
              <w:pStyle w:val="TableParagraph"/>
              <w:spacing w:line="179" w:lineRule="exact"/>
              <w:ind w:left="56"/>
              <w:rPr>
                <w:sz w:val="16"/>
              </w:rPr>
            </w:pPr>
            <w:r>
              <w:rPr>
                <w:sz w:val="16"/>
              </w:rPr>
              <w:t>Estados Unidos</w:t>
            </w:r>
          </w:p>
        </w:tc>
        <w:tc>
          <w:tcPr>
            <w:tcW w:w="1012" w:type="dxa"/>
          </w:tcPr>
          <w:p>
            <w:pPr>
              <w:pStyle w:val="TableParagraph"/>
              <w:spacing w:line="179" w:lineRule="exact"/>
              <w:ind w:left="383" w:right="383"/>
              <w:jc w:val="center"/>
              <w:rPr>
                <w:sz w:val="16"/>
              </w:rPr>
            </w:pPr>
            <w:r>
              <w:rPr>
                <w:sz w:val="16"/>
              </w:rPr>
              <w:t>33</w:t>
            </w:r>
          </w:p>
        </w:tc>
        <w:tc>
          <w:tcPr>
            <w:tcW w:w="1144" w:type="dxa"/>
          </w:tcPr>
          <w:p>
            <w:pPr>
              <w:pStyle w:val="TableParagraph"/>
              <w:spacing w:line="179" w:lineRule="exact"/>
              <w:ind w:left="33" w:right="35"/>
              <w:jc w:val="center"/>
              <w:rPr>
                <w:sz w:val="16"/>
              </w:rPr>
            </w:pPr>
            <w:r>
              <w:rPr>
                <w:sz w:val="16"/>
              </w:rPr>
              <w:t>48</w:t>
            </w:r>
          </w:p>
        </w:tc>
        <w:tc>
          <w:tcPr>
            <w:tcW w:w="744" w:type="dxa"/>
          </w:tcPr>
          <w:p>
            <w:pPr>
              <w:pStyle w:val="TableParagraph"/>
              <w:spacing w:line="179" w:lineRule="exact"/>
              <w:ind w:left="42" w:right="42"/>
              <w:jc w:val="center"/>
              <w:rPr>
                <w:sz w:val="16"/>
              </w:rPr>
            </w:pPr>
            <w:r>
              <w:rPr>
                <w:sz w:val="16"/>
              </w:rPr>
              <w:t>-29</w:t>
            </w:r>
          </w:p>
        </w:tc>
      </w:tr>
      <w:tr>
        <w:trPr>
          <w:trHeight w:val="198" w:hRule="exact"/>
        </w:trPr>
        <w:tc>
          <w:tcPr>
            <w:tcW w:w="1717" w:type="dxa"/>
            <w:shd w:val="clear" w:color="auto" w:fill="FFFF00"/>
          </w:tcPr>
          <w:p>
            <w:pPr>
              <w:pStyle w:val="TableParagraph"/>
              <w:spacing w:line="164" w:lineRule="exact"/>
              <w:ind w:left="56"/>
              <w:rPr>
                <w:b/>
                <w:sz w:val="16"/>
              </w:rPr>
            </w:pPr>
            <w:r>
              <w:rPr>
                <w:b/>
                <w:sz w:val="16"/>
              </w:rPr>
              <w:t>Promedio OCDE</w:t>
            </w:r>
          </w:p>
        </w:tc>
        <w:tc>
          <w:tcPr>
            <w:tcW w:w="1012" w:type="dxa"/>
            <w:shd w:val="clear" w:color="auto" w:fill="FFFF00"/>
          </w:tcPr>
          <w:p>
            <w:pPr/>
          </w:p>
        </w:tc>
        <w:tc>
          <w:tcPr>
            <w:tcW w:w="1144" w:type="dxa"/>
            <w:shd w:val="clear" w:color="auto" w:fill="FFFF00"/>
          </w:tcPr>
          <w:p>
            <w:pPr>
              <w:pStyle w:val="TableParagraph"/>
              <w:spacing w:line="164" w:lineRule="exact"/>
              <w:ind w:left="33" w:right="35"/>
              <w:jc w:val="center"/>
              <w:rPr>
                <w:b/>
                <w:sz w:val="16"/>
              </w:rPr>
            </w:pPr>
            <w:r>
              <w:rPr>
                <w:b/>
                <w:sz w:val="16"/>
              </w:rPr>
              <w:t>70</w:t>
            </w:r>
          </w:p>
        </w:tc>
        <w:tc>
          <w:tcPr>
            <w:tcW w:w="744" w:type="dxa"/>
            <w:shd w:val="clear" w:color="auto" w:fill="FFFF00"/>
          </w:tcPr>
          <w:p>
            <w:pPr>
              <w:pStyle w:val="TableParagraph"/>
              <w:spacing w:line="164" w:lineRule="exact"/>
              <w:ind w:left="42" w:right="42"/>
              <w:jc w:val="center"/>
              <w:rPr>
                <w:b/>
                <w:sz w:val="16"/>
              </w:rPr>
            </w:pPr>
            <w:r>
              <w:rPr>
                <w:b/>
                <w:sz w:val="16"/>
              </w:rPr>
              <w:t>-11</w:t>
            </w:r>
          </w:p>
        </w:tc>
      </w:tr>
    </w:tbl>
    <w:p>
      <w:pPr>
        <w:pStyle w:val="BodyText"/>
        <w:spacing w:before="9"/>
        <w:rPr>
          <w:sz w:val="11"/>
        </w:rPr>
      </w:pPr>
    </w:p>
    <w:p>
      <w:pPr>
        <w:spacing w:line="137" w:lineRule="exact" w:before="0"/>
        <w:ind w:left="2085" w:right="132" w:firstLine="0"/>
        <w:jc w:val="left"/>
        <w:rPr>
          <w:sz w:val="12"/>
        </w:rPr>
      </w:pPr>
      <w:r>
        <w:rPr>
          <w:sz w:val="12"/>
        </w:rPr>
        <w:t>FUENTE: Elaboración propia con base en:</w:t>
      </w:r>
    </w:p>
    <w:p>
      <w:pPr>
        <w:spacing w:line="242" w:lineRule="auto" w:before="0"/>
        <w:ind w:left="2653" w:right="2938" w:firstLine="0"/>
        <w:jc w:val="left"/>
        <w:rPr>
          <w:sz w:val="12"/>
        </w:rPr>
      </w:pPr>
      <w:r>
        <w:rPr>
          <w:sz w:val="12"/>
        </w:rPr>
        <w:t>OECD, </w:t>
      </w:r>
      <w:r>
        <w:rPr>
          <w:i/>
          <w:sz w:val="12"/>
        </w:rPr>
        <w:t>Society at a Glance 2011</w:t>
      </w:r>
      <w:r>
        <w:rPr>
          <w:sz w:val="12"/>
        </w:rPr>
        <w:t>, </w:t>
      </w:r>
      <w:r>
        <w:rPr>
          <w:i/>
          <w:sz w:val="12"/>
        </w:rPr>
        <w:t>OECD Social Indicators</w:t>
      </w:r>
      <w:r>
        <w:rPr>
          <w:sz w:val="12"/>
        </w:rPr>
        <w:t>, p. 97. ISBN: 978-92-64-09852-7</w:t>
      </w:r>
    </w:p>
    <w:p>
      <w:pPr>
        <w:spacing w:line="134" w:lineRule="exact" w:before="0"/>
        <w:ind w:left="2653" w:right="132" w:firstLine="0"/>
        <w:jc w:val="left"/>
        <w:rPr>
          <w:sz w:val="12"/>
        </w:rPr>
      </w:pPr>
      <w:r>
        <w:rPr>
          <w:sz w:val="12"/>
        </w:rPr>
        <w:t>Disponible en: </w:t>
      </w:r>
      <w:hyperlink r:id="rId76">
        <w:r>
          <w:rPr>
            <w:sz w:val="12"/>
          </w:rPr>
          <w:t>http://www.oecd.org/document/45/0,3746,en_2649_37419_2671576_1_1_1_37419,00.html</w:t>
        </w:r>
      </w:hyperlink>
    </w:p>
    <w:p>
      <w:pPr>
        <w:spacing w:before="2"/>
        <w:ind w:left="100" w:right="132" w:firstLine="0"/>
        <w:jc w:val="left"/>
        <w:rPr>
          <w:sz w:val="12"/>
        </w:rPr>
      </w:pPr>
      <w:r>
        <w:rPr>
          <w:sz w:val="12"/>
        </w:rPr>
        <w:t>[Fecha de consulta: 31 de agosto, 2015]</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6"/>
        <w:rPr>
          <w:sz w:val="9"/>
        </w:rPr>
      </w:pPr>
    </w:p>
    <w:p>
      <w:pPr>
        <w:pStyle w:val="BodyText"/>
        <w:spacing w:line="360" w:lineRule="auto"/>
        <w:ind w:left="100" w:right="115" w:firstLine="427"/>
        <w:jc w:val="both"/>
      </w:pPr>
      <w:r>
        <w:rPr/>
        <w:t>La</w:t>
      </w:r>
      <w:r>
        <w:rPr>
          <w:spacing w:val="-8"/>
        </w:rPr>
        <w:t> </w:t>
      </w:r>
      <w:r>
        <w:rPr/>
        <w:t>OCDE</w:t>
      </w:r>
      <w:r>
        <w:rPr>
          <w:spacing w:val="-3"/>
        </w:rPr>
        <w:t> </w:t>
      </w:r>
      <w:r>
        <w:rPr/>
        <w:t>mencionó</w:t>
      </w:r>
      <w:r>
        <w:rPr>
          <w:spacing w:val="-8"/>
        </w:rPr>
        <w:t> </w:t>
      </w:r>
      <w:r>
        <w:rPr/>
        <w:t>que</w:t>
      </w:r>
      <w:r>
        <w:rPr>
          <w:spacing w:val="-8"/>
        </w:rPr>
        <w:t> </w:t>
      </w:r>
      <w:r>
        <w:rPr/>
        <w:t>las</w:t>
      </w:r>
      <w:r>
        <w:rPr>
          <w:spacing w:val="-3"/>
        </w:rPr>
        <w:t> </w:t>
      </w:r>
      <w:r>
        <w:rPr/>
        <w:t>personas</w:t>
      </w:r>
      <w:r>
        <w:rPr>
          <w:spacing w:val="-3"/>
        </w:rPr>
        <w:t> </w:t>
      </w:r>
      <w:r>
        <w:rPr/>
        <w:t>de</w:t>
      </w:r>
      <w:r>
        <w:rPr>
          <w:spacing w:val="-5"/>
        </w:rPr>
        <w:t> </w:t>
      </w:r>
      <w:r>
        <w:rPr/>
        <w:t>México</w:t>
      </w:r>
      <w:r>
        <w:rPr>
          <w:spacing w:val="-8"/>
        </w:rPr>
        <w:t> </w:t>
      </w:r>
      <w:r>
        <w:rPr/>
        <w:t>con</w:t>
      </w:r>
      <w:r>
        <w:rPr>
          <w:spacing w:val="-8"/>
        </w:rPr>
        <w:t> </w:t>
      </w:r>
      <w:r>
        <w:rPr/>
        <w:t>edades</w:t>
      </w:r>
      <w:r>
        <w:rPr>
          <w:spacing w:val="-6"/>
        </w:rPr>
        <w:t> </w:t>
      </w:r>
      <w:r>
        <w:rPr/>
        <w:t>de 55</w:t>
      </w:r>
      <w:r>
        <w:rPr>
          <w:spacing w:val="-8"/>
        </w:rPr>
        <w:t> </w:t>
      </w:r>
      <w:r>
        <w:rPr/>
        <w:t>años</w:t>
      </w:r>
      <w:r>
        <w:rPr>
          <w:spacing w:val="-3"/>
        </w:rPr>
        <w:t> </w:t>
      </w:r>
      <w:r>
        <w:rPr/>
        <w:t>y</w:t>
      </w:r>
      <w:r>
        <w:rPr>
          <w:spacing w:val="-7"/>
        </w:rPr>
        <w:t> </w:t>
      </w:r>
      <w:r>
        <w:rPr/>
        <w:t>más tienen </w:t>
      </w:r>
      <w:r>
        <w:rPr>
          <w:spacing w:val="-2"/>
        </w:rPr>
        <w:t>más </w:t>
      </w:r>
      <w:r>
        <w:rPr/>
        <w:t>propensión a votar que los ciudadanos con edades entre los 16 y 35 años. También la OCDE considera que en México las personas con mayor nivel</w:t>
      </w:r>
      <w:r>
        <w:rPr>
          <w:spacing w:val="-42"/>
        </w:rPr>
        <w:t> </w:t>
      </w:r>
      <w:r>
        <w:rPr/>
        <w:t>de estudios son más participativas en las elecciones, aunque esta tendencia positiva no es tan alta como la registrada en Estados Unidos, Polonia y</w:t>
      </w:r>
      <w:r>
        <w:rPr>
          <w:spacing w:val="-36"/>
        </w:rPr>
        <w:t> </w:t>
      </w:r>
      <w:r>
        <w:rPr/>
        <w:t>Hungría.</w:t>
      </w:r>
    </w:p>
    <w:p>
      <w:pPr>
        <w:spacing w:after="0" w:line="360" w:lineRule="auto"/>
        <w:jc w:val="both"/>
        <w:sectPr>
          <w:pgSz w:w="12240" w:h="15840"/>
          <w:pgMar w:header="0" w:footer="998" w:top="1360" w:bottom="1180" w:left="1600" w:right="1580"/>
        </w:sectPr>
      </w:pPr>
    </w:p>
    <w:p>
      <w:pPr>
        <w:pStyle w:val="ListParagraph"/>
        <w:numPr>
          <w:ilvl w:val="0"/>
          <w:numId w:val="40"/>
        </w:numPr>
        <w:tabs>
          <w:tab w:pos="381" w:val="left" w:leader="none"/>
        </w:tabs>
        <w:spacing w:line="240" w:lineRule="auto" w:before="51" w:after="0"/>
        <w:ind w:left="380" w:right="0" w:hanging="280"/>
        <w:jc w:val="both"/>
        <w:rPr>
          <w:i/>
          <w:sz w:val="24"/>
        </w:rPr>
      </w:pPr>
      <w:r>
        <w:rPr>
          <w:i/>
          <w:sz w:val="24"/>
        </w:rPr>
        <w:t>Índice de Mejor Vida,</w:t>
      </w:r>
      <w:r>
        <w:rPr>
          <w:i/>
          <w:spacing w:val="-15"/>
          <w:sz w:val="24"/>
        </w:rPr>
        <w:t> </w:t>
      </w:r>
      <w:r>
        <w:rPr>
          <w:i/>
          <w:sz w:val="24"/>
        </w:rPr>
        <w:t>2013</w:t>
      </w:r>
    </w:p>
    <w:p>
      <w:pPr>
        <w:pStyle w:val="BodyText"/>
        <w:spacing w:before="10"/>
        <w:rPr>
          <w:i/>
          <w:sz w:val="29"/>
        </w:rPr>
      </w:pPr>
    </w:p>
    <w:p>
      <w:pPr>
        <w:pStyle w:val="BodyText"/>
        <w:spacing w:line="360" w:lineRule="auto"/>
        <w:ind w:left="100" w:right="117"/>
        <w:jc w:val="both"/>
      </w:pPr>
      <w:r>
        <w:rPr/>
        <w:t>Para medir el bienestar, es necesario lograr un consenso entre los intereses económicos, políticos y sociales. ¿En este sentido, la OCDE publicó en 2011 How is</w:t>
      </w:r>
      <w:r>
        <w:rPr>
          <w:spacing w:val="-12"/>
        </w:rPr>
        <w:t> </w:t>
      </w:r>
      <w:r>
        <w:rPr/>
        <w:t>life?</w:t>
      </w:r>
      <w:r>
        <w:rPr>
          <w:spacing w:val="-14"/>
        </w:rPr>
        <w:t> </w:t>
      </w:r>
      <w:r>
        <w:rPr/>
        <w:t>(¿Cómo</w:t>
      </w:r>
      <w:r>
        <w:rPr>
          <w:spacing w:val="-14"/>
        </w:rPr>
        <w:t> </w:t>
      </w:r>
      <w:r>
        <w:rPr/>
        <w:t>es</w:t>
      </w:r>
      <w:r>
        <w:rPr>
          <w:spacing w:val="-12"/>
        </w:rPr>
        <w:t> </w:t>
      </w:r>
      <w:r>
        <w:rPr/>
        <w:t>la</w:t>
      </w:r>
      <w:r>
        <w:rPr>
          <w:spacing w:val="-14"/>
        </w:rPr>
        <w:t> </w:t>
      </w:r>
      <w:r>
        <w:rPr/>
        <w:t>vida?)</w:t>
      </w:r>
      <w:r>
        <w:rPr>
          <w:spacing w:val="-12"/>
        </w:rPr>
        <w:t> </w:t>
      </w:r>
      <w:r>
        <w:rPr/>
        <w:t>para</w:t>
      </w:r>
      <w:r>
        <w:rPr>
          <w:spacing w:val="-14"/>
        </w:rPr>
        <w:t> </w:t>
      </w:r>
      <w:r>
        <w:rPr/>
        <w:t>cuantificar</w:t>
      </w:r>
      <w:r>
        <w:rPr>
          <w:spacing w:val="-12"/>
        </w:rPr>
        <w:t> </w:t>
      </w:r>
      <w:r>
        <w:rPr/>
        <w:t>el</w:t>
      </w:r>
      <w:r>
        <w:rPr>
          <w:spacing w:val="-13"/>
        </w:rPr>
        <w:t> </w:t>
      </w:r>
      <w:r>
        <w:rPr/>
        <w:t>nivel</w:t>
      </w:r>
      <w:r>
        <w:rPr>
          <w:spacing w:val="-13"/>
        </w:rPr>
        <w:t> </w:t>
      </w:r>
      <w:r>
        <w:rPr/>
        <w:t>de</w:t>
      </w:r>
      <w:r>
        <w:rPr>
          <w:spacing w:val="-14"/>
        </w:rPr>
        <w:t> </w:t>
      </w:r>
      <w:r>
        <w:rPr/>
        <w:t>bienestar.</w:t>
      </w:r>
      <w:r>
        <w:rPr>
          <w:spacing w:val="-11"/>
        </w:rPr>
        <w:t> </w:t>
      </w:r>
      <w:r>
        <w:rPr/>
        <w:t>La</w:t>
      </w:r>
      <w:r>
        <w:rPr>
          <w:spacing w:val="-14"/>
        </w:rPr>
        <w:t> </w:t>
      </w:r>
      <w:r>
        <w:rPr/>
        <w:t>OCDE</w:t>
      </w:r>
      <w:r>
        <w:rPr>
          <w:spacing w:val="-12"/>
        </w:rPr>
        <w:t> </w:t>
      </w:r>
      <w:r>
        <w:rPr/>
        <w:t>presentó de forma permanente la medición en 23 indicadores en 10</w:t>
      </w:r>
      <w:r>
        <w:rPr>
          <w:spacing w:val="-35"/>
        </w:rPr>
        <w:t> </w:t>
      </w:r>
      <w:r>
        <w:rPr/>
        <w:t>grupos.</w:t>
      </w:r>
    </w:p>
    <w:p>
      <w:pPr>
        <w:pStyle w:val="BodyText"/>
        <w:spacing w:line="360" w:lineRule="auto" w:before="206"/>
        <w:ind w:left="100" w:right="119" w:firstLine="708"/>
        <w:jc w:val="both"/>
      </w:pPr>
      <w:r>
        <w:rPr/>
        <w:t>El objetivo de la OCDE es proveer datos (de forma permanente) de las dimensiones que inciden en el bienestar, el cual se considera que es multifactorial y ayudar al investigador a determinar la priorización de temas específicos de bienestar.</w:t>
      </w:r>
    </w:p>
    <w:p>
      <w:pPr>
        <w:pStyle w:val="BodyText"/>
        <w:spacing w:line="360" w:lineRule="auto" w:before="6"/>
        <w:ind w:left="100" w:right="117" w:firstLine="708"/>
        <w:jc w:val="both"/>
      </w:pPr>
      <w:r>
        <w:rPr/>
        <w:t>La</w:t>
      </w:r>
      <w:r>
        <w:rPr>
          <w:spacing w:val="-17"/>
        </w:rPr>
        <w:t> </w:t>
      </w:r>
      <w:r>
        <w:rPr/>
        <w:t>visión</w:t>
      </w:r>
      <w:r>
        <w:rPr>
          <w:spacing w:val="-17"/>
        </w:rPr>
        <w:t> </w:t>
      </w:r>
      <w:r>
        <w:rPr/>
        <w:t>de</w:t>
      </w:r>
      <w:r>
        <w:rPr>
          <w:spacing w:val="-17"/>
        </w:rPr>
        <w:t> </w:t>
      </w:r>
      <w:r>
        <w:rPr/>
        <w:t>la</w:t>
      </w:r>
      <w:r>
        <w:rPr>
          <w:spacing w:val="-17"/>
        </w:rPr>
        <w:t> </w:t>
      </w:r>
      <w:r>
        <w:rPr/>
        <w:t>política</w:t>
      </w:r>
      <w:r>
        <w:rPr>
          <w:spacing w:val="-17"/>
        </w:rPr>
        <w:t> </w:t>
      </w:r>
      <w:r>
        <w:rPr/>
        <w:t>implica</w:t>
      </w:r>
      <w:r>
        <w:rPr>
          <w:spacing w:val="-17"/>
        </w:rPr>
        <w:t> </w:t>
      </w:r>
      <w:r>
        <w:rPr/>
        <w:t>establecer</w:t>
      </w:r>
      <w:r>
        <w:rPr>
          <w:spacing w:val="-15"/>
        </w:rPr>
        <w:t> </w:t>
      </w:r>
      <w:r>
        <w:rPr/>
        <w:t>prioridades</w:t>
      </w:r>
      <w:r>
        <w:rPr>
          <w:spacing w:val="-15"/>
        </w:rPr>
        <w:t> </w:t>
      </w:r>
      <w:r>
        <w:rPr/>
        <w:t>sobre</w:t>
      </w:r>
      <w:r>
        <w:rPr>
          <w:spacing w:val="-17"/>
        </w:rPr>
        <w:t> </w:t>
      </w:r>
      <w:r>
        <w:rPr/>
        <w:t>qué</w:t>
      </w:r>
      <w:r>
        <w:rPr>
          <w:spacing w:val="-17"/>
        </w:rPr>
        <w:t> </w:t>
      </w:r>
      <w:r>
        <w:rPr/>
        <w:t>es</w:t>
      </w:r>
      <w:r>
        <w:rPr>
          <w:spacing w:val="-15"/>
        </w:rPr>
        <w:t> </w:t>
      </w:r>
      <w:r>
        <w:rPr/>
        <w:t>lo</w:t>
      </w:r>
      <w:r>
        <w:rPr>
          <w:spacing w:val="-17"/>
        </w:rPr>
        <w:t> </w:t>
      </w:r>
      <w:r>
        <w:rPr/>
        <w:t>que</w:t>
      </w:r>
      <w:r>
        <w:rPr>
          <w:spacing w:val="-13"/>
        </w:rPr>
        <w:t> </w:t>
      </w:r>
      <w:r>
        <w:rPr>
          <w:spacing w:val="-2"/>
        </w:rPr>
        <w:t>más </w:t>
      </w:r>
      <w:r>
        <w:rPr/>
        <w:t>contribuye al bienestar: la educación, el cuidado del medio ambiente, la cultura cívica,</w:t>
      </w:r>
      <w:r>
        <w:rPr>
          <w:spacing w:val="-4"/>
        </w:rPr>
        <w:t> </w:t>
      </w:r>
      <w:r>
        <w:rPr/>
        <w:t>la</w:t>
      </w:r>
      <w:r>
        <w:rPr>
          <w:spacing w:val="-7"/>
        </w:rPr>
        <w:t> </w:t>
      </w:r>
      <w:r>
        <w:rPr/>
        <w:t>salud,</w:t>
      </w:r>
      <w:r>
        <w:rPr>
          <w:spacing w:val="-5"/>
        </w:rPr>
        <w:t> </w:t>
      </w:r>
      <w:r>
        <w:rPr/>
        <w:t>la</w:t>
      </w:r>
      <w:r>
        <w:rPr>
          <w:spacing w:val="-7"/>
        </w:rPr>
        <w:t> </w:t>
      </w:r>
      <w:r>
        <w:rPr/>
        <w:t>satisfacción</w:t>
      </w:r>
      <w:r>
        <w:rPr>
          <w:spacing w:val="-7"/>
        </w:rPr>
        <w:t> </w:t>
      </w:r>
      <w:r>
        <w:rPr/>
        <w:t>de</w:t>
      </w:r>
      <w:r>
        <w:rPr>
          <w:spacing w:val="-7"/>
        </w:rPr>
        <w:t> </w:t>
      </w:r>
      <w:r>
        <w:rPr/>
        <w:t>la</w:t>
      </w:r>
      <w:r>
        <w:rPr>
          <w:spacing w:val="-7"/>
        </w:rPr>
        <w:t> </w:t>
      </w:r>
      <w:r>
        <w:rPr/>
        <w:t>vida,</w:t>
      </w:r>
      <w:r>
        <w:rPr>
          <w:spacing w:val="-5"/>
        </w:rPr>
        <w:t> </w:t>
      </w:r>
      <w:r>
        <w:rPr/>
        <w:t>la</w:t>
      </w:r>
      <w:r>
        <w:rPr>
          <w:spacing w:val="-6"/>
        </w:rPr>
        <w:t> </w:t>
      </w:r>
      <w:r>
        <w:rPr/>
        <w:t>seguridad, y</w:t>
      </w:r>
      <w:r>
        <w:rPr>
          <w:spacing w:val="-9"/>
        </w:rPr>
        <w:t> </w:t>
      </w:r>
      <w:r>
        <w:rPr/>
        <w:t>el</w:t>
      </w:r>
      <w:r>
        <w:rPr>
          <w:spacing w:val="-6"/>
        </w:rPr>
        <w:t> </w:t>
      </w:r>
      <w:r>
        <w:rPr/>
        <w:t>equilibrio</w:t>
      </w:r>
      <w:r>
        <w:rPr>
          <w:spacing w:val="-7"/>
        </w:rPr>
        <w:t> </w:t>
      </w:r>
      <w:r>
        <w:rPr/>
        <w:t>entre</w:t>
      </w:r>
      <w:r>
        <w:rPr>
          <w:spacing w:val="-7"/>
        </w:rPr>
        <w:t> </w:t>
      </w:r>
      <w:r>
        <w:rPr/>
        <w:t>trabajo</w:t>
      </w:r>
      <w:r>
        <w:rPr>
          <w:spacing w:val="-4"/>
        </w:rPr>
        <w:t> </w:t>
      </w:r>
      <w:r>
        <w:rPr/>
        <w:t>y recreación, entre</w:t>
      </w:r>
      <w:r>
        <w:rPr>
          <w:spacing w:val="-17"/>
        </w:rPr>
        <w:t> </w:t>
      </w:r>
      <w:r>
        <w:rPr/>
        <w:t>otros.</w:t>
      </w:r>
    </w:p>
    <w:p>
      <w:pPr>
        <w:pStyle w:val="BodyText"/>
        <w:spacing w:line="360" w:lineRule="auto" w:before="6"/>
        <w:ind w:left="100" w:right="114" w:firstLine="708"/>
        <w:jc w:val="both"/>
      </w:pPr>
      <w:r>
        <w:rPr/>
        <w:t>Los</w:t>
      </w:r>
      <w:r>
        <w:rPr>
          <w:spacing w:val="-7"/>
        </w:rPr>
        <w:t> </w:t>
      </w:r>
      <w:r>
        <w:rPr/>
        <w:t>datos</w:t>
      </w:r>
      <w:r>
        <w:rPr>
          <w:spacing w:val="-7"/>
        </w:rPr>
        <w:t> </w:t>
      </w:r>
      <w:r>
        <w:rPr/>
        <w:t>presentados</w:t>
      </w:r>
      <w:r>
        <w:rPr>
          <w:spacing w:val="-7"/>
        </w:rPr>
        <w:t> </w:t>
      </w:r>
      <w:r>
        <w:rPr/>
        <w:t>en</w:t>
      </w:r>
      <w:r>
        <w:rPr>
          <w:spacing w:val="-5"/>
        </w:rPr>
        <w:t> </w:t>
      </w:r>
      <w:r>
        <w:rPr/>
        <w:t>marzo</w:t>
      </w:r>
      <w:r>
        <w:rPr>
          <w:spacing w:val="-9"/>
        </w:rPr>
        <w:t> </w:t>
      </w:r>
      <w:r>
        <w:rPr/>
        <w:t>de</w:t>
      </w:r>
      <w:r>
        <w:rPr>
          <w:spacing w:val="-9"/>
        </w:rPr>
        <w:t> </w:t>
      </w:r>
      <w:r>
        <w:rPr/>
        <w:t>2013</w:t>
      </w:r>
      <w:r>
        <w:rPr>
          <w:spacing w:val="-9"/>
        </w:rPr>
        <w:t> </w:t>
      </w:r>
      <w:r>
        <w:rPr/>
        <w:t>corresponden</w:t>
      </w:r>
      <w:r>
        <w:rPr>
          <w:spacing w:val="-9"/>
        </w:rPr>
        <w:t> </w:t>
      </w:r>
      <w:r>
        <w:rPr/>
        <w:t>al</w:t>
      </w:r>
      <w:r>
        <w:rPr>
          <w:spacing w:val="-8"/>
        </w:rPr>
        <w:t> </w:t>
      </w:r>
      <w:r>
        <w:rPr/>
        <w:t>año</w:t>
      </w:r>
      <w:r>
        <w:rPr>
          <w:spacing w:val="-8"/>
        </w:rPr>
        <w:t> </w:t>
      </w:r>
      <w:r>
        <w:rPr/>
        <w:t>2012.</w:t>
      </w:r>
      <w:r>
        <w:rPr>
          <w:spacing w:val="-6"/>
        </w:rPr>
        <w:t> </w:t>
      </w:r>
      <w:r>
        <w:rPr/>
        <w:t>Debido a</w:t>
      </w:r>
      <w:r>
        <w:rPr>
          <w:spacing w:val="-8"/>
        </w:rPr>
        <w:t> </w:t>
      </w:r>
      <w:r>
        <w:rPr/>
        <w:t>la</w:t>
      </w:r>
      <w:r>
        <w:rPr>
          <w:spacing w:val="-8"/>
        </w:rPr>
        <w:t> </w:t>
      </w:r>
      <w:r>
        <w:rPr/>
        <w:t>diversidad</w:t>
      </w:r>
      <w:r>
        <w:rPr>
          <w:spacing w:val="-8"/>
        </w:rPr>
        <w:t> </w:t>
      </w:r>
      <w:r>
        <w:rPr/>
        <w:t>de</w:t>
      </w:r>
      <w:r>
        <w:rPr>
          <w:spacing w:val="-7"/>
        </w:rPr>
        <w:t> </w:t>
      </w:r>
      <w:r>
        <w:rPr/>
        <w:t>unidades</w:t>
      </w:r>
      <w:r>
        <w:rPr>
          <w:spacing w:val="-6"/>
        </w:rPr>
        <w:t> </w:t>
      </w:r>
      <w:r>
        <w:rPr/>
        <w:t>de</w:t>
      </w:r>
      <w:r>
        <w:rPr>
          <w:spacing w:val="-8"/>
        </w:rPr>
        <w:t> </w:t>
      </w:r>
      <w:r>
        <w:rPr/>
        <w:t>medida</w:t>
      </w:r>
      <w:r>
        <w:rPr>
          <w:spacing w:val="-4"/>
        </w:rPr>
        <w:t> </w:t>
      </w:r>
      <w:r>
        <w:rPr/>
        <w:t>de</w:t>
      </w:r>
      <w:r>
        <w:rPr>
          <w:spacing w:val="-8"/>
        </w:rPr>
        <w:t> </w:t>
      </w:r>
      <w:r>
        <w:rPr/>
        <w:t>las</w:t>
      </w:r>
      <w:r>
        <w:rPr>
          <w:spacing w:val="-6"/>
        </w:rPr>
        <w:t> </w:t>
      </w:r>
      <w:r>
        <w:rPr/>
        <w:t>variables,</w:t>
      </w:r>
      <w:r>
        <w:rPr>
          <w:spacing w:val="-5"/>
        </w:rPr>
        <w:t> </w:t>
      </w:r>
      <w:r>
        <w:rPr/>
        <w:t>se</w:t>
      </w:r>
      <w:r>
        <w:rPr>
          <w:spacing w:val="-8"/>
        </w:rPr>
        <w:t> </w:t>
      </w:r>
      <w:r>
        <w:rPr/>
        <w:t>procedió</w:t>
      </w:r>
      <w:r>
        <w:rPr>
          <w:spacing w:val="-8"/>
        </w:rPr>
        <w:t> </w:t>
      </w:r>
      <w:r>
        <w:rPr/>
        <w:t>a</w:t>
      </w:r>
      <w:r>
        <w:rPr>
          <w:spacing w:val="-8"/>
        </w:rPr>
        <w:t> </w:t>
      </w:r>
      <w:r>
        <w:rPr/>
        <w:t>determinar</w:t>
      </w:r>
      <w:r>
        <w:rPr>
          <w:spacing w:val="-6"/>
        </w:rPr>
        <w:t> </w:t>
      </w:r>
      <w:r>
        <w:rPr/>
        <w:t>la posición de los 34 países integrantes de la OCDE en cada variable, por lo que valores cercanos a 1 indican una mejor vida y valores próximos a 34 los mayores rezagos en calidad de</w:t>
      </w:r>
      <w:r>
        <w:rPr>
          <w:spacing w:val="-16"/>
        </w:rPr>
        <w:t> </w:t>
      </w:r>
      <w:r>
        <w:rPr/>
        <w:t>vida.</w:t>
      </w:r>
    </w:p>
    <w:p>
      <w:pPr>
        <w:pStyle w:val="BodyText"/>
        <w:spacing w:line="360" w:lineRule="auto" w:before="2"/>
        <w:ind w:left="100" w:right="122" w:firstLine="427"/>
        <w:jc w:val="both"/>
      </w:pPr>
      <w:r>
        <w:rPr/>
        <w:t>De</w:t>
      </w:r>
      <w:r>
        <w:rPr>
          <w:spacing w:val="-8"/>
        </w:rPr>
        <w:t> </w:t>
      </w:r>
      <w:r>
        <w:rPr/>
        <w:t>acuerdo</w:t>
      </w:r>
      <w:r>
        <w:rPr>
          <w:spacing w:val="-8"/>
        </w:rPr>
        <w:t> </w:t>
      </w:r>
      <w:r>
        <w:rPr/>
        <w:t>con</w:t>
      </w:r>
      <w:r>
        <w:rPr>
          <w:spacing w:val="-8"/>
        </w:rPr>
        <w:t> </w:t>
      </w:r>
      <w:r>
        <w:rPr/>
        <w:t>la</w:t>
      </w:r>
      <w:r>
        <w:rPr>
          <w:spacing w:val="-8"/>
        </w:rPr>
        <w:t> </w:t>
      </w:r>
      <w:r>
        <w:rPr/>
        <w:t>selección</w:t>
      </w:r>
      <w:r>
        <w:rPr>
          <w:spacing w:val="-8"/>
        </w:rPr>
        <w:t> </w:t>
      </w:r>
      <w:r>
        <w:rPr/>
        <w:t>de</w:t>
      </w:r>
      <w:r>
        <w:rPr>
          <w:spacing w:val="-8"/>
        </w:rPr>
        <w:t> </w:t>
      </w:r>
      <w:r>
        <w:rPr/>
        <w:t>países,</w:t>
      </w:r>
      <w:r>
        <w:rPr>
          <w:spacing w:val="-6"/>
        </w:rPr>
        <w:t> </w:t>
      </w:r>
      <w:r>
        <w:rPr/>
        <w:t>Estados</w:t>
      </w:r>
      <w:r>
        <w:rPr>
          <w:spacing w:val="-6"/>
        </w:rPr>
        <w:t> </w:t>
      </w:r>
      <w:r>
        <w:rPr/>
        <w:t>Unidos</w:t>
      </w:r>
      <w:r>
        <w:rPr>
          <w:spacing w:val="-6"/>
        </w:rPr>
        <w:t> </w:t>
      </w:r>
      <w:r>
        <w:rPr/>
        <w:t>es</w:t>
      </w:r>
      <w:r>
        <w:rPr>
          <w:spacing w:val="-6"/>
        </w:rPr>
        <w:t> </w:t>
      </w:r>
      <w:r>
        <w:rPr/>
        <w:t>el</w:t>
      </w:r>
      <w:r>
        <w:rPr>
          <w:spacing w:val="-7"/>
        </w:rPr>
        <w:t> </w:t>
      </w:r>
      <w:r>
        <w:rPr/>
        <w:t>país</w:t>
      </w:r>
      <w:r>
        <w:rPr>
          <w:spacing w:val="-6"/>
        </w:rPr>
        <w:t> </w:t>
      </w:r>
      <w:r>
        <w:rPr/>
        <w:t>con</w:t>
      </w:r>
      <w:r>
        <w:rPr>
          <w:spacing w:val="-8"/>
        </w:rPr>
        <w:t> </w:t>
      </w:r>
      <w:r>
        <w:rPr/>
        <w:t>la</w:t>
      </w:r>
      <w:r>
        <w:rPr>
          <w:spacing w:val="-5"/>
        </w:rPr>
        <w:t> </w:t>
      </w:r>
      <w:r>
        <w:rPr/>
        <w:t>mayor satisfacción de la vida (posición 12), donde 7 de las 23 variables presentan las mejores posiciones y sólo como las más</w:t>
      </w:r>
      <w:r>
        <w:rPr>
          <w:spacing w:val="-22"/>
        </w:rPr>
        <w:t> </w:t>
      </w:r>
      <w:r>
        <w:rPr/>
        <w:t>bajas.</w:t>
      </w:r>
    </w:p>
    <w:p>
      <w:pPr>
        <w:pStyle w:val="BodyText"/>
        <w:spacing w:line="360" w:lineRule="auto" w:before="6"/>
        <w:ind w:left="100" w:right="120" w:firstLine="424"/>
        <w:jc w:val="both"/>
      </w:pPr>
      <w:r>
        <w:rPr/>
        <w:t>México es el país con la segunda mejor posición (19), sin embargo, sus resultados no son concluyentes, ya que, en 16 de los 22 indicadores evaluados, la nación ocupó las últimas posiciones. Entre las variables con las posiciones </w:t>
      </w:r>
      <w:r>
        <w:rPr>
          <w:spacing w:val="-2"/>
        </w:rPr>
        <w:t>más </w:t>
      </w:r>
      <w:r>
        <w:rPr/>
        <w:t>bajas se encuentran: la tasa de homicidios, tasa de agresión y/o ataques, habilidades de los estudiantes en lectura, matemáticas y ciencias, ingresos por persona, años de educación, contaminación del aire, participación electoral, nivel educativo</w:t>
      </w:r>
      <w:r>
        <w:rPr>
          <w:spacing w:val="-22"/>
        </w:rPr>
        <w:t> </w:t>
      </w:r>
      <w:r>
        <w:rPr/>
        <w:t>(bachillerato)</w:t>
      </w:r>
      <w:r>
        <w:rPr>
          <w:spacing w:val="-20"/>
        </w:rPr>
        <w:t> </w:t>
      </w:r>
      <w:r>
        <w:rPr/>
        <w:t>y</w:t>
      </w:r>
      <w:r>
        <w:rPr>
          <w:spacing w:val="-20"/>
        </w:rPr>
        <w:t> </w:t>
      </w:r>
      <w:r>
        <w:rPr/>
        <w:t>esperanza</w:t>
      </w:r>
      <w:r>
        <w:rPr>
          <w:spacing w:val="-18"/>
        </w:rPr>
        <w:t> </w:t>
      </w:r>
      <w:r>
        <w:rPr/>
        <w:t>de</w:t>
      </w:r>
      <w:r>
        <w:rPr>
          <w:spacing w:val="-22"/>
        </w:rPr>
        <w:t> </w:t>
      </w:r>
      <w:r>
        <w:rPr/>
        <w:t>vida.</w:t>
      </w:r>
      <w:r>
        <w:rPr>
          <w:spacing w:val="-19"/>
        </w:rPr>
        <w:t> </w:t>
      </w:r>
      <w:r>
        <w:rPr/>
        <w:t>Las</w:t>
      </w:r>
      <w:r>
        <w:rPr>
          <w:spacing w:val="-20"/>
        </w:rPr>
        <w:t> </w:t>
      </w:r>
      <w:r>
        <w:rPr/>
        <w:t>variables</w:t>
      </w:r>
      <w:r>
        <w:rPr>
          <w:spacing w:val="-20"/>
        </w:rPr>
        <w:t> </w:t>
      </w:r>
      <w:r>
        <w:rPr/>
        <w:t>mejor</w:t>
      </w:r>
      <w:r>
        <w:rPr>
          <w:spacing w:val="-16"/>
        </w:rPr>
        <w:t> </w:t>
      </w:r>
      <w:r>
        <w:rPr/>
        <w:t>evaluadas</w:t>
      </w:r>
      <w:r>
        <w:rPr>
          <w:spacing w:val="-16"/>
        </w:rPr>
        <w:t> </w:t>
      </w:r>
      <w:r>
        <w:rPr/>
        <w:t>en</w:t>
      </w:r>
      <w:r>
        <w:rPr>
          <w:spacing w:val="-22"/>
        </w:rPr>
        <w:t> </w:t>
      </w:r>
      <w:r>
        <w:rPr/>
        <w:t>2012 para México es la tasa de desempleo a largo plazo y la seguridad</w:t>
      </w:r>
      <w:r>
        <w:rPr>
          <w:spacing w:val="-35"/>
        </w:rPr>
        <w:t> </w:t>
      </w:r>
      <w:r>
        <w:rPr/>
        <w:t>laboral.</w:t>
      </w:r>
    </w:p>
    <w:p>
      <w:pPr>
        <w:spacing w:after="0" w:line="360" w:lineRule="auto"/>
        <w:jc w:val="both"/>
        <w:sectPr>
          <w:footerReference w:type="default" r:id="rId77"/>
          <w:pgSz w:w="12240" w:h="15840"/>
          <w:pgMar w:footer="998" w:header="0" w:top="1360" w:bottom="1180" w:left="1600" w:right="1580"/>
        </w:sectPr>
      </w:pPr>
    </w:p>
    <w:p>
      <w:pPr>
        <w:pStyle w:val="BodyText"/>
        <w:spacing w:line="360" w:lineRule="auto" w:before="55"/>
        <w:ind w:left="100" w:right="123" w:firstLine="424"/>
        <w:jc w:val="both"/>
        <w:rPr>
          <w:i/>
        </w:rPr>
      </w:pPr>
      <w:r>
        <w:rPr/>
        <w:t>El resultado del indicador educación es congruente con el resultado del indicador 11 del Barómetro Global de la Corrupción “sistema educativo” y segundo “seguridad”, con “efectividad gubernamental” del indicador líder </w:t>
      </w:r>
      <w:r>
        <w:rPr>
          <w:i/>
        </w:rPr>
        <w:t>Indicadores </w:t>
      </w:r>
      <w:r>
        <w:rPr>
          <w:i/>
        </w:rPr>
        <w:t>Mundiales de Gobernabilidad.</w:t>
      </w:r>
    </w:p>
    <w:p>
      <w:pPr>
        <w:pStyle w:val="BodyText"/>
        <w:rPr>
          <w:i/>
        </w:rPr>
      </w:pPr>
    </w:p>
    <w:p>
      <w:pPr>
        <w:pStyle w:val="BodyText"/>
        <w:rPr>
          <w:i/>
        </w:rPr>
      </w:pPr>
    </w:p>
    <w:p>
      <w:pPr>
        <w:spacing w:before="180"/>
        <w:ind w:left="2741" w:right="132" w:firstLine="0"/>
        <w:jc w:val="left"/>
        <w:rPr>
          <w:sz w:val="20"/>
        </w:rPr>
      </w:pPr>
      <w:bookmarkStart w:name="_bookmark38" w:id="51"/>
      <w:bookmarkEnd w:id="51"/>
      <w:r>
        <w:rPr/>
      </w:r>
      <w:r>
        <w:rPr>
          <w:sz w:val="20"/>
        </w:rPr>
        <w:t>Cuadro 1.13. Índice de mejor vida, 2013</w:t>
      </w:r>
    </w:p>
    <w:p>
      <w:pPr>
        <w:pStyle w:val="BodyText"/>
        <w:spacing w:before="6"/>
        <w:rPr>
          <w:sz w:val="18"/>
        </w:rPr>
      </w:pPr>
    </w:p>
    <w:tbl>
      <w:tblPr>
        <w:tblW w:w="0" w:type="auto"/>
        <w:jc w:val="left"/>
        <w:tblInd w:w="1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80"/>
        <w:gridCol w:w="2733"/>
        <w:gridCol w:w="552"/>
        <w:gridCol w:w="777"/>
        <w:gridCol w:w="1240"/>
        <w:gridCol w:w="976"/>
        <w:gridCol w:w="817"/>
      </w:tblGrid>
      <w:tr>
        <w:trPr>
          <w:trHeight w:val="322" w:hRule="exact"/>
        </w:trPr>
        <w:tc>
          <w:tcPr>
            <w:tcW w:w="4414" w:type="dxa"/>
            <w:gridSpan w:val="2"/>
            <w:vMerge w:val="restart"/>
            <w:shd w:val="clear" w:color="auto" w:fill="000000"/>
          </w:tcPr>
          <w:p>
            <w:pPr>
              <w:pStyle w:val="TableParagraph"/>
              <w:spacing w:before="8"/>
              <w:rPr>
                <w:sz w:val="17"/>
              </w:rPr>
            </w:pPr>
          </w:p>
          <w:p>
            <w:pPr>
              <w:pStyle w:val="TableParagraph"/>
              <w:spacing w:before="1"/>
              <w:ind w:left="2340" w:right="1632"/>
              <w:jc w:val="center"/>
              <w:rPr>
                <w:sz w:val="20"/>
              </w:rPr>
            </w:pPr>
            <w:r>
              <w:rPr>
                <w:color w:val="FFFFFF"/>
                <w:sz w:val="20"/>
              </w:rPr>
              <w:t>País</w:t>
            </w:r>
          </w:p>
        </w:tc>
        <w:tc>
          <w:tcPr>
            <w:tcW w:w="4362" w:type="dxa"/>
            <w:gridSpan w:val="5"/>
            <w:tcBorders>
              <w:bottom w:val="single" w:sz="5" w:space="0" w:color="FFFFFF"/>
            </w:tcBorders>
            <w:shd w:val="clear" w:color="auto" w:fill="000000"/>
          </w:tcPr>
          <w:p>
            <w:pPr>
              <w:pStyle w:val="TableParagraph"/>
              <w:spacing w:before="40"/>
              <w:ind w:left="1785" w:right="1780"/>
              <w:jc w:val="center"/>
              <w:rPr>
                <w:sz w:val="20"/>
              </w:rPr>
            </w:pPr>
            <w:r>
              <w:rPr>
                <w:color w:val="FFFFFF"/>
                <w:sz w:val="20"/>
              </w:rPr>
              <w:t>Posición</w:t>
            </w:r>
          </w:p>
        </w:tc>
      </w:tr>
      <w:tr>
        <w:trPr>
          <w:trHeight w:val="318" w:hRule="exact"/>
        </w:trPr>
        <w:tc>
          <w:tcPr>
            <w:tcW w:w="4414" w:type="dxa"/>
            <w:gridSpan w:val="2"/>
            <w:vMerge/>
            <w:shd w:val="clear" w:color="auto" w:fill="000000"/>
          </w:tcPr>
          <w:p>
            <w:pPr/>
          </w:p>
        </w:tc>
        <w:tc>
          <w:tcPr>
            <w:tcW w:w="552" w:type="dxa"/>
            <w:tcBorders>
              <w:top w:val="single" w:sz="5" w:space="0" w:color="FFFFFF"/>
            </w:tcBorders>
            <w:shd w:val="clear" w:color="auto" w:fill="000000"/>
          </w:tcPr>
          <w:p>
            <w:pPr>
              <w:pStyle w:val="TableParagraph"/>
              <w:spacing w:before="36"/>
              <w:ind w:left="50" w:right="49"/>
              <w:jc w:val="center"/>
              <w:rPr>
                <w:sz w:val="20"/>
              </w:rPr>
            </w:pPr>
            <w:r>
              <w:rPr>
                <w:color w:val="FFFFFF"/>
                <w:sz w:val="20"/>
              </w:rPr>
              <w:t>EUA</w:t>
            </w:r>
          </w:p>
        </w:tc>
        <w:tc>
          <w:tcPr>
            <w:tcW w:w="777" w:type="dxa"/>
            <w:tcBorders>
              <w:top w:val="single" w:sz="5" w:space="0" w:color="FFFFFF"/>
            </w:tcBorders>
            <w:shd w:val="clear" w:color="auto" w:fill="000000"/>
          </w:tcPr>
          <w:p>
            <w:pPr>
              <w:pStyle w:val="TableParagraph"/>
              <w:spacing w:before="36"/>
              <w:ind w:left="51" w:right="52"/>
              <w:jc w:val="center"/>
              <w:rPr>
                <w:sz w:val="20"/>
              </w:rPr>
            </w:pPr>
            <w:r>
              <w:rPr>
                <w:color w:val="FFFFFF"/>
                <w:sz w:val="20"/>
              </w:rPr>
              <w:t>México</w:t>
            </w:r>
          </w:p>
        </w:tc>
        <w:tc>
          <w:tcPr>
            <w:tcW w:w="1240" w:type="dxa"/>
            <w:tcBorders>
              <w:top w:val="single" w:sz="5" w:space="0" w:color="FFFFFF"/>
            </w:tcBorders>
            <w:shd w:val="clear" w:color="auto" w:fill="000000"/>
          </w:tcPr>
          <w:p>
            <w:pPr>
              <w:pStyle w:val="TableParagraph"/>
              <w:spacing w:before="36"/>
              <w:ind w:left="52" w:right="46"/>
              <w:jc w:val="center"/>
              <w:rPr>
                <w:sz w:val="20"/>
              </w:rPr>
            </w:pPr>
            <w:r>
              <w:rPr>
                <w:color w:val="FFFFFF"/>
                <w:sz w:val="20"/>
              </w:rPr>
              <w:t>Reino Unido</w:t>
            </w:r>
          </w:p>
        </w:tc>
        <w:tc>
          <w:tcPr>
            <w:tcW w:w="976" w:type="dxa"/>
            <w:tcBorders>
              <w:top w:val="single" w:sz="5" w:space="0" w:color="FFFFFF"/>
            </w:tcBorders>
            <w:shd w:val="clear" w:color="auto" w:fill="000000"/>
          </w:tcPr>
          <w:p>
            <w:pPr>
              <w:pStyle w:val="TableParagraph"/>
              <w:spacing w:before="36"/>
              <w:ind w:left="52" w:right="50"/>
              <w:jc w:val="center"/>
              <w:rPr>
                <w:sz w:val="20"/>
              </w:rPr>
            </w:pPr>
            <w:r>
              <w:rPr>
                <w:color w:val="FFFFFF"/>
                <w:sz w:val="20"/>
              </w:rPr>
              <w:t>Alemania</w:t>
            </w:r>
          </w:p>
        </w:tc>
        <w:tc>
          <w:tcPr>
            <w:tcW w:w="817" w:type="dxa"/>
            <w:tcBorders>
              <w:top w:val="single" w:sz="5" w:space="0" w:color="FFFFFF"/>
            </w:tcBorders>
            <w:shd w:val="clear" w:color="auto" w:fill="000000"/>
          </w:tcPr>
          <w:p>
            <w:pPr>
              <w:pStyle w:val="TableParagraph"/>
              <w:spacing w:before="36"/>
              <w:ind w:left="49" w:right="49"/>
              <w:jc w:val="center"/>
              <w:rPr>
                <w:sz w:val="20"/>
              </w:rPr>
            </w:pPr>
            <w:r>
              <w:rPr>
                <w:color w:val="FFFFFF"/>
                <w:sz w:val="20"/>
              </w:rPr>
              <w:t>España</w:t>
            </w:r>
          </w:p>
        </w:tc>
      </w:tr>
      <w:tr>
        <w:trPr>
          <w:trHeight w:val="104" w:hRule="exact"/>
        </w:trPr>
        <w:tc>
          <w:tcPr>
            <w:tcW w:w="4414" w:type="dxa"/>
            <w:gridSpan w:val="2"/>
            <w:tcBorders>
              <w:left w:val="single" w:sz="3" w:space="0" w:color="000000"/>
              <w:right w:val="single" w:sz="3" w:space="0" w:color="000000"/>
            </w:tcBorders>
          </w:tcPr>
          <w:p>
            <w:pPr>
              <w:pStyle w:val="TableParagraph"/>
              <w:spacing w:line="100" w:lineRule="exact"/>
              <w:ind w:left="1672"/>
              <w:rPr>
                <w:sz w:val="10"/>
              </w:rPr>
            </w:pPr>
            <w:r>
              <w:rPr>
                <w:position w:val="-1"/>
                <w:sz w:val="10"/>
              </w:rPr>
              <w:pict>
                <v:group style="width:.4pt;height:5pt;mso-position-horizontal-relative:char;mso-position-vertical-relative:line" coordorigin="0,0" coordsize="8,100">
                  <v:line style="position:absolute" from="4,4" to="4,96" stroked="true" strokeweight=".39999pt" strokecolor="#000000"/>
                </v:group>
              </w:pict>
            </w:r>
            <w:r>
              <w:rPr>
                <w:position w:val="-1"/>
                <w:sz w:val="10"/>
              </w:rPr>
            </w:r>
          </w:p>
        </w:tc>
        <w:tc>
          <w:tcPr>
            <w:tcW w:w="552" w:type="dxa"/>
            <w:tcBorders>
              <w:left w:val="single" w:sz="3" w:space="0" w:color="000000"/>
              <w:right w:val="single" w:sz="3" w:space="0" w:color="000000"/>
            </w:tcBorders>
          </w:tcPr>
          <w:p>
            <w:pPr/>
          </w:p>
        </w:tc>
        <w:tc>
          <w:tcPr>
            <w:tcW w:w="777" w:type="dxa"/>
            <w:tcBorders>
              <w:left w:val="single" w:sz="3" w:space="0" w:color="000000"/>
              <w:right w:val="single" w:sz="3" w:space="0" w:color="000000"/>
            </w:tcBorders>
          </w:tcPr>
          <w:p>
            <w:pPr/>
          </w:p>
        </w:tc>
        <w:tc>
          <w:tcPr>
            <w:tcW w:w="1240" w:type="dxa"/>
            <w:tcBorders>
              <w:left w:val="single" w:sz="3" w:space="0" w:color="000000"/>
              <w:right w:val="single" w:sz="3" w:space="0" w:color="000000"/>
            </w:tcBorders>
          </w:tcPr>
          <w:p>
            <w:pPr/>
          </w:p>
        </w:tc>
        <w:tc>
          <w:tcPr>
            <w:tcW w:w="976" w:type="dxa"/>
            <w:tcBorders>
              <w:left w:val="single" w:sz="3" w:space="0" w:color="000000"/>
              <w:right w:val="single" w:sz="3" w:space="0" w:color="000000"/>
            </w:tcBorders>
          </w:tcPr>
          <w:p>
            <w:pPr/>
          </w:p>
        </w:tc>
        <w:tc>
          <w:tcPr>
            <w:tcW w:w="817" w:type="dxa"/>
            <w:tcBorders>
              <w:left w:val="single" w:sz="3" w:space="0" w:color="000000"/>
              <w:right w:val="single" w:sz="3" w:space="0" w:color="000000"/>
            </w:tcBorders>
          </w:tcPr>
          <w:p>
            <w:pPr/>
          </w:p>
        </w:tc>
      </w:tr>
      <w:tr>
        <w:trPr>
          <w:trHeight w:val="301" w:hRule="exact"/>
        </w:trPr>
        <w:tc>
          <w:tcPr>
            <w:tcW w:w="4414" w:type="dxa"/>
            <w:gridSpan w:val="2"/>
            <w:shd w:val="clear" w:color="auto" w:fill="000000"/>
          </w:tcPr>
          <w:p>
            <w:pPr>
              <w:pStyle w:val="TableParagraph"/>
              <w:spacing w:before="24"/>
              <w:ind w:left="575"/>
              <w:rPr>
                <w:b/>
                <w:sz w:val="20"/>
              </w:rPr>
            </w:pPr>
            <w:r>
              <w:rPr>
                <w:b/>
                <w:color w:val="FFFFFF"/>
                <w:sz w:val="20"/>
              </w:rPr>
              <w:t>Satisfacción de la vida</w:t>
            </w:r>
          </w:p>
        </w:tc>
        <w:tc>
          <w:tcPr>
            <w:tcW w:w="552" w:type="dxa"/>
            <w:shd w:val="clear" w:color="auto" w:fill="000000"/>
          </w:tcPr>
          <w:p>
            <w:pPr>
              <w:pStyle w:val="TableParagraph"/>
              <w:spacing w:before="24"/>
              <w:ind w:left="49" w:right="49"/>
              <w:jc w:val="center"/>
              <w:rPr>
                <w:b/>
                <w:sz w:val="20"/>
              </w:rPr>
            </w:pPr>
            <w:r>
              <w:rPr>
                <w:b/>
                <w:color w:val="FFFFFF"/>
                <w:sz w:val="20"/>
              </w:rPr>
              <w:t>12</w:t>
            </w:r>
          </w:p>
        </w:tc>
        <w:tc>
          <w:tcPr>
            <w:tcW w:w="777" w:type="dxa"/>
            <w:shd w:val="clear" w:color="auto" w:fill="000000"/>
          </w:tcPr>
          <w:p>
            <w:pPr>
              <w:pStyle w:val="TableParagraph"/>
              <w:spacing w:before="24"/>
              <w:ind w:left="51" w:right="51"/>
              <w:jc w:val="center"/>
              <w:rPr>
                <w:b/>
                <w:sz w:val="20"/>
              </w:rPr>
            </w:pPr>
            <w:r>
              <w:rPr>
                <w:b/>
                <w:color w:val="FFFFFF"/>
                <w:sz w:val="20"/>
              </w:rPr>
              <w:t>19</w:t>
            </w:r>
          </w:p>
        </w:tc>
        <w:tc>
          <w:tcPr>
            <w:tcW w:w="1240" w:type="dxa"/>
            <w:shd w:val="clear" w:color="auto" w:fill="000000"/>
          </w:tcPr>
          <w:p>
            <w:pPr>
              <w:pStyle w:val="TableParagraph"/>
              <w:spacing w:before="24"/>
              <w:ind w:left="46" w:right="46"/>
              <w:jc w:val="center"/>
              <w:rPr>
                <w:b/>
                <w:sz w:val="20"/>
              </w:rPr>
            </w:pPr>
            <w:r>
              <w:rPr>
                <w:b/>
                <w:color w:val="FFFFFF"/>
                <w:sz w:val="20"/>
              </w:rPr>
              <w:t>20</w:t>
            </w:r>
          </w:p>
        </w:tc>
        <w:tc>
          <w:tcPr>
            <w:tcW w:w="976" w:type="dxa"/>
            <w:shd w:val="clear" w:color="auto" w:fill="000000"/>
          </w:tcPr>
          <w:p>
            <w:pPr>
              <w:pStyle w:val="TableParagraph"/>
              <w:spacing w:before="24"/>
              <w:ind w:left="50" w:right="50"/>
              <w:jc w:val="center"/>
              <w:rPr>
                <w:b/>
                <w:sz w:val="20"/>
              </w:rPr>
            </w:pPr>
            <w:r>
              <w:rPr>
                <w:b/>
                <w:color w:val="FFFFFF"/>
                <w:sz w:val="20"/>
              </w:rPr>
              <w:t>21</w:t>
            </w:r>
          </w:p>
        </w:tc>
        <w:tc>
          <w:tcPr>
            <w:tcW w:w="817" w:type="dxa"/>
            <w:shd w:val="clear" w:color="auto" w:fill="000000"/>
          </w:tcPr>
          <w:p>
            <w:pPr>
              <w:pStyle w:val="TableParagraph"/>
              <w:spacing w:before="24"/>
              <w:ind w:left="49" w:right="49"/>
              <w:jc w:val="center"/>
              <w:rPr>
                <w:b/>
                <w:sz w:val="20"/>
              </w:rPr>
            </w:pPr>
            <w:r>
              <w:rPr>
                <w:b/>
                <w:color w:val="FFFFFF"/>
                <w:sz w:val="20"/>
              </w:rPr>
              <w:t>23</w:t>
            </w:r>
          </w:p>
        </w:tc>
      </w:tr>
      <w:tr>
        <w:trPr>
          <w:trHeight w:val="244" w:hRule="exact"/>
        </w:trPr>
        <w:tc>
          <w:tcPr>
            <w:tcW w:w="1680" w:type="dxa"/>
            <w:tcBorders>
              <w:left w:val="single" w:sz="3" w:space="0" w:color="000000"/>
              <w:bottom w:val="single" w:sz="3" w:space="0" w:color="000000"/>
              <w:right w:val="single" w:sz="3" w:space="0" w:color="000000"/>
            </w:tcBorders>
          </w:tcPr>
          <w:p>
            <w:pPr/>
          </w:p>
        </w:tc>
        <w:tc>
          <w:tcPr>
            <w:tcW w:w="2733" w:type="dxa"/>
            <w:tcBorders>
              <w:left w:val="single" w:sz="3" w:space="0" w:color="000000"/>
              <w:bottom w:val="single" w:sz="3" w:space="0" w:color="000000"/>
              <w:right w:val="single" w:sz="3" w:space="0" w:color="000000"/>
            </w:tcBorders>
          </w:tcPr>
          <w:p>
            <w:pPr/>
          </w:p>
        </w:tc>
        <w:tc>
          <w:tcPr>
            <w:tcW w:w="552" w:type="dxa"/>
            <w:tcBorders>
              <w:left w:val="single" w:sz="3" w:space="0" w:color="000000"/>
              <w:bottom w:val="single" w:sz="3" w:space="0" w:color="000000"/>
              <w:right w:val="single" w:sz="3" w:space="0" w:color="000000"/>
            </w:tcBorders>
          </w:tcPr>
          <w:p>
            <w:pPr/>
          </w:p>
        </w:tc>
        <w:tc>
          <w:tcPr>
            <w:tcW w:w="777" w:type="dxa"/>
            <w:tcBorders>
              <w:left w:val="single" w:sz="3" w:space="0" w:color="000000"/>
              <w:bottom w:val="single" w:sz="3" w:space="0" w:color="000000"/>
              <w:right w:val="single" w:sz="3" w:space="0" w:color="000000"/>
            </w:tcBorders>
          </w:tcPr>
          <w:p>
            <w:pPr/>
          </w:p>
        </w:tc>
        <w:tc>
          <w:tcPr>
            <w:tcW w:w="1240" w:type="dxa"/>
            <w:tcBorders>
              <w:left w:val="single" w:sz="3" w:space="0" w:color="000000"/>
              <w:bottom w:val="single" w:sz="3" w:space="0" w:color="000000"/>
              <w:right w:val="single" w:sz="3" w:space="0" w:color="000000"/>
            </w:tcBorders>
          </w:tcPr>
          <w:p>
            <w:pPr/>
          </w:p>
        </w:tc>
        <w:tc>
          <w:tcPr>
            <w:tcW w:w="976" w:type="dxa"/>
            <w:tcBorders>
              <w:left w:val="single" w:sz="3" w:space="0" w:color="000000"/>
              <w:bottom w:val="single" w:sz="3" w:space="0" w:color="000000"/>
              <w:right w:val="single" w:sz="3" w:space="0" w:color="000000"/>
            </w:tcBorders>
          </w:tcPr>
          <w:p>
            <w:pPr/>
          </w:p>
        </w:tc>
        <w:tc>
          <w:tcPr>
            <w:tcW w:w="817" w:type="dxa"/>
            <w:tcBorders>
              <w:left w:val="single" w:sz="3" w:space="0" w:color="000000"/>
              <w:bottom w:val="single" w:sz="3" w:space="0" w:color="000000"/>
              <w:right w:val="single" w:sz="3" w:space="0" w:color="000000"/>
            </w:tcBorders>
          </w:tcPr>
          <w:p>
            <w:pPr/>
          </w:p>
        </w:tc>
      </w:tr>
      <w:tr>
        <w:trPr>
          <w:trHeight w:val="468" w:hRule="exact"/>
        </w:trPr>
        <w:tc>
          <w:tcPr>
            <w:tcW w:w="1680" w:type="dxa"/>
            <w:vMerge w:val="restart"/>
            <w:tcBorders>
              <w:top w:val="single" w:sz="3" w:space="0" w:color="000000"/>
              <w:left w:val="single" w:sz="3" w:space="0" w:color="000000"/>
              <w:right w:val="single" w:sz="3" w:space="0" w:color="000000"/>
            </w:tcBorders>
          </w:tcPr>
          <w:p>
            <w:pPr>
              <w:pStyle w:val="TableParagraph"/>
              <w:rPr>
                <w:sz w:val="20"/>
              </w:rPr>
            </w:pPr>
          </w:p>
          <w:p>
            <w:pPr>
              <w:pStyle w:val="TableParagraph"/>
              <w:spacing w:before="134"/>
              <w:ind w:left="503" w:right="151"/>
              <w:rPr>
                <w:sz w:val="20"/>
              </w:rPr>
            </w:pPr>
            <w:r>
              <w:rPr>
                <w:sz w:val="20"/>
              </w:rPr>
              <w:t>Ingreso</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line="242" w:lineRule="auto"/>
              <w:ind w:left="68" w:right="257"/>
              <w:rPr>
                <w:sz w:val="20"/>
              </w:rPr>
            </w:pPr>
            <w:r>
              <w:rPr>
                <w:sz w:val="20"/>
              </w:rPr>
              <w:t>Ingreso de los hogares (en dólares)</w:t>
            </w:r>
          </w:p>
        </w:tc>
        <w:tc>
          <w:tcPr>
            <w:tcW w:w="552"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112"/>
              <w:jc w:val="center"/>
              <w:rPr>
                <w:sz w:val="20"/>
              </w:rPr>
            </w:pPr>
            <w:r>
              <w:rPr>
                <w:w w:val="99"/>
                <w:sz w:val="20"/>
              </w:rPr>
              <w:t>1</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112"/>
              <w:ind w:left="201" w:right="201"/>
              <w:jc w:val="center"/>
              <w:rPr>
                <w:sz w:val="20"/>
              </w:rPr>
            </w:pPr>
            <w:r>
              <w:rPr>
                <w:sz w:val="20"/>
              </w:rPr>
              <w:t>30</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112"/>
              <w:ind w:left="484" w:right="484"/>
              <w:jc w:val="center"/>
              <w:rPr>
                <w:sz w:val="20"/>
              </w:rPr>
            </w:pPr>
            <w:r>
              <w:rPr>
                <w:sz w:val="20"/>
              </w:rPr>
              <w:t>12</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112"/>
              <w:jc w:val="center"/>
              <w:rPr>
                <w:sz w:val="20"/>
              </w:rPr>
            </w:pPr>
            <w:r>
              <w:rPr>
                <w:w w:val="99"/>
                <w:sz w:val="20"/>
              </w:rPr>
              <w:t>6</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112"/>
              <w:ind w:left="221" w:right="221"/>
              <w:jc w:val="center"/>
              <w:rPr>
                <w:sz w:val="20"/>
              </w:rPr>
            </w:pPr>
            <w:r>
              <w:rPr>
                <w:sz w:val="20"/>
              </w:rPr>
              <w:t>17</w:t>
            </w:r>
          </w:p>
        </w:tc>
      </w:tr>
      <w:tr>
        <w:trPr>
          <w:trHeight w:val="504" w:hRule="exact"/>
        </w:trPr>
        <w:tc>
          <w:tcPr>
            <w:tcW w:w="1680" w:type="dxa"/>
            <w:vMerge/>
            <w:tcBorders>
              <w:left w:val="single" w:sz="3" w:space="0" w:color="000000"/>
              <w:bottom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line="242" w:lineRule="auto" w:before="16"/>
              <w:ind w:left="68" w:right="391"/>
              <w:rPr>
                <w:sz w:val="20"/>
              </w:rPr>
            </w:pPr>
            <w:r>
              <w:rPr>
                <w:sz w:val="20"/>
              </w:rPr>
              <w:t>Riqueza financiera de los hogares (en dólares)</w:t>
            </w:r>
          </w:p>
        </w:tc>
        <w:tc>
          <w:tcPr>
            <w:tcW w:w="552"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132"/>
              <w:jc w:val="center"/>
              <w:rPr>
                <w:sz w:val="20"/>
              </w:rPr>
            </w:pPr>
            <w:r>
              <w:rPr>
                <w:w w:val="99"/>
                <w:sz w:val="20"/>
              </w:rPr>
              <w:t>1</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132"/>
              <w:ind w:left="201" w:right="201"/>
              <w:jc w:val="center"/>
              <w:rPr>
                <w:sz w:val="20"/>
              </w:rPr>
            </w:pPr>
            <w:r>
              <w:rPr>
                <w:sz w:val="20"/>
              </w:rPr>
              <w:t>27</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132"/>
              <w:jc w:val="center"/>
              <w:rPr>
                <w:sz w:val="20"/>
              </w:rPr>
            </w:pPr>
            <w:r>
              <w:rPr>
                <w:w w:val="99"/>
                <w:sz w:val="20"/>
              </w:rPr>
              <w:t>8</w:t>
            </w:r>
          </w:p>
        </w:tc>
        <w:tc>
          <w:tcPr>
            <w:tcW w:w="976" w:type="dxa"/>
            <w:tcBorders>
              <w:top w:val="single" w:sz="3" w:space="0" w:color="000000"/>
              <w:left w:val="single" w:sz="3" w:space="0" w:color="000000"/>
              <w:bottom w:val="single" w:sz="5" w:space="0" w:color="000000"/>
              <w:right w:val="single" w:sz="3" w:space="0" w:color="000000"/>
            </w:tcBorders>
          </w:tcPr>
          <w:p>
            <w:pPr>
              <w:pStyle w:val="TableParagraph"/>
              <w:spacing w:before="132"/>
              <w:ind w:left="352" w:right="352"/>
              <w:jc w:val="center"/>
              <w:rPr>
                <w:sz w:val="20"/>
              </w:rPr>
            </w:pPr>
            <w:r>
              <w:rPr>
                <w:sz w:val="20"/>
              </w:rPr>
              <w:t>13</w:t>
            </w:r>
          </w:p>
        </w:tc>
        <w:tc>
          <w:tcPr>
            <w:tcW w:w="817" w:type="dxa"/>
            <w:tcBorders>
              <w:top w:val="single" w:sz="3" w:space="0" w:color="000000"/>
              <w:left w:val="single" w:sz="3" w:space="0" w:color="000000"/>
              <w:bottom w:val="single" w:sz="5" w:space="0" w:color="000000"/>
              <w:right w:val="single" w:sz="3" w:space="0" w:color="000000"/>
            </w:tcBorders>
          </w:tcPr>
          <w:p>
            <w:pPr>
              <w:pStyle w:val="TableParagraph"/>
              <w:spacing w:before="132"/>
              <w:ind w:left="221" w:right="221"/>
              <w:jc w:val="center"/>
              <w:rPr>
                <w:sz w:val="20"/>
              </w:rPr>
            </w:pPr>
            <w:r>
              <w:rPr>
                <w:sz w:val="20"/>
              </w:rPr>
              <w:t>19</w:t>
            </w:r>
          </w:p>
        </w:tc>
      </w:tr>
      <w:tr>
        <w:trPr>
          <w:trHeight w:val="312" w:hRule="exact"/>
        </w:trPr>
        <w:tc>
          <w:tcPr>
            <w:tcW w:w="1680" w:type="dxa"/>
            <w:vMerge w:val="restart"/>
            <w:tcBorders>
              <w:top w:val="single" w:sz="3" w:space="0" w:color="000000"/>
              <w:left w:val="single" w:sz="3" w:space="0" w:color="000000"/>
              <w:right w:val="single" w:sz="3" w:space="0" w:color="000000"/>
            </w:tcBorders>
          </w:tcPr>
          <w:p>
            <w:pPr>
              <w:pStyle w:val="TableParagraph"/>
              <w:rPr>
                <w:sz w:val="20"/>
              </w:rPr>
            </w:pPr>
          </w:p>
          <w:p>
            <w:pPr>
              <w:pStyle w:val="TableParagraph"/>
              <w:rPr>
                <w:sz w:val="20"/>
              </w:rPr>
            </w:pPr>
          </w:p>
          <w:p>
            <w:pPr>
              <w:pStyle w:val="TableParagraph"/>
              <w:spacing w:before="10"/>
              <w:rPr>
                <w:sz w:val="18"/>
              </w:rPr>
            </w:pPr>
          </w:p>
          <w:p>
            <w:pPr>
              <w:pStyle w:val="TableParagraph"/>
              <w:ind w:left="495" w:right="151"/>
              <w:rPr>
                <w:sz w:val="20"/>
              </w:rPr>
            </w:pPr>
            <w:r>
              <w:rPr>
                <w:sz w:val="20"/>
              </w:rPr>
              <w:t>Empleo</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36"/>
              <w:ind w:left="68" w:right="257"/>
              <w:rPr>
                <w:sz w:val="20"/>
              </w:rPr>
            </w:pPr>
            <w:r>
              <w:rPr>
                <w:sz w:val="20"/>
              </w:rPr>
              <w:t>Índice de empleo (%)</w:t>
            </w:r>
          </w:p>
        </w:tc>
        <w:tc>
          <w:tcPr>
            <w:tcW w:w="552" w:type="dxa"/>
            <w:tcBorders>
              <w:top w:val="single" w:sz="3" w:space="0" w:color="000000"/>
              <w:left w:val="single" w:sz="3" w:space="0" w:color="000000"/>
              <w:bottom w:val="single" w:sz="5" w:space="0" w:color="000000"/>
              <w:right w:val="single" w:sz="3" w:space="0" w:color="000000"/>
            </w:tcBorders>
          </w:tcPr>
          <w:p>
            <w:pPr>
              <w:pStyle w:val="TableParagraph"/>
              <w:spacing w:before="36"/>
              <w:ind w:left="89" w:right="89"/>
              <w:jc w:val="center"/>
              <w:rPr>
                <w:sz w:val="20"/>
              </w:rPr>
            </w:pPr>
            <w:r>
              <w:rPr>
                <w:sz w:val="20"/>
              </w:rPr>
              <w:t>15</w:t>
            </w:r>
          </w:p>
        </w:tc>
        <w:tc>
          <w:tcPr>
            <w:tcW w:w="777" w:type="dxa"/>
            <w:tcBorders>
              <w:top w:val="single" w:sz="3" w:space="0" w:color="000000"/>
              <w:left w:val="single" w:sz="3" w:space="0" w:color="000000"/>
              <w:bottom w:val="single" w:sz="5" w:space="0" w:color="000000"/>
              <w:right w:val="single" w:sz="3" w:space="0" w:color="000000"/>
            </w:tcBorders>
          </w:tcPr>
          <w:p>
            <w:pPr>
              <w:pStyle w:val="TableParagraph"/>
              <w:spacing w:before="36"/>
              <w:ind w:left="201" w:right="201"/>
              <w:jc w:val="center"/>
              <w:rPr>
                <w:sz w:val="20"/>
              </w:rPr>
            </w:pPr>
            <w:r>
              <w:rPr>
                <w:sz w:val="20"/>
              </w:rPr>
              <w:t>27</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36"/>
              <w:ind w:left="484" w:right="484"/>
              <w:jc w:val="center"/>
              <w:rPr>
                <w:sz w:val="20"/>
              </w:rPr>
            </w:pPr>
            <w:r>
              <w:rPr>
                <w:sz w:val="20"/>
              </w:rPr>
              <w:t>13</w:t>
            </w:r>
          </w:p>
        </w:tc>
        <w:tc>
          <w:tcPr>
            <w:tcW w:w="976"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36"/>
              <w:ind w:left="352" w:right="352"/>
              <w:jc w:val="center"/>
              <w:rPr>
                <w:sz w:val="20"/>
              </w:rPr>
            </w:pPr>
            <w:r>
              <w:rPr>
                <w:sz w:val="20"/>
              </w:rPr>
              <w:t>11</w:t>
            </w:r>
          </w:p>
        </w:tc>
        <w:tc>
          <w:tcPr>
            <w:tcW w:w="81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36"/>
              <w:ind w:left="221" w:right="221"/>
              <w:jc w:val="center"/>
              <w:rPr>
                <w:sz w:val="20"/>
              </w:rPr>
            </w:pPr>
            <w:r>
              <w:rPr>
                <w:sz w:val="20"/>
              </w:rPr>
              <w:t>31</w:t>
            </w:r>
          </w:p>
        </w:tc>
      </w:tr>
      <w:tr>
        <w:trPr>
          <w:trHeight w:val="468" w:hRule="exact"/>
        </w:trPr>
        <w:tc>
          <w:tcPr>
            <w:tcW w:w="1680" w:type="dxa"/>
            <w:vMerge/>
            <w:tcBorders>
              <w:left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line="242" w:lineRule="auto"/>
              <w:ind w:left="68" w:right="746"/>
              <w:rPr>
                <w:sz w:val="20"/>
              </w:rPr>
            </w:pPr>
            <w:r>
              <w:rPr>
                <w:sz w:val="20"/>
              </w:rPr>
              <w:t>Ingresos por persona (dólares)</w:t>
            </w:r>
          </w:p>
        </w:tc>
        <w:tc>
          <w:tcPr>
            <w:tcW w:w="552"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112"/>
              <w:jc w:val="center"/>
              <w:rPr>
                <w:sz w:val="20"/>
              </w:rPr>
            </w:pPr>
            <w:r>
              <w:rPr>
                <w:w w:val="99"/>
                <w:sz w:val="20"/>
              </w:rPr>
              <w:t>1</w:t>
            </w:r>
          </w:p>
        </w:tc>
        <w:tc>
          <w:tcPr>
            <w:tcW w:w="777" w:type="dxa"/>
            <w:tcBorders>
              <w:top w:val="single" w:sz="3" w:space="0" w:color="000000"/>
              <w:left w:val="single" w:sz="3" w:space="0" w:color="000000"/>
              <w:bottom w:val="single" w:sz="5" w:space="0" w:color="000000"/>
              <w:right w:val="single" w:sz="3" w:space="0" w:color="000000"/>
            </w:tcBorders>
            <w:shd w:val="clear" w:color="auto" w:fill="FF0000"/>
          </w:tcPr>
          <w:p>
            <w:pPr>
              <w:pStyle w:val="TableParagraph"/>
              <w:spacing w:before="112"/>
              <w:ind w:left="201" w:right="201"/>
              <w:jc w:val="center"/>
              <w:rPr>
                <w:sz w:val="20"/>
              </w:rPr>
            </w:pPr>
            <w:r>
              <w:rPr>
                <w:sz w:val="20"/>
              </w:rPr>
              <w:t>34</w:t>
            </w:r>
          </w:p>
        </w:tc>
        <w:tc>
          <w:tcPr>
            <w:tcW w:w="1240" w:type="dxa"/>
            <w:tcBorders>
              <w:top w:val="single" w:sz="3" w:space="0" w:color="000000"/>
              <w:left w:val="single" w:sz="3" w:space="0" w:color="000000"/>
              <w:bottom w:val="single" w:sz="5" w:space="0" w:color="000000"/>
              <w:right w:val="single" w:sz="3" w:space="0" w:color="000000"/>
            </w:tcBorders>
          </w:tcPr>
          <w:p>
            <w:pPr>
              <w:pStyle w:val="TableParagraph"/>
              <w:spacing w:before="112"/>
              <w:jc w:val="center"/>
              <w:rPr>
                <w:sz w:val="20"/>
              </w:rPr>
            </w:pPr>
            <w:r>
              <w:rPr>
                <w:w w:val="99"/>
                <w:sz w:val="20"/>
              </w:rPr>
              <w:t>8</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112"/>
              <w:ind w:left="352" w:right="352"/>
              <w:jc w:val="center"/>
              <w:rPr>
                <w:sz w:val="20"/>
              </w:rPr>
            </w:pPr>
            <w:r>
              <w:rPr>
                <w:sz w:val="20"/>
              </w:rPr>
              <w:t>14</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112"/>
              <w:ind w:left="221" w:right="221"/>
              <w:jc w:val="center"/>
              <w:rPr>
                <w:sz w:val="20"/>
              </w:rPr>
            </w:pPr>
            <w:r>
              <w:rPr>
                <w:sz w:val="20"/>
              </w:rPr>
              <w:t>19</w:t>
            </w:r>
          </w:p>
        </w:tc>
      </w:tr>
      <w:tr>
        <w:trPr>
          <w:trHeight w:val="313" w:hRule="exact"/>
        </w:trPr>
        <w:tc>
          <w:tcPr>
            <w:tcW w:w="1680" w:type="dxa"/>
            <w:vMerge/>
            <w:tcBorders>
              <w:left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37"/>
              <w:ind w:left="68" w:right="257"/>
              <w:rPr>
                <w:sz w:val="20"/>
              </w:rPr>
            </w:pPr>
            <w:r>
              <w:rPr>
                <w:sz w:val="20"/>
              </w:rPr>
              <w:t>Seguridad laboral (%)</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37"/>
              <w:jc w:val="center"/>
              <w:rPr>
                <w:sz w:val="20"/>
              </w:rPr>
            </w:pPr>
            <w:r>
              <w:rPr>
                <w:w w:val="99"/>
                <w:sz w:val="20"/>
              </w:rPr>
              <w:t>9</w:t>
            </w:r>
          </w:p>
        </w:tc>
        <w:tc>
          <w:tcPr>
            <w:tcW w:w="777"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37"/>
              <w:ind w:right="1"/>
              <w:jc w:val="center"/>
              <w:rPr>
                <w:sz w:val="20"/>
              </w:rPr>
            </w:pPr>
            <w:r>
              <w:rPr>
                <w:w w:val="99"/>
                <w:sz w:val="20"/>
              </w:rPr>
              <w:t>3</w:t>
            </w:r>
          </w:p>
        </w:tc>
        <w:tc>
          <w:tcPr>
            <w:tcW w:w="1240"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37"/>
              <w:ind w:left="484" w:right="484"/>
              <w:jc w:val="center"/>
              <w:rPr>
                <w:sz w:val="20"/>
              </w:rPr>
            </w:pPr>
            <w:r>
              <w:rPr>
                <w:sz w:val="20"/>
              </w:rPr>
              <w:t>23</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37"/>
              <w:ind w:left="352" w:right="352"/>
              <w:jc w:val="center"/>
              <w:rPr>
                <w:sz w:val="20"/>
              </w:rPr>
            </w:pPr>
            <w:r>
              <w:rPr>
                <w:sz w:val="20"/>
              </w:rPr>
              <w:t>18</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37"/>
              <w:ind w:left="221" w:right="221"/>
              <w:jc w:val="center"/>
              <w:rPr>
                <w:sz w:val="20"/>
              </w:rPr>
            </w:pPr>
            <w:r>
              <w:rPr>
                <w:sz w:val="20"/>
              </w:rPr>
              <w:t>11</w:t>
            </w:r>
          </w:p>
        </w:tc>
      </w:tr>
      <w:tr>
        <w:trPr>
          <w:trHeight w:val="504" w:hRule="exact"/>
        </w:trPr>
        <w:tc>
          <w:tcPr>
            <w:tcW w:w="1680" w:type="dxa"/>
            <w:vMerge/>
            <w:tcBorders>
              <w:left w:val="single" w:sz="3" w:space="0" w:color="000000"/>
              <w:bottom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16"/>
              <w:ind w:left="68" w:right="157" w:firstLine="56"/>
              <w:rPr>
                <w:sz w:val="20"/>
              </w:rPr>
            </w:pPr>
            <w:r>
              <w:rPr>
                <w:sz w:val="20"/>
              </w:rPr>
              <w:t>Tasa de desempleo a largo plazo (%)</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132"/>
              <w:ind w:left="89" w:right="89"/>
              <w:jc w:val="center"/>
              <w:rPr>
                <w:sz w:val="20"/>
              </w:rPr>
            </w:pPr>
            <w:r>
              <w:rPr>
                <w:sz w:val="20"/>
              </w:rPr>
              <w:t>19</w:t>
            </w:r>
          </w:p>
        </w:tc>
        <w:tc>
          <w:tcPr>
            <w:tcW w:w="777"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132"/>
              <w:ind w:right="1"/>
              <w:jc w:val="center"/>
              <w:rPr>
                <w:sz w:val="20"/>
              </w:rPr>
            </w:pPr>
            <w:r>
              <w:rPr>
                <w:w w:val="99"/>
                <w:sz w:val="20"/>
              </w:rPr>
              <w:t>2</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132"/>
              <w:ind w:left="484" w:right="484"/>
              <w:jc w:val="center"/>
              <w:rPr>
                <w:sz w:val="20"/>
              </w:rPr>
            </w:pPr>
            <w:r>
              <w:rPr>
                <w:sz w:val="20"/>
              </w:rPr>
              <w:t>18</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132"/>
              <w:ind w:left="352" w:right="352"/>
              <w:jc w:val="center"/>
              <w:rPr>
                <w:sz w:val="20"/>
              </w:rPr>
            </w:pPr>
            <w:r>
              <w:rPr>
                <w:sz w:val="20"/>
              </w:rPr>
              <w:t>22</w:t>
            </w:r>
          </w:p>
        </w:tc>
        <w:tc>
          <w:tcPr>
            <w:tcW w:w="81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132"/>
              <w:ind w:left="221" w:right="221"/>
              <w:jc w:val="center"/>
              <w:rPr>
                <w:sz w:val="20"/>
              </w:rPr>
            </w:pPr>
            <w:r>
              <w:rPr>
                <w:sz w:val="20"/>
              </w:rPr>
              <w:t>33</w:t>
            </w:r>
          </w:p>
        </w:tc>
      </w:tr>
      <w:tr>
        <w:trPr>
          <w:trHeight w:val="472" w:hRule="exact"/>
        </w:trPr>
        <w:tc>
          <w:tcPr>
            <w:tcW w:w="1680" w:type="dxa"/>
            <w:vMerge w:val="restart"/>
            <w:tcBorders>
              <w:top w:val="single" w:sz="3" w:space="0" w:color="000000"/>
              <w:left w:val="single" w:sz="3" w:space="0" w:color="000000"/>
              <w:right w:val="single" w:sz="3" w:space="0" w:color="000000"/>
            </w:tcBorders>
          </w:tcPr>
          <w:p>
            <w:pPr>
              <w:pStyle w:val="TableParagraph"/>
              <w:rPr>
                <w:sz w:val="20"/>
              </w:rPr>
            </w:pPr>
          </w:p>
          <w:p>
            <w:pPr>
              <w:pStyle w:val="TableParagraph"/>
              <w:spacing w:before="9"/>
              <w:rPr>
                <w:sz w:val="23"/>
              </w:rPr>
            </w:pPr>
          </w:p>
          <w:p>
            <w:pPr>
              <w:pStyle w:val="TableParagraph"/>
              <w:spacing w:before="1"/>
              <w:ind w:left="451" w:right="151"/>
              <w:rPr>
                <w:sz w:val="20"/>
              </w:rPr>
            </w:pPr>
            <w:r>
              <w:rPr>
                <w:sz w:val="20"/>
              </w:rPr>
              <w:t>Vivienda</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ind w:left="68" w:right="524"/>
              <w:rPr>
                <w:sz w:val="20"/>
              </w:rPr>
            </w:pPr>
            <w:r>
              <w:rPr>
                <w:sz w:val="20"/>
              </w:rPr>
              <w:t>No. de habitaciones por persona</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112"/>
              <w:ind w:left="92" w:right="89"/>
              <w:jc w:val="center"/>
              <w:rPr>
                <w:sz w:val="20"/>
              </w:rPr>
            </w:pPr>
            <w:r>
              <w:rPr>
                <w:sz w:val="20"/>
              </w:rPr>
              <w:t>s.p.</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112"/>
              <w:ind w:left="201" w:right="201"/>
              <w:jc w:val="center"/>
              <w:rPr>
                <w:sz w:val="20"/>
              </w:rPr>
            </w:pPr>
            <w:r>
              <w:rPr>
                <w:sz w:val="20"/>
              </w:rPr>
              <w:t>28</w:t>
            </w:r>
          </w:p>
        </w:tc>
        <w:tc>
          <w:tcPr>
            <w:tcW w:w="1240" w:type="dxa"/>
            <w:tcBorders>
              <w:top w:val="single" w:sz="3" w:space="0" w:color="000000"/>
              <w:left w:val="single" w:sz="3" w:space="0" w:color="000000"/>
              <w:bottom w:val="single" w:sz="5" w:space="0" w:color="000000"/>
              <w:right w:val="single" w:sz="3" w:space="0" w:color="000000"/>
            </w:tcBorders>
          </w:tcPr>
          <w:p>
            <w:pPr>
              <w:pStyle w:val="TableParagraph"/>
              <w:spacing w:before="112"/>
              <w:ind w:left="484" w:right="484"/>
              <w:jc w:val="center"/>
              <w:rPr>
                <w:sz w:val="20"/>
              </w:rPr>
            </w:pPr>
            <w:r>
              <w:rPr>
                <w:sz w:val="20"/>
              </w:rPr>
              <w:t>14</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112"/>
              <w:ind w:left="352" w:right="352"/>
              <w:jc w:val="center"/>
              <w:rPr>
                <w:sz w:val="20"/>
              </w:rPr>
            </w:pPr>
            <w:r>
              <w:rPr>
                <w:sz w:val="20"/>
              </w:rPr>
              <w:t>10</w:t>
            </w:r>
          </w:p>
        </w:tc>
        <w:tc>
          <w:tcPr>
            <w:tcW w:w="817"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112"/>
              <w:ind w:right="1"/>
              <w:jc w:val="center"/>
              <w:rPr>
                <w:sz w:val="20"/>
              </w:rPr>
            </w:pPr>
            <w:r>
              <w:rPr>
                <w:w w:val="99"/>
                <w:sz w:val="20"/>
              </w:rPr>
              <w:t>8</w:t>
            </w:r>
          </w:p>
        </w:tc>
      </w:tr>
      <w:tr>
        <w:trPr>
          <w:trHeight w:val="308" w:hRule="exact"/>
        </w:trPr>
        <w:tc>
          <w:tcPr>
            <w:tcW w:w="1680" w:type="dxa"/>
            <w:vMerge/>
            <w:tcBorders>
              <w:left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32"/>
              <w:ind w:left="68"/>
              <w:rPr>
                <w:sz w:val="20"/>
              </w:rPr>
            </w:pPr>
            <w:r>
              <w:rPr>
                <w:sz w:val="20"/>
              </w:rPr>
              <w:t>Gastos en vivienda (dólares)</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32"/>
              <w:ind w:left="89" w:right="89"/>
              <w:jc w:val="center"/>
              <w:rPr>
                <w:sz w:val="20"/>
              </w:rPr>
            </w:pPr>
            <w:r>
              <w:rPr>
                <w:sz w:val="20"/>
              </w:rPr>
              <w:t>26</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32"/>
              <w:ind w:left="201" w:right="201"/>
              <w:jc w:val="center"/>
              <w:rPr>
                <w:sz w:val="20"/>
              </w:rPr>
            </w:pPr>
            <w:r>
              <w:rPr>
                <w:sz w:val="20"/>
              </w:rPr>
              <w:t>27</w:t>
            </w:r>
          </w:p>
        </w:tc>
        <w:tc>
          <w:tcPr>
            <w:tcW w:w="1240"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32"/>
              <w:ind w:left="484" w:right="484"/>
              <w:jc w:val="center"/>
              <w:rPr>
                <w:sz w:val="20"/>
              </w:rPr>
            </w:pPr>
            <w:r>
              <w:rPr>
                <w:sz w:val="20"/>
              </w:rPr>
              <w:t>14</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32"/>
              <w:ind w:left="352" w:right="352"/>
              <w:jc w:val="center"/>
              <w:rPr>
                <w:sz w:val="20"/>
              </w:rPr>
            </w:pPr>
            <w:r>
              <w:rPr>
                <w:sz w:val="20"/>
              </w:rPr>
              <w:t>16</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32"/>
              <w:ind w:left="221" w:right="221"/>
              <w:jc w:val="center"/>
              <w:rPr>
                <w:sz w:val="20"/>
              </w:rPr>
            </w:pPr>
            <w:r>
              <w:rPr>
                <w:sz w:val="20"/>
              </w:rPr>
              <w:t>25</w:t>
            </w:r>
          </w:p>
        </w:tc>
      </w:tr>
      <w:tr>
        <w:trPr>
          <w:trHeight w:val="472" w:hRule="exact"/>
        </w:trPr>
        <w:tc>
          <w:tcPr>
            <w:tcW w:w="1680" w:type="dxa"/>
            <w:vMerge/>
            <w:tcBorders>
              <w:left w:val="single" w:sz="3" w:space="0" w:color="000000"/>
              <w:bottom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ind w:left="68" w:right="558"/>
              <w:rPr>
                <w:sz w:val="20"/>
              </w:rPr>
            </w:pPr>
            <w:r>
              <w:rPr>
                <w:sz w:val="20"/>
              </w:rPr>
              <w:t>Viviendas con servicios básicos</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112"/>
              <w:jc w:val="center"/>
              <w:rPr>
                <w:sz w:val="20"/>
              </w:rPr>
            </w:pPr>
            <w:r>
              <w:rPr>
                <w:w w:val="99"/>
                <w:sz w:val="20"/>
              </w:rPr>
              <w:t>5</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112"/>
              <w:ind w:left="201" w:right="201"/>
              <w:jc w:val="center"/>
              <w:rPr>
                <w:sz w:val="20"/>
              </w:rPr>
            </w:pPr>
            <w:r>
              <w:rPr>
                <w:sz w:val="20"/>
              </w:rPr>
              <w:t>26</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112"/>
              <w:ind w:left="484" w:right="484"/>
              <w:jc w:val="center"/>
              <w:rPr>
                <w:sz w:val="20"/>
              </w:rPr>
            </w:pPr>
            <w:r>
              <w:rPr>
                <w:sz w:val="20"/>
              </w:rPr>
              <w:t>15</w:t>
            </w:r>
          </w:p>
        </w:tc>
        <w:tc>
          <w:tcPr>
            <w:tcW w:w="976" w:type="dxa"/>
            <w:tcBorders>
              <w:top w:val="single" w:sz="3" w:space="0" w:color="000000"/>
              <w:left w:val="single" w:sz="3" w:space="0" w:color="000000"/>
              <w:bottom w:val="single" w:sz="5" w:space="0" w:color="000000"/>
              <w:right w:val="single" w:sz="3" w:space="0" w:color="000000"/>
            </w:tcBorders>
          </w:tcPr>
          <w:p>
            <w:pPr>
              <w:pStyle w:val="TableParagraph"/>
              <w:spacing w:before="112"/>
              <w:ind w:left="352" w:right="352"/>
              <w:jc w:val="center"/>
              <w:rPr>
                <w:sz w:val="20"/>
              </w:rPr>
            </w:pPr>
            <w:r>
              <w:rPr>
                <w:sz w:val="20"/>
              </w:rPr>
              <w:t>22</w:t>
            </w:r>
          </w:p>
        </w:tc>
        <w:tc>
          <w:tcPr>
            <w:tcW w:w="817"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112"/>
              <w:ind w:right="1"/>
              <w:jc w:val="center"/>
              <w:rPr>
                <w:sz w:val="20"/>
              </w:rPr>
            </w:pPr>
            <w:r>
              <w:rPr>
                <w:w w:val="99"/>
                <w:sz w:val="20"/>
              </w:rPr>
              <w:t>3</w:t>
            </w:r>
          </w:p>
        </w:tc>
      </w:tr>
      <w:tr>
        <w:trPr>
          <w:trHeight w:val="488" w:hRule="exact"/>
        </w:trPr>
        <w:tc>
          <w:tcPr>
            <w:tcW w:w="1680" w:type="dxa"/>
            <w:vMerge w:val="restart"/>
            <w:tcBorders>
              <w:top w:val="single" w:sz="3" w:space="0" w:color="000000"/>
              <w:left w:val="single" w:sz="3" w:space="0" w:color="000000"/>
              <w:right w:val="single" w:sz="3" w:space="0" w:color="000000"/>
            </w:tcBorders>
          </w:tcPr>
          <w:p>
            <w:pPr>
              <w:pStyle w:val="TableParagraph"/>
              <w:spacing w:before="7"/>
              <w:rPr>
                <w:sz w:val="22"/>
              </w:rPr>
            </w:pPr>
          </w:p>
          <w:p>
            <w:pPr>
              <w:pStyle w:val="TableParagraph"/>
              <w:spacing w:before="1"/>
              <w:ind w:left="244" w:right="151" w:hanging="77"/>
              <w:rPr>
                <w:sz w:val="20"/>
              </w:rPr>
            </w:pPr>
            <w:r>
              <w:rPr>
                <w:sz w:val="20"/>
              </w:rPr>
              <w:t>Equilibrio entre trabajo y vida</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9"/>
              <w:ind w:left="68" w:right="658"/>
              <w:rPr>
                <w:sz w:val="20"/>
              </w:rPr>
            </w:pPr>
            <w:r>
              <w:rPr>
                <w:sz w:val="20"/>
              </w:rPr>
              <w:t>Empleados con largas jornadas laborales</w:t>
            </w:r>
          </w:p>
        </w:tc>
        <w:tc>
          <w:tcPr>
            <w:tcW w:w="552" w:type="dxa"/>
            <w:tcBorders>
              <w:top w:val="single" w:sz="3" w:space="0" w:color="000000"/>
              <w:left w:val="single" w:sz="3" w:space="0" w:color="000000"/>
              <w:bottom w:val="single" w:sz="5" w:space="0" w:color="000000"/>
              <w:right w:val="single" w:sz="3" w:space="0" w:color="000000"/>
            </w:tcBorders>
          </w:tcPr>
          <w:p>
            <w:pPr>
              <w:pStyle w:val="TableParagraph"/>
              <w:spacing w:before="121"/>
              <w:ind w:left="89" w:right="89"/>
              <w:jc w:val="center"/>
              <w:rPr>
                <w:sz w:val="20"/>
              </w:rPr>
            </w:pPr>
            <w:r>
              <w:rPr>
                <w:sz w:val="20"/>
              </w:rPr>
              <w:t>25</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121"/>
              <w:ind w:left="201" w:right="201"/>
              <w:jc w:val="center"/>
              <w:rPr>
                <w:sz w:val="20"/>
              </w:rPr>
            </w:pPr>
            <w:r>
              <w:rPr>
                <w:sz w:val="20"/>
              </w:rPr>
              <w:t>30</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121"/>
              <w:ind w:left="484" w:right="484"/>
              <w:jc w:val="center"/>
              <w:rPr>
                <w:sz w:val="20"/>
              </w:rPr>
            </w:pPr>
            <w:r>
              <w:rPr>
                <w:sz w:val="20"/>
              </w:rPr>
              <w:t>26</w:t>
            </w:r>
          </w:p>
        </w:tc>
        <w:tc>
          <w:tcPr>
            <w:tcW w:w="976"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121"/>
              <w:ind w:left="352" w:right="352"/>
              <w:jc w:val="center"/>
              <w:rPr>
                <w:sz w:val="20"/>
              </w:rPr>
            </w:pPr>
            <w:r>
              <w:rPr>
                <w:sz w:val="20"/>
              </w:rPr>
              <w:t>13</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121"/>
              <w:ind w:left="221" w:right="221"/>
              <w:jc w:val="center"/>
              <w:rPr>
                <w:sz w:val="20"/>
              </w:rPr>
            </w:pPr>
            <w:r>
              <w:rPr>
                <w:sz w:val="20"/>
              </w:rPr>
              <w:t>19</w:t>
            </w:r>
          </w:p>
        </w:tc>
      </w:tr>
      <w:tr>
        <w:trPr>
          <w:trHeight w:val="504" w:hRule="exact"/>
        </w:trPr>
        <w:tc>
          <w:tcPr>
            <w:tcW w:w="1680" w:type="dxa"/>
            <w:vMerge/>
            <w:tcBorders>
              <w:left w:val="single" w:sz="3" w:space="0" w:color="000000"/>
              <w:bottom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16"/>
              <w:ind w:left="68" w:right="102"/>
              <w:rPr>
                <w:sz w:val="20"/>
              </w:rPr>
            </w:pPr>
            <w:r>
              <w:rPr>
                <w:sz w:val="20"/>
              </w:rPr>
              <w:t>Tiempo dedicado al ocio y al cuidado personal</w:t>
            </w:r>
          </w:p>
        </w:tc>
        <w:tc>
          <w:tcPr>
            <w:tcW w:w="552"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132"/>
              <w:ind w:left="89" w:right="89"/>
              <w:jc w:val="center"/>
              <w:rPr>
                <w:sz w:val="20"/>
              </w:rPr>
            </w:pPr>
            <w:r>
              <w:rPr>
                <w:sz w:val="20"/>
              </w:rPr>
              <w:t>17</w:t>
            </w:r>
          </w:p>
        </w:tc>
        <w:tc>
          <w:tcPr>
            <w:tcW w:w="777" w:type="dxa"/>
            <w:tcBorders>
              <w:top w:val="single" w:sz="3" w:space="0" w:color="000000"/>
              <w:left w:val="single" w:sz="3" w:space="0" w:color="000000"/>
              <w:bottom w:val="single" w:sz="3" w:space="0" w:color="000000"/>
              <w:right w:val="single" w:sz="3" w:space="0" w:color="000000"/>
            </w:tcBorders>
          </w:tcPr>
          <w:p>
            <w:pPr>
              <w:pStyle w:val="TableParagraph"/>
              <w:spacing w:before="132"/>
              <w:ind w:left="201" w:right="204"/>
              <w:jc w:val="center"/>
              <w:rPr>
                <w:sz w:val="20"/>
              </w:rPr>
            </w:pPr>
            <w:r>
              <w:rPr>
                <w:sz w:val="20"/>
              </w:rPr>
              <w:t>s.p.</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132"/>
              <w:ind w:left="484" w:right="484"/>
              <w:jc w:val="center"/>
              <w:rPr>
                <w:sz w:val="20"/>
              </w:rPr>
            </w:pPr>
            <w:r>
              <w:rPr>
                <w:sz w:val="20"/>
              </w:rPr>
              <w:t>11</w:t>
            </w:r>
          </w:p>
        </w:tc>
        <w:tc>
          <w:tcPr>
            <w:tcW w:w="976"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132"/>
              <w:jc w:val="center"/>
              <w:rPr>
                <w:sz w:val="20"/>
              </w:rPr>
            </w:pPr>
            <w:r>
              <w:rPr>
                <w:w w:val="99"/>
                <w:sz w:val="20"/>
              </w:rPr>
              <w:t>6</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132"/>
              <w:ind w:left="221" w:right="224"/>
              <w:jc w:val="center"/>
              <w:rPr>
                <w:sz w:val="20"/>
              </w:rPr>
            </w:pPr>
            <w:r>
              <w:rPr>
                <w:sz w:val="20"/>
              </w:rPr>
              <w:t>s.p.</w:t>
            </w:r>
          </w:p>
        </w:tc>
      </w:tr>
      <w:tr>
        <w:trPr>
          <w:trHeight w:val="312" w:hRule="exact"/>
        </w:trPr>
        <w:tc>
          <w:tcPr>
            <w:tcW w:w="1680" w:type="dxa"/>
            <w:vMerge w:val="restart"/>
            <w:tcBorders>
              <w:top w:val="single" w:sz="3" w:space="0" w:color="000000"/>
              <w:left w:val="single" w:sz="3" w:space="0" w:color="000000"/>
              <w:right w:val="single" w:sz="3" w:space="0" w:color="000000"/>
            </w:tcBorders>
          </w:tcPr>
          <w:p>
            <w:pPr>
              <w:pStyle w:val="TableParagraph"/>
              <w:rPr>
                <w:sz w:val="17"/>
              </w:rPr>
            </w:pPr>
          </w:p>
          <w:p>
            <w:pPr>
              <w:pStyle w:val="TableParagraph"/>
              <w:ind w:left="543" w:right="542"/>
              <w:jc w:val="center"/>
              <w:rPr>
                <w:sz w:val="20"/>
              </w:rPr>
            </w:pPr>
            <w:r>
              <w:rPr>
                <w:sz w:val="20"/>
              </w:rPr>
              <w:t>Salud</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36"/>
              <w:ind w:left="68" w:right="257"/>
              <w:rPr>
                <w:sz w:val="20"/>
              </w:rPr>
            </w:pPr>
            <w:r>
              <w:rPr>
                <w:sz w:val="20"/>
              </w:rPr>
              <w:t>Esperanza de vida</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36"/>
              <w:ind w:left="89" w:right="89"/>
              <w:jc w:val="center"/>
              <w:rPr>
                <w:sz w:val="20"/>
              </w:rPr>
            </w:pPr>
            <w:r>
              <w:rPr>
                <w:sz w:val="20"/>
              </w:rPr>
              <w:t>27</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36"/>
              <w:ind w:left="201" w:right="201"/>
              <w:jc w:val="center"/>
              <w:rPr>
                <w:sz w:val="20"/>
              </w:rPr>
            </w:pPr>
            <w:r>
              <w:rPr>
                <w:sz w:val="20"/>
              </w:rPr>
              <w:t>31</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36"/>
              <w:ind w:left="484" w:right="484"/>
              <w:jc w:val="center"/>
              <w:rPr>
                <w:sz w:val="20"/>
              </w:rPr>
            </w:pPr>
            <w:r>
              <w:rPr>
                <w:sz w:val="20"/>
              </w:rPr>
              <w:t>20</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36"/>
              <w:ind w:left="352" w:right="352"/>
              <w:jc w:val="center"/>
              <w:rPr>
                <w:sz w:val="20"/>
              </w:rPr>
            </w:pPr>
            <w:r>
              <w:rPr>
                <w:sz w:val="20"/>
              </w:rPr>
              <w:t>19</w:t>
            </w:r>
          </w:p>
        </w:tc>
        <w:tc>
          <w:tcPr>
            <w:tcW w:w="817"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36"/>
              <w:ind w:right="1"/>
              <w:jc w:val="center"/>
              <w:rPr>
                <w:sz w:val="20"/>
              </w:rPr>
            </w:pPr>
            <w:r>
              <w:rPr>
                <w:w w:val="99"/>
                <w:sz w:val="20"/>
              </w:rPr>
              <w:t>3</w:t>
            </w:r>
          </w:p>
        </w:tc>
      </w:tr>
      <w:tr>
        <w:trPr>
          <w:trHeight w:val="324" w:hRule="exact"/>
        </w:trPr>
        <w:tc>
          <w:tcPr>
            <w:tcW w:w="1680" w:type="dxa"/>
            <w:vMerge/>
            <w:tcBorders>
              <w:left w:val="single" w:sz="3" w:space="0" w:color="000000"/>
              <w:bottom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40"/>
              <w:ind w:left="68" w:right="257"/>
              <w:rPr>
                <w:sz w:val="20"/>
              </w:rPr>
            </w:pPr>
            <w:r>
              <w:rPr>
                <w:sz w:val="20"/>
              </w:rPr>
              <w:t>Comunicados de salud</w:t>
            </w:r>
          </w:p>
        </w:tc>
        <w:tc>
          <w:tcPr>
            <w:tcW w:w="552"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40"/>
              <w:jc w:val="center"/>
              <w:rPr>
                <w:sz w:val="20"/>
              </w:rPr>
            </w:pPr>
            <w:r>
              <w:rPr>
                <w:w w:val="99"/>
                <w:sz w:val="20"/>
              </w:rPr>
              <w:t>2</w:t>
            </w:r>
          </w:p>
        </w:tc>
        <w:tc>
          <w:tcPr>
            <w:tcW w:w="777" w:type="dxa"/>
            <w:tcBorders>
              <w:top w:val="single" w:sz="3" w:space="0" w:color="000000"/>
              <w:left w:val="single" w:sz="3" w:space="0" w:color="000000"/>
              <w:bottom w:val="single" w:sz="5" w:space="0" w:color="000000"/>
              <w:right w:val="single" w:sz="3" w:space="0" w:color="000000"/>
            </w:tcBorders>
          </w:tcPr>
          <w:p>
            <w:pPr>
              <w:pStyle w:val="TableParagraph"/>
              <w:spacing w:before="40"/>
              <w:ind w:left="201" w:right="201"/>
              <w:jc w:val="center"/>
              <w:rPr>
                <w:sz w:val="20"/>
              </w:rPr>
            </w:pPr>
            <w:r>
              <w:rPr>
                <w:sz w:val="20"/>
              </w:rPr>
              <w:t>23</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40"/>
              <w:ind w:left="484" w:right="484"/>
              <w:jc w:val="center"/>
              <w:rPr>
                <w:sz w:val="20"/>
              </w:rPr>
            </w:pPr>
            <w:r>
              <w:rPr>
                <w:sz w:val="20"/>
              </w:rPr>
              <w:t>14</w:t>
            </w:r>
          </w:p>
        </w:tc>
        <w:tc>
          <w:tcPr>
            <w:tcW w:w="976"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40"/>
              <w:ind w:left="352" w:right="352"/>
              <w:jc w:val="center"/>
              <w:rPr>
                <w:sz w:val="20"/>
              </w:rPr>
            </w:pPr>
            <w:r>
              <w:rPr>
                <w:sz w:val="20"/>
              </w:rPr>
              <w:t>25</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40"/>
              <w:ind w:left="221" w:right="221"/>
              <w:jc w:val="center"/>
              <w:rPr>
                <w:sz w:val="20"/>
              </w:rPr>
            </w:pPr>
            <w:r>
              <w:rPr>
                <w:sz w:val="20"/>
              </w:rPr>
              <w:t>16</w:t>
            </w:r>
          </w:p>
        </w:tc>
      </w:tr>
      <w:tr>
        <w:trPr>
          <w:trHeight w:val="312" w:hRule="exact"/>
        </w:trPr>
        <w:tc>
          <w:tcPr>
            <w:tcW w:w="1680" w:type="dxa"/>
            <w:vMerge w:val="restart"/>
            <w:tcBorders>
              <w:top w:val="single" w:sz="3" w:space="0" w:color="000000"/>
              <w:left w:val="single" w:sz="3" w:space="0" w:color="000000"/>
              <w:right w:val="single" w:sz="3" w:space="0" w:color="000000"/>
            </w:tcBorders>
          </w:tcPr>
          <w:p>
            <w:pPr>
              <w:pStyle w:val="TableParagraph"/>
              <w:rPr>
                <w:sz w:val="20"/>
              </w:rPr>
            </w:pPr>
          </w:p>
          <w:p>
            <w:pPr>
              <w:pStyle w:val="TableParagraph"/>
              <w:rPr>
                <w:sz w:val="27"/>
              </w:rPr>
            </w:pPr>
          </w:p>
          <w:p>
            <w:pPr>
              <w:pStyle w:val="TableParagraph"/>
              <w:ind w:left="372" w:right="151"/>
              <w:rPr>
                <w:sz w:val="20"/>
              </w:rPr>
            </w:pPr>
            <w:r>
              <w:rPr>
                <w:sz w:val="20"/>
              </w:rPr>
              <w:t>Educación</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32"/>
              <w:ind w:left="68"/>
              <w:rPr>
                <w:sz w:val="20"/>
              </w:rPr>
            </w:pPr>
            <w:r>
              <w:rPr>
                <w:sz w:val="20"/>
              </w:rPr>
              <w:t>Nivel educativo (bachillerato)</w:t>
            </w:r>
          </w:p>
        </w:tc>
        <w:tc>
          <w:tcPr>
            <w:tcW w:w="552"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32"/>
              <w:jc w:val="center"/>
              <w:rPr>
                <w:sz w:val="20"/>
              </w:rPr>
            </w:pPr>
            <w:r>
              <w:rPr>
                <w:w w:val="99"/>
                <w:sz w:val="20"/>
              </w:rPr>
              <w:t>4</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32"/>
              <w:ind w:left="201" w:right="201"/>
              <w:jc w:val="center"/>
              <w:rPr>
                <w:sz w:val="20"/>
              </w:rPr>
            </w:pPr>
            <w:r>
              <w:rPr>
                <w:sz w:val="20"/>
              </w:rPr>
              <w:t>31</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32"/>
              <w:ind w:left="484" w:right="484"/>
              <w:jc w:val="center"/>
              <w:rPr>
                <w:sz w:val="20"/>
              </w:rPr>
            </w:pPr>
            <w:r>
              <w:rPr>
                <w:sz w:val="20"/>
              </w:rPr>
              <w:t>19</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32"/>
              <w:jc w:val="center"/>
              <w:rPr>
                <w:sz w:val="20"/>
              </w:rPr>
            </w:pPr>
            <w:r>
              <w:rPr>
                <w:w w:val="99"/>
                <w:sz w:val="20"/>
              </w:rPr>
              <w:t>9</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32"/>
              <w:ind w:left="221" w:right="221"/>
              <w:jc w:val="center"/>
              <w:rPr>
                <w:sz w:val="20"/>
              </w:rPr>
            </w:pPr>
            <w:r>
              <w:rPr>
                <w:sz w:val="20"/>
              </w:rPr>
              <w:t>30</w:t>
            </w:r>
          </w:p>
        </w:tc>
      </w:tr>
      <w:tr>
        <w:trPr>
          <w:trHeight w:val="308" w:hRule="exact"/>
        </w:trPr>
        <w:tc>
          <w:tcPr>
            <w:tcW w:w="1680" w:type="dxa"/>
            <w:vMerge/>
            <w:tcBorders>
              <w:left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32"/>
              <w:ind w:left="68" w:right="257"/>
              <w:rPr>
                <w:sz w:val="20"/>
              </w:rPr>
            </w:pPr>
            <w:r>
              <w:rPr>
                <w:sz w:val="20"/>
              </w:rPr>
              <w:t>Años de educación</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32"/>
              <w:ind w:left="89" w:right="89"/>
              <w:jc w:val="center"/>
              <w:rPr>
                <w:sz w:val="20"/>
              </w:rPr>
            </w:pPr>
            <w:r>
              <w:rPr>
                <w:sz w:val="20"/>
              </w:rPr>
              <w:t>24</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32"/>
              <w:ind w:left="201" w:right="201"/>
              <w:jc w:val="center"/>
              <w:rPr>
                <w:sz w:val="20"/>
              </w:rPr>
            </w:pPr>
            <w:r>
              <w:rPr>
                <w:sz w:val="20"/>
              </w:rPr>
              <w:t>32</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32"/>
              <w:ind w:left="484" w:right="484"/>
              <w:jc w:val="center"/>
              <w:rPr>
                <w:sz w:val="20"/>
              </w:rPr>
            </w:pPr>
            <w:r>
              <w:rPr>
                <w:sz w:val="20"/>
              </w:rPr>
              <w:t>28</w:t>
            </w:r>
          </w:p>
        </w:tc>
        <w:tc>
          <w:tcPr>
            <w:tcW w:w="976"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32"/>
              <w:ind w:left="352" w:right="352"/>
              <w:jc w:val="center"/>
              <w:rPr>
                <w:sz w:val="20"/>
              </w:rPr>
            </w:pPr>
            <w:r>
              <w:rPr>
                <w:sz w:val="20"/>
              </w:rPr>
              <w:t>13</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32"/>
              <w:ind w:left="221" w:right="221"/>
              <w:jc w:val="center"/>
              <w:rPr>
                <w:sz w:val="20"/>
              </w:rPr>
            </w:pPr>
            <w:r>
              <w:rPr>
                <w:sz w:val="20"/>
              </w:rPr>
              <w:t>23</w:t>
            </w:r>
          </w:p>
        </w:tc>
      </w:tr>
      <w:tr>
        <w:trPr>
          <w:trHeight w:val="700" w:hRule="exact"/>
        </w:trPr>
        <w:tc>
          <w:tcPr>
            <w:tcW w:w="1680" w:type="dxa"/>
            <w:vMerge/>
            <w:tcBorders>
              <w:left w:val="single" w:sz="3" w:space="0" w:color="000000"/>
              <w:bottom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ind w:left="68" w:right="569"/>
              <w:rPr>
                <w:sz w:val="20"/>
              </w:rPr>
            </w:pPr>
            <w:r>
              <w:rPr>
                <w:sz w:val="20"/>
              </w:rPr>
              <w:t>Habilidades de los estudiantes en lectura, matemáticas y ciencias</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9"/>
              <w:rPr>
                <w:sz w:val="19"/>
              </w:rPr>
            </w:pPr>
          </w:p>
          <w:p>
            <w:pPr>
              <w:pStyle w:val="TableParagraph"/>
              <w:spacing w:before="1"/>
              <w:ind w:left="89" w:right="89"/>
              <w:jc w:val="center"/>
              <w:rPr>
                <w:sz w:val="20"/>
              </w:rPr>
            </w:pPr>
            <w:r>
              <w:rPr>
                <w:sz w:val="20"/>
              </w:rPr>
              <w:t>22</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9"/>
              <w:rPr>
                <w:sz w:val="19"/>
              </w:rPr>
            </w:pPr>
          </w:p>
          <w:p>
            <w:pPr>
              <w:pStyle w:val="TableParagraph"/>
              <w:spacing w:before="1"/>
              <w:ind w:left="201" w:right="201"/>
              <w:jc w:val="center"/>
              <w:rPr>
                <w:sz w:val="20"/>
              </w:rPr>
            </w:pPr>
            <w:r>
              <w:rPr>
                <w:sz w:val="20"/>
              </w:rPr>
              <w:t>34</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9"/>
              <w:rPr>
                <w:sz w:val="19"/>
              </w:rPr>
            </w:pPr>
          </w:p>
          <w:p>
            <w:pPr>
              <w:pStyle w:val="TableParagraph"/>
              <w:spacing w:before="1"/>
              <w:ind w:left="484" w:right="484"/>
              <w:jc w:val="center"/>
              <w:rPr>
                <w:sz w:val="20"/>
              </w:rPr>
            </w:pPr>
            <w:r>
              <w:rPr>
                <w:sz w:val="20"/>
              </w:rPr>
              <w:t>15</w:t>
            </w:r>
          </w:p>
        </w:tc>
        <w:tc>
          <w:tcPr>
            <w:tcW w:w="976"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9"/>
              <w:rPr>
                <w:sz w:val="19"/>
              </w:rPr>
            </w:pPr>
          </w:p>
          <w:p>
            <w:pPr>
              <w:pStyle w:val="TableParagraph"/>
              <w:spacing w:before="1"/>
              <w:ind w:left="352" w:right="352"/>
              <w:jc w:val="center"/>
              <w:rPr>
                <w:sz w:val="20"/>
              </w:rPr>
            </w:pPr>
            <w:r>
              <w:rPr>
                <w:sz w:val="20"/>
              </w:rPr>
              <w:t>10</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9"/>
              <w:rPr>
                <w:sz w:val="19"/>
              </w:rPr>
            </w:pPr>
          </w:p>
          <w:p>
            <w:pPr>
              <w:pStyle w:val="TableParagraph"/>
              <w:spacing w:before="1"/>
              <w:ind w:left="221" w:right="221"/>
              <w:jc w:val="center"/>
              <w:rPr>
                <w:sz w:val="20"/>
              </w:rPr>
            </w:pPr>
            <w:r>
              <w:rPr>
                <w:sz w:val="20"/>
              </w:rPr>
              <w:t>28</w:t>
            </w:r>
          </w:p>
        </w:tc>
      </w:tr>
      <w:tr>
        <w:trPr>
          <w:trHeight w:val="324" w:hRule="exact"/>
        </w:trPr>
        <w:tc>
          <w:tcPr>
            <w:tcW w:w="1680" w:type="dxa"/>
            <w:tcBorders>
              <w:top w:val="single" w:sz="3" w:space="0" w:color="000000"/>
              <w:left w:val="single" w:sz="3" w:space="0" w:color="000000"/>
              <w:bottom w:val="single" w:sz="3" w:space="0" w:color="000000"/>
              <w:right w:val="single" w:sz="3" w:space="0" w:color="000000"/>
            </w:tcBorders>
          </w:tcPr>
          <w:p>
            <w:pPr>
              <w:pStyle w:val="TableParagraph"/>
              <w:spacing w:before="40"/>
              <w:ind w:left="323" w:right="151"/>
              <w:rPr>
                <w:sz w:val="20"/>
              </w:rPr>
            </w:pPr>
            <w:r>
              <w:rPr>
                <w:sz w:val="20"/>
              </w:rPr>
              <w:t>Comunidad</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40"/>
              <w:ind w:left="68" w:right="157"/>
              <w:rPr>
                <w:sz w:val="20"/>
              </w:rPr>
            </w:pPr>
            <w:r>
              <w:rPr>
                <w:sz w:val="20"/>
              </w:rPr>
              <w:t>Calidad de la red de apoyo</w:t>
            </w:r>
          </w:p>
        </w:tc>
        <w:tc>
          <w:tcPr>
            <w:tcW w:w="552"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40"/>
              <w:ind w:left="89" w:right="89"/>
              <w:jc w:val="center"/>
              <w:rPr>
                <w:sz w:val="20"/>
              </w:rPr>
            </w:pPr>
            <w:r>
              <w:rPr>
                <w:sz w:val="20"/>
              </w:rPr>
              <w:t>34</w:t>
            </w:r>
          </w:p>
        </w:tc>
        <w:tc>
          <w:tcPr>
            <w:tcW w:w="777" w:type="dxa"/>
            <w:tcBorders>
              <w:top w:val="single" w:sz="3" w:space="0" w:color="000000"/>
              <w:left w:val="single" w:sz="3" w:space="0" w:color="000000"/>
              <w:bottom w:val="single" w:sz="3" w:space="0" w:color="000000"/>
              <w:right w:val="single" w:sz="3" w:space="0" w:color="000000"/>
            </w:tcBorders>
          </w:tcPr>
          <w:p>
            <w:pPr>
              <w:pStyle w:val="TableParagraph"/>
              <w:spacing w:before="40"/>
              <w:ind w:left="201" w:right="201"/>
              <w:jc w:val="center"/>
              <w:rPr>
                <w:sz w:val="20"/>
              </w:rPr>
            </w:pPr>
            <w:r>
              <w:rPr>
                <w:sz w:val="20"/>
              </w:rPr>
              <w:t>21</w:t>
            </w:r>
          </w:p>
        </w:tc>
        <w:tc>
          <w:tcPr>
            <w:tcW w:w="1240" w:type="dxa"/>
            <w:tcBorders>
              <w:top w:val="single" w:sz="3" w:space="0" w:color="000000"/>
              <w:left w:val="single" w:sz="3" w:space="0" w:color="000000"/>
              <w:bottom w:val="single" w:sz="5" w:space="0" w:color="000000"/>
              <w:right w:val="single" w:sz="3" w:space="0" w:color="000000"/>
            </w:tcBorders>
          </w:tcPr>
          <w:p>
            <w:pPr>
              <w:pStyle w:val="TableParagraph"/>
              <w:spacing w:before="40"/>
              <w:ind w:left="484" w:right="484"/>
              <w:jc w:val="center"/>
              <w:rPr>
                <w:sz w:val="20"/>
              </w:rPr>
            </w:pPr>
            <w:r>
              <w:rPr>
                <w:sz w:val="20"/>
              </w:rPr>
              <w:t>33</w:t>
            </w:r>
          </w:p>
        </w:tc>
        <w:tc>
          <w:tcPr>
            <w:tcW w:w="976" w:type="dxa"/>
            <w:tcBorders>
              <w:top w:val="single" w:sz="3" w:space="0" w:color="000000"/>
              <w:left w:val="single" w:sz="3" w:space="0" w:color="000000"/>
              <w:bottom w:val="single" w:sz="5" w:space="0" w:color="000000"/>
              <w:right w:val="single" w:sz="3" w:space="0" w:color="000000"/>
            </w:tcBorders>
            <w:shd w:val="clear" w:color="auto" w:fill="92D050"/>
          </w:tcPr>
          <w:p>
            <w:pPr>
              <w:pStyle w:val="TableParagraph"/>
              <w:spacing w:before="40"/>
              <w:ind w:left="352" w:right="352"/>
              <w:jc w:val="center"/>
              <w:rPr>
                <w:sz w:val="20"/>
              </w:rPr>
            </w:pPr>
            <w:r>
              <w:rPr>
                <w:sz w:val="20"/>
              </w:rPr>
              <w:t>11</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40"/>
              <w:ind w:left="221" w:right="221"/>
              <w:jc w:val="center"/>
              <w:rPr>
                <w:sz w:val="20"/>
              </w:rPr>
            </w:pPr>
            <w:r>
              <w:rPr>
                <w:sz w:val="20"/>
              </w:rPr>
              <w:t>29</w:t>
            </w:r>
          </w:p>
        </w:tc>
      </w:tr>
      <w:tr>
        <w:trPr>
          <w:trHeight w:val="492" w:hRule="exact"/>
        </w:trPr>
        <w:tc>
          <w:tcPr>
            <w:tcW w:w="1680" w:type="dxa"/>
            <w:vMerge w:val="restart"/>
            <w:tcBorders>
              <w:top w:val="single" w:sz="3" w:space="0" w:color="000000"/>
              <w:left w:val="single" w:sz="3" w:space="0" w:color="000000"/>
              <w:right w:val="single" w:sz="3" w:space="0" w:color="000000"/>
            </w:tcBorders>
          </w:tcPr>
          <w:p>
            <w:pPr>
              <w:pStyle w:val="TableParagraph"/>
              <w:spacing w:line="242" w:lineRule="auto" w:before="172"/>
              <w:ind w:left="579" w:right="151" w:hanging="308"/>
              <w:rPr>
                <w:sz w:val="20"/>
              </w:rPr>
            </w:pPr>
            <w:r>
              <w:rPr>
                <w:sz w:val="20"/>
              </w:rPr>
              <w:t>Compromiso cívico</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line="242" w:lineRule="auto" w:before="8"/>
              <w:ind w:left="68" w:right="257"/>
              <w:rPr>
                <w:sz w:val="20"/>
              </w:rPr>
            </w:pPr>
            <w:r>
              <w:rPr>
                <w:sz w:val="20"/>
              </w:rPr>
              <w:t>Consulta sobre la elaboración de normas</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124"/>
              <w:ind w:left="89" w:right="89"/>
              <w:jc w:val="center"/>
              <w:rPr>
                <w:sz w:val="20"/>
              </w:rPr>
            </w:pPr>
            <w:r>
              <w:rPr>
                <w:sz w:val="20"/>
              </w:rPr>
              <w:t>13</w:t>
            </w:r>
          </w:p>
        </w:tc>
        <w:tc>
          <w:tcPr>
            <w:tcW w:w="777" w:type="dxa"/>
            <w:tcBorders>
              <w:top w:val="single" w:sz="3" w:space="0" w:color="000000"/>
              <w:left w:val="single" w:sz="3" w:space="0" w:color="000000"/>
              <w:bottom w:val="single" w:sz="3" w:space="0" w:color="000000"/>
              <w:right w:val="single" w:sz="3" w:space="0" w:color="000000"/>
            </w:tcBorders>
          </w:tcPr>
          <w:p>
            <w:pPr>
              <w:pStyle w:val="TableParagraph"/>
              <w:spacing w:before="124"/>
              <w:ind w:left="201" w:right="201"/>
              <w:jc w:val="center"/>
              <w:rPr>
                <w:sz w:val="20"/>
              </w:rPr>
            </w:pPr>
            <w:r>
              <w:rPr>
                <w:sz w:val="20"/>
              </w:rPr>
              <w:t>11</w:t>
            </w:r>
          </w:p>
        </w:tc>
        <w:tc>
          <w:tcPr>
            <w:tcW w:w="1240"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124"/>
              <w:jc w:val="center"/>
              <w:rPr>
                <w:sz w:val="20"/>
              </w:rPr>
            </w:pPr>
            <w:r>
              <w:rPr>
                <w:w w:val="99"/>
                <w:sz w:val="20"/>
              </w:rPr>
              <w:t>1</w:t>
            </w:r>
          </w:p>
        </w:tc>
        <w:tc>
          <w:tcPr>
            <w:tcW w:w="976"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124"/>
              <w:ind w:left="352" w:right="352"/>
              <w:jc w:val="center"/>
              <w:rPr>
                <w:sz w:val="20"/>
              </w:rPr>
            </w:pPr>
            <w:r>
              <w:rPr>
                <w:sz w:val="20"/>
              </w:rPr>
              <w:t>30</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124"/>
              <w:ind w:left="221" w:right="221"/>
              <w:jc w:val="center"/>
              <w:rPr>
                <w:sz w:val="20"/>
              </w:rPr>
            </w:pPr>
            <w:r>
              <w:rPr>
                <w:sz w:val="20"/>
              </w:rPr>
              <w:t>17</w:t>
            </w:r>
          </w:p>
        </w:tc>
      </w:tr>
      <w:tr>
        <w:trPr>
          <w:trHeight w:val="324" w:hRule="exact"/>
        </w:trPr>
        <w:tc>
          <w:tcPr>
            <w:tcW w:w="1680" w:type="dxa"/>
            <w:vMerge/>
            <w:tcBorders>
              <w:left w:val="single" w:sz="3" w:space="0" w:color="000000"/>
              <w:bottom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40"/>
              <w:ind w:left="68" w:right="257"/>
              <w:rPr>
                <w:sz w:val="20"/>
              </w:rPr>
            </w:pPr>
            <w:r>
              <w:rPr>
                <w:sz w:val="20"/>
              </w:rPr>
              <w:t>Participación electoral</w:t>
            </w:r>
          </w:p>
        </w:tc>
        <w:tc>
          <w:tcPr>
            <w:tcW w:w="552"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40"/>
              <w:jc w:val="center"/>
              <w:rPr>
                <w:sz w:val="20"/>
              </w:rPr>
            </w:pPr>
            <w:r>
              <w:rPr>
                <w:w w:val="99"/>
                <w:sz w:val="20"/>
              </w:rPr>
              <w:t>4</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40"/>
              <w:ind w:left="201" w:right="201"/>
              <w:jc w:val="center"/>
              <w:rPr>
                <w:sz w:val="20"/>
              </w:rPr>
            </w:pPr>
            <w:r>
              <w:rPr>
                <w:sz w:val="20"/>
              </w:rPr>
              <w:t>31</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40"/>
              <w:ind w:left="484" w:right="484"/>
              <w:jc w:val="center"/>
              <w:rPr>
                <w:sz w:val="20"/>
              </w:rPr>
            </w:pPr>
            <w:r>
              <w:rPr>
                <w:sz w:val="20"/>
              </w:rPr>
              <w:t>29</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40"/>
              <w:ind w:left="352" w:right="352"/>
              <w:jc w:val="center"/>
              <w:rPr>
                <w:sz w:val="20"/>
              </w:rPr>
            </w:pPr>
            <w:r>
              <w:rPr>
                <w:sz w:val="20"/>
              </w:rPr>
              <w:t>15</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40"/>
              <w:ind w:left="221" w:right="221"/>
              <w:jc w:val="center"/>
              <w:rPr>
                <w:sz w:val="20"/>
              </w:rPr>
            </w:pPr>
            <w:r>
              <w:rPr>
                <w:sz w:val="20"/>
              </w:rPr>
              <w:t>17</w:t>
            </w:r>
          </w:p>
        </w:tc>
      </w:tr>
      <w:tr>
        <w:trPr>
          <w:trHeight w:val="313" w:hRule="exact"/>
        </w:trPr>
        <w:tc>
          <w:tcPr>
            <w:tcW w:w="1680" w:type="dxa"/>
            <w:vMerge w:val="restart"/>
            <w:tcBorders>
              <w:top w:val="single" w:sz="3" w:space="0" w:color="000000"/>
              <w:left w:val="single" w:sz="3" w:space="0" w:color="000000"/>
              <w:right w:val="single" w:sz="3" w:space="0" w:color="000000"/>
            </w:tcBorders>
          </w:tcPr>
          <w:p>
            <w:pPr>
              <w:pStyle w:val="TableParagraph"/>
              <w:spacing w:before="1"/>
              <w:rPr>
                <w:sz w:val="17"/>
              </w:rPr>
            </w:pPr>
          </w:p>
          <w:p>
            <w:pPr>
              <w:pStyle w:val="TableParagraph"/>
              <w:ind w:left="124"/>
              <w:rPr>
                <w:sz w:val="20"/>
              </w:rPr>
            </w:pPr>
            <w:r>
              <w:rPr>
                <w:sz w:val="20"/>
              </w:rPr>
              <w:t>Medio ambiente</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33"/>
              <w:ind w:left="68" w:right="257"/>
              <w:rPr>
                <w:sz w:val="20"/>
              </w:rPr>
            </w:pPr>
            <w:r>
              <w:rPr>
                <w:sz w:val="20"/>
              </w:rPr>
              <w:t>Calidad del agua</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33"/>
              <w:ind w:left="89" w:right="89"/>
              <w:jc w:val="center"/>
              <w:rPr>
                <w:sz w:val="20"/>
              </w:rPr>
            </w:pPr>
            <w:r>
              <w:rPr>
                <w:sz w:val="20"/>
              </w:rPr>
              <w:t>20</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33"/>
              <w:ind w:left="201" w:right="201"/>
              <w:jc w:val="center"/>
              <w:rPr>
                <w:sz w:val="20"/>
              </w:rPr>
            </w:pPr>
            <w:r>
              <w:rPr>
                <w:sz w:val="20"/>
              </w:rPr>
              <w:t>30</w:t>
            </w:r>
          </w:p>
        </w:tc>
        <w:tc>
          <w:tcPr>
            <w:tcW w:w="1240"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33"/>
              <w:jc w:val="center"/>
              <w:rPr>
                <w:sz w:val="20"/>
              </w:rPr>
            </w:pPr>
            <w:r>
              <w:rPr>
                <w:w w:val="99"/>
                <w:sz w:val="20"/>
              </w:rPr>
              <w:t>4</w:t>
            </w:r>
          </w:p>
        </w:tc>
        <w:tc>
          <w:tcPr>
            <w:tcW w:w="976" w:type="dxa"/>
            <w:tcBorders>
              <w:top w:val="single" w:sz="3" w:space="0" w:color="000000"/>
              <w:left w:val="single" w:sz="3" w:space="0" w:color="000000"/>
              <w:bottom w:val="single" w:sz="3" w:space="0" w:color="000000"/>
              <w:right w:val="single" w:sz="3" w:space="0" w:color="000000"/>
            </w:tcBorders>
          </w:tcPr>
          <w:p>
            <w:pPr>
              <w:pStyle w:val="TableParagraph"/>
              <w:spacing w:before="33"/>
              <w:jc w:val="center"/>
              <w:rPr>
                <w:sz w:val="20"/>
              </w:rPr>
            </w:pPr>
            <w:r>
              <w:rPr>
                <w:w w:val="99"/>
                <w:sz w:val="20"/>
              </w:rPr>
              <w:t>6</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33"/>
              <w:ind w:left="221" w:right="221"/>
              <w:jc w:val="center"/>
              <w:rPr>
                <w:sz w:val="20"/>
              </w:rPr>
            </w:pPr>
            <w:r>
              <w:rPr>
                <w:sz w:val="20"/>
              </w:rPr>
              <w:t>25</w:t>
            </w:r>
          </w:p>
        </w:tc>
      </w:tr>
      <w:tr>
        <w:trPr>
          <w:trHeight w:val="324" w:hRule="exact"/>
        </w:trPr>
        <w:tc>
          <w:tcPr>
            <w:tcW w:w="1680" w:type="dxa"/>
            <w:vMerge/>
            <w:tcBorders>
              <w:left w:val="single" w:sz="3" w:space="0" w:color="000000"/>
              <w:bottom w:val="single" w:sz="3" w:space="0" w:color="000000"/>
              <w:right w:val="single" w:sz="3" w:space="0" w:color="000000"/>
            </w:tcBorders>
          </w:tcPr>
          <w:p>
            <w:pP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40"/>
              <w:ind w:left="68" w:right="257"/>
              <w:rPr>
                <w:sz w:val="20"/>
              </w:rPr>
            </w:pPr>
            <w:r>
              <w:rPr>
                <w:sz w:val="20"/>
              </w:rPr>
              <w:t>Contaminación del aire</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40"/>
              <w:ind w:left="89" w:right="89"/>
              <w:jc w:val="center"/>
              <w:rPr>
                <w:sz w:val="20"/>
              </w:rPr>
            </w:pPr>
            <w:r>
              <w:rPr>
                <w:sz w:val="20"/>
              </w:rPr>
              <w:t>18</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40"/>
              <w:ind w:left="201" w:right="201"/>
              <w:jc w:val="center"/>
              <w:rPr>
                <w:sz w:val="20"/>
              </w:rPr>
            </w:pPr>
            <w:r>
              <w:rPr>
                <w:sz w:val="20"/>
              </w:rPr>
              <w:t>31</w:t>
            </w:r>
          </w:p>
        </w:tc>
        <w:tc>
          <w:tcPr>
            <w:tcW w:w="1240"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40"/>
              <w:jc w:val="center"/>
              <w:rPr>
                <w:sz w:val="20"/>
              </w:rPr>
            </w:pPr>
            <w:r>
              <w:rPr>
                <w:w w:val="99"/>
                <w:sz w:val="20"/>
              </w:rPr>
              <w:t>8</w:t>
            </w:r>
          </w:p>
        </w:tc>
        <w:tc>
          <w:tcPr>
            <w:tcW w:w="976" w:type="dxa"/>
            <w:tcBorders>
              <w:top w:val="single" w:sz="3" w:space="0" w:color="000000"/>
              <w:left w:val="single" w:sz="3" w:space="0" w:color="000000"/>
              <w:bottom w:val="single" w:sz="5" w:space="0" w:color="000000"/>
              <w:right w:val="single" w:sz="3" w:space="0" w:color="000000"/>
            </w:tcBorders>
          </w:tcPr>
          <w:p>
            <w:pPr>
              <w:pStyle w:val="TableParagraph"/>
              <w:spacing w:before="40"/>
              <w:ind w:left="352" w:right="352"/>
              <w:jc w:val="center"/>
              <w:rPr>
                <w:sz w:val="20"/>
              </w:rPr>
            </w:pPr>
            <w:r>
              <w:rPr>
                <w:sz w:val="20"/>
              </w:rPr>
              <w:t>14</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40"/>
              <w:ind w:left="221" w:right="221"/>
              <w:jc w:val="center"/>
              <w:rPr>
                <w:sz w:val="20"/>
              </w:rPr>
            </w:pPr>
            <w:r>
              <w:rPr>
                <w:sz w:val="20"/>
              </w:rPr>
              <w:t>25</w:t>
            </w:r>
          </w:p>
        </w:tc>
      </w:tr>
      <w:tr>
        <w:trPr>
          <w:trHeight w:val="324" w:hRule="exact"/>
        </w:trPr>
        <w:tc>
          <w:tcPr>
            <w:tcW w:w="1680" w:type="dxa"/>
            <w:tcBorders>
              <w:top w:val="single" w:sz="3" w:space="0" w:color="000000"/>
              <w:left w:val="single" w:sz="3" w:space="0" w:color="000000"/>
              <w:bottom w:val="single" w:sz="3" w:space="0" w:color="000000"/>
              <w:right w:val="single" w:sz="3" w:space="0" w:color="000000"/>
            </w:tcBorders>
          </w:tcPr>
          <w:p>
            <w:pPr>
              <w:pStyle w:val="TableParagraph"/>
              <w:spacing w:before="40"/>
              <w:ind w:left="379" w:right="151"/>
              <w:rPr>
                <w:sz w:val="20"/>
              </w:rPr>
            </w:pPr>
            <w:r>
              <w:rPr>
                <w:sz w:val="20"/>
              </w:rPr>
              <w:t>Seguridad</w:t>
            </w:r>
          </w:p>
        </w:tc>
        <w:tc>
          <w:tcPr>
            <w:tcW w:w="2733" w:type="dxa"/>
            <w:tcBorders>
              <w:top w:val="single" w:sz="3" w:space="0" w:color="000000"/>
              <w:left w:val="single" w:sz="3" w:space="0" w:color="000000"/>
              <w:bottom w:val="single" w:sz="3" w:space="0" w:color="000000"/>
              <w:right w:val="single" w:sz="3" w:space="0" w:color="000000"/>
            </w:tcBorders>
          </w:tcPr>
          <w:p>
            <w:pPr>
              <w:pStyle w:val="TableParagraph"/>
              <w:spacing w:before="40"/>
              <w:ind w:left="124" w:right="257"/>
              <w:rPr>
                <w:sz w:val="20"/>
              </w:rPr>
            </w:pPr>
            <w:r>
              <w:rPr>
                <w:sz w:val="20"/>
              </w:rPr>
              <w:t>Tasa de homicidios</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40"/>
              <w:ind w:left="89" w:right="89"/>
              <w:jc w:val="center"/>
              <w:rPr>
                <w:sz w:val="20"/>
              </w:rPr>
            </w:pPr>
            <w:r>
              <w:rPr>
                <w:sz w:val="20"/>
              </w:rPr>
              <w:t>32</w:t>
            </w:r>
          </w:p>
        </w:tc>
        <w:tc>
          <w:tcPr>
            <w:tcW w:w="777" w:type="dxa"/>
            <w:tcBorders>
              <w:top w:val="single" w:sz="3" w:space="0" w:color="000000"/>
              <w:left w:val="single" w:sz="3" w:space="0" w:color="000000"/>
              <w:bottom w:val="single" w:sz="3" w:space="0" w:color="000000"/>
              <w:right w:val="single" w:sz="3" w:space="0" w:color="000000"/>
            </w:tcBorders>
            <w:shd w:val="clear" w:color="auto" w:fill="FF0000"/>
          </w:tcPr>
          <w:p>
            <w:pPr>
              <w:pStyle w:val="TableParagraph"/>
              <w:spacing w:before="40"/>
              <w:ind w:left="201" w:right="201"/>
              <w:jc w:val="center"/>
              <w:rPr>
                <w:sz w:val="20"/>
              </w:rPr>
            </w:pPr>
            <w:r>
              <w:rPr>
                <w:sz w:val="20"/>
              </w:rPr>
              <w:t>34</w:t>
            </w:r>
          </w:p>
        </w:tc>
        <w:tc>
          <w:tcPr>
            <w:tcW w:w="1240" w:type="dxa"/>
            <w:tcBorders>
              <w:top w:val="single" w:sz="3" w:space="0" w:color="000000"/>
              <w:left w:val="single" w:sz="3" w:space="0" w:color="000000"/>
              <w:bottom w:val="single" w:sz="3" w:space="0" w:color="000000"/>
              <w:right w:val="single" w:sz="3" w:space="0" w:color="000000"/>
            </w:tcBorders>
          </w:tcPr>
          <w:p>
            <w:pPr>
              <w:pStyle w:val="TableParagraph"/>
              <w:spacing w:before="40"/>
              <w:ind w:left="484" w:right="484"/>
              <w:jc w:val="center"/>
              <w:rPr>
                <w:sz w:val="20"/>
              </w:rPr>
            </w:pPr>
            <w:r>
              <w:rPr>
                <w:sz w:val="20"/>
              </w:rPr>
              <w:t>18</w:t>
            </w:r>
          </w:p>
        </w:tc>
        <w:tc>
          <w:tcPr>
            <w:tcW w:w="976" w:type="dxa"/>
            <w:tcBorders>
              <w:top w:val="single" w:sz="3" w:space="0" w:color="000000"/>
              <w:left w:val="single" w:sz="3" w:space="0" w:color="000000"/>
              <w:bottom w:val="single" w:sz="3" w:space="0" w:color="000000"/>
              <w:right w:val="single" w:sz="3" w:space="0" w:color="000000"/>
            </w:tcBorders>
            <w:shd w:val="clear" w:color="auto" w:fill="92D050"/>
          </w:tcPr>
          <w:p>
            <w:pPr>
              <w:pStyle w:val="TableParagraph"/>
              <w:spacing w:before="40"/>
              <w:jc w:val="center"/>
              <w:rPr>
                <w:sz w:val="20"/>
              </w:rPr>
            </w:pPr>
            <w:r>
              <w:rPr>
                <w:w w:val="99"/>
                <w:sz w:val="20"/>
              </w:rPr>
              <w:t>7</w:t>
            </w:r>
          </w:p>
        </w:tc>
        <w:tc>
          <w:tcPr>
            <w:tcW w:w="817" w:type="dxa"/>
            <w:tcBorders>
              <w:top w:val="single" w:sz="3" w:space="0" w:color="000000"/>
              <w:left w:val="single" w:sz="3" w:space="0" w:color="000000"/>
              <w:bottom w:val="single" w:sz="3" w:space="0" w:color="000000"/>
              <w:right w:val="single" w:sz="3" w:space="0" w:color="000000"/>
            </w:tcBorders>
          </w:tcPr>
          <w:p>
            <w:pPr>
              <w:pStyle w:val="TableParagraph"/>
              <w:spacing w:before="40"/>
              <w:ind w:left="221" w:right="221"/>
              <w:jc w:val="center"/>
              <w:rPr>
                <w:sz w:val="20"/>
              </w:rPr>
            </w:pPr>
            <w:r>
              <w:rPr>
                <w:sz w:val="20"/>
              </w:rPr>
              <w:t>10</w:t>
            </w:r>
          </w:p>
        </w:tc>
      </w:tr>
    </w:tbl>
    <w:p>
      <w:pPr>
        <w:spacing w:after="0"/>
        <w:jc w:val="center"/>
        <w:rPr>
          <w:sz w:val="20"/>
        </w:rPr>
        <w:sectPr>
          <w:footerReference w:type="default" r:id="rId78"/>
          <w:pgSz w:w="12240" w:h="15840"/>
          <w:pgMar w:footer="998" w:header="0" w:top="1360" w:bottom="1180" w:left="1600" w:right="1580"/>
          <w:pgNumType w:start="61"/>
        </w:sectPr>
      </w:pPr>
    </w:p>
    <w:tbl>
      <w:tblPr>
        <w:tblW w:w="0" w:type="auto"/>
        <w:jc w:val="left"/>
        <w:tblInd w:w="1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680"/>
        <w:gridCol w:w="2735"/>
        <w:gridCol w:w="552"/>
        <w:gridCol w:w="775"/>
        <w:gridCol w:w="1240"/>
        <w:gridCol w:w="976"/>
        <w:gridCol w:w="817"/>
      </w:tblGrid>
      <w:tr>
        <w:trPr>
          <w:trHeight w:val="468" w:hRule="exact"/>
        </w:trPr>
        <w:tc>
          <w:tcPr>
            <w:tcW w:w="1680" w:type="dxa"/>
          </w:tcPr>
          <w:p>
            <w:pPr/>
          </w:p>
        </w:tc>
        <w:tc>
          <w:tcPr>
            <w:tcW w:w="2735" w:type="dxa"/>
          </w:tcPr>
          <w:p>
            <w:pPr>
              <w:pStyle w:val="TableParagraph"/>
              <w:spacing w:line="228" w:lineRule="exact" w:before="2"/>
              <w:ind w:left="68" w:right="771"/>
              <w:rPr>
                <w:sz w:val="20"/>
              </w:rPr>
            </w:pPr>
            <w:r>
              <w:rPr>
                <w:sz w:val="20"/>
              </w:rPr>
              <w:t>Tasa de agresión y/o ataques</w:t>
            </w:r>
          </w:p>
        </w:tc>
        <w:tc>
          <w:tcPr>
            <w:tcW w:w="552" w:type="dxa"/>
            <w:shd w:val="clear" w:color="auto" w:fill="92D050"/>
          </w:tcPr>
          <w:p>
            <w:pPr>
              <w:pStyle w:val="TableParagraph"/>
              <w:spacing w:before="109"/>
              <w:ind w:right="2"/>
              <w:jc w:val="center"/>
              <w:rPr>
                <w:sz w:val="20"/>
              </w:rPr>
            </w:pPr>
            <w:r>
              <w:rPr>
                <w:w w:val="99"/>
                <w:sz w:val="20"/>
              </w:rPr>
              <w:t>3</w:t>
            </w:r>
          </w:p>
        </w:tc>
        <w:tc>
          <w:tcPr>
            <w:tcW w:w="775" w:type="dxa"/>
            <w:shd w:val="clear" w:color="auto" w:fill="FF0000"/>
          </w:tcPr>
          <w:p>
            <w:pPr>
              <w:pStyle w:val="TableParagraph"/>
              <w:spacing w:before="109"/>
              <w:ind w:left="252" w:right="252"/>
              <w:jc w:val="center"/>
              <w:rPr>
                <w:sz w:val="20"/>
              </w:rPr>
            </w:pPr>
            <w:r>
              <w:rPr>
                <w:sz w:val="20"/>
              </w:rPr>
              <w:t>34</w:t>
            </w:r>
          </w:p>
        </w:tc>
        <w:tc>
          <w:tcPr>
            <w:tcW w:w="1240" w:type="dxa"/>
          </w:tcPr>
          <w:p>
            <w:pPr>
              <w:pStyle w:val="TableParagraph"/>
              <w:spacing w:before="109"/>
              <w:jc w:val="center"/>
              <w:rPr>
                <w:sz w:val="20"/>
              </w:rPr>
            </w:pPr>
            <w:r>
              <w:rPr>
                <w:w w:val="99"/>
                <w:sz w:val="20"/>
              </w:rPr>
              <w:t>5</w:t>
            </w:r>
          </w:p>
        </w:tc>
        <w:tc>
          <w:tcPr>
            <w:tcW w:w="976" w:type="dxa"/>
          </w:tcPr>
          <w:p>
            <w:pPr>
              <w:pStyle w:val="TableParagraph"/>
              <w:spacing w:before="109"/>
              <w:ind w:left="352" w:right="352"/>
              <w:jc w:val="center"/>
              <w:rPr>
                <w:sz w:val="20"/>
              </w:rPr>
            </w:pPr>
            <w:r>
              <w:rPr>
                <w:sz w:val="20"/>
              </w:rPr>
              <w:t>17</w:t>
            </w:r>
          </w:p>
        </w:tc>
        <w:tc>
          <w:tcPr>
            <w:tcW w:w="817" w:type="dxa"/>
          </w:tcPr>
          <w:p>
            <w:pPr>
              <w:pStyle w:val="TableParagraph"/>
              <w:spacing w:before="109"/>
              <w:ind w:left="221" w:right="221"/>
              <w:jc w:val="center"/>
              <w:rPr>
                <w:sz w:val="20"/>
              </w:rPr>
            </w:pPr>
            <w:r>
              <w:rPr>
                <w:sz w:val="20"/>
              </w:rPr>
              <w:t>21</w:t>
            </w:r>
          </w:p>
        </w:tc>
      </w:tr>
    </w:tbl>
    <w:p>
      <w:pPr>
        <w:pStyle w:val="BodyText"/>
        <w:spacing w:before="9"/>
        <w:rPr>
          <w:sz w:val="11"/>
        </w:rPr>
      </w:pPr>
    </w:p>
    <w:p>
      <w:pPr>
        <w:spacing w:line="137" w:lineRule="exact" w:before="0"/>
        <w:ind w:left="829" w:right="0" w:firstLine="0"/>
        <w:jc w:val="left"/>
        <w:rPr>
          <w:sz w:val="12"/>
        </w:rPr>
      </w:pPr>
      <w:r>
        <w:rPr>
          <w:sz w:val="12"/>
        </w:rPr>
        <w:t>FUENTE:     Elaboración propia con base en: OECD. </w:t>
      </w:r>
      <w:r>
        <w:rPr>
          <w:i/>
          <w:sz w:val="12"/>
        </w:rPr>
        <w:t>Better life initiative. The indexdata</w:t>
      </w:r>
      <w:r>
        <w:rPr>
          <w:sz w:val="12"/>
        </w:rPr>
        <w:t>.</w:t>
      </w:r>
    </w:p>
    <w:p>
      <w:pPr>
        <w:spacing w:line="242" w:lineRule="auto" w:before="0"/>
        <w:ind w:left="120" w:right="3841" w:firstLine="1416"/>
        <w:jc w:val="left"/>
        <w:rPr>
          <w:sz w:val="12"/>
        </w:rPr>
      </w:pPr>
      <w:r>
        <w:rPr>
          <w:sz w:val="12"/>
        </w:rPr>
        <w:t>Disponible en: </w:t>
      </w:r>
      <w:hyperlink r:id="rId79">
        <w:r>
          <w:rPr>
            <w:sz w:val="12"/>
          </w:rPr>
          <w:t>http://oecdbetterlifeindex.org/about/better-life-initiative/</w:t>
        </w:r>
      </w:hyperlink>
      <w:r>
        <w:rPr>
          <w:sz w:val="12"/>
        </w:rPr>
        <w:t> [Fecha de consulta: 31 de agosto, 2015]</w:t>
      </w:r>
    </w:p>
    <w:p>
      <w:pPr>
        <w:spacing w:before="12"/>
        <w:ind w:left="1537" w:right="0" w:firstLine="0"/>
        <w:jc w:val="left"/>
        <w:rPr>
          <w:sz w:val="12"/>
        </w:rPr>
      </w:pPr>
      <w:r>
        <w:rPr>
          <w:sz w:val="12"/>
        </w:rPr>
        <w:t>s.p. Sin posición.</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6"/>
        </w:rPr>
      </w:pPr>
    </w:p>
    <w:p>
      <w:pPr>
        <w:pStyle w:val="ListParagraph"/>
        <w:numPr>
          <w:ilvl w:val="0"/>
          <w:numId w:val="40"/>
        </w:numPr>
        <w:tabs>
          <w:tab w:pos="389" w:val="left" w:leader="none"/>
        </w:tabs>
        <w:spacing w:line="240" w:lineRule="auto" w:before="0" w:after="0"/>
        <w:ind w:left="388" w:right="0" w:hanging="268"/>
        <w:jc w:val="left"/>
        <w:rPr>
          <w:i/>
          <w:sz w:val="24"/>
        </w:rPr>
      </w:pPr>
      <w:r>
        <w:rPr>
          <w:i/>
          <w:sz w:val="24"/>
        </w:rPr>
        <w:t>Índice de Planeta Feliz,</w:t>
      </w:r>
      <w:r>
        <w:rPr>
          <w:i/>
          <w:spacing w:val="-22"/>
          <w:sz w:val="24"/>
        </w:rPr>
        <w:t> </w:t>
      </w:r>
      <w:r>
        <w:rPr>
          <w:i/>
          <w:sz w:val="24"/>
        </w:rPr>
        <w:t>2012</w:t>
      </w:r>
    </w:p>
    <w:p>
      <w:pPr>
        <w:pStyle w:val="BodyText"/>
        <w:rPr>
          <w:i/>
        </w:rPr>
      </w:pPr>
    </w:p>
    <w:p>
      <w:pPr>
        <w:pStyle w:val="BodyText"/>
        <w:spacing w:before="10"/>
        <w:rPr>
          <w:i/>
          <w:sz w:val="23"/>
        </w:rPr>
      </w:pPr>
    </w:p>
    <w:p>
      <w:pPr>
        <w:pStyle w:val="BodyText"/>
        <w:spacing w:line="357" w:lineRule="auto"/>
        <w:ind w:left="120" w:right="115" w:firstLine="427"/>
        <w:jc w:val="both"/>
      </w:pPr>
      <w:r>
        <w:rPr/>
        <w:t>La</w:t>
      </w:r>
      <w:r>
        <w:rPr>
          <w:spacing w:val="-8"/>
        </w:rPr>
        <w:t> </w:t>
      </w:r>
      <w:r>
        <w:rPr/>
        <w:t>ONG</w:t>
      </w:r>
      <w:r>
        <w:rPr>
          <w:spacing w:val="-4"/>
        </w:rPr>
        <w:t> </w:t>
      </w:r>
      <w:r>
        <w:rPr/>
        <w:t>Nueva</w:t>
      </w:r>
      <w:r>
        <w:rPr>
          <w:spacing w:val="-8"/>
        </w:rPr>
        <w:t> </w:t>
      </w:r>
      <w:r>
        <w:rPr/>
        <w:t>Fundación</w:t>
      </w:r>
      <w:r>
        <w:rPr>
          <w:spacing w:val="-4"/>
        </w:rPr>
        <w:t> </w:t>
      </w:r>
      <w:r>
        <w:rPr/>
        <w:t>Económica</w:t>
      </w:r>
      <w:r>
        <w:rPr>
          <w:position w:val="8"/>
          <w:sz w:val="16"/>
        </w:rPr>
        <w:t>36</w:t>
      </w:r>
      <w:r>
        <w:rPr/>
        <w:t>(NEF,</w:t>
      </w:r>
      <w:r>
        <w:rPr>
          <w:spacing w:val="-5"/>
        </w:rPr>
        <w:t> </w:t>
      </w:r>
      <w:r>
        <w:rPr/>
        <w:t>por</w:t>
      </w:r>
      <w:r>
        <w:rPr>
          <w:spacing w:val="-6"/>
        </w:rPr>
        <w:t> </w:t>
      </w:r>
      <w:r>
        <w:rPr/>
        <w:t>sus</w:t>
      </w:r>
      <w:r>
        <w:rPr>
          <w:spacing w:val="-6"/>
        </w:rPr>
        <w:t> </w:t>
      </w:r>
      <w:r>
        <w:rPr/>
        <w:t>siglas</w:t>
      </w:r>
      <w:r>
        <w:rPr>
          <w:spacing w:val="-6"/>
        </w:rPr>
        <w:t> </w:t>
      </w:r>
      <w:r>
        <w:rPr/>
        <w:t>en</w:t>
      </w:r>
      <w:r>
        <w:rPr>
          <w:spacing w:val="-4"/>
        </w:rPr>
        <w:t> </w:t>
      </w:r>
      <w:r>
        <w:rPr/>
        <w:t>inglés)</w:t>
      </w:r>
      <w:r>
        <w:rPr>
          <w:spacing w:val="-2"/>
        </w:rPr>
        <w:t> </w:t>
      </w:r>
      <w:r>
        <w:rPr/>
        <w:t>en</w:t>
      </w:r>
      <w:r>
        <w:rPr>
          <w:spacing w:val="-4"/>
        </w:rPr>
        <w:t> </w:t>
      </w:r>
      <w:r>
        <w:rPr/>
        <w:t>junio de 2012 publicó el índice para medir la calidad de vida presente y futura (bienestar sustentable)</w:t>
      </w:r>
      <w:r>
        <w:rPr>
          <w:spacing w:val="-6"/>
        </w:rPr>
        <w:t> </w:t>
      </w:r>
      <w:r>
        <w:rPr/>
        <w:t>y</w:t>
      </w:r>
      <w:r>
        <w:rPr>
          <w:spacing w:val="-14"/>
        </w:rPr>
        <w:t> </w:t>
      </w:r>
      <w:r>
        <w:rPr/>
        <w:t>la</w:t>
      </w:r>
      <w:r>
        <w:rPr>
          <w:spacing w:val="-12"/>
        </w:rPr>
        <w:t> </w:t>
      </w:r>
      <w:r>
        <w:rPr/>
        <w:t>forma</w:t>
      </w:r>
      <w:r>
        <w:rPr>
          <w:spacing w:val="-12"/>
        </w:rPr>
        <w:t> </w:t>
      </w:r>
      <w:r>
        <w:rPr/>
        <w:t>en</w:t>
      </w:r>
      <w:r>
        <w:rPr>
          <w:spacing w:val="-12"/>
        </w:rPr>
        <w:t> </w:t>
      </w:r>
      <w:r>
        <w:rPr/>
        <w:t>cómo</w:t>
      </w:r>
      <w:r>
        <w:rPr>
          <w:spacing w:val="-12"/>
        </w:rPr>
        <w:t> </w:t>
      </w:r>
      <w:r>
        <w:rPr/>
        <w:t>los</w:t>
      </w:r>
      <w:r>
        <w:rPr>
          <w:spacing w:val="-10"/>
        </w:rPr>
        <w:t> </w:t>
      </w:r>
      <w:r>
        <w:rPr/>
        <w:t>gobiernos</w:t>
      </w:r>
      <w:r>
        <w:rPr>
          <w:spacing w:val="-10"/>
        </w:rPr>
        <w:t> </w:t>
      </w:r>
      <w:r>
        <w:rPr/>
        <w:t>actúan</w:t>
      </w:r>
      <w:r>
        <w:rPr>
          <w:spacing w:val="-12"/>
        </w:rPr>
        <w:t> </w:t>
      </w:r>
      <w:r>
        <w:rPr/>
        <w:t>para</w:t>
      </w:r>
      <w:r>
        <w:rPr>
          <w:spacing w:val="-12"/>
        </w:rPr>
        <w:t> </w:t>
      </w:r>
      <w:r>
        <w:rPr/>
        <w:t>el</w:t>
      </w:r>
      <w:r>
        <w:rPr>
          <w:spacing w:val="-11"/>
        </w:rPr>
        <w:t> </w:t>
      </w:r>
      <w:r>
        <w:rPr/>
        <w:t>progreso</w:t>
      </w:r>
      <w:r>
        <w:rPr>
          <w:spacing w:val="-8"/>
        </w:rPr>
        <w:t> </w:t>
      </w:r>
      <w:r>
        <w:rPr/>
        <w:t>mediante</w:t>
      </w:r>
      <w:r>
        <w:rPr>
          <w:spacing w:val="-12"/>
        </w:rPr>
        <w:t> </w:t>
      </w:r>
      <w:r>
        <w:rPr/>
        <w:t>las políticas</w:t>
      </w:r>
      <w:r>
        <w:rPr>
          <w:spacing w:val="-16"/>
        </w:rPr>
        <w:t> </w:t>
      </w:r>
      <w:r>
        <w:rPr/>
        <w:t>públicas.</w:t>
      </w:r>
      <w:r>
        <w:rPr>
          <w:spacing w:val="-15"/>
        </w:rPr>
        <w:t> </w:t>
      </w:r>
      <w:r>
        <w:rPr/>
        <w:t>Los</w:t>
      </w:r>
      <w:r>
        <w:rPr>
          <w:spacing w:val="-16"/>
        </w:rPr>
        <w:t> </w:t>
      </w:r>
      <w:r>
        <w:rPr/>
        <w:t>parámetros</w:t>
      </w:r>
      <w:r>
        <w:rPr>
          <w:spacing w:val="-16"/>
        </w:rPr>
        <w:t> </w:t>
      </w:r>
      <w:r>
        <w:rPr/>
        <w:t>que</w:t>
      </w:r>
      <w:r>
        <w:rPr>
          <w:spacing w:val="-18"/>
        </w:rPr>
        <w:t> </w:t>
      </w:r>
      <w:r>
        <w:rPr/>
        <w:t>analizó</w:t>
      </w:r>
      <w:r>
        <w:rPr>
          <w:spacing w:val="-14"/>
        </w:rPr>
        <w:t> </w:t>
      </w:r>
      <w:r>
        <w:rPr/>
        <w:t>la</w:t>
      </w:r>
      <w:r>
        <w:rPr>
          <w:spacing w:val="-18"/>
        </w:rPr>
        <w:t> </w:t>
      </w:r>
      <w:r>
        <w:rPr/>
        <w:t>NEF</w:t>
      </w:r>
      <w:r>
        <w:rPr>
          <w:spacing w:val="-15"/>
        </w:rPr>
        <w:t> </w:t>
      </w:r>
      <w:r>
        <w:rPr/>
        <w:t>para</w:t>
      </w:r>
      <w:r>
        <w:rPr>
          <w:spacing w:val="-18"/>
        </w:rPr>
        <w:t> </w:t>
      </w:r>
      <w:r>
        <w:rPr/>
        <w:t>el</w:t>
      </w:r>
      <w:r>
        <w:rPr>
          <w:spacing w:val="-17"/>
        </w:rPr>
        <w:t> </w:t>
      </w:r>
      <w:r>
        <w:rPr/>
        <w:t>Índice</w:t>
      </w:r>
      <w:r>
        <w:rPr>
          <w:spacing w:val="-16"/>
        </w:rPr>
        <w:t> </w:t>
      </w:r>
      <w:r>
        <w:rPr/>
        <w:t>de</w:t>
      </w:r>
      <w:r>
        <w:rPr>
          <w:spacing w:val="-18"/>
        </w:rPr>
        <w:t> </w:t>
      </w:r>
      <w:r>
        <w:rPr/>
        <w:t>Planeta</w:t>
      </w:r>
      <w:r>
        <w:rPr>
          <w:spacing w:val="-18"/>
        </w:rPr>
        <w:t> </w:t>
      </w:r>
      <w:r>
        <w:rPr/>
        <w:t>Feliz fueron</w:t>
      </w:r>
      <w:r>
        <w:rPr>
          <w:spacing w:val="-12"/>
        </w:rPr>
        <w:t> </w:t>
      </w:r>
      <w:r>
        <w:rPr/>
        <w:t>la</w:t>
      </w:r>
      <w:r>
        <w:rPr>
          <w:spacing w:val="-12"/>
        </w:rPr>
        <w:t> </w:t>
      </w:r>
      <w:r>
        <w:rPr/>
        <w:t>esperanza</w:t>
      </w:r>
      <w:r>
        <w:rPr>
          <w:spacing w:val="-12"/>
        </w:rPr>
        <w:t> </w:t>
      </w:r>
      <w:r>
        <w:rPr/>
        <w:t>de</w:t>
      </w:r>
      <w:r>
        <w:rPr>
          <w:spacing w:val="-12"/>
        </w:rPr>
        <w:t> </w:t>
      </w:r>
      <w:r>
        <w:rPr/>
        <w:t>vida,</w:t>
      </w:r>
      <w:r>
        <w:rPr>
          <w:spacing w:val="-9"/>
        </w:rPr>
        <w:t> </w:t>
      </w:r>
      <w:r>
        <w:rPr/>
        <w:t>el</w:t>
      </w:r>
      <w:r>
        <w:rPr>
          <w:spacing w:val="-7"/>
        </w:rPr>
        <w:t> </w:t>
      </w:r>
      <w:r>
        <w:rPr/>
        <w:t>bienestar</w:t>
      </w:r>
      <w:r>
        <w:rPr>
          <w:spacing w:val="-10"/>
        </w:rPr>
        <w:t> </w:t>
      </w:r>
      <w:r>
        <w:rPr/>
        <w:t>experimentado</w:t>
      </w:r>
      <w:r>
        <w:rPr>
          <w:spacing w:val="-8"/>
        </w:rPr>
        <w:t> </w:t>
      </w:r>
      <w:r>
        <w:rPr/>
        <w:t>y</w:t>
      </w:r>
      <w:r>
        <w:rPr>
          <w:spacing w:val="-10"/>
        </w:rPr>
        <w:t> </w:t>
      </w:r>
      <w:r>
        <w:rPr/>
        <w:t>la</w:t>
      </w:r>
      <w:r>
        <w:rPr>
          <w:spacing w:val="-12"/>
        </w:rPr>
        <w:t> </w:t>
      </w:r>
      <w:r>
        <w:rPr/>
        <w:t>huella</w:t>
      </w:r>
      <w:r>
        <w:rPr>
          <w:spacing w:val="-8"/>
        </w:rPr>
        <w:t> </w:t>
      </w:r>
      <w:r>
        <w:rPr/>
        <w:t>ecológica.</w:t>
      </w:r>
      <w:r>
        <w:rPr>
          <w:position w:val="8"/>
          <w:sz w:val="16"/>
        </w:rPr>
        <w:t>37</w:t>
      </w:r>
      <w:r>
        <w:rPr>
          <w:spacing w:val="11"/>
          <w:position w:val="8"/>
          <w:sz w:val="16"/>
        </w:rPr>
        <w:t> </w:t>
      </w:r>
      <w:r>
        <w:rPr/>
        <w:t>Las fuentes de información fueron el Informe de desarrollo humano del PNUD de 2011, la Encuesta Mundial de Gallup y </w:t>
      </w:r>
      <w:r>
        <w:rPr>
          <w:i/>
        </w:rPr>
        <w:t>Global Footprint Networks National Footprint </w:t>
      </w:r>
      <w:r>
        <w:rPr>
          <w:i/>
        </w:rPr>
        <w:t>Accounts</w:t>
      </w:r>
      <w:r>
        <w:rPr/>
        <w:t>,</w:t>
      </w:r>
      <w:r>
        <w:rPr>
          <w:spacing w:val="-19"/>
        </w:rPr>
        <w:t> </w:t>
      </w:r>
      <w:r>
        <w:rPr/>
        <w:t>respectivamente.</w:t>
      </w:r>
    </w:p>
    <w:p>
      <w:pPr>
        <w:pStyle w:val="BodyText"/>
        <w:spacing w:line="360" w:lineRule="auto" w:before="12"/>
        <w:ind w:left="120" w:right="123" w:firstLine="427"/>
        <w:jc w:val="both"/>
      </w:pPr>
      <w:r>
        <w:rPr/>
        <w:t>La calificación pondera el resultado de los tres subíndices y es analizado mediante</w:t>
      </w:r>
      <w:r>
        <w:rPr>
          <w:spacing w:val="-12"/>
        </w:rPr>
        <w:t> </w:t>
      </w:r>
      <w:r>
        <w:rPr/>
        <w:t>un</w:t>
      </w:r>
      <w:r>
        <w:rPr>
          <w:spacing w:val="-8"/>
        </w:rPr>
        <w:t> </w:t>
      </w:r>
      <w:r>
        <w:rPr/>
        <w:t>modelo</w:t>
      </w:r>
      <w:r>
        <w:rPr>
          <w:spacing w:val="-12"/>
        </w:rPr>
        <w:t> </w:t>
      </w:r>
      <w:r>
        <w:rPr/>
        <w:t>de</w:t>
      </w:r>
      <w:r>
        <w:rPr>
          <w:spacing w:val="-8"/>
        </w:rPr>
        <w:t> </w:t>
      </w:r>
      <w:r>
        <w:rPr/>
        <w:t>regresión</w:t>
      </w:r>
      <w:r>
        <w:rPr>
          <w:spacing w:val="-12"/>
        </w:rPr>
        <w:t> </w:t>
      </w:r>
      <w:r>
        <w:rPr/>
        <w:t>lineal</w:t>
      </w:r>
      <w:r>
        <w:rPr>
          <w:spacing w:val="-11"/>
        </w:rPr>
        <w:t> </w:t>
      </w:r>
      <w:r>
        <w:rPr/>
        <w:t>simple.</w:t>
      </w:r>
      <w:r>
        <w:rPr>
          <w:spacing w:val="-9"/>
        </w:rPr>
        <w:t> </w:t>
      </w:r>
      <w:r>
        <w:rPr/>
        <w:t>Los</w:t>
      </w:r>
      <w:r>
        <w:rPr>
          <w:spacing w:val="-10"/>
        </w:rPr>
        <w:t> </w:t>
      </w:r>
      <w:r>
        <w:rPr/>
        <w:t>resultados</w:t>
      </w:r>
      <w:r>
        <w:rPr>
          <w:spacing w:val="-10"/>
        </w:rPr>
        <w:t> </w:t>
      </w:r>
      <w:r>
        <w:rPr/>
        <w:t>se</w:t>
      </w:r>
      <w:r>
        <w:rPr>
          <w:spacing w:val="-8"/>
        </w:rPr>
        <w:t> </w:t>
      </w:r>
      <w:r>
        <w:rPr/>
        <w:t>presentan</w:t>
      </w:r>
      <w:r>
        <w:rPr>
          <w:spacing w:val="-8"/>
        </w:rPr>
        <w:t> </w:t>
      </w:r>
      <w:r>
        <w:rPr/>
        <w:t>en</w:t>
      </w:r>
      <w:r>
        <w:rPr>
          <w:spacing w:val="-12"/>
        </w:rPr>
        <w:t> </w:t>
      </w:r>
      <w:r>
        <w:rPr/>
        <w:t>una escala de 0 a 100, donde valores cercanos a 100 indican un bienestar sostenible elevado (altos niveles de vida, elevado bienestar experimentado y baja huella ecológica). La mayor calificación fue para Costa Rica (64), Vietnam (60.4) y Colombia (59.8). De los 5 países estudiados, México obtuvo 52.9 puntos, superior a los otros cuatro</w:t>
      </w:r>
      <w:r>
        <w:rPr>
          <w:spacing w:val="-15"/>
        </w:rPr>
        <w:t> </w:t>
      </w:r>
      <w:r>
        <w:rPr/>
        <w:t>países.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5536;mso-wrap-distance-left:0;mso-wrap-distance-right:0" from="85.025002pt,13.583691pt" to="229.075002pt,13.583691pt" stroked="true" strokeweight=".79999pt" strokecolor="#000000">
            <w10:wrap type="topAndBottom"/>
          </v:line>
        </w:pict>
      </w:r>
    </w:p>
    <w:p>
      <w:pPr>
        <w:spacing w:before="59"/>
        <w:ind w:left="120" w:right="0" w:firstLine="0"/>
        <w:jc w:val="both"/>
        <w:rPr>
          <w:i/>
          <w:sz w:val="16"/>
        </w:rPr>
      </w:pPr>
      <w:r>
        <w:rPr>
          <w:rFonts w:ascii="Times New Roman"/>
          <w:position w:val="7"/>
          <w:sz w:val="13"/>
        </w:rPr>
        <w:t>36</w:t>
      </w:r>
      <w:r>
        <w:rPr>
          <w:i/>
          <w:sz w:val="16"/>
        </w:rPr>
        <w:t>New Economic Foundation.</w:t>
      </w:r>
    </w:p>
    <w:p>
      <w:pPr>
        <w:spacing w:line="254" w:lineRule="auto" w:before="12"/>
        <w:ind w:left="120" w:right="121" w:firstLine="0"/>
        <w:jc w:val="both"/>
        <w:rPr>
          <w:sz w:val="16"/>
        </w:rPr>
      </w:pPr>
      <w:r>
        <w:rPr>
          <w:rFonts w:ascii="Calibri" w:hAnsi="Calibri"/>
          <w:position w:val="8"/>
          <w:sz w:val="14"/>
        </w:rPr>
        <w:t>37</w:t>
      </w:r>
      <w:r>
        <w:rPr>
          <w:sz w:val="16"/>
        </w:rPr>
        <w:t>La</w:t>
      </w:r>
      <w:r>
        <w:rPr>
          <w:spacing w:val="-1"/>
          <w:sz w:val="16"/>
        </w:rPr>
        <w:t> </w:t>
      </w:r>
      <w:r>
        <w:rPr>
          <w:sz w:val="16"/>
        </w:rPr>
        <w:t>huella</w:t>
      </w:r>
      <w:r>
        <w:rPr>
          <w:spacing w:val="-1"/>
          <w:sz w:val="16"/>
        </w:rPr>
        <w:t> </w:t>
      </w:r>
      <w:r>
        <w:rPr>
          <w:sz w:val="16"/>
        </w:rPr>
        <w:t>ecológica</w:t>
      </w:r>
      <w:r>
        <w:rPr>
          <w:spacing w:val="-3"/>
          <w:sz w:val="16"/>
        </w:rPr>
        <w:t> </w:t>
      </w:r>
      <w:r>
        <w:rPr>
          <w:sz w:val="16"/>
        </w:rPr>
        <w:t>mide</w:t>
      </w:r>
      <w:r>
        <w:rPr>
          <w:spacing w:val="-1"/>
          <w:sz w:val="16"/>
        </w:rPr>
        <w:t> </w:t>
      </w:r>
      <w:r>
        <w:rPr>
          <w:sz w:val="16"/>
        </w:rPr>
        <w:t>la</w:t>
      </w:r>
      <w:r>
        <w:rPr>
          <w:spacing w:val="-3"/>
          <w:sz w:val="16"/>
        </w:rPr>
        <w:t> </w:t>
      </w:r>
      <w:r>
        <w:rPr>
          <w:sz w:val="16"/>
        </w:rPr>
        <w:t>cantidad</w:t>
      </w:r>
      <w:r>
        <w:rPr>
          <w:spacing w:val="-3"/>
          <w:sz w:val="16"/>
        </w:rPr>
        <w:t> </w:t>
      </w:r>
      <w:r>
        <w:rPr>
          <w:sz w:val="16"/>
        </w:rPr>
        <w:t>de</w:t>
      </w:r>
      <w:r>
        <w:rPr>
          <w:spacing w:val="-1"/>
          <w:sz w:val="16"/>
        </w:rPr>
        <w:t> </w:t>
      </w:r>
      <w:r>
        <w:rPr>
          <w:sz w:val="16"/>
        </w:rPr>
        <w:t>superficie</w:t>
      </w:r>
      <w:r>
        <w:rPr>
          <w:spacing w:val="-3"/>
          <w:sz w:val="16"/>
        </w:rPr>
        <w:t> </w:t>
      </w:r>
      <w:r>
        <w:rPr>
          <w:sz w:val="16"/>
        </w:rPr>
        <w:t>terrestre</w:t>
      </w:r>
      <w:r>
        <w:rPr>
          <w:spacing w:val="-3"/>
          <w:sz w:val="16"/>
        </w:rPr>
        <w:t> </w:t>
      </w:r>
      <w:r>
        <w:rPr>
          <w:sz w:val="16"/>
        </w:rPr>
        <w:t>y</w:t>
      </w:r>
      <w:r>
        <w:rPr>
          <w:spacing w:val="-7"/>
          <w:sz w:val="16"/>
        </w:rPr>
        <w:t> </w:t>
      </w:r>
      <w:r>
        <w:rPr>
          <w:sz w:val="16"/>
        </w:rPr>
        <w:t>marítima</w:t>
      </w:r>
      <w:r>
        <w:rPr>
          <w:spacing w:val="-3"/>
          <w:sz w:val="16"/>
        </w:rPr>
        <w:t> </w:t>
      </w:r>
      <w:r>
        <w:rPr>
          <w:sz w:val="16"/>
        </w:rPr>
        <w:t>biológicamente</w:t>
      </w:r>
      <w:r>
        <w:rPr>
          <w:spacing w:val="-4"/>
          <w:sz w:val="16"/>
        </w:rPr>
        <w:t> </w:t>
      </w:r>
      <w:r>
        <w:rPr>
          <w:sz w:val="16"/>
        </w:rPr>
        <w:t>productiva</w:t>
      </w:r>
      <w:r>
        <w:rPr>
          <w:spacing w:val="-3"/>
          <w:sz w:val="16"/>
        </w:rPr>
        <w:t> </w:t>
      </w:r>
      <w:r>
        <w:rPr>
          <w:sz w:val="16"/>
        </w:rPr>
        <w:t>que</w:t>
      </w:r>
      <w:r>
        <w:rPr>
          <w:spacing w:val="-1"/>
          <w:sz w:val="16"/>
        </w:rPr>
        <w:t> </w:t>
      </w:r>
      <w:r>
        <w:rPr>
          <w:sz w:val="16"/>
        </w:rPr>
        <w:t>se</w:t>
      </w:r>
      <w:r>
        <w:rPr>
          <w:spacing w:val="-3"/>
          <w:sz w:val="16"/>
        </w:rPr>
        <w:t> </w:t>
      </w:r>
      <w:r>
        <w:rPr>
          <w:sz w:val="16"/>
        </w:rPr>
        <w:t>requiere</w:t>
      </w:r>
      <w:r>
        <w:rPr>
          <w:spacing w:val="-3"/>
          <w:sz w:val="16"/>
        </w:rPr>
        <w:t> </w:t>
      </w:r>
      <w:r>
        <w:rPr>
          <w:sz w:val="16"/>
        </w:rPr>
        <w:t>para</w:t>
      </w:r>
      <w:r>
        <w:rPr>
          <w:spacing w:val="-3"/>
          <w:sz w:val="16"/>
        </w:rPr>
        <w:t> </w:t>
      </w:r>
      <w:r>
        <w:rPr>
          <w:sz w:val="16"/>
        </w:rPr>
        <w:t>que un</w:t>
      </w:r>
      <w:r>
        <w:rPr>
          <w:spacing w:val="-8"/>
          <w:sz w:val="16"/>
        </w:rPr>
        <w:t> </w:t>
      </w:r>
      <w:r>
        <w:rPr>
          <w:sz w:val="16"/>
        </w:rPr>
        <w:t>individuo,</w:t>
      </w:r>
      <w:r>
        <w:rPr>
          <w:spacing w:val="-4"/>
          <w:sz w:val="16"/>
        </w:rPr>
        <w:t> </w:t>
      </w:r>
      <w:r>
        <w:rPr>
          <w:sz w:val="16"/>
        </w:rPr>
        <w:t>una</w:t>
      </w:r>
      <w:r>
        <w:rPr>
          <w:spacing w:val="-9"/>
          <w:sz w:val="16"/>
        </w:rPr>
        <w:t> </w:t>
      </w:r>
      <w:r>
        <w:rPr>
          <w:sz w:val="16"/>
        </w:rPr>
        <w:t>región,</w:t>
      </w:r>
      <w:r>
        <w:rPr>
          <w:spacing w:val="-8"/>
          <w:sz w:val="16"/>
        </w:rPr>
        <w:t> </w:t>
      </w:r>
      <w:r>
        <w:rPr>
          <w:sz w:val="16"/>
        </w:rPr>
        <w:t>o</w:t>
      </w:r>
      <w:r>
        <w:rPr>
          <w:spacing w:val="-9"/>
          <w:sz w:val="16"/>
        </w:rPr>
        <w:t> </w:t>
      </w:r>
      <w:r>
        <w:rPr>
          <w:sz w:val="16"/>
        </w:rPr>
        <w:t>toda</w:t>
      </w:r>
      <w:r>
        <w:rPr>
          <w:spacing w:val="-9"/>
          <w:sz w:val="16"/>
        </w:rPr>
        <w:t> </w:t>
      </w:r>
      <w:r>
        <w:rPr>
          <w:sz w:val="16"/>
        </w:rPr>
        <w:t>la</w:t>
      </w:r>
      <w:r>
        <w:rPr>
          <w:spacing w:val="-4"/>
          <w:sz w:val="16"/>
        </w:rPr>
        <w:t> </w:t>
      </w:r>
      <w:r>
        <w:rPr>
          <w:sz w:val="16"/>
        </w:rPr>
        <w:t>humanidad,</w:t>
      </w:r>
      <w:r>
        <w:rPr>
          <w:spacing w:val="-8"/>
          <w:sz w:val="16"/>
        </w:rPr>
        <w:t> </w:t>
      </w:r>
      <w:r>
        <w:rPr>
          <w:sz w:val="16"/>
        </w:rPr>
        <w:t>o</w:t>
      </w:r>
      <w:r>
        <w:rPr>
          <w:spacing w:val="-4"/>
          <w:sz w:val="16"/>
        </w:rPr>
        <w:t> </w:t>
      </w:r>
      <w:r>
        <w:rPr>
          <w:sz w:val="16"/>
        </w:rPr>
        <w:t>una</w:t>
      </w:r>
      <w:r>
        <w:rPr>
          <w:spacing w:val="-9"/>
          <w:sz w:val="16"/>
        </w:rPr>
        <w:t> </w:t>
      </w:r>
      <w:r>
        <w:rPr>
          <w:sz w:val="16"/>
        </w:rPr>
        <w:t>actividad</w:t>
      </w:r>
      <w:r>
        <w:rPr>
          <w:spacing w:val="-4"/>
          <w:sz w:val="16"/>
        </w:rPr>
        <w:t> </w:t>
      </w:r>
      <w:r>
        <w:rPr>
          <w:sz w:val="16"/>
        </w:rPr>
        <w:t>humana</w:t>
      </w:r>
      <w:r>
        <w:rPr>
          <w:spacing w:val="-9"/>
          <w:sz w:val="16"/>
        </w:rPr>
        <w:t> </w:t>
      </w:r>
      <w:r>
        <w:rPr>
          <w:sz w:val="16"/>
        </w:rPr>
        <w:t>puedan</w:t>
      </w:r>
      <w:r>
        <w:rPr>
          <w:spacing w:val="-12"/>
          <w:sz w:val="16"/>
        </w:rPr>
        <w:t> </w:t>
      </w:r>
      <w:r>
        <w:rPr>
          <w:sz w:val="16"/>
        </w:rPr>
        <w:t>producir</w:t>
      </w:r>
      <w:r>
        <w:rPr>
          <w:spacing w:val="-9"/>
          <w:sz w:val="16"/>
        </w:rPr>
        <w:t> </w:t>
      </w:r>
      <w:r>
        <w:rPr>
          <w:sz w:val="16"/>
        </w:rPr>
        <w:t>los</w:t>
      </w:r>
      <w:r>
        <w:rPr>
          <w:spacing w:val="-11"/>
          <w:sz w:val="16"/>
        </w:rPr>
        <w:t> </w:t>
      </w:r>
      <w:r>
        <w:rPr>
          <w:sz w:val="16"/>
        </w:rPr>
        <w:t>recursos</w:t>
      </w:r>
      <w:r>
        <w:rPr>
          <w:spacing w:val="-11"/>
          <w:sz w:val="16"/>
        </w:rPr>
        <w:t> </w:t>
      </w:r>
      <w:r>
        <w:rPr>
          <w:sz w:val="16"/>
        </w:rPr>
        <w:t>que</w:t>
      </w:r>
      <w:r>
        <w:rPr>
          <w:spacing w:val="-9"/>
          <w:sz w:val="16"/>
        </w:rPr>
        <w:t> </w:t>
      </w:r>
      <w:r>
        <w:rPr>
          <w:sz w:val="16"/>
        </w:rPr>
        <w:t>consume</w:t>
      </w:r>
      <w:r>
        <w:rPr>
          <w:spacing w:val="-4"/>
          <w:sz w:val="16"/>
        </w:rPr>
        <w:t> </w:t>
      </w:r>
      <w:r>
        <w:rPr>
          <w:sz w:val="16"/>
        </w:rPr>
        <w:t>y</w:t>
      </w:r>
      <w:r>
        <w:rPr>
          <w:spacing w:val="-8"/>
          <w:sz w:val="16"/>
        </w:rPr>
        <w:t> </w:t>
      </w:r>
      <w:r>
        <w:rPr>
          <w:sz w:val="16"/>
        </w:rPr>
        <w:t>absorber las emisiones de dióxido de</w:t>
      </w:r>
      <w:r>
        <w:rPr>
          <w:spacing w:val="-20"/>
          <w:sz w:val="16"/>
        </w:rPr>
        <w:t> </w:t>
      </w:r>
      <w:r>
        <w:rPr>
          <w:sz w:val="16"/>
        </w:rPr>
        <w:t>carbono.</w:t>
      </w:r>
    </w:p>
    <w:p>
      <w:pPr>
        <w:spacing w:line="173" w:lineRule="exact" w:before="0"/>
        <w:ind w:left="164" w:right="0" w:firstLine="0"/>
        <w:jc w:val="both"/>
        <w:rPr>
          <w:sz w:val="16"/>
        </w:rPr>
      </w:pPr>
      <w:r>
        <w:rPr>
          <w:sz w:val="16"/>
        </w:rPr>
        <w:t>Disponible en: </w:t>
      </w:r>
      <w:hyperlink r:id="rId44">
        <w:r>
          <w:rPr>
            <w:sz w:val="16"/>
          </w:rPr>
          <w:t>http://www.happyplanetindex.org/assets/happy-planet-index-report.pdf</w:t>
        </w:r>
      </w:hyperlink>
    </w:p>
    <w:p>
      <w:pPr>
        <w:spacing w:before="0"/>
        <w:ind w:left="164" w:right="0" w:firstLine="0"/>
        <w:jc w:val="both"/>
        <w:rPr>
          <w:sz w:val="16"/>
        </w:rPr>
      </w:pPr>
      <w:r>
        <w:rPr>
          <w:sz w:val="16"/>
        </w:rPr>
        <w:t>[Fecha consulta: 31 de agosto, 2015]</w:t>
      </w:r>
    </w:p>
    <w:p>
      <w:pPr>
        <w:spacing w:after="0"/>
        <w:jc w:val="both"/>
        <w:rPr>
          <w:sz w:val="16"/>
        </w:rPr>
        <w:sectPr>
          <w:pgSz w:w="12240" w:h="15840"/>
          <w:pgMar w:header="0" w:footer="998" w:top="1420" w:bottom="1180" w:left="1580" w:right="1580"/>
        </w:sectPr>
      </w:pPr>
    </w:p>
    <w:p>
      <w:pPr>
        <w:spacing w:before="53"/>
        <w:ind w:left="2665" w:right="132" w:firstLine="0"/>
        <w:jc w:val="left"/>
        <w:rPr>
          <w:sz w:val="20"/>
        </w:rPr>
      </w:pPr>
      <w:bookmarkStart w:name="_bookmark39" w:id="52"/>
      <w:bookmarkEnd w:id="52"/>
      <w:r>
        <w:rPr/>
      </w:r>
      <w:r>
        <w:rPr>
          <w:sz w:val="20"/>
        </w:rPr>
        <w:t>Cuadro 1.14. Índice de planeta feliz, 2012</w:t>
      </w:r>
    </w:p>
    <w:p>
      <w:pPr>
        <w:pStyle w:val="BodyText"/>
        <w:spacing w:before="10"/>
        <w:rPr>
          <w:sz w:val="17"/>
        </w:rPr>
      </w:pPr>
    </w:p>
    <w:tbl>
      <w:tblPr>
        <w:tblW w:w="0" w:type="auto"/>
        <w:jc w:val="left"/>
        <w:tblInd w:w="156" w:type="dxa"/>
        <w:tblBorders>
          <w:top w:val="single" w:sz="11" w:space="0" w:color="D9D9D9"/>
          <w:left w:val="single" w:sz="11" w:space="0" w:color="D9D9D9"/>
          <w:bottom w:val="single" w:sz="11" w:space="0" w:color="D9D9D9"/>
          <w:right w:val="single" w:sz="11" w:space="0" w:color="D9D9D9"/>
          <w:insideH w:val="single" w:sz="11" w:space="0" w:color="D9D9D9"/>
          <w:insideV w:val="single" w:sz="11" w:space="0" w:color="D9D9D9"/>
        </w:tblBorders>
        <w:tblLayout w:type="fixed"/>
        <w:tblCellMar>
          <w:top w:w="0" w:type="dxa"/>
          <w:left w:w="0" w:type="dxa"/>
          <w:bottom w:w="0" w:type="dxa"/>
          <w:right w:w="0" w:type="dxa"/>
        </w:tblCellMar>
        <w:tblLook w:val="01E0"/>
      </w:tblPr>
      <w:tblGrid>
        <w:gridCol w:w="1261"/>
        <w:gridCol w:w="1209"/>
        <w:gridCol w:w="1208"/>
        <w:gridCol w:w="1040"/>
        <w:gridCol w:w="1536"/>
        <w:gridCol w:w="1085"/>
        <w:gridCol w:w="1401"/>
      </w:tblGrid>
      <w:tr>
        <w:trPr>
          <w:trHeight w:val="584" w:hRule="exact"/>
        </w:trPr>
        <w:tc>
          <w:tcPr>
            <w:tcW w:w="1261" w:type="dxa"/>
          </w:tcPr>
          <w:p>
            <w:pPr>
              <w:pStyle w:val="TableParagraph"/>
              <w:spacing w:before="9"/>
              <w:rPr>
                <w:sz w:val="15"/>
              </w:rPr>
            </w:pPr>
          </w:p>
          <w:p>
            <w:pPr>
              <w:pStyle w:val="TableParagraph"/>
              <w:ind w:left="431" w:right="431"/>
              <w:jc w:val="center"/>
              <w:rPr>
                <w:b/>
                <w:sz w:val="16"/>
              </w:rPr>
            </w:pPr>
            <w:r>
              <w:rPr>
                <w:b/>
                <w:sz w:val="16"/>
              </w:rPr>
              <w:t>País</w:t>
            </w:r>
          </w:p>
        </w:tc>
        <w:tc>
          <w:tcPr>
            <w:tcW w:w="1209" w:type="dxa"/>
          </w:tcPr>
          <w:p>
            <w:pPr>
              <w:pStyle w:val="TableParagraph"/>
              <w:spacing w:before="9"/>
              <w:rPr>
                <w:sz w:val="15"/>
              </w:rPr>
            </w:pPr>
          </w:p>
          <w:p>
            <w:pPr>
              <w:pStyle w:val="TableParagraph"/>
              <w:ind w:left="38" w:right="35"/>
              <w:jc w:val="center"/>
              <w:rPr>
                <w:b/>
                <w:sz w:val="16"/>
              </w:rPr>
            </w:pPr>
            <w:r>
              <w:rPr>
                <w:b/>
                <w:sz w:val="16"/>
              </w:rPr>
              <w:t>Posición 2010</w:t>
            </w:r>
          </w:p>
        </w:tc>
        <w:tc>
          <w:tcPr>
            <w:tcW w:w="1208" w:type="dxa"/>
          </w:tcPr>
          <w:p>
            <w:pPr>
              <w:pStyle w:val="TableParagraph"/>
              <w:spacing w:before="9"/>
              <w:rPr>
                <w:sz w:val="15"/>
              </w:rPr>
            </w:pPr>
          </w:p>
          <w:p>
            <w:pPr>
              <w:pStyle w:val="TableParagraph"/>
              <w:ind w:left="38" w:right="34"/>
              <w:jc w:val="center"/>
              <w:rPr>
                <w:b/>
                <w:sz w:val="16"/>
              </w:rPr>
            </w:pPr>
            <w:r>
              <w:rPr>
                <w:b/>
                <w:sz w:val="16"/>
              </w:rPr>
              <w:t>Posición 2012</w:t>
            </w:r>
          </w:p>
        </w:tc>
        <w:tc>
          <w:tcPr>
            <w:tcW w:w="1040" w:type="dxa"/>
          </w:tcPr>
          <w:p>
            <w:pPr>
              <w:pStyle w:val="TableParagraph"/>
              <w:spacing w:before="9"/>
              <w:rPr>
                <w:sz w:val="15"/>
              </w:rPr>
            </w:pPr>
          </w:p>
          <w:p>
            <w:pPr>
              <w:pStyle w:val="TableParagraph"/>
              <w:ind w:left="39" w:right="35"/>
              <w:jc w:val="center"/>
              <w:rPr>
                <w:b/>
                <w:sz w:val="16"/>
              </w:rPr>
            </w:pPr>
            <w:r>
              <w:rPr>
                <w:b/>
                <w:sz w:val="16"/>
              </w:rPr>
              <w:t>Calificación</w:t>
            </w:r>
          </w:p>
        </w:tc>
        <w:tc>
          <w:tcPr>
            <w:tcW w:w="1536" w:type="dxa"/>
          </w:tcPr>
          <w:p>
            <w:pPr>
              <w:pStyle w:val="TableParagraph"/>
              <w:spacing w:before="9"/>
              <w:rPr>
                <w:sz w:val="15"/>
              </w:rPr>
            </w:pPr>
          </w:p>
          <w:p>
            <w:pPr>
              <w:pStyle w:val="TableParagraph"/>
              <w:ind w:left="35" w:right="37"/>
              <w:jc w:val="center"/>
              <w:rPr>
                <w:b/>
                <w:sz w:val="16"/>
              </w:rPr>
            </w:pPr>
            <w:r>
              <w:rPr>
                <w:b/>
                <w:sz w:val="16"/>
              </w:rPr>
              <w:t>Esperanza de vida</w:t>
            </w:r>
          </w:p>
        </w:tc>
        <w:tc>
          <w:tcPr>
            <w:tcW w:w="1085" w:type="dxa"/>
          </w:tcPr>
          <w:p>
            <w:pPr>
              <w:pStyle w:val="TableParagraph"/>
              <w:spacing w:before="90"/>
              <w:ind w:left="252" w:right="38" w:hanging="196"/>
              <w:rPr>
                <w:b/>
                <w:sz w:val="16"/>
              </w:rPr>
            </w:pPr>
            <w:r>
              <w:rPr>
                <w:b/>
                <w:sz w:val="16"/>
              </w:rPr>
              <w:t>Satisfacción de vida</w:t>
            </w:r>
          </w:p>
        </w:tc>
        <w:tc>
          <w:tcPr>
            <w:tcW w:w="1401" w:type="dxa"/>
          </w:tcPr>
          <w:p>
            <w:pPr>
              <w:pStyle w:val="TableParagraph"/>
              <w:spacing w:before="9"/>
              <w:rPr>
                <w:sz w:val="15"/>
              </w:rPr>
            </w:pPr>
          </w:p>
          <w:p>
            <w:pPr>
              <w:pStyle w:val="TableParagraph"/>
              <w:ind w:left="34" w:right="34"/>
              <w:jc w:val="center"/>
              <w:rPr>
                <w:b/>
                <w:sz w:val="16"/>
              </w:rPr>
            </w:pPr>
            <w:r>
              <w:rPr>
                <w:b/>
                <w:sz w:val="16"/>
              </w:rPr>
              <w:t>Huella ecológica</w:t>
            </w:r>
          </w:p>
        </w:tc>
      </w:tr>
      <w:tr>
        <w:trPr>
          <w:trHeight w:val="212" w:hRule="exact"/>
        </w:trPr>
        <w:tc>
          <w:tcPr>
            <w:tcW w:w="1261" w:type="dxa"/>
          </w:tcPr>
          <w:p>
            <w:pPr>
              <w:pStyle w:val="TableParagraph"/>
              <w:spacing w:line="178" w:lineRule="exact"/>
              <w:ind w:left="55"/>
              <w:rPr>
                <w:sz w:val="16"/>
              </w:rPr>
            </w:pPr>
            <w:r>
              <w:rPr>
                <w:sz w:val="16"/>
              </w:rPr>
              <w:t>Costa Rica</w:t>
            </w:r>
          </w:p>
        </w:tc>
        <w:tc>
          <w:tcPr>
            <w:tcW w:w="1209" w:type="dxa"/>
          </w:tcPr>
          <w:p>
            <w:pPr>
              <w:pStyle w:val="TableParagraph"/>
              <w:spacing w:line="178" w:lineRule="exact"/>
              <w:ind w:left="4"/>
              <w:jc w:val="center"/>
              <w:rPr>
                <w:sz w:val="16"/>
              </w:rPr>
            </w:pPr>
            <w:r>
              <w:rPr>
                <w:w w:val="99"/>
                <w:sz w:val="16"/>
              </w:rPr>
              <w:t>1</w:t>
            </w:r>
          </w:p>
        </w:tc>
        <w:tc>
          <w:tcPr>
            <w:tcW w:w="1208" w:type="dxa"/>
          </w:tcPr>
          <w:p>
            <w:pPr>
              <w:pStyle w:val="TableParagraph"/>
              <w:spacing w:line="178" w:lineRule="exact"/>
              <w:ind w:left="4"/>
              <w:jc w:val="center"/>
              <w:rPr>
                <w:sz w:val="16"/>
              </w:rPr>
            </w:pPr>
            <w:r>
              <w:rPr>
                <w:w w:val="99"/>
                <w:sz w:val="16"/>
              </w:rPr>
              <w:t>1</w:t>
            </w:r>
          </w:p>
        </w:tc>
        <w:tc>
          <w:tcPr>
            <w:tcW w:w="1040" w:type="dxa"/>
          </w:tcPr>
          <w:p>
            <w:pPr>
              <w:pStyle w:val="TableParagraph"/>
              <w:spacing w:line="178" w:lineRule="exact"/>
              <w:ind w:left="36" w:right="35"/>
              <w:jc w:val="center"/>
              <w:rPr>
                <w:sz w:val="16"/>
              </w:rPr>
            </w:pPr>
            <w:r>
              <w:rPr>
                <w:sz w:val="16"/>
              </w:rPr>
              <w:t>64.0</w:t>
            </w:r>
          </w:p>
        </w:tc>
        <w:tc>
          <w:tcPr>
            <w:tcW w:w="1536" w:type="dxa"/>
          </w:tcPr>
          <w:p>
            <w:pPr>
              <w:pStyle w:val="TableParagraph"/>
              <w:spacing w:line="178" w:lineRule="exact"/>
              <w:ind w:left="33" w:right="37"/>
              <w:jc w:val="center"/>
              <w:rPr>
                <w:sz w:val="16"/>
              </w:rPr>
            </w:pPr>
            <w:r>
              <w:rPr>
                <w:sz w:val="16"/>
              </w:rPr>
              <w:t>79.3</w:t>
            </w:r>
          </w:p>
        </w:tc>
        <w:tc>
          <w:tcPr>
            <w:tcW w:w="1085" w:type="dxa"/>
          </w:tcPr>
          <w:p>
            <w:pPr>
              <w:pStyle w:val="TableParagraph"/>
              <w:spacing w:line="178" w:lineRule="exact"/>
              <w:ind w:left="397" w:right="397"/>
              <w:jc w:val="center"/>
              <w:rPr>
                <w:sz w:val="16"/>
              </w:rPr>
            </w:pPr>
            <w:r>
              <w:rPr>
                <w:sz w:val="16"/>
              </w:rPr>
              <w:t>7.3</w:t>
            </w:r>
          </w:p>
        </w:tc>
        <w:tc>
          <w:tcPr>
            <w:tcW w:w="1401" w:type="dxa"/>
          </w:tcPr>
          <w:p>
            <w:pPr>
              <w:pStyle w:val="TableParagraph"/>
              <w:spacing w:line="178" w:lineRule="exact"/>
              <w:ind w:left="34" w:right="34"/>
              <w:jc w:val="center"/>
              <w:rPr>
                <w:sz w:val="16"/>
              </w:rPr>
            </w:pPr>
            <w:r>
              <w:rPr>
                <w:sz w:val="16"/>
              </w:rPr>
              <w:t>2.5</w:t>
            </w:r>
          </w:p>
        </w:tc>
      </w:tr>
      <w:tr>
        <w:trPr>
          <w:trHeight w:val="216" w:hRule="exact"/>
        </w:trPr>
        <w:tc>
          <w:tcPr>
            <w:tcW w:w="1261" w:type="dxa"/>
          </w:tcPr>
          <w:p>
            <w:pPr>
              <w:pStyle w:val="TableParagraph"/>
              <w:spacing w:line="182" w:lineRule="exact"/>
              <w:ind w:left="55"/>
              <w:rPr>
                <w:sz w:val="16"/>
              </w:rPr>
            </w:pPr>
            <w:r>
              <w:rPr>
                <w:sz w:val="16"/>
              </w:rPr>
              <w:t>Vietnam</w:t>
            </w:r>
          </w:p>
        </w:tc>
        <w:tc>
          <w:tcPr>
            <w:tcW w:w="1209" w:type="dxa"/>
          </w:tcPr>
          <w:p>
            <w:pPr>
              <w:pStyle w:val="TableParagraph"/>
              <w:spacing w:line="182" w:lineRule="exact"/>
              <w:ind w:left="4"/>
              <w:jc w:val="center"/>
              <w:rPr>
                <w:sz w:val="16"/>
              </w:rPr>
            </w:pPr>
            <w:r>
              <w:rPr>
                <w:w w:val="99"/>
                <w:sz w:val="16"/>
              </w:rPr>
              <w:t>5</w:t>
            </w:r>
          </w:p>
        </w:tc>
        <w:tc>
          <w:tcPr>
            <w:tcW w:w="1208" w:type="dxa"/>
          </w:tcPr>
          <w:p>
            <w:pPr>
              <w:pStyle w:val="TableParagraph"/>
              <w:spacing w:line="182" w:lineRule="exact"/>
              <w:ind w:left="4"/>
              <w:jc w:val="center"/>
              <w:rPr>
                <w:sz w:val="16"/>
              </w:rPr>
            </w:pPr>
            <w:r>
              <w:rPr>
                <w:w w:val="99"/>
                <w:sz w:val="16"/>
              </w:rPr>
              <w:t>2</w:t>
            </w:r>
          </w:p>
        </w:tc>
        <w:tc>
          <w:tcPr>
            <w:tcW w:w="1040" w:type="dxa"/>
          </w:tcPr>
          <w:p>
            <w:pPr>
              <w:pStyle w:val="TableParagraph"/>
              <w:spacing w:line="182" w:lineRule="exact"/>
              <w:ind w:left="36" w:right="35"/>
              <w:jc w:val="center"/>
              <w:rPr>
                <w:sz w:val="16"/>
              </w:rPr>
            </w:pPr>
            <w:r>
              <w:rPr>
                <w:sz w:val="16"/>
              </w:rPr>
              <w:t>60.4</w:t>
            </w:r>
          </w:p>
        </w:tc>
        <w:tc>
          <w:tcPr>
            <w:tcW w:w="1536" w:type="dxa"/>
          </w:tcPr>
          <w:p>
            <w:pPr>
              <w:pStyle w:val="TableParagraph"/>
              <w:spacing w:line="182" w:lineRule="exact"/>
              <w:ind w:left="33" w:right="37"/>
              <w:jc w:val="center"/>
              <w:rPr>
                <w:sz w:val="16"/>
              </w:rPr>
            </w:pPr>
            <w:r>
              <w:rPr>
                <w:sz w:val="16"/>
              </w:rPr>
              <w:t>75.2</w:t>
            </w:r>
          </w:p>
        </w:tc>
        <w:tc>
          <w:tcPr>
            <w:tcW w:w="1085" w:type="dxa"/>
          </w:tcPr>
          <w:p>
            <w:pPr>
              <w:pStyle w:val="TableParagraph"/>
              <w:spacing w:line="182" w:lineRule="exact"/>
              <w:ind w:left="397" w:right="397"/>
              <w:jc w:val="center"/>
              <w:rPr>
                <w:sz w:val="16"/>
              </w:rPr>
            </w:pPr>
            <w:r>
              <w:rPr>
                <w:sz w:val="16"/>
              </w:rPr>
              <w:t>5.8</w:t>
            </w:r>
          </w:p>
        </w:tc>
        <w:tc>
          <w:tcPr>
            <w:tcW w:w="1401" w:type="dxa"/>
          </w:tcPr>
          <w:p>
            <w:pPr>
              <w:pStyle w:val="TableParagraph"/>
              <w:spacing w:line="182" w:lineRule="exact"/>
              <w:ind w:left="34" w:right="34"/>
              <w:jc w:val="center"/>
              <w:rPr>
                <w:sz w:val="16"/>
              </w:rPr>
            </w:pPr>
            <w:r>
              <w:rPr>
                <w:sz w:val="16"/>
              </w:rPr>
              <w:t>1.4</w:t>
            </w:r>
          </w:p>
        </w:tc>
      </w:tr>
      <w:tr>
        <w:trPr>
          <w:trHeight w:val="214" w:hRule="exact"/>
        </w:trPr>
        <w:tc>
          <w:tcPr>
            <w:tcW w:w="1261" w:type="dxa"/>
          </w:tcPr>
          <w:p>
            <w:pPr>
              <w:pStyle w:val="TableParagraph"/>
              <w:spacing w:line="178" w:lineRule="exact"/>
              <w:ind w:left="55"/>
              <w:rPr>
                <w:sz w:val="16"/>
              </w:rPr>
            </w:pPr>
            <w:r>
              <w:rPr>
                <w:sz w:val="16"/>
              </w:rPr>
              <w:t>Colombia</w:t>
            </w:r>
          </w:p>
        </w:tc>
        <w:tc>
          <w:tcPr>
            <w:tcW w:w="1209" w:type="dxa"/>
          </w:tcPr>
          <w:p>
            <w:pPr>
              <w:pStyle w:val="TableParagraph"/>
              <w:spacing w:line="178" w:lineRule="exact"/>
              <w:ind w:left="4"/>
              <w:jc w:val="center"/>
              <w:rPr>
                <w:sz w:val="16"/>
              </w:rPr>
            </w:pPr>
            <w:r>
              <w:rPr>
                <w:w w:val="99"/>
                <w:sz w:val="16"/>
              </w:rPr>
              <w:t>6</w:t>
            </w:r>
          </w:p>
        </w:tc>
        <w:tc>
          <w:tcPr>
            <w:tcW w:w="1208" w:type="dxa"/>
          </w:tcPr>
          <w:p>
            <w:pPr>
              <w:pStyle w:val="TableParagraph"/>
              <w:spacing w:line="178" w:lineRule="exact"/>
              <w:ind w:left="4"/>
              <w:jc w:val="center"/>
              <w:rPr>
                <w:sz w:val="16"/>
              </w:rPr>
            </w:pPr>
            <w:r>
              <w:rPr>
                <w:w w:val="99"/>
                <w:sz w:val="16"/>
              </w:rPr>
              <w:t>3</w:t>
            </w:r>
          </w:p>
        </w:tc>
        <w:tc>
          <w:tcPr>
            <w:tcW w:w="1040" w:type="dxa"/>
          </w:tcPr>
          <w:p>
            <w:pPr>
              <w:pStyle w:val="TableParagraph"/>
              <w:spacing w:line="178" w:lineRule="exact"/>
              <w:ind w:left="36" w:right="35"/>
              <w:jc w:val="center"/>
              <w:rPr>
                <w:sz w:val="16"/>
              </w:rPr>
            </w:pPr>
            <w:r>
              <w:rPr>
                <w:sz w:val="16"/>
              </w:rPr>
              <w:t>59.8</w:t>
            </w:r>
          </w:p>
        </w:tc>
        <w:tc>
          <w:tcPr>
            <w:tcW w:w="1536" w:type="dxa"/>
          </w:tcPr>
          <w:p>
            <w:pPr>
              <w:pStyle w:val="TableParagraph"/>
              <w:spacing w:line="178" w:lineRule="exact"/>
              <w:ind w:left="33" w:right="37"/>
              <w:jc w:val="center"/>
              <w:rPr>
                <w:sz w:val="16"/>
              </w:rPr>
            </w:pPr>
            <w:r>
              <w:rPr>
                <w:sz w:val="16"/>
              </w:rPr>
              <w:t>73.7</w:t>
            </w:r>
          </w:p>
        </w:tc>
        <w:tc>
          <w:tcPr>
            <w:tcW w:w="1085" w:type="dxa"/>
          </w:tcPr>
          <w:p>
            <w:pPr>
              <w:pStyle w:val="TableParagraph"/>
              <w:spacing w:line="178" w:lineRule="exact"/>
              <w:ind w:left="397" w:right="397"/>
              <w:jc w:val="center"/>
              <w:rPr>
                <w:sz w:val="16"/>
              </w:rPr>
            </w:pPr>
            <w:r>
              <w:rPr>
                <w:sz w:val="16"/>
              </w:rPr>
              <w:t>6.4</w:t>
            </w:r>
          </w:p>
        </w:tc>
        <w:tc>
          <w:tcPr>
            <w:tcW w:w="1401" w:type="dxa"/>
          </w:tcPr>
          <w:p>
            <w:pPr>
              <w:pStyle w:val="TableParagraph"/>
              <w:spacing w:line="178" w:lineRule="exact"/>
              <w:ind w:left="34" w:right="34"/>
              <w:jc w:val="center"/>
              <w:rPr>
                <w:sz w:val="16"/>
              </w:rPr>
            </w:pPr>
            <w:r>
              <w:rPr>
                <w:sz w:val="16"/>
              </w:rPr>
              <w:t>1.8</w:t>
            </w:r>
          </w:p>
        </w:tc>
      </w:tr>
      <w:tr>
        <w:trPr>
          <w:trHeight w:val="214" w:hRule="exact"/>
        </w:trPr>
        <w:tc>
          <w:tcPr>
            <w:tcW w:w="1261" w:type="dxa"/>
            <w:shd w:val="clear" w:color="auto" w:fill="FFFF00"/>
          </w:tcPr>
          <w:p>
            <w:pPr>
              <w:pStyle w:val="TableParagraph"/>
              <w:spacing w:line="180" w:lineRule="exact"/>
              <w:ind w:left="55"/>
              <w:rPr>
                <w:b/>
                <w:sz w:val="16"/>
              </w:rPr>
            </w:pPr>
            <w:r>
              <w:rPr>
                <w:b/>
                <w:sz w:val="16"/>
              </w:rPr>
              <w:t>México</w:t>
            </w:r>
          </w:p>
        </w:tc>
        <w:tc>
          <w:tcPr>
            <w:tcW w:w="1209" w:type="dxa"/>
            <w:shd w:val="clear" w:color="auto" w:fill="FFFF00"/>
          </w:tcPr>
          <w:p>
            <w:pPr>
              <w:pStyle w:val="TableParagraph"/>
              <w:spacing w:line="180" w:lineRule="exact"/>
              <w:ind w:left="38" w:right="35"/>
              <w:jc w:val="center"/>
              <w:rPr>
                <w:b/>
                <w:sz w:val="16"/>
              </w:rPr>
            </w:pPr>
            <w:r>
              <w:rPr>
                <w:b/>
                <w:sz w:val="16"/>
              </w:rPr>
              <w:t>23</w:t>
            </w:r>
          </w:p>
        </w:tc>
        <w:tc>
          <w:tcPr>
            <w:tcW w:w="1208" w:type="dxa"/>
            <w:shd w:val="clear" w:color="auto" w:fill="FFFF00"/>
          </w:tcPr>
          <w:p>
            <w:pPr>
              <w:pStyle w:val="TableParagraph"/>
              <w:spacing w:line="180" w:lineRule="exact"/>
              <w:ind w:left="38" w:right="34"/>
              <w:jc w:val="center"/>
              <w:rPr>
                <w:b/>
                <w:sz w:val="16"/>
              </w:rPr>
            </w:pPr>
            <w:r>
              <w:rPr>
                <w:b/>
                <w:sz w:val="16"/>
              </w:rPr>
              <w:t>22</w:t>
            </w:r>
          </w:p>
        </w:tc>
        <w:tc>
          <w:tcPr>
            <w:tcW w:w="1040" w:type="dxa"/>
            <w:shd w:val="clear" w:color="auto" w:fill="FFFF00"/>
          </w:tcPr>
          <w:p>
            <w:pPr>
              <w:pStyle w:val="TableParagraph"/>
              <w:spacing w:line="180" w:lineRule="exact"/>
              <w:ind w:left="36" w:right="35"/>
              <w:jc w:val="center"/>
              <w:rPr>
                <w:b/>
                <w:sz w:val="16"/>
              </w:rPr>
            </w:pPr>
            <w:r>
              <w:rPr>
                <w:b/>
                <w:sz w:val="16"/>
              </w:rPr>
              <w:t>52.9</w:t>
            </w:r>
          </w:p>
        </w:tc>
        <w:tc>
          <w:tcPr>
            <w:tcW w:w="1536" w:type="dxa"/>
            <w:shd w:val="clear" w:color="auto" w:fill="FFFF00"/>
          </w:tcPr>
          <w:p>
            <w:pPr>
              <w:pStyle w:val="TableParagraph"/>
              <w:spacing w:line="180" w:lineRule="exact"/>
              <w:ind w:left="33" w:right="37"/>
              <w:jc w:val="center"/>
              <w:rPr>
                <w:b/>
                <w:sz w:val="16"/>
              </w:rPr>
            </w:pPr>
            <w:r>
              <w:rPr>
                <w:b/>
                <w:sz w:val="16"/>
              </w:rPr>
              <w:t>77.0</w:t>
            </w:r>
          </w:p>
        </w:tc>
        <w:tc>
          <w:tcPr>
            <w:tcW w:w="1085" w:type="dxa"/>
            <w:shd w:val="clear" w:color="auto" w:fill="FFFF00"/>
          </w:tcPr>
          <w:p>
            <w:pPr>
              <w:pStyle w:val="TableParagraph"/>
              <w:spacing w:line="180" w:lineRule="exact"/>
              <w:ind w:left="397" w:right="397"/>
              <w:jc w:val="center"/>
              <w:rPr>
                <w:b/>
                <w:sz w:val="16"/>
              </w:rPr>
            </w:pPr>
            <w:r>
              <w:rPr>
                <w:b/>
                <w:sz w:val="16"/>
              </w:rPr>
              <w:t>6.8</w:t>
            </w:r>
          </w:p>
        </w:tc>
        <w:tc>
          <w:tcPr>
            <w:tcW w:w="1401" w:type="dxa"/>
            <w:shd w:val="clear" w:color="auto" w:fill="FFFF00"/>
          </w:tcPr>
          <w:p>
            <w:pPr>
              <w:pStyle w:val="TableParagraph"/>
              <w:spacing w:line="180" w:lineRule="exact"/>
              <w:ind w:left="34" w:right="34"/>
              <w:jc w:val="center"/>
              <w:rPr>
                <w:b/>
                <w:sz w:val="16"/>
              </w:rPr>
            </w:pPr>
            <w:r>
              <w:rPr>
                <w:b/>
                <w:sz w:val="16"/>
              </w:rPr>
              <w:t>3.3</w:t>
            </w:r>
          </w:p>
        </w:tc>
      </w:tr>
      <w:tr>
        <w:trPr>
          <w:trHeight w:val="212" w:hRule="exact"/>
        </w:trPr>
        <w:tc>
          <w:tcPr>
            <w:tcW w:w="1261" w:type="dxa"/>
          </w:tcPr>
          <w:p>
            <w:pPr>
              <w:pStyle w:val="TableParagraph"/>
              <w:spacing w:line="178" w:lineRule="exact"/>
              <w:ind w:left="55"/>
              <w:rPr>
                <w:sz w:val="16"/>
              </w:rPr>
            </w:pPr>
            <w:r>
              <w:rPr>
                <w:sz w:val="16"/>
              </w:rPr>
              <w:t>Reino Unido</w:t>
            </w:r>
          </w:p>
        </w:tc>
        <w:tc>
          <w:tcPr>
            <w:tcW w:w="1209" w:type="dxa"/>
          </w:tcPr>
          <w:p>
            <w:pPr>
              <w:pStyle w:val="TableParagraph"/>
              <w:spacing w:line="178" w:lineRule="exact"/>
              <w:ind w:left="38" w:right="35"/>
              <w:jc w:val="center"/>
              <w:rPr>
                <w:sz w:val="16"/>
              </w:rPr>
            </w:pPr>
            <w:r>
              <w:rPr>
                <w:sz w:val="16"/>
              </w:rPr>
              <w:t>74</w:t>
            </w:r>
          </w:p>
        </w:tc>
        <w:tc>
          <w:tcPr>
            <w:tcW w:w="1208" w:type="dxa"/>
          </w:tcPr>
          <w:p>
            <w:pPr>
              <w:pStyle w:val="TableParagraph"/>
              <w:spacing w:line="178" w:lineRule="exact"/>
              <w:ind w:left="38" w:right="34"/>
              <w:jc w:val="center"/>
              <w:rPr>
                <w:sz w:val="16"/>
              </w:rPr>
            </w:pPr>
            <w:r>
              <w:rPr>
                <w:sz w:val="16"/>
              </w:rPr>
              <w:t>41</w:t>
            </w:r>
          </w:p>
        </w:tc>
        <w:tc>
          <w:tcPr>
            <w:tcW w:w="1040" w:type="dxa"/>
          </w:tcPr>
          <w:p>
            <w:pPr>
              <w:pStyle w:val="TableParagraph"/>
              <w:spacing w:line="178" w:lineRule="exact"/>
              <w:ind w:left="36" w:right="35"/>
              <w:jc w:val="center"/>
              <w:rPr>
                <w:sz w:val="16"/>
              </w:rPr>
            </w:pPr>
            <w:r>
              <w:rPr>
                <w:sz w:val="16"/>
              </w:rPr>
              <w:t>47.9</w:t>
            </w:r>
          </w:p>
        </w:tc>
        <w:tc>
          <w:tcPr>
            <w:tcW w:w="1536" w:type="dxa"/>
          </w:tcPr>
          <w:p>
            <w:pPr>
              <w:pStyle w:val="TableParagraph"/>
              <w:spacing w:line="178" w:lineRule="exact"/>
              <w:ind w:left="33" w:right="37"/>
              <w:jc w:val="center"/>
              <w:rPr>
                <w:sz w:val="16"/>
              </w:rPr>
            </w:pPr>
            <w:r>
              <w:rPr>
                <w:sz w:val="16"/>
              </w:rPr>
              <w:t>80.2</w:t>
            </w:r>
          </w:p>
        </w:tc>
        <w:tc>
          <w:tcPr>
            <w:tcW w:w="1085" w:type="dxa"/>
          </w:tcPr>
          <w:p>
            <w:pPr>
              <w:pStyle w:val="TableParagraph"/>
              <w:spacing w:line="178" w:lineRule="exact"/>
              <w:ind w:left="397" w:right="397"/>
              <w:jc w:val="center"/>
              <w:rPr>
                <w:sz w:val="16"/>
              </w:rPr>
            </w:pPr>
            <w:r>
              <w:rPr>
                <w:sz w:val="16"/>
              </w:rPr>
              <w:t>7.0</w:t>
            </w:r>
          </w:p>
        </w:tc>
        <w:tc>
          <w:tcPr>
            <w:tcW w:w="1401" w:type="dxa"/>
          </w:tcPr>
          <w:p>
            <w:pPr>
              <w:pStyle w:val="TableParagraph"/>
              <w:spacing w:line="178" w:lineRule="exact"/>
              <w:ind w:left="34" w:right="34"/>
              <w:jc w:val="center"/>
              <w:rPr>
                <w:sz w:val="16"/>
              </w:rPr>
            </w:pPr>
            <w:r>
              <w:rPr>
                <w:sz w:val="16"/>
              </w:rPr>
              <w:t>4.7</w:t>
            </w:r>
          </w:p>
        </w:tc>
      </w:tr>
      <w:tr>
        <w:trPr>
          <w:trHeight w:val="216" w:hRule="exact"/>
        </w:trPr>
        <w:tc>
          <w:tcPr>
            <w:tcW w:w="1261" w:type="dxa"/>
          </w:tcPr>
          <w:p>
            <w:pPr>
              <w:pStyle w:val="TableParagraph"/>
              <w:spacing w:line="182" w:lineRule="exact"/>
              <w:ind w:left="55"/>
              <w:rPr>
                <w:sz w:val="16"/>
              </w:rPr>
            </w:pPr>
            <w:r>
              <w:rPr>
                <w:sz w:val="16"/>
              </w:rPr>
              <w:t>Alemania</w:t>
            </w:r>
          </w:p>
        </w:tc>
        <w:tc>
          <w:tcPr>
            <w:tcW w:w="1209" w:type="dxa"/>
          </w:tcPr>
          <w:p>
            <w:pPr>
              <w:pStyle w:val="TableParagraph"/>
              <w:spacing w:line="182" w:lineRule="exact"/>
              <w:ind w:left="38" w:right="35"/>
              <w:jc w:val="center"/>
              <w:rPr>
                <w:sz w:val="16"/>
              </w:rPr>
            </w:pPr>
            <w:r>
              <w:rPr>
                <w:sz w:val="16"/>
              </w:rPr>
              <w:t>51</w:t>
            </w:r>
          </w:p>
        </w:tc>
        <w:tc>
          <w:tcPr>
            <w:tcW w:w="1208" w:type="dxa"/>
          </w:tcPr>
          <w:p>
            <w:pPr>
              <w:pStyle w:val="TableParagraph"/>
              <w:spacing w:line="182" w:lineRule="exact"/>
              <w:ind w:left="38" w:right="34"/>
              <w:jc w:val="center"/>
              <w:rPr>
                <w:sz w:val="16"/>
              </w:rPr>
            </w:pPr>
            <w:r>
              <w:rPr>
                <w:sz w:val="16"/>
              </w:rPr>
              <w:t>46</w:t>
            </w:r>
          </w:p>
        </w:tc>
        <w:tc>
          <w:tcPr>
            <w:tcW w:w="1040" w:type="dxa"/>
          </w:tcPr>
          <w:p>
            <w:pPr>
              <w:pStyle w:val="TableParagraph"/>
              <w:spacing w:line="182" w:lineRule="exact"/>
              <w:ind w:left="36" w:right="35"/>
              <w:jc w:val="center"/>
              <w:rPr>
                <w:sz w:val="16"/>
              </w:rPr>
            </w:pPr>
            <w:r>
              <w:rPr>
                <w:sz w:val="16"/>
              </w:rPr>
              <w:t>47.2</w:t>
            </w:r>
          </w:p>
        </w:tc>
        <w:tc>
          <w:tcPr>
            <w:tcW w:w="1536" w:type="dxa"/>
          </w:tcPr>
          <w:p>
            <w:pPr>
              <w:pStyle w:val="TableParagraph"/>
              <w:spacing w:line="182" w:lineRule="exact"/>
              <w:ind w:left="33" w:right="37"/>
              <w:jc w:val="center"/>
              <w:rPr>
                <w:sz w:val="16"/>
              </w:rPr>
            </w:pPr>
            <w:r>
              <w:rPr>
                <w:sz w:val="16"/>
              </w:rPr>
              <w:t>80.4</w:t>
            </w:r>
          </w:p>
        </w:tc>
        <w:tc>
          <w:tcPr>
            <w:tcW w:w="1085" w:type="dxa"/>
          </w:tcPr>
          <w:p>
            <w:pPr>
              <w:pStyle w:val="TableParagraph"/>
              <w:spacing w:line="182" w:lineRule="exact"/>
              <w:ind w:left="397" w:right="397"/>
              <w:jc w:val="center"/>
              <w:rPr>
                <w:sz w:val="16"/>
              </w:rPr>
            </w:pPr>
            <w:r>
              <w:rPr>
                <w:sz w:val="16"/>
              </w:rPr>
              <w:t>6.7</w:t>
            </w:r>
          </w:p>
        </w:tc>
        <w:tc>
          <w:tcPr>
            <w:tcW w:w="1401" w:type="dxa"/>
          </w:tcPr>
          <w:p>
            <w:pPr>
              <w:pStyle w:val="TableParagraph"/>
              <w:spacing w:line="182" w:lineRule="exact"/>
              <w:ind w:left="34" w:right="34"/>
              <w:jc w:val="center"/>
              <w:rPr>
                <w:sz w:val="16"/>
              </w:rPr>
            </w:pPr>
            <w:r>
              <w:rPr>
                <w:sz w:val="16"/>
              </w:rPr>
              <w:t>4.6</w:t>
            </w:r>
          </w:p>
        </w:tc>
      </w:tr>
      <w:tr>
        <w:trPr>
          <w:trHeight w:val="212" w:hRule="exact"/>
        </w:trPr>
        <w:tc>
          <w:tcPr>
            <w:tcW w:w="1261" w:type="dxa"/>
          </w:tcPr>
          <w:p>
            <w:pPr>
              <w:pStyle w:val="TableParagraph"/>
              <w:spacing w:line="178" w:lineRule="exact"/>
              <w:ind w:left="55"/>
              <w:rPr>
                <w:sz w:val="16"/>
              </w:rPr>
            </w:pPr>
            <w:r>
              <w:rPr>
                <w:sz w:val="16"/>
              </w:rPr>
              <w:t>España</w:t>
            </w:r>
          </w:p>
        </w:tc>
        <w:tc>
          <w:tcPr>
            <w:tcW w:w="1209" w:type="dxa"/>
          </w:tcPr>
          <w:p>
            <w:pPr>
              <w:pStyle w:val="TableParagraph"/>
              <w:spacing w:line="178" w:lineRule="exact"/>
              <w:ind w:left="38" w:right="35"/>
              <w:jc w:val="center"/>
              <w:rPr>
                <w:sz w:val="16"/>
              </w:rPr>
            </w:pPr>
            <w:r>
              <w:rPr>
                <w:sz w:val="16"/>
              </w:rPr>
              <w:t>76</w:t>
            </w:r>
          </w:p>
        </w:tc>
        <w:tc>
          <w:tcPr>
            <w:tcW w:w="1208" w:type="dxa"/>
          </w:tcPr>
          <w:p>
            <w:pPr>
              <w:pStyle w:val="TableParagraph"/>
              <w:spacing w:line="178" w:lineRule="exact"/>
              <w:ind w:left="38" w:right="34"/>
              <w:jc w:val="center"/>
              <w:rPr>
                <w:sz w:val="16"/>
              </w:rPr>
            </w:pPr>
            <w:r>
              <w:rPr>
                <w:sz w:val="16"/>
              </w:rPr>
              <w:t>62</w:t>
            </w:r>
          </w:p>
        </w:tc>
        <w:tc>
          <w:tcPr>
            <w:tcW w:w="1040" w:type="dxa"/>
          </w:tcPr>
          <w:p>
            <w:pPr>
              <w:pStyle w:val="TableParagraph"/>
              <w:spacing w:line="178" w:lineRule="exact"/>
              <w:ind w:left="36" w:right="35"/>
              <w:jc w:val="center"/>
              <w:rPr>
                <w:sz w:val="16"/>
              </w:rPr>
            </w:pPr>
            <w:r>
              <w:rPr>
                <w:sz w:val="16"/>
              </w:rPr>
              <w:t>44.1</w:t>
            </w:r>
          </w:p>
        </w:tc>
        <w:tc>
          <w:tcPr>
            <w:tcW w:w="1536" w:type="dxa"/>
          </w:tcPr>
          <w:p>
            <w:pPr>
              <w:pStyle w:val="TableParagraph"/>
              <w:spacing w:line="178" w:lineRule="exact"/>
              <w:ind w:left="33" w:right="37"/>
              <w:jc w:val="center"/>
              <w:rPr>
                <w:sz w:val="16"/>
              </w:rPr>
            </w:pPr>
            <w:r>
              <w:rPr>
                <w:sz w:val="16"/>
              </w:rPr>
              <w:t>81.4</w:t>
            </w:r>
          </w:p>
        </w:tc>
        <w:tc>
          <w:tcPr>
            <w:tcW w:w="1085" w:type="dxa"/>
          </w:tcPr>
          <w:p>
            <w:pPr>
              <w:pStyle w:val="TableParagraph"/>
              <w:spacing w:line="178" w:lineRule="exact"/>
              <w:ind w:left="397" w:right="397"/>
              <w:jc w:val="center"/>
              <w:rPr>
                <w:sz w:val="16"/>
              </w:rPr>
            </w:pPr>
            <w:r>
              <w:rPr>
                <w:sz w:val="16"/>
              </w:rPr>
              <w:t>6.2</w:t>
            </w:r>
          </w:p>
        </w:tc>
        <w:tc>
          <w:tcPr>
            <w:tcW w:w="1401" w:type="dxa"/>
          </w:tcPr>
          <w:p>
            <w:pPr>
              <w:pStyle w:val="TableParagraph"/>
              <w:spacing w:line="178" w:lineRule="exact"/>
              <w:ind w:left="34" w:right="34"/>
              <w:jc w:val="center"/>
              <w:rPr>
                <w:sz w:val="16"/>
              </w:rPr>
            </w:pPr>
            <w:r>
              <w:rPr>
                <w:sz w:val="16"/>
              </w:rPr>
              <w:t>4.7</w:t>
            </w:r>
          </w:p>
        </w:tc>
      </w:tr>
      <w:tr>
        <w:trPr>
          <w:trHeight w:val="216" w:hRule="exact"/>
        </w:trPr>
        <w:tc>
          <w:tcPr>
            <w:tcW w:w="1261" w:type="dxa"/>
          </w:tcPr>
          <w:p>
            <w:pPr>
              <w:pStyle w:val="TableParagraph"/>
              <w:spacing w:line="182" w:lineRule="exact"/>
              <w:ind w:left="55"/>
              <w:rPr>
                <w:sz w:val="16"/>
              </w:rPr>
            </w:pPr>
            <w:r>
              <w:rPr>
                <w:sz w:val="16"/>
              </w:rPr>
              <w:t>Estados Unidos</w:t>
            </w:r>
          </w:p>
        </w:tc>
        <w:tc>
          <w:tcPr>
            <w:tcW w:w="1209" w:type="dxa"/>
          </w:tcPr>
          <w:p>
            <w:pPr>
              <w:pStyle w:val="TableParagraph"/>
              <w:spacing w:line="182" w:lineRule="exact"/>
              <w:ind w:left="38" w:right="35"/>
              <w:jc w:val="center"/>
              <w:rPr>
                <w:sz w:val="16"/>
              </w:rPr>
            </w:pPr>
            <w:r>
              <w:rPr>
                <w:sz w:val="16"/>
              </w:rPr>
              <w:t>114</w:t>
            </w:r>
          </w:p>
        </w:tc>
        <w:tc>
          <w:tcPr>
            <w:tcW w:w="1208" w:type="dxa"/>
          </w:tcPr>
          <w:p>
            <w:pPr>
              <w:pStyle w:val="TableParagraph"/>
              <w:spacing w:line="182" w:lineRule="exact"/>
              <w:ind w:left="38" w:right="34"/>
              <w:jc w:val="center"/>
              <w:rPr>
                <w:sz w:val="16"/>
              </w:rPr>
            </w:pPr>
            <w:r>
              <w:rPr>
                <w:sz w:val="16"/>
              </w:rPr>
              <w:t>105</w:t>
            </w:r>
          </w:p>
        </w:tc>
        <w:tc>
          <w:tcPr>
            <w:tcW w:w="1040" w:type="dxa"/>
          </w:tcPr>
          <w:p>
            <w:pPr>
              <w:pStyle w:val="TableParagraph"/>
              <w:spacing w:line="182" w:lineRule="exact"/>
              <w:ind w:left="36" w:right="35"/>
              <w:jc w:val="center"/>
              <w:rPr>
                <w:sz w:val="16"/>
              </w:rPr>
            </w:pPr>
            <w:r>
              <w:rPr>
                <w:sz w:val="16"/>
              </w:rPr>
              <w:t>37.3</w:t>
            </w:r>
          </w:p>
        </w:tc>
        <w:tc>
          <w:tcPr>
            <w:tcW w:w="1536" w:type="dxa"/>
          </w:tcPr>
          <w:p>
            <w:pPr>
              <w:pStyle w:val="TableParagraph"/>
              <w:spacing w:line="182" w:lineRule="exact"/>
              <w:ind w:left="33" w:right="37"/>
              <w:jc w:val="center"/>
              <w:rPr>
                <w:sz w:val="16"/>
              </w:rPr>
            </w:pPr>
            <w:r>
              <w:rPr>
                <w:sz w:val="16"/>
              </w:rPr>
              <w:t>78.5</w:t>
            </w:r>
          </w:p>
        </w:tc>
        <w:tc>
          <w:tcPr>
            <w:tcW w:w="1085" w:type="dxa"/>
          </w:tcPr>
          <w:p>
            <w:pPr>
              <w:pStyle w:val="TableParagraph"/>
              <w:spacing w:line="182" w:lineRule="exact"/>
              <w:ind w:left="397" w:right="397"/>
              <w:jc w:val="center"/>
              <w:rPr>
                <w:sz w:val="16"/>
              </w:rPr>
            </w:pPr>
            <w:r>
              <w:rPr>
                <w:sz w:val="16"/>
              </w:rPr>
              <w:t>7.2</w:t>
            </w:r>
          </w:p>
        </w:tc>
        <w:tc>
          <w:tcPr>
            <w:tcW w:w="1401" w:type="dxa"/>
          </w:tcPr>
          <w:p>
            <w:pPr>
              <w:pStyle w:val="TableParagraph"/>
              <w:spacing w:line="182" w:lineRule="exact"/>
              <w:ind w:left="34" w:right="34"/>
              <w:jc w:val="center"/>
              <w:rPr>
                <w:sz w:val="16"/>
              </w:rPr>
            </w:pPr>
            <w:r>
              <w:rPr>
                <w:sz w:val="16"/>
              </w:rPr>
              <w:t>7.2</w:t>
            </w:r>
          </w:p>
        </w:tc>
      </w:tr>
    </w:tbl>
    <w:p>
      <w:pPr>
        <w:tabs>
          <w:tab w:pos="840" w:val="left" w:leader="none"/>
        </w:tabs>
        <w:spacing w:line="278" w:lineRule="auto" w:before="0"/>
        <w:ind w:left="809" w:right="3631" w:hanging="709"/>
        <w:jc w:val="left"/>
        <w:rPr>
          <w:sz w:val="12"/>
        </w:rPr>
      </w:pPr>
      <w:r>
        <w:rPr>
          <w:sz w:val="12"/>
        </w:rPr>
        <w:t>FUENTE:</w:t>
        <w:tab/>
        <w:tab/>
        <w:t>The Happy Planet Índex: 2012 Report. A Global Index of sustainable well-being,</w:t>
      </w:r>
      <w:r>
        <w:rPr>
          <w:spacing w:val="-15"/>
          <w:sz w:val="12"/>
        </w:rPr>
        <w:t> </w:t>
      </w:r>
      <w:r>
        <w:rPr>
          <w:sz w:val="12"/>
        </w:rPr>
        <w:t>p.</w:t>
      </w:r>
      <w:r>
        <w:rPr>
          <w:spacing w:val="-3"/>
          <w:sz w:val="12"/>
        </w:rPr>
        <w:t> </w:t>
      </w:r>
      <w:r>
        <w:rPr>
          <w:sz w:val="12"/>
        </w:rPr>
        <w:t>25.</w:t>
      </w:r>
      <w:r>
        <w:rPr>
          <w:w w:val="100"/>
          <w:sz w:val="12"/>
        </w:rPr>
        <w:t> </w:t>
      </w:r>
      <w:r>
        <w:rPr>
          <w:sz w:val="12"/>
        </w:rPr>
        <w:t>Disponible en: </w:t>
      </w:r>
      <w:hyperlink r:id="rId44">
        <w:r>
          <w:rPr>
            <w:sz w:val="12"/>
          </w:rPr>
          <w:t>http://www.happyplanetindex.org/assets/happy-planet-index-report.pdf</w:t>
        </w:r>
      </w:hyperlink>
      <w:r>
        <w:rPr>
          <w:sz w:val="12"/>
        </w:rPr>
        <w:t> [Fecha consulta 31 de agosto,</w:t>
      </w:r>
      <w:r>
        <w:rPr>
          <w:spacing w:val="-11"/>
          <w:sz w:val="12"/>
        </w:rPr>
        <w:t> </w:t>
      </w:r>
      <w:r>
        <w:rPr>
          <w:sz w:val="12"/>
        </w:rPr>
        <w:t>2015]</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7"/>
        <w:rPr>
          <w:sz w:val="11"/>
        </w:rPr>
      </w:pPr>
    </w:p>
    <w:p>
      <w:pPr>
        <w:spacing w:before="1"/>
        <w:ind w:left="100" w:right="132" w:firstLine="0"/>
        <w:jc w:val="left"/>
        <w:rPr>
          <w:i/>
          <w:sz w:val="24"/>
        </w:rPr>
      </w:pPr>
      <w:r>
        <w:rPr>
          <w:i/>
          <w:sz w:val="24"/>
        </w:rPr>
        <w:t>Rendición de cuentas</w:t>
      </w:r>
    </w:p>
    <w:p>
      <w:pPr>
        <w:spacing w:before="140"/>
        <w:ind w:left="100" w:right="132" w:firstLine="0"/>
        <w:jc w:val="left"/>
        <w:rPr>
          <w:i/>
          <w:sz w:val="24"/>
        </w:rPr>
      </w:pPr>
      <w:r>
        <w:rPr>
          <w:i/>
          <w:sz w:val="24"/>
        </w:rPr>
        <w:t>a) Índice de Integridad Pública, 2011</w:t>
      </w:r>
    </w:p>
    <w:p>
      <w:pPr>
        <w:pStyle w:val="BodyText"/>
        <w:rPr>
          <w:i/>
        </w:rPr>
      </w:pPr>
    </w:p>
    <w:p>
      <w:pPr>
        <w:pStyle w:val="BodyText"/>
        <w:rPr>
          <w:i/>
        </w:rPr>
      </w:pPr>
    </w:p>
    <w:p>
      <w:pPr>
        <w:pStyle w:val="BodyText"/>
        <w:spacing w:line="360" w:lineRule="auto"/>
        <w:ind w:left="100" w:right="118"/>
        <w:jc w:val="both"/>
      </w:pPr>
      <w:r>
        <w:rPr>
          <w:i/>
        </w:rPr>
        <w:t>Global Integrity </w:t>
      </w:r>
      <w:r>
        <w:rPr/>
        <w:t>publicó en marzo de 2012 </w:t>
      </w:r>
      <w:r>
        <w:rPr>
          <w:i/>
        </w:rPr>
        <w:t>The Global Integrity Report: 2011 </w:t>
      </w:r>
      <w:r>
        <w:rPr>
          <w:i/>
        </w:rPr>
        <w:t>executive Summary</w:t>
      </w:r>
      <w:r>
        <w:rPr/>
        <w:t>, y evaluó la existencia, eficacia, la participación del ciudadano en la lucha contra la corrupción y los mecanismos de rendición de cuentas del gobierno. El informe presentó las posibles soluciones a la corrupción; para ello, analizó las políticas públicas e instituciones que pueden disminuir, prevenir o castigar actos corruptos en el sector público e identificó las reformas más urgentes que promueven un gobierno más abierto y responsable.</w:t>
      </w:r>
    </w:p>
    <w:p>
      <w:pPr>
        <w:pStyle w:val="BodyText"/>
        <w:spacing w:line="360" w:lineRule="auto" w:before="2"/>
        <w:ind w:left="100" w:right="117" w:firstLine="708"/>
        <w:jc w:val="both"/>
      </w:pPr>
      <w:r>
        <w:rPr/>
        <w:t>El</w:t>
      </w:r>
      <w:r>
        <w:rPr>
          <w:spacing w:val="-9"/>
        </w:rPr>
        <w:t> </w:t>
      </w:r>
      <w:r>
        <w:rPr/>
        <w:t>informe</w:t>
      </w:r>
      <w:r>
        <w:rPr>
          <w:spacing w:val="-8"/>
        </w:rPr>
        <w:t> </w:t>
      </w:r>
      <w:r>
        <w:rPr/>
        <w:t>concentró</w:t>
      </w:r>
      <w:r>
        <w:rPr>
          <w:spacing w:val="-9"/>
        </w:rPr>
        <w:t> </w:t>
      </w:r>
      <w:r>
        <w:rPr/>
        <w:t>320</w:t>
      </w:r>
      <w:r>
        <w:rPr>
          <w:spacing w:val="-9"/>
        </w:rPr>
        <w:t> </w:t>
      </w:r>
      <w:r>
        <w:rPr/>
        <w:t>indicadores</w:t>
      </w:r>
      <w:r>
        <w:rPr>
          <w:spacing w:val="-7"/>
        </w:rPr>
        <w:t> </w:t>
      </w:r>
      <w:r>
        <w:rPr/>
        <w:t>en</w:t>
      </w:r>
      <w:r>
        <w:rPr>
          <w:spacing w:val="-9"/>
        </w:rPr>
        <w:t> </w:t>
      </w:r>
      <w:r>
        <w:rPr/>
        <w:t>23</w:t>
      </w:r>
      <w:r>
        <w:rPr>
          <w:spacing w:val="-9"/>
        </w:rPr>
        <w:t> </w:t>
      </w:r>
      <w:r>
        <w:rPr/>
        <w:t>sub-categorías,</w:t>
      </w:r>
      <w:r>
        <w:rPr>
          <w:spacing w:val="-6"/>
        </w:rPr>
        <w:t> </w:t>
      </w:r>
      <w:r>
        <w:rPr/>
        <w:t>con</w:t>
      </w:r>
      <w:r>
        <w:rPr>
          <w:spacing w:val="-9"/>
        </w:rPr>
        <w:t> </w:t>
      </w:r>
      <w:r>
        <w:rPr/>
        <w:t>los</w:t>
      </w:r>
      <w:r>
        <w:rPr>
          <w:spacing w:val="-7"/>
        </w:rPr>
        <w:t> </w:t>
      </w:r>
      <w:r>
        <w:rPr/>
        <w:t>que</w:t>
      </w:r>
      <w:r>
        <w:rPr>
          <w:spacing w:val="-9"/>
        </w:rPr>
        <w:t> </w:t>
      </w:r>
      <w:r>
        <w:rPr/>
        <w:t>trató de explicar la existencia (</w:t>
      </w:r>
      <w:r>
        <w:rPr>
          <w:i/>
        </w:rPr>
        <w:t>de jure</w:t>
      </w:r>
      <w:r>
        <w:rPr/>
        <w:t>) y la eficacia (</w:t>
      </w:r>
      <w:r>
        <w:rPr>
          <w:i/>
        </w:rPr>
        <w:t>de facto</w:t>
      </w:r>
      <w:r>
        <w:rPr/>
        <w:t>) de la rendición de cuentas y los mecanismos de lucha contra la corrupción en todo el mundo. </w:t>
      </w:r>
      <w:r>
        <w:rPr>
          <w:spacing w:val="-2"/>
        </w:rPr>
        <w:t>Más </w:t>
      </w:r>
      <w:r>
        <w:rPr/>
        <w:t>que criticar a los países por no frenar la corrupción, el informe ofreció herramientas para hacer reformas</w:t>
      </w:r>
      <w:r>
        <w:rPr>
          <w:spacing w:val="-8"/>
        </w:rPr>
        <w:t> </w:t>
      </w:r>
      <w:r>
        <w:rPr/>
        <w:t>concretas</w:t>
      </w:r>
      <w:r>
        <w:rPr>
          <w:spacing w:val="-8"/>
        </w:rPr>
        <w:t> </w:t>
      </w:r>
      <w:r>
        <w:rPr/>
        <w:t>y</w:t>
      </w:r>
      <w:r>
        <w:rPr>
          <w:spacing w:val="-11"/>
        </w:rPr>
        <w:t> </w:t>
      </w:r>
      <w:r>
        <w:rPr/>
        <w:t>viables</w:t>
      </w:r>
      <w:r>
        <w:rPr>
          <w:spacing w:val="-8"/>
        </w:rPr>
        <w:t> </w:t>
      </w:r>
      <w:r>
        <w:rPr/>
        <w:t>contra</w:t>
      </w:r>
      <w:r>
        <w:rPr>
          <w:spacing w:val="-9"/>
        </w:rPr>
        <w:t> </w:t>
      </w:r>
      <w:r>
        <w:rPr/>
        <w:t>ella,</w:t>
      </w:r>
      <w:r>
        <w:rPr>
          <w:spacing w:val="-7"/>
        </w:rPr>
        <w:t> </w:t>
      </w:r>
      <w:r>
        <w:rPr/>
        <w:t>y</w:t>
      </w:r>
      <w:r>
        <w:rPr>
          <w:spacing w:val="-11"/>
        </w:rPr>
        <w:t> </w:t>
      </w:r>
      <w:r>
        <w:rPr/>
        <w:t>mencionó</w:t>
      </w:r>
      <w:r>
        <w:rPr>
          <w:spacing w:val="-9"/>
        </w:rPr>
        <w:t> </w:t>
      </w:r>
      <w:r>
        <w:rPr/>
        <w:t>que</w:t>
      </w:r>
      <w:r>
        <w:rPr>
          <w:spacing w:val="-9"/>
        </w:rPr>
        <w:t> </w:t>
      </w:r>
      <w:r>
        <w:rPr/>
        <w:t>la</w:t>
      </w:r>
      <w:r>
        <w:rPr>
          <w:spacing w:val="-9"/>
        </w:rPr>
        <w:t> </w:t>
      </w:r>
      <w:r>
        <w:rPr/>
        <w:t>existencia</w:t>
      </w:r>
      <w:r>
        <w:rPr>
          <w:spacing w:val="-9"/>
        </w:rPr>
        <w:t> </w:t>
      </w:r>
      <w:r>
        <w:rPr/>
        <w:t>de</w:t>
      </w:r>
      <w:r>
        <w:rPr>
          <w:spacing w:val="-9"/>
        </w:rPr>
        <w:t> </w:t>
      </w:r>
      <w:r>
        <w:rPr/>
        <w:t>“reglas</w:t>
      </w:r>
      <w:r>
        <w:rPr>
          <w:spacing w:val="-8"/>
        </w:rPr>
        <w:t> </w:t>
      </w:r>
      <w:r>
        <w:rPr/>
        <w:t>de juego opacas” genera incertidumbre y</w:t>
      </w:r>
      <w:r>
        <w:rPr>
          <w:spacing w:val="-22"/>
        </w:rPr>
        <w:t> </w:t>
      </w:r>
      <w:r>
        <w:rPr/>
        <w:t>corrupción.</w:t>
      </w:r>
    </w:p>
    <w:p>
      <w:pPr>
        <w:pStyle w:val="BodyText"/>
        <w:spacing w:line="360" w:lineRule="auto" w:before="2"/>
        <w:ind w:left="100" w:right="118" w:firstLine="708"/>
        <w:jc w:val="both"/>
      </w:pPr>
      <w:r>
        <w:rPr/>
        <w:t>Una particularidad del informe es que analizó la diferencia entre el marco legal de un buen gobierno (deber ser) y la ejecución del marco jurídico (ser), la brecha entre ellas los valores indica los aspectos faltantes para lograr un buen gobierno. La escala de valuación es de 0 a 100 donde valores cercanos a 100 implican</w:t>
      </w:r>
      <w:r>
        <w:rPr>
          <w:spacing w:val="-9"/>
        </w:rPr>
        <w:t> </w:t>
      </w:r>
      <w:r>
        <w:rPr/>
        <w:t>políticas</w:t>
      </w:r>
      <w:r>
        <w:rPr>
          <w:spacing w:val="-6"/>
        </w:rPr>
        <w:t> </w:t>
      </w:r>
      <w:r>
        <w:rPr/>
        <w:t>anticorrupción</w:t>
      </w:r>
      <w:r>
        <w:rPr>
          <w:spacing w:val="-7"/>
        </w:rPr>
        <w:t> </w:t>
      </w:r>
      <w:r>
        <w:rPr/>
        <w:t>efectivas,</w:t>
      </w:r>
      <w:r>
        <w:rPr>
          <w:spacing w:val="-10"/>
        </w:rPr>
        <w:t> </w:t>
      </w:r>
      <w:r>
        <w:rPr/>
        <w:t>de</w:t>
      </w:r>
      <w:r>
        <w:rPr>
          <w:spacing w:val="-9"/>
        </w:rPr>
        <w:t> </w:t>
      </w:r>
      <w:r>
        <w:rPr/>
        <w:t>rendición</w:t>
      </w:r>
      <w:r>
        <w:rPr>
          <w:spacing w:val="-9"/>
        </w:rPr>
        <w:t> </w:t>
      </w:r>
      <w:r>
        <w:rPr/>
        <w:t>de</w:t>
      </w:r>
      <w:r>
        <w:rPr>
          <w:spacing w:val="-9"/>
        </w:rPr>
        <w:t> </w:t>
      </w:r>
      <w:r>
        <w:rPr/>
        <w:t>cuentas</w:t>
      </w:r>
      <w:r>
        <w:rPr>
          <w:spacing w:val="-7"/>
        </w:rPr>
        <w:t> </w:t>
      </w:r>
      <w:r>
        <w:rPr/>
        <w:t>y</w:t>
      </w:r>
      <w:r>
        <w:rPr>
          <w:spacing w:val="-11"/>
        </w:rPr>
        <w:t> </w:t>
      </w:r>
      <w:r>
        <w:rPr/>
        <w:t>de</w:t>
      </w:r>
      <w:r>
        <w:rPr>
          <w:spacing w:val="-9"/>
        </w:rPr>
        <w:t> </w:t>
      </w:r>
      <w:r>
        <w:rPr/>
        <w:t>acceso</w:t>
      </w:r>
      <w:r>
        <w:rPr>
          <w:spacing w:val="-9"/>
        </w:rPr>
        <w:t> </w:t>
      </w:r>
      <w:r>
        <w:rPr/>
        <w:t>a</w:t>
      </w:r>
      <w:r>
        <w:rPr>
          <w:spacing w:val="-9"/>
        </w:rPr>
        <w:t> </w:t>
      </w:r>
      <w:r>
        <w:rPr/>
        <w:t>la</w:t>
      </w:r>
    </w:p>
    <w:p>
      <w:pPr>
        <w:spacing w:after="0" w:line="360" w:lineRule="auto"/>
        <w:jc w:val="both"/>
        <w:sectPr>
          <w:pgSz w:w="12240" w:h="15840"/>
          <w:pgMar w:header="0" w:footer="998" w:top="1360" w:bottom="1180" w:left="1600" w:right="1580"/>
        </w:sectPr>
      </w:pPr>
    </w:p>
    <w:p>
      <w:pPr>
        <w:pStyle w:val="BodyText"/>
        <w:spacing w:line="360" w:lineRule="auto" w:before="55"/>
        <w:ind w:left="100" w:right="158"/>
        <w:jc w:val="both"/>
      </w:pPr>
      <w:r>
        <w:rPr/>
        <w:t>información a la sociedad, mientras que valores cercanos a 0 indican políticas inefectivas en los aspectos anteriores. Los niveles de medición son: muy débil (menor</w:t>
      </w:r>
      <w:r>
        <w:rPr>
          <w:spacing w:val="-3"/>
        </w:rPr>
        <w:t> </w:t>
      </w:r>
      <w:r>
        <w:rPr/>
        <w:t>que</w:t>
      </w:r>
      <w:r>
        <w:rPr>
          <w:spacing w:val="-5"/>
        </w:rPr>
        <w:t> </w:t>
      </w:r>
      <w:r>
        <w:rPr/>
        <w:t>60),</w:t>
      </w:r>
      <w:r>
        <w:rPr>
          <w:spacing w:val="-2"/>
        </w:rPr>
        <w:t> </w:t>
      </w:r>
      <w:r>
        <w:rPr/>
        <w:t>débil</w:t>
      </w:r>
      <w:r>
        <w:rPr>
          <w:spacing w:val="-5"/>
        </w:rPr>
        <w:t> </w:t>
      </w:r>
      <w:r>
        <w:rPr/>
        <w:t>(61</w:t>
      </w:r>
      <w:r>
        <w:rPr>
          <w:spacing w:val="-5"/>
        </w:rPr>
        <w:t> </w:t>
      </w:r>
      <w:r>
        <w:rPr/>
        <w:t>a</w:t>
      </w:r>
      <w:r>
        <w:rPr>
          <w:spacing w:val="-5"/>
        </w:rPr>
        <w:t> </w:t>
      </w:r>
      <w:r>
        <w:rPr/>
        <w:t>70),</w:t>
      </w:r>
      <w:r>
        <w:rPr>
          <w:spacing w:val="1"/>
        </w:rPr>
        <w:t> </w:t>
      </w:r>
      <w:r>
        <w:rPr/>
        <w:t>moderado</w:t>
      </w:r>
      <w:r>
        <w:rPr>
          <w:spacing w:val="-5"/>
        </w:rPr>
        <w:t> </w:t>
      </w:r>
      <w:r>
        <w:rPr/>
        <w:t>(71</w:t>
      </w:r>
      <w:r>
        <w:rPr>
          <w:spacing w:val="-5"/>
        </w:rPr>
        <w:t> </w:t>
      </w:r>
      <w:r>
        <w:rPr/>
        <w:t>a</w:t>
      </w:r>
      <w:r>
        <w:rPr>
          <w:spacing w:val="-5"/>
        </w:rPr>
        <w:t> </w:t>
      </w:r>
      <w:r>
        <w:rPr/>
        <w:t>80), fuerte</w:t>
      </w:r>
      <w:r>
        <w:rPr>
          <w:spacing w:val="-5"/>
        </w:rPr>
        <w:t> </w:t>
      </w:r>
      <w:r>
        <w:rPr/>
        <w:t>(81</w:t>
      </w:r>
      <w:r>
        <w:rPr>
          <w:spacing w:val="-5"/>
        </w:rPr>
        <w:t> </w:t>
      </w:r>
      <w:r>
        <w:rPr/>
        <w:t>a</w:t>
      </w:r>
      <w:r>
        <w:rPr>
          <w:spacing w:val="-9"/>
        </w:rPr>
        <w:t> </w:t>
      </w:r>
      <w:r>
        <w:rPr/>
        <w:t>90)</w:t>
      </w:r>
      <w:r>
        <w:rPr>
          <w:spacing w:val="-3"/>
        </w:rPr>
        <w:t> </w:t>
      </w:r>
      <w:r>
        <w:rPr/>
        <w:t>y</w:t>
      </w:r>
      <w:r>
        <w:rPr>
          <w:spacing w:val="-8"/>
        </w:rPr>
        <w:t> </w:t>
      </w:r>
      <w:r>
        <w:rPr/>
        <w:t>“muy</w:t>
      </w:r>
      <w:r>
        <w:rPr>
          <w:spacing w:val="-3"/>
        </w:rPr>
        <w:t> </w:t>
      </w:r>
      <w:r>
        <w:rPr/>
        <w:t>fuerte”</w:t>
      </w:r>
    </w:p>
    <w:p>
      <w:pPr>
        <w:pStyle w:val="BodyText"/>
        <w:spacing w:before="6"/>
        <w:ind w:left="100"/>
        <w:jc w:val="both"/>
      </w:pPr>
      <w:r>
        <w:rPr/>
        <w:t>(de 91 a 100).</w:t>
      </w:r>
    </w:p>
    <w:p>
      <w:pPr>
        <w:pStyle w:val="BodyText"/>
      </w:pPr>
    </w:p>
    <w:p>
      <w:pPr>
        <w:pStyle w:val="BodyText"/>
        <w:spacing w:before="7"/>
        <w:rPr>
          <w:sz w:val="19"/>
        </w:rPr>
      </w:pPr>
    </w:p>
    <w:p>
      <w:pPr>
        <w:spacing w:before="0"/>
        <w:ind w:left="2417" w:right="8" w:firstLine="0"/>
        <w:jc w:val="left"/>
        <w:rPr>
          <w:sz w:val="20"/>
        </w:rPr>
      </w:pPr>
      <w:bookmarkStart w:name="_bookmark40" w:id="53"/>
      <w:bookmarkEnd w:id="53"/>
      <w:r>
        <w:rPr/>
      </w:r>
      <w:r>
        <w:rPr>
          <w:sz w:val="20"/>
        </w:rPr>
        <w:t>Cuadro 1.15. Índice de integridad pública, 2011</w:t>
      </w:r>
    </w:p>
    <w:p>
      <w:pPr>
        <w:pStyle w:val="BodyText"/>
        <w:spacing w:before="6"/>
        <w:rPr>
          <w:sz w:val="17"/>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0"/>
        <w:gridCol w:w="5886"/>
        <w:gridCol w:w="894"/>
        <w:gridCol w:w="712"/>
        <w:gridCol w:w="507"/>
      </w:tblGrid>
      <w:tr>
        <w:trPr>
          <w:trHeight w:val="328" w:hRule="exact"/>
        </w:trPr>
        <w:tc>
          <w:tcPr>
            <w:tcW w:w="840" w:type="dxa"/>
            <w:vMerge w:val="restart"/>
            <w:tcBorders>
              <w:top w:val="single" w:sz="11" w:space="0" w:color="D9D9D9"/>
              <w:left w:val="single" w:sz="11" w:space="0" w:color="D9D9D9"/>
              <w:right w:val="single" w:sz="11" w:space="0" w:color="D9D9D9"/>
            </w:tcBorders>
          </w:tcPr>
          <w:p>
            <w:pPr>
              <w:pStyle w:val="TableParagraph"/>
              <w:spacing w:before="10"/>
              <w:rPr>
                <w:sz w:val="18"/>
              </w:rPr>
            </w:pPr>
          </w:p>
          <w:p>
            <w:pPr>
              <w:pStyle w:val="TableParagraph"/>
              <w:spacing w:before="1"/>
              <w:ind w:left="207"/>
              <w:rPr>
                <w:b/>
                <w:sz w:val="16"/>
              </w:rPr>
            </w:pPr>
            <w:r>
              <w:rPr>
                <w:b/>
                <w:sz w:val="16"/>
              </w:rPr>
              <w:t>Núm.</w:t>
            </w:r>
          </w:p>
        </w:tc>
        <w:tc>
          <w:tcPr>
            <w:tcW w:w="5886" w:type="dxa"/>
            <w:vMerge w:val="restart"/>
            <w:tcBorders>
              <w:top w:val="single" w:sz="11" w:space="0" w:color="D9D9D9"/>
              <w:left w:val="single" w:sz="11" w:space="0" w:color="D9D9D9"/>
              <w:right w:val="single" w:sz="11" w:space="0" w:color="D9D9D9"/>
            </w:tcBorders>
          </w:tcPr>
          <w:p>
            <w:pPr>
              <w:pStyle w:val="TableParagraph"/>
              <w:spacing w:before="10"/>
              <w:rPr>
                <w:sz w:val="18"/>
              </w:rPr>
            </w:pPr>
          </w:p>
          <w:p>
            <w:pPr>
              <w:pStyle w:val="TableParagraph"/>
              <w:spacing w:before="1"/>
              <w:ind w:left="2495" w:right="2495"/>
              <w:jc w:val="center"/>
              <w:rPr>
                <w:b/>
                <w:sz w:val="16"/>
              </w:rPr>
            </w:pPr>
            <w:r>
              <w:rPr>
                <w:b/>
                <w:sz w:val="16"/>
              </w:rPr>
              <w:t>Categorías</w:t>
            </w:r>
          </w:p>
        </w:tc>
        <w:tc>
          <w:tcPr>
            <w:tcW w:w="2113" w:type="dxa"/>
            <w:gridSpan w:val="3"/>
            <w:tcBorders>
              <w:top w:val="single" w:sz="11" w:space="0" w:color="D9D9D9"/>
              <w:left w:val="single" w:sz="11" w:space="0" w:color="D9D9D9"/>
              <w:bottom w:val="single" w:sz="11" w:space="0" w:color="D9D9D9"/>
              <w:right w:val="single" w:sz="11" w:space="0" w:color="D9D9D9"/>
            </w:tcBorders>
          </w:tcPr>
          <w:p>
            <w:pPr>
              <w:pStyle w:val="TableParagraph"/>
              <w:spacing w:before="110"/>
              <w:ind w:left="779" w:right="776"/>
              <w:jc w:val="center"/>
              <w:rPr>
                <w:sz w:val="16"/>
              </w:rPr>
            </w:pPr>
            <w:r>
              <w:rPr>
                <w:sz w:val="16"/>
              </w:rPr>
              <w:t>Países</w:t>
            </w:r>
          </w:p>
        </w:tc>
      </w:tr>
      <w:tr>
        <w:trPr>
          <w:trHeight w:val="318" w:hRule="exact"/>
        </w:trPr>
        <w:tc>
          <w:tcPr>
            <w:tcW w:w="840" w:type="dxa"/>
            <w:vMerge/>
            <w:tcBorders>
              <w:left w:val="single" w:sz="11" w:space="0" w:color="D9D9D9"/>
              <w:right w:val="single" w:sz="11" w:space="0" w:color="D9D9D9"/>
            </w:tcBorders>
          </w:tcPr>
          <w:p>
            <w:pPr/>
          </w:p>
        </w:tc>
        <w:tc>
          <w:tcPr>
            <w:tcW w:w="5886" w:type="dxa"/>
            <w:vMerge/>
            <w:tcBorders>
              <w:left w:val="single" w:sz="11" w:space="0" w:color="D9D9D9"/>
              <w:right w:val="single" w:sz="11" w:space="0" w:color="D9D9D9"/>
            </w:tcBorders>
          </w:tcPr>
          <w:p>
            <w:pPr/>
          </w:p>
        </w:tc>
        <w:tc>
          <w:tcPr>
            <w:tcW w:w="894" w:type="dxa"/>
            <w:tcBorders>
              <w:top w:val="single" w:sz="11" w:space="0" w:color="D9D9D9"/>
              <w:left w:val="single" w:sz="11" w:space="0" w:color="D9D9D9"/>
              <w:right w:val="single" w:sz="11" w:space="0" w:color="D9D9D9"/>
            </w:tcBorders>
          </w:tcPr>
          <w:p>
            <w:pPr>
              <w:pStyle w:val="TableParagraph"/>
              <w:spacing w:before="114"/>
              <w:ind w:left="39" w:right="118"/>
              <w:jc w:val="center"/>
              <w:rPr>
                <w:sz w:val="16"/>
              </w:rPr>
            </w:pPr>
            <w:r>
              <w:rPr>
                <w:sz w:val="16"/>
              </w:rPr>
              <w:t>Alemania</w:t>
            </w:r>
          </w:p>
        </w:tc>
        <w:tc>
          <w:tcPr>
            <w:tcW w:w="712" w:type="dxa"/>
            <w:tcBorders>
              <w:top w:val="single" w:sz="11" w:space="0" w:color="D9D9D9"/>
              <w:left w:val="single" w:sz="11" w:space="0" w:color="D9D9D9"/>
              <w:bottom w:val="single" w:sz="11" w:space="0" w:color="D9D9D9"/>
              <w:right w:val="single" w:sz="11" w:space="0" w:color="D9D9D9"/>
            </w:tcBorders>
          </w:tcPr>
          <w:p>
            <w:pPr>
              <w:pStyle w:val="TableParagraph"/>
              <w:spacing w:before="114"/>
              <w:ind w:left="38" w:right="98"/>
              <w:jc w:val="center"/>
              <w:rPr>
                <w:sz w:val="16"/>
              </w:rPr>
            </w:pPr>
            <w:r>
              <w:rPr>
                <w:sz w:val="16"/>
              </w:rPr>
              <w:t>México</w:t>
            </w:r>
          </w:p>
        </w:tc>
        <w:tc>
          <w:tcPr>
            <w:tcW w:w="507" w:type="dxa"/>
            <w:tcBorders>
              <w:top w:val="single" w:sz="11" w:space="0" w:color="D9D9D9"/>
              <w:left w:val="single" w:sz="11" w:space="0" w:color="D9D9D9"/>
              <w:right w:val="single" w:sz="11" w:space="0" w:color="D9D9D9"/>
            </w:tcBorders>
          </w:tcPr>
          <w:p>
            <w:pPr>
              <w:pStyle w:val="TableParagraph"/>
              <w:spacing w:before="114"/>
              <w:ind w:right="92"/>
              <w:jc w:val="right"/>
              <w:rPr>
                <w:sz w:val="16"/>
              </w:rPr>
            </w:pPr>
            <w:r>
              <w:rPr>
                <w:sz w:val="16"/>
              </w:rPr>
              <w:t>EUA</w:t>
            </w:r>
          </w:p>
        </w:tc>
      </w:tr>
      <w:tr>
        <w:trPr>
          <w:trHeight w:val="212" w:hRule="exact"/>
        </w:trPr>
        <w:tc>
          <w:tcPr>
            <w:tcW w:w="840" w:type="dxa"/>
            <w:shd w:val="clear" w:color="auto" w:fill="D9D9D9"/>
          </w:tcPr>
          <w:p>
            <w:pPr>
              <w:pStyle w:val="TableParagraph"/>
              <w:spacing w:before="22"/>
              <w:ind w:left="7"/>
              <w:jc w:val="center"/>
              <w:rPr>
                <w:b/>
                <w:sz w:val="16"/>
              </w:rPr>
            </w:pPr>
            <w:r>
              <w:rPr>
                <w:b/>
                <w:w w:val="100"/>
                <w:sz w:val="16"/>
              </w:rPr>
              <w:t>I</w:t>
            </w:r>
          </w:p>
        </w:tc>
        <w:tc>
          <w:tcPr>
            <w:tcW w:w="5886" w:type="dxa"/>
            <w:shd w:val="clear" w:color="auto" w:fill="D9D9D9"/>
          </w:tcPr>
          <w:p>
            <w:pPr>
              <w:pStyle w:val="TableParagraph"/>
              <w:spacing w:before="22"/>
              <w:ind w:left="73"/>
              <w:rPr>
                <w:b/>
                <w:sz w:val="16"/>
              </w:rPr>
            </w:pPr>
            <w:r>
              <w:rPr>
                <w:b/>
                <w:sz w:val="16"/>
              </w:rPr>
              <w:t>ONG, información pública y medios de comunicación</w:t>
            </w:r>
          </w:p>
        </w:tc>
        <w:tc>
          <w:tcPr>
            <w:tcW w:w="894" w:type="dxa"/>
            <w:shd w:val="clear" w:color="auto" w:fill="D9D9D9"/>
          </w:tcPr>
          <w:p>
            <w:pPr>
              <w:pStyle w:val="TableParagraph"/>
              <w:spacing w:before="22"/>
              <w:ind w:left="293" w:right="287"/>
              <w:jc w:val="center"/>
              <w:rPr>
                <w:b/>
                <w:sz w:val="16"/>
              </w:rPr>
            </w:pPr>
            <w:r>
              <w:rPr>
                <w:b/>
                <w:sz w:val="16"/>
              </w:rPr>
              <w:t>86</w:t>
            </w:r>
          </w:p>
        </w:tc>
        <w:tc>
          <w:tcPr>
            <w:tcW w:w="712" w:type="dxa"/>
            <w:tcBorders>
              <w:top w:val="single" w:sz="11" w:space="0" w:color="D9D9D9"/>
            </w:tcBorders>
            <w:shd w:val="clear" w:color="auto" w:fill="E26C09"/>
          </w:tcPr>
          <w:p>
            <w:pPr>
              <w:pStyle w:val="TableParagraph"/>
              <w:spacing w:before="8"/>
              <w:ind w:left="202" w:right="202"/>
              <w:jc w:val="center"/>
              <w:rPr>
                <w:b/>
                <w:sz w:val="16"/>
              </w:rPr>
            </w:pPr>
            <w:r>
              <w:rPr>
                <w:b/>
                <w:sz w:val="16"/>
              </w:rPr>
              <w:t>64</w:t>
            </w:r>
          </w:p>
        </w:tc>
        <w:tc>
          <w:tcPr>
            <w:tcW w:w="507" w:type="dxa"/>
            <w:shd w:val="clear" w:color="auto" w:fill="D9D9D9"/>
          </w:tcPr>
          <w:p>
            <w:pPr>
              <w:pStyle w:val="TableParagraph"/>
              <w:spacing w:before="22"/>
              <w:ind w:right="164"/>
              <w:jc w:val="right"/>
              <w:rPr>
                <w:b/>
                <w:sz w:val="16"/>
              </w:rPr>
            </w:pPr>
            <w:r>
              <w:rPr>
                <w:b/>
                <w:sz w:val="16"/>
              </w:rPr>
              <w:t>87</w:t>
            </w:r>
          </w:p>
        </w:tc>
      </w:tr>
      <w:tr>
        <w:trPr>
          <w:trHeight w:val="186" w:hRule="exact"/>
        </w:trPr>
        <w:tc>
          <w:tcPr>
            <w:tcW w:w="840" w:type="dxa"/>
            <w:tcBorders>
              <w:left w:val="single" w:sz="11" w:space="0" w:color="D9D9D9"/>
            </w:tcBorders>
          </w:tcPr>
          <w:p>
            <w:pPr/>
          </w:p>
        </w:tc>
        <w:tc>
          <w:tcPr>
            <w:tcW w:w="5886" w:type="dxa"/>
          </w:tcPr>
          <w:p>
            <w:pPr>
              <w:pStyle w:val="TableParagraph"/>
              <w:spacing w:line="178" w:lineRule="exact"/>
              <w:ind w:left="73"/>
              <w:rPr>
                <w:sz w:val="16"/>
              </w:rPr>
            </w:pPr>
            <w:r>
              <w:rPr>
                <w:sz w:val="16"/>
              </w:rPr>
              <w:t>ONG-Anticorrupción.</w:t>
            </w:r>
          </w:p>
        </w:tc>
        <w:tc>
          <w:tcPr>
            <w:tcW w:w="894" w:type="dxa"/>
          </w:tcPr>
          <w:p>
            <w:pPr>
              <w:pStyle w:val="TableParagraph"/>
              <w:spacing w:line="178" w:lineRule="exact"/>
              <w:ind w:left="293" w:right="287"/>
              <w:jc w:val="center"/>
              <w:rPr>
                <w:sz w:val="16"/>
              </w:rPr>
            </w:pPr>
            <w:r>
              <w:rPr>
                <w:sz w:val="16"/>
              </w:rPr>
              <w:t>90</w:t>
            </w:r>
          </w:p>
        </w:tc>
        <w:tc>
          <w:tcPr>
            <w:tcW w:w="712" w:type="dxa"/>
          </w:tcPr>
          <w:p>
            <w:pPr>
              <w:pStyle w:val="TableParagraph"/>
              <w:spacing w:line="178" w:lineRule="exact"/>
              <w:ind w:left="202" w:right="202"/>
              <w:jc w:val="center"/>
              <w:rPr>
                <w:sz w:val="16"/>
              </w:rPr>
            </w:pPr>
            <w:r>
              <w:rPr>
                <w:sz w:val="16"/>
              </w:rPr>
              <w:t>60</w:t>
            </w:r>
          </w:p>
        </w:tc>
        <w:tc>
          <w:tcPr>
            <w:tcW w:w="507" w:type="dxa"/>
            <w:tcBorders>
              <w:right w:val="single" w:sz="11" w:space="0" w:color="D9D9D9"/>
            </w:tcBorders>
          </w:tcPr>
          <w:p>
            <w:pPr>
              <w:pStyle w:val="TableParagraph"/>
              <w:spacing w:line="178" w:lineRule="exact"/>
              <w:ind w:right="150"/>
              <w:jc w:val="right"/>
              <w:rPr>
                <w:sz w:val="16"/>
              </w:rPr>
            </w:pPr>
            <w:r>
              <w:rPr>
                <w:sz w:val="16"/>
              </w:rPr>
              <w:t>90</w:t>
            </w:r>
          </w:p>
        </w:tc>
      </w:tr>
      <w:tr>
        <w:trPr>
          <w:trHeight w:val="184"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Capacidad de los medios para informar sobre corrupción.</w:t>
            </w:r>
          </w:p>
        </w:tc>
        <w:tc>
          <w:tcPr>
            <w:tcW w:w="894" w:type="dxa"/>
          </w:tcPr>
          <w:p>
            <w:pPr>
              <w:pStyle w:val="TableParagraph"/>
              <w:spacing w:line="176" w:lineRule="exact"/>
              <w:ind w:left="293" w:right="287"/>
              <w:jc w:val="center"/>
              <w:rPr>
                <w:sz w:val="16"/>
              </w:rPr>
            </w:pPr>
            <w:r>
              <w:rPr>
                <w:sz w:val="16"/>
              </w:rPr>
              <w:t>97</w:t>
            </w:r>
          </w:p>
        </w:tc>
        <w:tc>
          <w:tcPr>
            <w:tcW w:w="712" w:type="dxa"/>
          </w:tcPr>
          <w:p>
            <w:pPr>
              <w:pStyle w:val="TableParagraph"/>
              <w:spacing w:line="176" w:lineRule="exact"/>
              <w:ind w:left="202" w:right="202"/>
              <w:jc w:val="center"/>
              <w:rPr>
                <w:sz w:val="16"/>
              </w:rPr>
            </w:pPr>
            <w:r>
              <w:rPr>
                <w:sz w:val="16"/>
              </w:rPr>
              <w:t>58</w:t>
            </w:r>
          </w:p>
        </w:tc>
        <w:tc>
          <w:tcPr>
            <w:tcW w:w="507" w:type="dxa"/>
            <w:tcBorders>
              <w:right w:val="single" w:sz="11" w:space="0" w:color="D9D9D9"/>
            </w:tcBorders>
          </w:tcPr>
          <w:p>
            <w:pPr>
              <w:pStyle w:val="TableParagraph"/>
              <w:spacing w:line="176" w:lineRule="exact"/>
              <w:ind w:right="150"/>
              <w:jc w:val="right"/>
              <w:rPr>
                <w:sz w:val="16"/>
              </w:rPr>
            </w:pPr>
            <w:r>
              <w:rPr>
                <w:sz w:val="16"/>
              </w:rPr>
              <w:t>91</w:t>
            </w:r>
          </w:p>
        </w:tc>
      </w:tr>
      <w:tr>
        <w:trPr>
          <w:trHeight w:val="182"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Requerimientos de información gubernamental.</w:t>
            </w:r>
          </w:p>
        </w:tc>
        <w:tc>
          <w:tcPr>
            <w:tcW w:w="894" w:type="dxa"/>
          </w:tcPr>
          <w:p>
            <w:pPr>
              <w:pStyle w:val="TableParagraph"/>
              <w:spacing w:line="176" w:lineRule="exact"/>
              <w:ind w:left="293" w:right="287"/>
              <w:jc w:val="center"/>
              <w:rPr>
                <w:sz w:val="16"/>
              </w:rPr>
            </w:pPr>
            <w:r>
              <w:rPr>
                <w:sz w:val="16"/>
              </w:rPr>
              <w:t>73</w:t>
            </w:r>
          </w:p>
        </w:tc>
        <w:tc>
          <w:tcPr>
            <w:tcW w:w="712" w:type="dxa"/>
          </w:tcPr>
          <w:p>
            <w:pPr>
              <w:pStyle w:val="TableParagraph"/>
              <w:spacing w:line="176" w:lineRule="exact"/>
              <w:ind w:left="202" w:right="202"/>
              <w:jc w:val="center"/>
              <w:rPr>
                <w:sz w:val="16"/>
              </w:rPr>
            </w:pPr>
            <w:r>
              <w:rPr>
                <w:sz w:val="16"/>
              </w:rPr>
              <w:t>73</w:t>
            </w:r>
          </w:p>
        </w:tc>
        <w:tc>
          <w:tcPr>
            <w:tcW w:w="507" w:type="dxa"/>
            <w:tcBorders>
              <w:right w:val="single" w:sz="11" w:space="0" w:color="D9D9D9"/>
            </w:tcBorders>
          </w:tcPr>
          <w:p>
            <w:pPr>
              <w:pStyle w:val="TableParagraph"/>
              <w:spacing w:line="176" w:lineRule="exact"/>
              <w:ind w:right="150"/>
              <w:jc w:val="right"/>
              <w:rPr>
                <w:sz w:val="16"/>
              </w:rPr>
            </w:pPr>
            <w:r>
              <w:rPr>
                <w:sz w:val="16"/>
              </w:rPr>
              <w:t>79</w:t>
            </w:r>
          </w:p>
        </w:tc>
      </w:tr>
      <w:tr>
        <w:trPr>
          <w:trHeight w:val="184" w:hRule="exact"/>
        </w:trPr>
        <w:tc>
          <w:tcPr>
            <w:tcW w:w="840" w:type="dxa"/>
            <w:shd w:val="clear" w:color="auto" w:fill="D9D9D9"/>
          </w:tcPr>
          <w:p>
            <w:pPr>
              <w:pStyle w:val="TableParagraph"/>
              <w:spacing w:line="178" w:lineRule="exact"/>
              <w:ind w:left="322" w:right="319"/>
              <w:jc w:val="center"/>
              <w:rPr>
                <w:b/>
                <w:sz w:val="16"/>
              </w:rPr>
            </w:pPr>
            <w:r>
              <w:rPr>
                <w:b/>
                <w:sz w:val="16"/>
              </w:rPr>
              <w:t>II</w:t>
            </w:r>
          </w:p>
        </w:tc>
        <w:tc>
          <w:tcPr>
            <w:tcW w:w="5886" w:type="dxa"/>
            <w:shd w:val="clear" w:color="auto" w:fill="D9D9D9"/>
          </w:tcPr>
          <w:p>
            <w:pPr>
              <w:pStyle w:val="TableParagraph"/>
              <w:spacing w:line="178" w:lineRule="exact"/>
              <w:ind w:left="73"/>
              <w:rPr>
                <w:b/>
                <w:sz w:val="16"/>
              </w:rPr>
            </w:pPr>
            <w:r>
              <w:rPr>
                <w:b/>
                <w:sz w:val="16"/>
              </w:rPr>
              <w:t>Elecciones</w:t>
            </w:r>
          </w:p>
        </w:tc>
        <w:tc>
          <w:tcPr>
            <w:tcW w:w="894" w:type="dxa"/>
            <w:shd w:val="clear" w:color="auto" w:fill="D9D9D9"/>
          </w:tcPr>
          <w:p>
            <w:pPr>
              <w:pStyle w:val="TableParagraph"/>
              <w:spacing w:line="178" w:lineRule="exact"/>
              <w:ind w:left="293" w:right="287"/>
              <w:jc w:val="center"/>
              <w:rPr>
                <w:b/>
                <w:sz w:val="16"/>
              </w:rPr>
            </w:pPr>
            <w:r>
              <w:rPr>
                <w:b/>
                <w:sz w:val="16"/>
              </w:rPr>
              <w:t>79</w:t>
            </w:r>
          </w:p>
        </w:tc>
        <w:tc>
          <w:tcPr>
            <w:tcW w:w="712" w:type="dxa"/>
            <w:shd w:val="clear" w:color="auto" w:fill="E26C09"/>
          </w:tcPr>
          <w:p>
            <w:pPr>
              <w:pStyle w:val="TableParagraph"/>
              <w:spacing w:line="178" w:lineRule="exact"/>
              <w:ind w:left="202" w:right="202"/>
              <w:jc w:val="center"/>
              <w:rPr>
                <w:b/>
                <w:sz w:val="16"/>
              </w:rPr>
            </w:pPr>
            <w:r>
              <w:rPr>
                <w:b/>
                <w:sz w:val="16"/>
              </w:rPr>
              <w:t>77</w:t>
            </w:r>
          </w:p>
        </w:tc>
        <w:tc>
          <w:tcPr>
            <w:tcW w:w="507" w:type="dxa"/>
            <w:shd w:val="clear" w:color="auto" w:fill="D9D9D9"/>
          </w:tcPr>
          <w:p>
            <w:pPr>
              <w:pStyle w:val="TableParagraph"/>
              <w:spacing w:line="178" w:lineRule="exact"/>
              <w:ind w:right="164"/>
              <w:jc w:val="right"/>
              <w:rPr>
                <w:b/>
                <w:sz w:val="16"/>
              </w:rPr>
            </w:pPr>
            <w:r>
              <w:rPr>
                <w:b/>
                <w:sz w:val="16"/>
              </w:rPr>
              <w:t>88</w:t>
            </w:r>
          </w:p>
        </w:tc>
      </w:tr>
      <w:tr>
        <w:trPr>
          <w:trHeight w:val="186" w:hRule="exact"/>
        </w:trPr>
        <w:tc>
          <w:tcPr>
            <w:tcW w:w="840" w:type="dxa"/>
            <w:tcBorders>
              <w:left w:val="single" w:sz="11" w:space="0" w:color="D9D9D9"/>
            </w:tcBorders>
          </w:tcPr>
          <w:p>
            <w:pPr/>
          </w:p>
        </w:tc>
        <w:tc>
          <w:tcPr>
            <w:tcW w:w="5886" w:type="dxa"/>
          </w:tcPr>
          <w:p>
            <w:pPr>
              <w:pStyle w:val="TableParagraph"/>
              <w:spacing w:line="178" w:lineRule="exact"/>
              <w:ind w:left="73"/>
              <w:rPr>
                <w:sz w:val="16"/>
              </w:rPr>
            </w:pPr>
            <w:r>
              <w:rPr>
                <w:sz w:val="16"/>
              </w:rPr>
              <w:t>Votaciones y formación de partidos.</w:t>
            </w:r>
          </w:p>
        </w:tc>
        <w:tc>
          <w:tcPr>
            <w:tcW w:w="894" w:type="dxa"/>
          </w:tcPr>
          <w:p>
            <w:pPr>
              <w:pStyle w:val="TableParagraph"/>
              <w:spacing w:line="178" w:lineRule="exact"/>
              <w:ind w:left="293" w:right="287"/>
              <w:jc w:val="center"/>
              <w:rPr>
                <w:sz w:val="16"/>
              </w:rPr>
            </w:pPr>
            <w:r>
              <w:rPr>
                <w:sz w:val="16"/>
              </w:rPr>
              <w:t>94</w:t>
            </w:r>
          </w:p>
        </w:tc>
        <w:tc>
          <w:tcPr>
            <w:tcW w:w="712" w:type="dxa"/>
          </w:tcPr>
          <w:p>
            <w:pPr>
              <w:pStyle w:val="TableParagraph"/>
              <w:spacing w:line="178" w:lineRule="exact"/>
              <w:ind w:left="202" w:right="202"/>
              <w:jc w:val="center"/>
              <w:rPr>
                <w:sz w:val="16"/>
              </w:rPr>
            </w:pPr>
            <w:r>
              <w:rPr>
                <w:sz w:val="16"/>
              </w:rPr>
              <w:t>88</w:t>
            </w:r>
          </w:p>
        </w:tc>
        <w:tc>
          <w:tcPr>
            <w:tcW w:w="507" w:type="dxa"/>
            <w:tcBorders>
              <w:right w:val="single" w:sz="11" w:space="0" w:color="D9D9D9"/>
            </w:tcBorders>
          </w:tcPr>
          <w:p>
            <w:pPr>
              <w:pStyle w:val="TableParagraph"/>
              <w:spacing w:line="178" w:lineRule="exact"/>
              <w:ind w:right="150"/>
              <w:jc w:val="right"/>
              <w:rPr>
                <w:sz w:val="16"/>
              </w:rPr>
            </w:pPr>
            <w:r>
              <w:rPr>
                <w:sz w:val="16"/>
              </w:rPr>
              <w:t>98</w:t>
            </w:r>
          </w:p>
        </w:tc>
      </w:tr>
      <w:tr>
        <w:trPr>
          <w:trHeight w:val="184" w:hRule="exact"/>
        </w:trPr>
        <w:tc>
          <w:tcPr>
            <w:tcW w:w="840" w:type="dxa"/>
            <w:tcBorders>
              <w:left w:val="single" w:sz="11" w:space="0" w:color="D9D9D9"/>
            </w:tcBorders>
          </w:tcPr>
          <w:p>
            <w:pPr/>
          </w:p>
        </w:tc>
        <w:tc>
          <w:tcPr>
            <w:tcW w:w="5886" w:type="dxa"/>
          </w:tcPr>
          <w:p>
            <w:pPr>
              <w:pStyle w:val="TableParagraph"/>
              <w:spacing w:line="175" w:lineRule="exact"/>
              <w:ind w:left="73"/>
              <w:rPr>
                <w:sz w:val="16"/>
              </w:rPr>
            </w:pPr>
            <w:r>
              <w:rPr>
                <w:sz w:val="16"/>
              </w:rPr>
              <w:t>Integridad electoral.</w:t>
            </w:r>
          </w:p>
        </w:tc>
        <w:tc>
          <w:tcPr>
            <w:tcW w:w="894" w:type="dxa"/>
          </w:tcPr>
          <w:p>
            <w:pPr>
              <w:pStyle w:val="TableParagraph"/>
              <w:spacing w:line="175" w:lineRule="exact"/>
              <w:ind w:left="293" w:right="287"/>
              <w:jc w:val="center"/>
              <w:rPr>
                <w:sz w:val="16"/>
              </w:rPr>
            </w:pPr>
            <w:r>
              <w:rPr>
                <w:sz w:val="16"/>
              </w:rPr>
              <w:t>96</w:t>
            </w:r>
          </w:p>
        </w:tc>
        <w:tc>
          <w:tcPr>
            <w:tcW w:w="712" w:type="dxa"/>
          </w:tcPr>
          <w:p>
            <w:pPr>
              <w:pStyle w:val="TableParagraph"/>
              <w:spacing w:line="175" w:lineRule="exact"/>
              <w:ind w:left="202" w:right="202"/>
              <w:jc w:val="center"/>
              <w:rPr>
                <w:sz w:val="16"/>
              </w:rPr>
            </w:pPr>
            <w:r>
              <w:rPr>
                <w:sz w:val="16"/>
              </w:rPr>
              <w:t>83</w:t>
            </w:r>
          </w:p>
        </w:tc>
        <w:tc>
          <w:tcPr>
            <w:tcW w:w="507" w:type="dxa"/>
            <w:tcBorders>
              <w:right w:val="single" w:sz="11" w:space="0" w:color="D9D9D9"/>
            </w:tcBorders>
          </w:tcPr>
          <w:p>
            <w:pPr>
              <w:pStyle w:val="TableParagraph"/>
              <w:spacing w:line="175" w:lineRule="exact"/>
              <w:ind w:right="150"/>
              <w:jc w:val="right"/>
              <w:rPr>
                <w:sz w:val="16"/>
              </w:rPr>
            </w:pPr>
            <w:r>
              <w:rPr>
                <w:sz w:val="16"/>
              </w:rPr>
              <w:t>91</w:t>
            </w:r>
          </w:p>
        </w:tc>
      </w:tr>
      <w:tr>
        <w:trPr>
          <w:trHeight w:val="182"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Transparencia del financiamiento político.</w:t>
            </w:r>
          </w:p>
        </w:tc>
        <w:tc>
          <w:tcPr>
            <w:tcW w:w="894" w:type="dxa"/>
          </w:tcPr>
          <w:p>
            <w:pPr>
              <w:pStyle w:val="TableParagraph"/>
              <w:spacing w:line="176" w:lineRule="exact"/>
              <w:ind w:left="293" w:right="287"/>
              <w:jc w:val="center"/>
              <w:rPr>
                <w:sz w:val="16"/>
              </w:rPr>
            </w:pPr>
            <w:r>
              <w:rPr>
                <w:sz w:val="16"/>
              </w:rPr>
              <w:t>48</w:t>
            </w:r>
          </w:p>
        </w:tc>
        <w:tc>
          <w:tcPr>
            <w:tcW w:w="712" w:type="dxa"/>
          </w:tcPr>
          <w:p>
            <w:pPr>
              <w:pStyle w:val="TableParagraph"/>
              <w:spacing w:line="176" w:lineRule="exact"/>
              <w:ind w:left="202" w:right="202"/>
              <w:jc w:val="center"/>
              <w:rPr>
                <w:sz w:val="16"/>
              </w:rPr>
            </w:pPr>
            <w:r>
              <w:rPr>
                <w:sz w:val="16"/>
              </w:rPr>
              <w:t>60</w:t>
            </w:r>
          </w:p>
        </w:tc>
        <w:tc>
          <w:tcPr>
            <w:tcW w:w="507" w:type="dxa"/>
            <w:tcBorders>
              <w:right w:val="single" w:sz="11" w:space="0" w:color="D9D9D9"/>
            </w:tcBorders>
          </w:tcPr>
          <w:p>
            <w:pPr>
              <w:pStyle w:val="TableParagraph"/>
              <w:spacing w:line="176" w:lineRule="exact"/>
              <w:ind w:right="150"/>
              <w:jc w:val="right"/>
              <w:rPr>
                <w:sz w:val="16"/>
              </w:rPr>
            </w:pPr>
            <w:r>
              <w:rPr>
                <w:sz w:val="16"/>
              </w:rPr>
              <w:t>74</w:t>
            </w:r>
          </w:p>
        </w:tc>
      </w:tr>
      <w:tr>
        <w:trPr>
          <w:trHeight w:val="232" w:hRule="exact"/>
        </w:trPr>
        <w:tc>
          <w:tcPr>
            <w:tcW w:w="840" w:type="dxa"/>
            <w:shd w:val="clear" w:color="auto" w:fill="D9D9D9"/>
          </w:tcPr>
          <w:p>
            <w:pPr>
              <w:pStyle w:val="TableParagraph"/>
              <w:spacing w:before="17"/>
              <w:ind w:left="322" w:right="315"/>
              <w:jc w:val="center"/>
              <w:rPr>
                <w:b/>
                <w:sz w:val="16"/>
              </w:rPr>
            </w:pPr>
            <w:r>
              <w:rPr>
                <w:b/>
                <w:sz w:val="16"/>
              </w:rPr>
              <w:t>III</w:t>
            </w:r>
          </w:p>
        </w:tc>
        <w:tc>
          <w:tcPr>
            <w:tcW w:w="5886" w:type="dxa"/>
            <w:shd w:val="clear" w:color="auto" w:fill="D9D9D9"/>
          </w:tcPr>
          <w:p>
            <w:pPr>
              <w:pStyle w:val="TableParagraph"/>
              <w:spacing w:before="17"/>
              <w:ind w:left="73"/>
              <w:rPr>
                <w:b/>
                <w:sz w:val="16"/>
              </w:rPr>
            </w:pPr>
            <w:r>
              <w:rPr>
                <w:b/>
                <w:sz w:val="16"/>
              </w:rPr>
              <w:t>Prevención del conflicto de intereses del gobierno, controles y equilibrios</w:t>
            </w:r>
          </w:p>
        </w:tc>
        <w:tc>
          <w:tcPr>
            <w:tcW w:w="894" w:type="dxa"/>
            <w:shd w:val="clear" w:color="auto" w:fill="D9D9D9"/>
          </w:tcPr>
          <w:p>
            <w:pPr>
              <w:pStyle w:val="TableParagraph"/>
              <w:spacing w:before="17"/>
              <w:ind w:left="293" w:right="287"/>
              <w:jc w:val="center"/>
              <w:rPr>
                <w:b/>
                <w:sz w:val="16"/>
              </w:rPr>
            </w:pPr>
            <w:r>
              <w:rPr>
                <w:b/>
                <w:sz w:val="16"/>
              </w:rPr>
              <w:t>68</w:t>
            </w:r>
          </w:p>
        </w:tc>
        <w:tc>
          <w:tcPr>
            <w:tcW w:w="712" w:type="dxa"/>
            <w:shd w:val="clear" w:color="auto" w:fill="E26C09"/>
          </w:tcPr>
          <w:p>
            <w:pPr>
              <w:pStyle w:val="TableParagraph"/>
              <w:spacing w:before="17"/>
              <w:ind w:left="202" w:right="202"/>
              <w:jc w:val="center"/>
              <w:rPr>
                <w:b/>
                <w:sz w:val="16"/>
              </w:rPr>
            </w:pPr>
            <w:r>
              <w:rPr>
                <w:b/>
                <w:sz w:val="16"/>
              </w:rPr>
              <w:t>59</w:t>
            </w:r>
          </w:p>
        </w:tc>
        <w:tc>
          <w:tcPr>
            <w:tcW w:w="507" w:type="dxa"/>
            <w:shd w:val="clear" w:color="auto" w:fill="D9D9D9"/>
          </w:tcPr>
          <w:p>
            <w:pPr>
              <w:pStyle w:val="TableParagraph"/>
              <w:spacing w:before="17"/>
              <w:ind w:right="164"/>
              <w:jc w:val="right"/>
              <w:rPr>
                <w:b/>
                <w:sz w:val="16"/>
              </w:rPr>
            </w:pPr>
            <w:r>
              <w:rPr>
                <w:b/>
                <w:sz w:val="16"/>
              </w:rPr>
              <w:t>85</w:t>
            </w:r>
          </w:p>
        </w:tc>
      </w:tr>
      <w:tr>
        <w:trPr>
          <w:trHeight w:val="186" w:hRule="exact"/>
        </w:trPr>
        <w:tc>
          <w:tcPr>
            <w:tcW w:w="840" w:type="dxa"/>
            <w:tcBorders>
              <w:left w:val="single" w:sz="11" w:space="0" w:color="D9D9D9"/>
            </w:tcBorders>
          </w:tcPr>
          <w:p>
            <w:pPr/>
          </w:p>
        </w:tc>
        <w:tc>
          <w:tcPr>
            <w:tcW w:w="5886" w:type="dxa"/>
          </w:tcPr>
          <w:p>
            <w:pPr>
              <w:pStyle w:val="TableParagraph"/>
              <w:spacing w:line="178" w:lineRule="exact"/>
              <w:ind w:left="73"/>
              <w:rPr>
                <w:sz w:val="16"/>
              </w:rPr>
            </w:pPr>
            <w:r>
              <w:rPr>
                <w:sz w:val="16"/>
              </w:rPr>
              <w:t>Poder Ejecutivo.</w:t>
            </w:r>
          </w:p>
        </w:tc>
        <w:tc>
          <w:tcPr>
            <w:tcW w:w="894" w:type="dxa"/>
          </w:tcPr>
          <w:p>
            <w:pPr>
              <w:pStyle w:val="TableParagraph"/>
              <w:spacing w:line="178" w:lineRule="exact"/>
              <w:ind w:left="293" w:right="287"/>
              <w:jc w:val="center"/>
              <w:rPr>
                <w:sz w:val="16"/>
              </w:rPr>
            </w:pPr>
            <w:r>
              <w:rPr>
                <w:sz w:val="16"/>
              </w:rPr>
              <w:t>64</w:t>
            </w:r>
          </w:p>
        </w:tc>
        <w:tc>
          <w:tcPr>
            <w:tcW w:w="712" w:type="dxa"/>
          </w:tcPr>
          <w:p>
            <w:pPr>
              <w:pStyle w:val="TableParagraph"/>
              <w:spacing w:line="178" w:lineRule="exact"/>
              <w:ind w:left="202" w:right="202"/>
              <w:jc w:val="center"/>
              <w:rPr>
                <w:sz w:val="16"/>
              </w:rPr>
            </w:pPr>
            <w:r>
              <w:rPr>
                <w:sz w:val="16"/>
              </w:rPr>
              <w:t>62</w:t>
            </w:r>
          </w:p>
        </w:tc>
        <w:tc>
          <w:tcPr>
            <w:tcW w:w="507" w:type="dxa"/>
            <w:tcBorders>
              <w:right w:val="single" w:sz="11" w:space="0" w:color="D9D9D9"/>
            </w:tcBorders>
          </w:tcPr>
          <w:p>
            <w:pPr>
              <w:pStyle w:val="TableParagraph"/>
              <w:spacing w:line="178" w:lineRule="exact"/>
              <w:ind w:right="150"/>
              <w:jc w:val="right"/>
              <w:rPr>
                <w:sz w:val="16"/>
              </w:rPr>
            </w:pPr>
            <w:r>
              <w:rPr>
                <w:sz w:val="16"/>
              </w:rPr>
              <w:t>95</w:t>
            </w:r>
          </w:p>
        </w:tc>
      </w:tr>
      <w:tr>
        <w:trPr>
          <w:trHeight w:val="184"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Poder Legislativo.</w:t>
            </w:r>
          </w:p>
        </w:tc>
        <w:tc>
          <w:tcPr>
            <w:tcW w:w="894" w:type="dxa"/>
          </w:tcPr>
          <w:p>
            <w:pPr>
              <w:pStyle w:val="TableParagraph"/>
              <w:spacing w:line="176" w:lineRule="exact"/>
              <w:ind w:left="293" w:right="287"/>
              <w:jc w:val="center"/>
              <w:rPr>
                <w:sz w:val="16"/>
              </w:rPr>
            </w:pPr>
            <w:r>
              <w:rPr>
                <w:sz w:val="16"/>
              </w:rPr>
              <w:t>58</w:t>
            </w:r>
          </w:p>
        </w:tc>
        <w:tc>
          <w:tcPr>
            <w:tcW w:w="712" w:type="dxa"/>
          </w:tcPr>
          <w:p>
            <w:pPr>
              <w:pStyle w:val="TableParagraph"/>
              <w:spacing w:line="176" w:lineRule="exact"/>
              <w:ind w:left="202" w:right="202"/>
              <w:jc w:val="center"/>
              <w:rPr>
                <w:sz w:val="16"/>
              </w:rPr>
            </w:pPr>
            <w:r>
              <w:rPr>
                <w:sz w:val="16"/>
              </w:rPr>
              <w:t>52</w:t>
            </w:r>
          </w:p>
        </w:tc>
        <w:tc>
          <w:tcPr>
            <w:tcW w:w="507" w:type="dxa"/>
            <w:tcBorders>
              <w:right w:val="single" w:sz="11" w:space="0" w:color="D9D9D9"/>
            </w:tcBorders>
          </w:tcPr>
          <w:p>
            <w:pPr>
              <w:pStyle w:val="TableParagraph"/>
              <w:spacing w:line="176" w:lineRule="exact"/>
              <w:ind w:right="150"/>
              <w:jc w:val="right"/>
              <w:rPr>
                <w:sz w:val="16"/>
              </w:rPr>
            </w:pPr>
            <w:r>
              <w:rPr>
                <w:sz w:val="16"/>
              </w:rPr>
              <w:t>86</w:t>
            </w:r>
          </w:p>
        </w:tc>
      </w:tr>
      <w:tr>
        <w:trPr>
          <w:trHeight w:val="184" w:hRule="exact"/>
        </w:trPr>
        <w:tc>
          <w:tcPr>
            <w:tcW w:w="840" w:type="dxa"/>
            <w:tcBorders>
              <w:left w:val="single" w:sz="11" w:space="0" w:color="D9D9D9"/>
            </w:tcBorders>
          </w:tcPr>
          <w:p>
            <w:pPr/>
          </w:p>
        </w:tc>
        <w:tc>
          <w:tcPr>
            <w:tcW w:w="5886" w:type="dxa"/>
          </w:tcPr>
          <w:p>
            <w:pPr>
              <w:pStyle w:val="TableParagraph"/>
              <w:spacing w:line="175" w:lineRule="exact"/>
              <w:ind w:left="73"/>
              <w:rPr>
                <w:sz w:val="16"/>
              </w:rPr>
            </w:pPr>
            <w:r>
              <w:rPr>
                <w:sz w:val="16"/>
              </w:rPr>
              <w:t>Poder Judicial.</w:t>
            </w:r>
          </w:p>
        </w:tc>
        <w:tc>
          <w:tcPr>
            <w:tcW w:w="894" w:type="dxa"/>
          </w:tcPr>
          <w:p>
            <w:pPr>
              <w:pStyle w:val="TableParagraph"/>
              <w:spacing w:line="175" w:lineRule="exact"/>
              <w:ind w:left="293" w:right="287"/>
              <w:jc w:val="center"/>
              <w:rPr>
                <w:sz w:val="16"/>
              </w:rPr>
            </w:pPr>
            <w:r>
              <w:rPr>
                <w:sz w:val="16"/>
              </w:rPr>
              <w:t>56</w:t>
            </w:r>
          </w:p>
        </w:tc>
        <w:tc>
          <w:tcPr>
            <w:tcW w:w="712" w:type="dxa"/>
          </w:tcPr>
          <w:p>
            <w:pPr>
              <w:pStyle w:val="TableParagraph"/>
              <w:spacing w:line="175" w:lineRule="exact"/>
              <w:ind w:left="202" w:right="202"/>
              <w:jc w:val="center"/>
              <w:rPr>
                <w:sz w:val="16"/>
              </w:rPr>
            </w:pPr>
            <w:r>
              <w:rPr>
                <w:sz w:val="16"/>
              </w:rPr>
              <w:t>46</w:t>
            </w:r>
          </w:p>
        </w:tc>
        <w:tc>
          <w:tcPr>
            <w:tcW w:w="507" w:type="dxa"/>
            <w:tcBorders>
              <w:right w:val="single" w:sz="11" w:space="0" w:color="D9D9D9"/>
            </w:tcBorders>
          </w:tcPr>
          <w:p>
            <w:pPr>
              <w:pStyle w:val="TableParagraph"/>
              <w:spacing w:line="175" w:lineRule="exact"/>
              <w:ind w:right="150"/>
              <w:jc w:val="right"/>
              <w:rPr>
                <w:sz w:val="16"/>
              </w:rPr>
            </w:pPr>
            <w:r>
              <w:rPr>
                <w:sz w:val="16"/>
              </w:rPr>
              <w:t>69</w:t>
            </w:r>
          </w:p>
        </w:tc>
      </w:tr>
      <w:tr>
        <w:trPr>
          <w:trHeight w:val="182"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Supervisión del proceso presupuestario y transparencia.</w:t>
            </w:r>
          </w:p>
        </w:tc>
        <w:tc>
          <w:tcPr>
            <w:tcW w:w="894" w:type="dxa"/>
          </w:tcPr>
          <w:p>
            <w:pPr>
              <w:pStyle w:val="TableParagraph"/>
              <w:spacing w:line="176" w:lineRule="exact"/>
              <w:ind w:left="293" w:right="287"/>
              <w:jc w:val="center"/>
              <w:rPr>
                <w:sz w:val="16"/>
              </w:rPr>
            </w:pPr>
            <w:r>
              <w:rPr>
                <w:sz w:val="16"/>
              </w:rPr>
              <w:t>94</w:t>
            </w:r>
          </w:p>
        </w:tc>
        <w:tc>
          <w:tcPr>
            <w:tcW w:w="712" w:type="dxa"/>
          </w:tcPr>
          <w:p>
            <w:pPr>
              <w:pStyle w:val="TableParagraph"/>
              <w:spacing w:line="176" w:lineRule="exact"/>
              <w:ind w:left="202" w:right="202"/>
              <w:jc w:val="center"/>
              <w:rPr>
                <w:sz w:val="16"/>
              </w:rPr>
            </w:pPr>
            <w:r>
              <w:rPr>
                <w:sz w:val="16"/>
              </w:rPr>
              <w:t>75</w:t>
            </w:r>
          </w:p>
        </w:tc>
        <w:tc>
          <w:tcPr>
            <w:tcW w:w="507" w:type="dxa"/>
            <w:tcBorders>
              <w:right w:val="single" w:sz="11" w:space="0" w:color="D9D9D9"/>
            </w:tcBorders>
          </w:tcPr>
          <w:p>
            <w:pPr>
              <w:pStyle w:val="TableParagraph"/>
              <w:spacing w:line="176" w:lineRule="exact"/>
              <w:ind w:right="150"/>
              <w:jc w:val="right"/>
              <w:rPr>
                <w:sz w:val="16"/>
              </w:rPr>
            </w:pPr>
            <w:r>
              <w:rPr>
                <w:sz w:val="16"/>
              </w:rPr>
              <w:t>90</w:t>
            </w:r>
          </w:p>
        </w:tc>
      </w:tr>
      <w:tr>
        <w:trPr>
          <w:trHeight w:val="184" w:hRule="exact"/>
        </w:trPr>
        <w:tc>
          <w:tcPr>
            <w:tcW w:w="840" w:type="dxa"/>
            <w:shd w:val="clear" w:color="auto" w:fill="D9D9D9"/>
          </w:tcPr>
          <w:p>
            <w:pPr>
              <w:pStyle w:val="TableParagraph"/>
              <w:spacing w:line="178" w:lineRule="exact"/>
              <w:ind w:left="318" w:right="322"/>
              <w:jc w:val="center"/>
              <w:rPr>
                <w:b/>
                <w:sz w:val="16"/>
              </w:rPr>
            </w:pPr>
            <w:r>
              <w:rPr>
                <w:b/>
                <w:sz w:val="16"/>
              </w:rPr>
              <w:t>IV</w:t>
            </w:r>
          </w:p>
        </w:tc>
        <w:tc>
          <w:tcPr>
            <w:tcW w:w="5886" w:type="dxa"/>
            <w:shd w:val="clear" w:color="auto" w:fill="D9D9D9"/>
          </w:tcPr>
          <w:p>
            <w:pPr>
              <w:pStyle w:val="TableParagraph"/>
              <w:spacing w:line="178" w:lineRule="exact"/>
              <w:ind w:left="73"/>
              <w:rPr>
                <w:b/>
                <w:sz w:val="16"/>
              </w:rPr>
            </w:pPr>
            <w:r>
              <w:rPr>
                <w:b/>
                <w:sz w:val="16"/>
              </w:rPr>
              <w:t>Administración Pública y profesionalismo</w:t>
            </w:r>
          </w:p>
        </w:tc>
        <w:tc>
          <w:tcPr>
            <w:tcW w:w="894" w:type="dxa"/>
            <w:shd w:val="clear" w:color="auto" w:fill="D9D9D9"/>
          </w:tcPr>
          <w:p>
            <w:pPr>
              <w:pStyle w:val="TableParagraph"/>
              <w:spacing w:line="178" w:lineRule="exact"/>
              <w:ind w:left="293" w:right="287"/>
              <w:jc w:val="center"/>
              <w:rPr>
                <w:b/>
                <w:sz w:val="16"/>
              </w:rPr>
            </w:pPr>
            <w:r>
              <w:rPr>
                <w:b/>
                <w:sz w:val="16"/>
              </w:rPr>
              <w:t>68</w:t>
            </w:r>
          </w:p>
        </w:tc>
        <w:tc>
          <w:tcPr>
            <w:tcW w:w="712" w:type="dxa"/>
            <w:shd w:val="clear" w:color="auto" w:fill="E26C09"/>
          </w:tcPr>
          <w:p>
            <w:pPr>
              <w:pStyle w:val="TableParagraph"/>
              <w:spacing w:line="178" w:lineRule="exact"/>
              <w:ind w:left="202" w:right="202"/>
              <w:jc w:val="center"/>
              <w:rPr>
                <w:b/>
                <w:sz w:val="16"/>
              </w:rPr>
            </w:pPr>
            <w:r>
              <w:rPr>
                <w:b/>
                <w:sz w:val="16"/>
              </w:rPr>
              <w:t>61</w:t>
            </w:r>
          </w:p>
        </w:tc>
        <w:tc>
          <w:tcPr>
            <w:tcW w:w="507" w:type="dxa"/>
            <w:shd w:val="clear" w:color="auto" w:fill="D9D9D9"/>
          </w:tcPr>
          <w:p>
            <w:pPr>
              <w:pStyle w:val="TableParagraph"/>
              <w:spacing w:line="178" w:lineRule="exact"/>
              <w:ind w:right="164"/>
              <w:jc w:val="right"/>
              <w:rPr>
                <w:b/>
                <w:sz w:val="16"/>
              </w:rPr>
            </w:pPr>
            <w:r>
              <w:rPr>
                <w:b/>
                <w:sz w:val="16"/>
              </w:rPr>
              <w:t>85</w:t>
            </w:r>
          </w:p>
        </w:tc>
      </w:tr>
      <w:tr>
        <w:trPr>
          <w:trHeight w:val="187" w:hRule="exact"/>
        </w:trPr>
        <w:tc>
          <w:tcPr>
            <w:tcW w:w="840" w:type="dxa"/>
            <w:tcBorders>
              <w:left w:val="single" w:sz="11" w:space="0" w:color="D9D9D9"/>
            </w:tcBorders>
          </w:tcPr>
          <w:p>
            <w:pPr/>
          </w:p>
        </w:tc>
        <w:tc>
          <w:tcPr>
            <w:tcW w:w="5886" w:type="dxa"/>
          </w:tcPr>
          <w:p>
            <w:pPr>
              <w:pStyle w:val="TableParagraph"/>
              <w:spacing w:line="178" w:lineRule="exact"/>
              <w:ind w:left="73"/>
              <w:rPr>
                <w:sz w:val="16"/>
              </w:rPr>
            </w:pPr>
            <w:r>
              <w:rPr>
                <w:sz w:val="16"/>
              </w:rPr>
              <w:t>Servicio civil: Prevenir el conflicto de intereses e independencia política.</w:t>
            </w:r>
          </w:p>
        </w:tc>
        <w:tc>
          <w:tcPr>
            <w:tcW w:w="894" w:type="dxa"/>
          </w:tcPr>
          <w:p>
            <w:pPr>
              <w:pStyle w:val="TableParagraph"/>
              <w:spacing w:line="178" w:lineRule="exact"/>
              <w:ind w:left="293" w:right="287"/>
              <w:jc w:val="center"/>
              <w:rPr>
                <w:sz w:val="16"/>
              </w:rPr>
            </w:pPr>
            <w:r>
              <w:rPr>
                <w:sz w:val="16"/>
              </w:rPr>
              <w:t>72</w:t>
            </w:r>
          </w:p>
        </w:tc>
        <w:tc>
          <w:tcPr>
            <w:tcW w:w="712" w:type="dxa"/>
          </w:tcPr>
          <w:p>
            <w:pPr>
              <w:pStyle w:val="TableParagraph"/>
              <w:spacing w:line="178" w:lineRule="exact"/>
              <w:ind w:left="202" w:right="202"/>
              <w:jc w:val="center"/>
              <w:rPr>
                <w:sz w:val="16"/>
              </w:rPr>
            </w:pPr>
            <w:r>
              <w:rPr>
                <w:sz w:val="16"/>
              </w:rPr>
              <w:t>41</w:t>
            </w:r>
          </w:p>
        </w:tc>
        <w:tc>
          <w:tcPr>
            <w:tcW w:w="507" w:type="dxa"/>
            <w:tcBorders>
              <w:right w:val="single" w:sz="11" w:space="0" w:color="D9D9D9"/>
            </w:tcBorders>
          </w:tcPr>
          <w:p>
            <w:pPr>
              <w:pStyle w:val="TableParagraph"/>
              <w:spacing w:line="178" w:lineRule="exact"/>
              <w:ind w:right="150"/>
              <w:jc w:val="right"/>
              <w:rPr>
                <w:sz w:val="16"/>
              </w:rPr>
            </w:pPr>
            <w:r>
              <w:rPr>
                <w:sz w:val="16"/>
              </w:rPr>
              <w:t>84</w:t>
            </w:r>
          </w:p>
        </w:tc>
      </w:tr>
      <w:tr>
        <w:trPr>
          <w:trHeight w:val="184"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Protección a denunciantes de delitos.</w:t>
            </w:r>
          </w:p>
        </w:tc>
        <w:tc>
          <w:tcPr>
            <w:tcW w:w="894" w:type="dxa"/>
          </w:tcPr>
          <w:p>
            <w:pPr>
              <w:pStyle w:val="TableParagraph"/>
              <w:spacing w:line="176" w:lineRule="exact"/>
              <w:ind w:left="293" w:right="287"/>
              <w:jc w:val="center"/>
              <w:rPr>
                <w:sz w:val="16"/>
              </w:rPr>
            </w:pPr>
            <w:r>
              <w:rPr>
                <w:sz w:val="16"/>
              </w:rPr>
              <w:t>19</w:t>
            </w:r>
          </w:p>
        </w:tc>
        <w:tc>
          <w:tcPr>
            <w:tcW w:w="712" w:type="dxa"/>
          </w:tcPr>
          <w:p>
            <w:pPr>
              <w:pStyle w:val="TableParagraph"/>
              <w:spacing w:line="176" w:lineRule="exact"/>
              <w:ind w:left="202" w:right="202"/>
              <w:jc w:val="center"/>
              <w:rPr>
                <w:sz w:val="16"/>
              </w:rPr>
            </w:pPr>
            <w:r>
              <w:rPr>
                <w:sz w:val="16"/>
              </w:rPr>
              <w:t>58</w:t>
            </w:r>
          </w:p>
        </w:tc>
        <w:tc>
          <w:tcPr>
            <w:tcW w:w="507" w:type="dxa"/>
            <w:tcBorders>
              <w:right w:val="single" w:sz="11" w:space="0" w:color="D9D9D9"/>
            </w:tcBorders>
          </w:tcPr>
          <w:p>
            <w:pPr>
              <w:pStyle w:val="TableParagraph"/>
              <w:spacing w:line="176" w:lineRule="exact"/>
              <w:ind w:right="150"/>
              <w:jc w:val="right"/>
              <w:rPr>
                <w:sz w:val="16"/>
              </w:rPr>
            </w:pPr>
            <w:r>
              <w:rPr>
                <w:sz w:val="16"/>
              </w:rPr>
              <w:t>79</w:t>
            </w:r>
          </w:p>
        </w:tc>
      </w:tr>
      <w:tr>
        <w:trPr>
          <w:trHeight w:val="368" w:hRule="exact"/>
        </w:trPr>
        <w:tc>
          <w:tcPr>
            <w:tcW w:w="840" w:type="dxa"/>
            <w:tcBorders>
              <w:left w:val="single" w:sz="11" w:space="0" w:color="D9D9D9"/>
            </w:tcBorders>
          </w:tcPr>
          <w:p>
            <w:pPr/>
          </w:p>
        </w:tc>
        <w:tc>
          <w:tcPr>
            <w:tcW w:w="5886" w:type="dxa"/>
          </w:tcPr>
          <w:p>
            <w:pPr>
              <w:pStyle w:val="TableParagraph"/>
              <w:ind w:left="73"/>
              <w:rPr>
                <w:sz w:val="16"/>
              </w:rPr>
            </w:pPr>
            <w:r>
              <w:rPr>
                <w:sz w:val="16"/>
              </w:rPr>
              <w:t>Procesos gubernamentales: transparencia, justicia y prevención del conflicto de intereses.</w:t>
            </w:r>
          </w:p>
        </w:tc>
        <w:tc>
          <w:tcPr>
            <w:tcW w:w="894" w:type="dxa"/>
          </w:tcPr>
          <w:p>
            <w:pPr>
              <w:pStyle w:val="TableParagraph"/>
              <w:spacing w:before="3"/>
              <w:rPr>
                <w:sz w:val="15"/>
              </w:rPr>
            </w:pPr>
          </w:p>
          <w:p>
            <w:pPr>
              <w:pStyle w:val="TableParagraph"/>
              <w:ind w:left="293" w:right="287"/>
              <w:jc w:val="center"/>
              <w:rPr>
                <w:sz w:val="16"/>
              </w:rPr>
            </w:pPr>
            <w:r>
              <w:rPr>
                <w:sz w:val="16"/>
              </w:rPr>
              <w:t>89</w:t>
            </w:r>
          </w:p>
        </w:tc>
        <w:tc>
          <w:tcPr>
            <w:tcW w:w="712" w:type="dxa"/>
          </w:tcPr>
          <w:p>
            <w:pPr>
              <w:pStyle w:val="TableParagraph"/>
              <w:spacing w:before="3"/>
              <w:rPr>
                <w:sz w:val="15"/>
              </w:rPr>
            </w:pPr>
          </w:p>
          <w:p>
            <w:pPr>
              <w:pStyle w:val="TableParagraph"/>
              <w:ind w:left="202" w:right="202"/>
              <w:jc w:val="center"/>
              <w:rPr>
                <w:sz w:val="16"/>
              </w:rPr>
            </w:pPr>
            <w:r>
              <w:rPr>
                <w:sz w:val="16"/>
              </w:rPr>
              <w:t>85</w:t>
            </w:r>
          </w:p>
        </w:tc>
        <w:tc>
          <w:tcPr>
            <w:tcW w:w="507" w:type="dxa"/>
            <w:tcBorders>
              <w:right w:val="single" w:sz="11" w:space="0" w:color="D9D9D9"/>
            </w:tcBorders>
          </w:tcPr>
          <w:p>
            <w:pPr>
              <w:pStyle w:val="TableParagraph"/>
              <w:spacing w:before="3"/>
              <w:rPr>
                <w:sz w:val="15"/>
              </w:rPr>
            </w:pPr>
          </w:p>
          <w:p>
            <w:pPr>
              <w:pStyle w:val="TableParagraph"/>
              <w:ind w:right="150"/>
              <w:jc w:val="right"/>
              <w:rPr>
                <w:sz w:val="16"/>
              </w:rPr>
            </w:pPr>
            <w:r>
              <w:rPr>
                <w:sz w:val="16"/>
              </w:rPr>
              <w:t>86</w:t>
            </w:r>
          </w:p>
        </w:tc>
      </w:tr>
      <w:tr>
        <w:trPr>
          <w:trHeight w:val="366" w:hRule="exact"/>
        </w:trPr>
        <w:tc>
          <w:tcPr>
            <w:tcW w:w="840" w:type="dxa"/>
            <w:tcBorders>
              <w:left w:val="single" w:sz="11" w:space="0" w:color="D9D9D9"/>
            </w:tcBorders>
          </w:tcPr>
          <w:p>
            <w:pPr/>
          </w:p>
        </w:tc>
        <w:tc>
          <w:tcPr>
            <w:tcW w:w="5886" w:type="dxa"/>
          </w:tcPr>
          <w:p>
            <w:pPr>
              <w:pStyle w:val="TableParagraph"/>
              <w:ind w:left="73"/>
              <w:rPr>
                <w:sz w:val="16"/>
              </w:rPr>
            </w:pPr>
            <w:r>
              <w:rPr>
                <w:sz w:val="16"/>
              </w:rPr>
              <w:t>Privatización de funciones públicas: transparencia, justicia y prevención del conflicto de intereses.</w:t>
            </w:r>
          </w:p>
        </w:tc>
        <w:tc>
          <w:tcPr>
            <w:tcW w:w="894" w:type="dxa"/>
          </w:tcPr>
          <w:p>
            <w:pPr>
              <w:pStyle w:val="TableParagraph"/>
              <w:spacing w:before="3"/>
              <w:rPr>
                <w:sz w:val="15"/>
              </w:rPr>
            </w:pPr>
          </w:p>
          <w:p>
            <w:pPr>
              <w:pStyle w:val="TableParagraph"/>
              <w:ind w:left="293" w:right="287"/>
              <w:jc w:val="center"/>
              <w:rPr>
                <w:sz w:val="16"/>
              </w:rPr>
            </w:pPr>
            <w:r>
              <w:rPr>
                <w:sz w:val="16"/>
              </w:rPr>
              <w:t>92</w:t>
            </w:r>
          </w:p>
        </w:tc>
        <w:tc>
          <w:tcPr>
            <w:tcW w:w="712" w:type="dxa"/>
          </w:tcPr>
          <w:p>
            <w:pPr>
              <w:pStyle w:val="TableParagraph"/>
              <w:spacing w:before="3"/>
              <w:rPr>
                <w:sz w:val="15"/>
              </w:rPr>
            </w:pPr>
          </w:p>
          <w:p>
            <w:pPr>
              <w:pStyle w:val="TableParagraph"/>
              <w:ind w:left="202" w:right="202"/>
              <w:jc w:val="center"/>
              <w:rPr>
                <w:sz w:val="16"/>
              </w:rPr>
            </w:pPr>
            <w:r>
              <w:rPr>
                <w:sz w:val="16"/>
              </w:rPr>
              <w:t>60</w:t>
            </w:r>
          </w:p>
        </w:tc>
        <w:tc>
          <w:tcPr>
            <w:tcW w:w="507" w:type="dxa"/>
            <w:tcBorders>
              <w:right w:val="single" w:sz="11" w:space="0" w:color="D9D9D9"/>
            </w:tcBorders>
          </w:tcPr>
          <w:p>
            <w:pPr>
              <w:pStyle w:val="TableParagraph"/>
              <w:spacing w:before="3"/>
              <w:rPr>
                <w:sz w:val="15"/>
              </w:rPr>
            </w:pPr>
          </w:p>
          <w:p>
            <w:pPr>
              <w:pStyle w:val="TableParagraph"/>
              <w:ind w:right="150"/>
              <w:jc w:val="right"/>
              <w:rPr>
                <w:sz w:val="16"/>
              </w:rPr>
            </w:pPr>
            <w:r>
              <w:rPr>
                <w:sz w:val="16"/>
              </w:rPr>
              <w:t>92</w:t>
            </w:r>
          </w:p>
        </w:tc>
      </w:tr>
      <w:tr>
        <w:trPr>
          <w:trHeight w:val="184" w:hRule="exact"/>
        </w:trPr>
        <w:tc>
          <w:tcPr>
            <w:tcW w:w="840" w:type="dxa"/>
            <w:shd w:val="clear" w:color="auto" w:fill="D9D9D9"/>
          </w:tcPr>
          <w:p>
            <w:pPr>
              <w:pStyle w:val="TableParagraph"/>
              <w:spacing w:line="178" w:lineRule="exact"/>
              <w:ind w:left="6"/>
              <w:jc w:val="center"/>
              <w:rPr>
                <w:b/>
                <w:sz w:val="16"/>
              </w:rPr>
            </w:pPr>
            <w:r>
              <w:rPr>
                <w:b/>
                <w:w w:val="100"/>
                <w:sz w:val="16"/>
              </w:rPr>
              <w:t>V</w:t>
            </w:r>
          </w:p>
        </w:tc>
        <w:tc>
          <w:tcPr>
            <w:tcW w:w="5886" w:type="dxa"/>
            <w:shd w:val="clear" w:color="auto" w:fill="D9D9D9"/>
          </w:tcPr>
          <w:p>
            <w:pPr>
              <w:pStyle w:val="TableParagraph"/>
              <w:spacing w:line="178" w:lineRule="exact"/>
              <w:ind w:left="73"/>
              <w:rPr>
                <w:b/>
                <w:sz w:val="16"/>
              </w:rPr>
            </w:pPr>
            <w:r>
              <w:rPr>
                <w:b/>
                <w:sz w:val="16"/>
              </w:rPr>
              <w:t>Vigilancia y control gubernamental</w:t>
            </w:r>
          </w:p>
        </w:tc>
        <w:tc>
          <w:tcPr>
            <w:tcW w:w="894" w:type="dxa"/>
            <w:shd w:val="clear" w:color="auto" w:fill="D9D9D9"/>
          </w:tcPr>
          <w:p>
            <w:pPr>
              <w:pStyle w:val="TableParagraph"/>
              <w:spacing w:line="178" w:lineRule="exact"/>
              <w:ind w:left="293" w:right="287"/>
              <w:jc w:val="center"/>
              <w:rPr>
                <w:b/>
                <w:sz w:val="16"/>
              </w:rPr>
            </w:pPr>
            <w:r>
              <w:rPr>
                <w:b/>
                <w:sz w:val="16"/>
              </w:rPr>
              <w:t>86</w:t>
            </w:r>
          </w:p>
        </w:tc>
        <w:tc>
          <w:tcPr>
            <w:tcW w:w="712" w:type="dxa"/>
            <w:shd w:val="clear" w:color="auto" w:fill="E26C09"/>
          </w:tcPr>
          <w:p>
            <w:pPr>
              <w:pStyle w:val="TableParagraph"/>
              <w:spacing w:line="178" w:lineRule="exact"/>
              <w:ind w:left="202" w:right="202"/>
              <w:jc w:val="center"/>
              <w:rPr>
                <w:b/>
                <w:sz w:val="16"/>
              </w:rPr>
            </w:pPr>
            <w:r>
              <w:rPr>
                <w:b/>
                <w:sz w:val="16"/>
              </w:rPr>
              <w:t>76</w:t>
            </w:r>
          </w:p>
        </w:tc>
        <w:tc>
          <w:tcPr>
            <w:tcW w:w="507" w:type="dxa"/>
            <w:shd w:val="clear" w:color="auto" w:fill="D9D9D9"/>
          </w:tcPr>
          <w:p>
            <w:pPr>
              <w:pStyle w:val="TableParagraph"/>
              <w:spacing w:line="178" w:lineRule="exact"/>
              <w:ind w:right="164"/>
              <w:jc w:val="right"/>
              <w:rPr>
                <w:b/>
                <w:sz w:val="16"/>
              </w:rPr>
            </w:pPr>
            <w:r>
              <w:rPr>
                <w:b/>
                <w:sz w:val="16"/>
              </w:rPr>
              <w:t>82</w:t>
            </w:r>
          </w:p>
        </w:tc>
      </w:tr>
      <w:tr>
        <w:trPr>
          <w:trHeight w:val="186" w:hRule="exact"/>
        </w:trPr>
        <w:tc>
          <w:tcPr>
            <w:tcW w:w="840" w:type="dxa"/>
            <w:tcBorders>
              <w:left w:val="single" w:sz="11" w:space="0" w:color="D9D9D9"/>
            </w:tcBorders>
          </w:tcPr>
          <w:p>
            <w:pPr/>
          </w:p>
        </w:tc>
        <w:tc>
          <w:tcPr>
            <w:tcW w:w="5886" w:type="dxa"/>
          </w:tcPr>
          <w:p>
            <w:pPr>
              <w:pStyle w:val="TableParagraph"/>
              <w:spacing w:line="178" w:lineRule="exact"/>
              <w:ind w:left="73"/>
              <w:rPr>
                <w:sz w:val="16"/>
              </w:rPr>
            </w:pPr>
            <w:r>
              <w:rPr>
                <w:sz w:val="16"/>
              </w:rPr>
              <w:t>Defensor de la nación (</w:t>
            </w:r>
            <w:r>
              <w:rPr>
                <w:i/>
                <w:sz w:val="16"/>
              </w:rPr>
              <w:t>Ombudsman nacional</w:t>
            </w:r>
            <w:r>
              <w:rPr>
                <w:sz w:val="16"/>
              </w:rPr>
              <w:t>).</w:t>
            </w:r>
          </w:p>
        </w:tc>
        <w:tc>
          <w:tcPr>
            <w:tcW w:w="894" w:type="dxa"/>
          </w:tcPr>
          <w:p>
            <w:pPr>
              <w:pStyle w:val="TableParagraph"/>
              <w:spacing w:line="178" w:lineRule="exact"/>
              <w:ind w:left="293" w:right="287"/>
              <w:jc w:val="center"/>
              <w:rPr>
                <w:sz w:val="16"/>
              </w:rPr>
            </w:pPr>
            <w:r>
              <w:rPr>
                <w:sz w:val="16"/>
              </w:rPr>
              <w:t>55</w:t>
            </w:r>
          </w:p>
        </w:tc>
        <w:tc>
          <w:tcPr>
            <w:tcW w:w="712" w:type="dxa"/>
          </w:tcPr>
          <w:p>
            <w:pPr>
              <w:pStyle w:val="TableParagraph"/>
              <w:spacing w:line="178" w:lineRule="exact"/>
              <w:ind w:left="202" w:right="202"/>
              <w:jc w:val="center"/>
              <w:rPr>
                <w:sz w:val="16"/>
              </w:rPr>
            </w:pPr>
            <w:r>
              <w:rPr>
                <w:sz w:val="16"/>
              </w:rPr>
              <w:t>85</w:t>
            </w:r>
          </w:p>
        </w:tc>
        <w:tc>
          <w:tcPr>
            <w:tcW w:w="507" w:type="dxa"/>
            <w:tcBorders>
              <w:right w:val="single" w:sz="11" w:space="0" w:color="D9D9D9"/>
            </w:tcBorders>
          </w:tcPr>
          <w:p>
            <w:pPr>
              <w:pStyle w:val="TableParagraph"/>
              <w:spacing w:line="178" w:lineRule="exact"/>
              <w:ind w:right="150"/>
              <w:jc w:val="right"/>
              <w:rPr>
                <w:sz w:val="16"/>
              </w:rPr>
            </w:pPr>
            <w:r>
              <w:rPr>
                <w:sz w:val="16"/>
              </w:rPr>
              <w:t>46</w:t>
            </w:r>
          </w:p>
        </w:tc>
      </w:tr>
      <w:tr>
        <w:trPr>
          <w:trHeight w:val="184"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Entidad de Fiscalización Superior.</w:t>
            </w:r>
          </w:p>
        </w:tc>
        <w:tc>
          <w:tcPr>
            <w:tcW w:w="894" w:type="dxa"/>
          </w:tcPr>
          <w:p>
            <w:pPr>
              <w:pStyle w:val="TableParagraph"/>
              <w:spacing w:line="176" w:lineRule="exact"/>
              <w:ind w:left="293" w:right="287"/>
              <w:jc w:val="center"/>
              <w:rPr>
                <w:sz w:val="16"/>
              </w:rPr>
            </w:pPr>
            <w:r>
              <w:rPr>
                <w:sz w:val="16"/>
              </w:rPr>
              <w:t>86</w:t>
            </w:r>
          </w:p>
        </w:tc>
        <w:tc>
          <w:tcPr>
            <w:tcW w:w="712" w:type="dxa"/>
          </w:tcPr>
          <w:p>
            <w:pPr>
              <w:pStyle w:val="TableParagraph"/>
              <w:spacing w:line="176" w:lineRule="exact"/>
              <w:ind w:left="202" w:right="202"/>
              <w:jc w:val="center"/>
              <w:rPr>
                <w:sz w:val="16"/>
              </w:rPr>
            </w:pPr>
            <w:r>
              <w:rPr>
                <w:sz w:val="16"/>
              </w:rPr>
              <w:t>88</w:t>
            </w:r>
          </w:p>
        </w:tc>
        <w:tc>
          <w:tcPr>
            <w:tcW w:w="507" w:type="dxa"/>
            <w:tcBorders>
              <w:right w:val="single" w:sz="11" w:space="0" w:color="D9D9D9"/>
            </w:tcBorders>
          </w:tcPr>
          <w:p>
            <w:pPr>
              <w:pStyle w:val="TableParagraph"/>
              <w:spacing w:line="176" w:lineRule="exact"/>
              <w:ind w:right="150"/>
              <w:jc w:val="right"/>
              <w:rPr>
                <w:sz w:val="16"/>
              </w:rPr>
            </w:pPr>
            <w:r>
              <w:rPr>
                <w:sz w:val="16"/>
              </w:rPr>
              <w:t>93</w:t>
            </w:r>
          </w:p>
        </w:tc>
      </w:tr>
      <w:tr>
        <w:trPr>
          <w:trHeight w:val="184"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Impuestos y Derechos: equidad y capacidad.</w:t>
            </w:r>
          </w:p>
        </w:tc>
        <w:tc>
          <w:tcPr>
            <w:tcW w:w="894" w:type="dxa"/>
          </w:tcPr>
          <w:p>
            <w:pPr>
              <w:pStyle w:val="TableParagraph"/>
              <w:spacing w:line="176" w:lineRule="exact"/>
              <w:ind w:left="293" w:right="294"/>
              <w:jc w:val="center"/>
              <w:rPr>
                <w:sz w:val="16"/>
              </w:rPr>
            </w:pPr>
            <w:r>
              <w:rPr>
                <w:sz w:val="16"/>
              </w:rPr>
              <w:t>100</w:t>
            </w:r>
          </w:p>
        </w:tc>
        <w:tc>
          <w:tcPr>
            <w:tcW w:w="712" w:type="dxa"/>
          </w:tcPr>
          <w:p>
            <w:pPr>
              <w:pStyle w:val="TableParagraph"/>
              <w:spacing w:line="176" w:lineRule="exact"/>
              <w:ind w:left="202" w:right="202"/>
              <w:jc w:val="center"/>
              <w:rPr>
                <w:sz w:val="16"/>
              </w:rPr>
            </w:pPr>
            <w:r>
              <w:rPr>
                <w:sz w:val="16"/>
              </w:rPr>
              <w:t>65</w:t>
            </w:r>
          </w:p>
        </w:tc>
        <w:tc>
          <w:tcPr>
            <w:tcW w:w="507" w:type="dxa"/>
            <w:tcBorders>
              <w:right w:val="single" w:sz="11" w:space="0" w:color="D9D9D9"/>
            </w:tcBorders>
          </w:tcPr>
          <w:p>
            <w:pPr>
              <w:pStyle w:val="TableParagraph"/>
              <w:spacing w:line="176" w:lineRule="exact"/>
              <w:ind w:right="150"/>
              <w:jc w:val="right"/>
              <w:rPr>
                <w:sz w:val="16"/>
              </w:rPr>
            </w:pPr>
            <w:r>
              <w:rPr>
                <w:sz w:val="16"/>
              </w:rPr>
              <w:t>81</w:t>
            </w:r>
          </w:p>
        </w:tc>
      </w:tr>
      <w:tr>
        <w:trPr>
          <w:trHeight w:val="184"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Supervisión de paraestatales.</w:t>
            </w:r>
          </w:p>
        </w:tc>
        <w:tc>
          <w:tcPr>
            <w:tcW w:w="894" w:type="dxa"/>
          </w:tcPr>
          <w:p>
            <w:pPr>
              <w:pStyle w:val="TableParagraph"/>
              <w:spacing w:line="176" w:lineRule="exact"/>
              <w:ind w:left="293" w:right="287"/>
              <w:jc w:val="center"/>
              <w:rPr>
                <w:sz w:val="16"/>
              </w:rPr>
            </w:pPr>
            <w:r>
              <w:rPr>
                <w:sz w:val="16"/>
              </w:rPr>
              <w:t>95</w:t>
            </w:r>
          </w:p>
        </w:tc>
        <w:tc>
          <w:tcPr>
            <w:tcW w:w="712" w:type="dxa"/>
          </w:tcPr>
          <w:p>
            <w:pPr>
              <w:pStyle w:val="TableParagraph"/>
              <w:spacing w:line="176" w:lineRule="exact"/>
              <w:ind w:left="202" w:right="202"/>
              <w:jc w:val="center"/>
              <w:rPr>
                <w:sz w:val="16"/>
              </w:rPr>
            </w:pPr>
            <w:r>
              <w:rPr>
                <w:sz w:val="16"/>
              </w:rPr>
              <w:t>67</w:t>
            </w:r>
          </w:p>
        </w:tc>
        <w:tc>
          <w:tcPr>
            <w:tcW w:w="507" w:type="dxa"/>
            <w:tcBorders>
              <w:right w:val="single" w:sz="11" w:space="0" w:color="D9D9D9"/>
            </w:tcBorders>
          </w:tcPr>
          <w:p>
            <w:pPr>
              <w:pStyle w:val="TableParagraph"/>
              <w:spacing w:line="176" w:lineRule="exact"/>
              <w:ind w:right="150"/>
              <w:jc w:val="right"/>
              <w:rPr>
                <w:sz w:val="16"/>
              </w:rPr>
            </w:pPr>
            <w:r>
              <w:rPr>
                <w:sz w:val="16"/>
              </w:rPr>
              <w:t>98</w:t>
            </w:r>
          </w:p>
        </w:tc>
      </w:tr>
      <w:tr>
        <w:trPr>
          <w:trHeight w:val="182"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Licencias empresariales y regulación.</w:t>
            </w:r>
          </w:p>
        </w:tc>
        <w:tc>
          <w:tcPr>
            <w:tcW w:w="894" w:type="dxa"/>
          </w:tcPr>
          <w:p>
            <w:pPr>
              <w:pStyle w:val="TableParagraph"/>
              <w:spacing w:line="176" w:lineRule="exact"/>
              <w:ind w:left="293" w:right="287"/>
              <w:jc w:val="center"/>
              <w:rPr>
                <w:sz w:val="16"/>
              </w:rPr>
            </w:pPr>
            <w:r>
              <w:rPr>
                <w:sz w:val="16"/>
              </w:rPr>
              <w:t>94</w:t>
            </w:r>
          </w:p>
        </w:tc>
        <w:tc>
          <w:tcPr>
            <w:tcW w:w="712" w:type="dxa"/>
          </w:tcPr>
          <w:p>
            <w:pPr>
              <w:pStyle w:val="TableParagraph"/>
              <w:spacing w:line="176" w:lineRule="exact"/>
              <w:ind w:left="202" w:right="202"/>
              <w:jc w:val="center"/>
              <w:rPr>
                <w:sz w:val="16"/>
              </w:rPr>
            </w:pPr>
            <w:r>
              <w:rPr>
                <w:sz w:val="16"/>
              </w:rPr>
              <w:t>75</w:t>
            </w:r>
          </w:p>
        </w:tc>
        <w:tc>
          <w:tcPr>
            <w:tcW w:w="507" w:type="dxa"/>
            <w:tcBorders>
              <w:right w:val="single" w:sz="11" w:space="0" w:color="D9D9D9"/>
            </w:tcBorders>
          </w:tcPr>
          <w:p>
            <w:pPr>
              <w:pStyle w:val="TableParagraph"/>
              <w:spacing w:line="176" w:lineRule="exact"/>
              <w:ind w:right="150"/>
              <w:jc w:val="right"/>
              <w:rPr>
                <w:sz w:val="16"/>
              </w:rPr>
            </w:pPr>
            <w:r>
              <w:rPr>
                <w:sz w:val="16"/>
              </w:rPr>
              <w:t>92</w:t>
            </w:r>
          </w:p>
        </w:tc>
      </w:tr>
      <w:tr>
        <w:trPr>
          <w:trHeight w:val="369" w:hRule="exact"/>
        </w:trPr>
        <w:tc>
          <w:tcPr>
            <w:tcW w:w="840" w:type="dxa"/>
            <w:shd w:val="clear" w:color="auto" w:fill="D9D9D9"/>
          </w:tcPr>
          <w:p>
            <w:pPr>
              <w:pStyle w:val="TableParagraph"/>
              <w:spacing w:before="86"/>
              <w:ind w:left="322" w:right="317"/>
              <w:jc w:val="center"/>
              <w:rPr>
                <w:b/>
                <w:sz w:val="16"/>
              </w:rPr>
            </w:pPr>
            <w:r>
              <w:rPr>
                <w:b/>
                <w:sz w:val="16"/>
              </w:rPr>
              <w:t>VI</w:t>
            </w:r>
          </w:p>
        </w:tc>
        <w:tc>
          <w:tcPr>
            <w:tcW w:w="5886" w:type="dxa"/>
            <w:shd w:val="clear" w:color="auto" w:fill="D9D9D9"/>
          </w:tcPr>
          <w:p>
            <w:pPr>
              <w:pStyle w:val="TableParagraph"/>
              <w:ind w:left="73"/>
              <w:rPr>
                <w:b/>
                <w:sz w:val="16"/>
              </w:rPr>
            </w:pPr>
            <w:r>
              <w:rPr>
                <w:b/>
                <w:sz w:val="16"/>
              </w:rPr>
              <w:t>Lucha legal contra la corrupción, impartición de justicia y aplicación profesional de la ley</w:t>
            </w:r>
          </w:p>
        </w:tc>
        <w:tc>
          <w:tcPr>
            <w:tcW w:w="894" w:type="dxa"/>
            <w:shd w:val="clear" w:color="auto" w:fill="D9D9D9"/>
          </w:tcPr>
          <w:p>
            <w:pPr>
              <w:pStyle w:val="TableParagraph"/>
              <w:spacing w:before="86"/>
              <w:ind w:left="293" w:right="287"/>
              <w:jc w:val="center"/>
              <w:rPr>
                <w:b/>
                <w:sz w:val="16"/>
              </w:rPr>
            </w:pPr>
            <w:r>
              <w:rPr>
                <w:b/>
                <w:sz w:val="16"/>
              </w:rPr>
              <w:t>88</w:t>
            </w:r>
          </w:p>
        </w:tc>
        <w:tc>
          <w:tcPr>
            <w:tcW w:w="712" w:type="dxa"/>
            <w:shd w:val="clear" w:color="auto" w:fill="E26C09"/>
          </w:tcPr>
          <w:p>
            <w:pPr>
              <w:pStyle w:val="TableParagraph"/>
              <w:spacing w:before="86"/>
              <w:ind w:left="202" w:right="202"/>
              <w:jc w:val="center"/>
              <w:rPr>
                <w:b/>
                <w:sz w:val="16"/>
              </w:rPr>
            </w:pPr>
            <w:r>
              <w:rPr>
                <w:b/>
                <w:sz w:val="16"/>
              </w:rPr>
              <w:t>68</w:t>
            </w:r>
          </w:p>
        </w:tc>
        <w:tc>
          <w:tcPr>
            <w:tcW w:w="507" w:type="dxa"/>
            <w:shd w:val="clear" w:color="auto" w:fill="D9D9D9"/>
          </w:tcPr>
          <w:p>
            <w:pPr>
              <w:pStyle w:val="TableParagraph"/>
              <w:spacing w:before="86"/>
              <w:ind w:right="164"/>
              <w:jc w:val="right"/>
              <w:rPr>
                <w:b/>
                <w:sz w:val="16"/>
              </w:rPr>
            </w:pPr>
            <w:r>
              <w:rPr>
                <w:b/>
                <w:sz w:val="16"/>
              </w:rPr>
              <w:t>86</w:t>
            </w:r>
          </w:p>
        </w:tc>
      </w:tr>
      <w:tr>
        <w:trPr>
          <w:trHeight w:val="226" w:hRule="exact"/>
        </w:trPr>
        <w:tc>
          <w:tcPr>
            <w:tcW w:w="840" w:type="dxa"/>
            <w:tcBorders>
              <w:left w:val="single" w:sz="11" w:space="0" w:color="D9D9D9"/>
            </w:tcBorders>
          </w:tcPr>
          <w:p>
            <w:pPr/>
          </w:p>
        </w:tc>
        <w:tc>
          <w:tcPr>
            <w:tcW w:w="5886" w:type="dxa"/>
          </w:tcPr>
          <w:p>
            <w:pPr>
              <w:pStyle w:val="TableParagraph"/>
              <w:spacing w:before="33"/>
              <w:ind w:left="73"/>
              <w:rPr>
                <w:sz w:val="16"/>
              </w:rPr>
            </w:pPr>
            <w:r>
              <w:rPr>
                <w:sz w:val="16"/>
              </w:rPr>
              <w:t>Ley anticorrupción.</w:t>
            </w:r>
          </w:p>
        </w:tc>
        <w:tc>
          <w:tcPr>
            <w:tcW w:w="894" w:type="dxa"/>
          </w:tcPr>
          <w:p>
            <w:pPr>
              <w:pStyle w:val="TableParagraph"/>
              <w:spacing w:before="33"/>
              <w:ind w:left="293" w:right="294"/>
              <w:jc w:val="center"/>
              <w:rPr>
                <w:sz w:val="16"/>
              </w:rPr>
            </w:pPr>
            <w:r>
              <w:rPr>
                <w:sz w:val="16"/>
              </w:rPr>
              <w:t>100</w:t>
            </w:r>
          </w:p>
        </w:tc>
        <w:tc>
          <w:tcPr>
            <w:tcW w:w="712" w:type="dxa"/>
          </w:tcPr>
          <w:p>
            <w:pPr>
              <w:pStyle w:val="TableParagraph"/>
              <w:spacing w:before="33"/>
              <w:ind w:left="202" w:right="202"/>
              <w:jc w:val="center"/>
              <w:rPr>
                <w:sz w:val="16"/>
              </w:rPr>
            </w:pPr>
            <w:r>
              <w:rPr>
                <w:sz w:val="16"/>
              </w:rPr>
              <w:t>100</w:t>
            </w:r>
          </w:p>
        </w:tc>
        <w:tc>
          <w:tcPr>
            <w:tcW w:w="507" w:type="dxa"/>
            <w:tcBorders>
              <w:right w:val="single" w:sz="11" w:space="0" w:color="D9D9D9"/>
            </w:tcBorders>
          </w:tcPr>
          <w:p>
            <w:pPr>
              <w:pStyle w:val="TableParagraph"/>
              <w:spacing w:before="33"/>
              <w:ind w:right="106"/>
              <w:jc w:val="right"/>
              <w:rPr>
                <w:sz w:val="16"/>
              </w:rPr>
            </w:pPr>
            <w:r>
              <w:rPr>
                <w:sz w:val="16"/>
              </w:rPr>
              <w:t>100</w:t>
            </w:r>
          </w:p>
        </w:tc>
      </w:tr>
      <w:tr>
        <w:trPr>
          <w:trHeight w:val="184"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Oficina anticorrupción o mecanismo equivalente.</w:t>
            </w:r>
          </w:p>
        </w:tc>
        <w:tc>
          <w:tcPr>
            <w:tcW w:w="894" w:type="dxa"/>
          </w:tcPr>
          <w:p>
            <w:pPr>
              <w:pStyle w:val="TableParagraph"/>
              <w:spacing w:line="176" w:lineRule="exact"/>
              <w:ind w:left="293" w:right="287"/>
              <w:jc w:val="center"/>
              <w:rPr>
                <w:sz w:val="16"/>
              </w:rPr>
            </w:pPr>
            <w:r>
              <w:rPr>
                <w:sz w:val="16"/>
              </w:rPr>
              <w:t>84</w:t>
            </w:r>
          </w:p>
        </w:tc>
        <w:tc>
          <w:tcPr>
            <w:tcW w:w="712" w:type="dxa"/>
          </w:tcPr>
          <w:p>
            <w:pPr>
              <w:pStyle w:val="TableParagraph"/>
              <w:spacing w:line="176" w:lineRule="exact"/>
              <w:ind w:left="202" w:right="202"/>
              <w:jc w:val="center"/>
              <w:rPr>
                <w:sz w:val="16"/>
              </w:rPr>
            </w:pPr>
            <w:r>
              <w:rPr>
                <w:sz w:val="16"/>
              </w:rPr>
              <w:t>65</w:t>
            </w:r>
          </w:p>
        </w:tc>
        <w:tc>
          <w:tcPr>
            <w:tcW w:w="507" w:type="dxa"/>
            <w:tcBorders>
              <w:right w:val="single" w:sz="11" w:space="0" w:color="D9D9D9"/>
            </w:tcBorders>
          </w:tcPr>
          <w:p>
            <w:pPr>
              <w:pStyle w:val="TableParagraph"/>
              <w:spacing w:line="176" w:lineRule="exact"/>
              <w:ind w:right="150"/>
              <w:jc w:val="right"/>
              <w:rPr>
                <w:sz w:val="16"/>
              </w:rPr>
            </w:pPr>
            <w:r>
              <w:rPr>
                <w:sz w:val="16"/>
              </w:rPr>
              <w:t>75</w:t>
            </w:r>
          </w:p>
        </w:tc>
      </w:tr>
      <w:tr>
        <w:trPr>
          <w:trHeight w:val="184" w:hRule="exact"/>
        </w:trPr>
        <w:tc>
          <w:tcPr>
            <w:tcW w:w="840" w:type="dxa"/>
            <w:tcBorders>
              <w:left w:val="single" w:sz="11" w:space="0" w:color="D9D9D9"/>
            </w:tcBorders>
          </w:tcPr>
          <w:p>
            <w:pPr/>
          </w:p>
        </w:tc>
        <w:tc>
          <w:tcPr>
            <w:tcW w:w="5886" w:type="dxa"/>
          </w:tcPr>
          <w:p>
            <w:pPr>
              <w:pStyle w:val="TableParagraph"/>
              <w:spacing w:line="176" w:lineRule="exact"/>
              <w:ind w:left="73"/>
              <w:rPr>
                <w:sz w:val="16"/>
              </w:rPr>
            </w:pPr>
            <w:r>
              <w:rPr>
                <w:sz w:val="16"/>
              </w:rPr>
              <w:t>Independencia judicial, justicia y acceso ciudadano a la justicia.</w:t>
            </w:r>
          </w:p>
        </w:tc>
        <w:tc>
          <w:tcPr>
            <w:tcW w:w="894" w:type="dxa"/>
          </w:tcPr>
          <w:p>
            <w:pPr>
              <w:pStyle w:val="TableParagraph"/>
              <w:spacing w:line="176" w:lineRule="exact"/>
              <w:ind w:left="293" w:right="287"/>
              <w:jc w:val="center"/>
              <w:rPr>
                <w:sz w:val="16"/>
              </w:rPr>
            </w:pPr>
            <w:r>
              <w:rPr>
                <w:sz w:val="16"/>
              </w:rPr>
              <w:t>96</w:t>
            </w:r>
          </w:p>
        </w:tc>
        <w:tc>
          <w:tcPr>
            <w:tcW w:w="712" w:type="dxa"/>
          </w:tcPr>
          <w:p>
            <w:pPr>
              <w:pStyle w:val="TableParagraph"/>
              <w:spacing w:line="176" w:lineRule="exact"/>
              <w:ind w:left="202" w:right="202"/>
              <w:jc w:val="center"/>
              <w:rPr>
                <w:sz w:val="16"/>
              </w:rPr>
            </w:pPr>
            <w:r>
              <w:rPr>
                <w:sz w:val="16"/>
              </w:rPr>
              <w:t>43</w:t>
            </w:r>
          </w:p>
        </w:tc>
        <w:tc>
          <w:tcPr>
            <w:tcW w:w="507" w:type="dxa"/>
            <w:tcBorders>
              <w:right w:val="single" w:sz="11" w:space="0" w:color="D9D9D9"/>
            </w:tcBorders>
          </w:tcPr>
          <w:p>
            <w:pPr>
              <w:pStyle w:val="TableParagraph"/>
              <w:spacing w:line="176" w:lineRule="exact"/>
              <w:ind w:right="150"/>
              <w:jc w:val="right"/>
              <w:rPr>
                <w:sz w:val="16"/>
              </w:rPr>
            </w:pPr>
            <w:r>
              <w:rPr>
                <w:sz w:val="16"/>
              </w:rPr>
              <w:t>94</w:t>
            </w:r>
          </w:p>
        </w:tc>
      </w:tr>
      <w:tr>
        <w:trPr>
          <w:trHeight w:val="182" w:hRule="exact"/>
        </w:trPr>
        <w:tc>
          <w:tcPr>
            <w:tcW w:w="840" w:type="dxa"/>
            <w:tcBorders>
              <w:left w:val="single" w:sz="11" w:space="0" w:color="D9D9D9"/>
            </w:tcBorders>
          </w:tcPr>
          <w:p>
            <w:pPr/>
          </w:p>
        </w:tc>
        <w:tc>
          <w:tcPr>
            <w:tcW w:w="5886" w:type="dxa"/>
          </w:tcPr>
          <w:p>
            <w:pPr>
              <w:pStyle w:val="TableParagraph"/>
              <w:spacing w:line="175" w:lineRule="exact"/>
              <w:ind w:left="73"/>
              <w:rPr>
                <w:sz w:val="16"/>
              </w:rPr>
            </w:pPr>
            <w:r>
              <w:rPr>
                <w:sz w:val="16"/>
              </w:rPr>
              <w:t>Aplicación de la ley: prevención de conflictos de intereses y profesionalismo.</w:t>
            </w:r>
          </w:p>
        </w:tc>
        <w:tc>
          <w:tcPr>
            <w:tcW w:w="894" w:type="dxa"/>
          </w:tcPr>
          <w:p>
            <w:pPr>
              <w:pStyle w:val="TableParagraph"/>
              <w:spacing w:line="175" w:lineRule="exact"/>
              <w:ind w:left="293" w:right="287"/>
              <w:jc w:val="center"/>
              <w:rPr>
                <w:sz w:val="16"/>
              </w:rPr>
            </w:pPr>
            <w:r>
              <w:rPr>
                <w:sz w:val="16"/>
              </w:rPr>
              <w:t>73</w:t>
            </w:r>
          </w:p>
        </w:tc>
        <w:tc>
          <w:tcPr>
            <w:tcW w:w="712" w:type="dxa"/>
          </w:tcPr>
          <w:p>
            <w:pPr>
              <w:pStyle w:val="TableParagraph"/>
              <w:spacing w:line="175" w:lineRule="exact"/>
              <w:ind w:left="202" w:right="202"/>
              <w:jc w:val="center"/>
              <w:rPr>
                <w:sz w:val="16"/>
              </w:rPr>
            </w:pPr>
            <w:r>
              <w:rPr>
                <w:sz w:val="16"/>
              </w:rPr>
              <w:t>63</w:t>
            </w:r>
          </w:p>
        </w:tc>
        <w:tc>
          <w:tcPr>
            <w:tcW w:w="507" w:type="dxa"/>
            <w:tcBorders>
              <w:right w:val="single" w:sz="11" w:space="0" w:color="D9D9D9"/>
            </w:tcBorders>
          </w:tcPr>
          <w:p>
            <w:pPr>
              <w:pStyle w:val="TableParagraph"/>
              <w:spacing w:line="175" w:lineRule="exact"/>
              <w:ind w:right="150"/>
              <w:jc w:val="right"/>
              <w:rPr>
                <w:sz w:val="16"/>
              </w:rPr>
            </w:pPr>
            <w:r>
              <w:rPr>
                <w:sz w:val="16"/>
              </w:rPr>
              <w:t>77</w:t>
            </w:r>
          </w:p>
        </w:tc>
      </w:tr>
      <w:tr>
        <w:trPr>
          <w:trHeight w:val="186" w:hRule="exact"/>
        </w:trPr>
        <w:tc>
          <w:tcPr>
            <w:tcW w:w="840" w:type="dxa"/>
            <w:shd w:val="clear" w:color="auto" w:fill="D9D9D9"/>
          </w:tcPr>
          <w:p>
            <w:pPr/>
          </w:p>
        </w:tc>
        <w:tc>
          <w:tcPr>
            <w:tcW w:w="5886" w:type="dxa"/>
            <w:shd w:val="clear" w:color="auto" w:fill="D9D9D9"/>
          </w:tcPr>
          <w:p>
            <w:pPr>
              <w:pStyle w:val="TableParagraph"/>
              <w:spacing w:line="178" w:lineRule="exact"/>
              <w:ind w:left="73"/>
              <w:rPr>
                <w:b/>
                <w:sz w:val="16"/>
              </w:rPr>
            </w:pPr>
            <w:r>
              <w:rPr>
                <w:b/>
                <w:sz w:val="16"/>
              </w:rPr>
              <w:t>Puntuación por país</w:t>
            </w:r>
          </w:p>
        </w:tc>
        <w:tc>
          <w:tcPr>
            <w:tcW w:w="894" w:type="dxa"/>
            <w:shd w:val="clear" w:color="auto" w:fill="D9D9D9"/>
          </w:tcPr>
          <w:p>
            <w:pPr>
              <w:pStyle w:val="TableParagraph"/>
              <w:spacing w:line="178" w:lineRule="exact"/>
              <w:ind w:left="293" w:right="287"/>
              <w:jc w:val="center"/>
              <w:rPr>
                <w:b/>
                <w:sz w:val="16"/>
              </w:rPr>
            </w:pPr>
            <w:r>
              <w:rPr>
                <w:b/>
                <w:sz w:val="16"/>
              </w:rPr>
              <w:t>79</w:t>
            </w:r>
          </w:p>
        </w:tc>
        <w:tc>
          <w:tcPr>
            <w:tcW w:w="712" w:type="dxa"/>
            <w:shd w:val="clear" w:color="auto" w:fill="E26C09"/>
          </w:tcPr>
          <w:p>
            <w:pPr>
              <w:pStyle w:val="TableParagraph"/>
              <w:spacing w:line="178" w:lineRule="exact"/>
              <w:ind w:left="202" w:right="202"/>
              <w:jc w:val="center"/>
              <w:rPr>
                <w:b/>
                <w:sz w:val="16"/>
              </w:rPr>
            </w:pPr>
            <w:r>
              <w:rPr>
                <w:b/>
                <w:sz w:val="16"/>
              </w:rPr>
              <w:t>67</w:t>
            </w:r>
          </w:p>
        </w:tc>
        <w:tc>
          <w:tcPr>
            <w:tcW w:w="507" w:type="dxa"/>
            <w:shd w:val="clear" w:color="auto" w:fill="D9D9D9"/>
          </w:tcPr>
          <w:p>
            <w:pPr>
              <w:pStyle w:val="TableParagraph"/>
              <w:spacing w:line="178" w:lineRule="exact"/>
              <w:ind w:right="164"/>
              <w:jc w:val="right"/>
              <w:rPr>
                <w:b/>
                <w:sz w:val="16"/>
              </w:rPr>
            </w:pPr>
            <w:r>
              <w:rPr>
                <w:b/>
                <w:sz w:val="16"/>
              </w:rPr>
              <w:t>85</w:t>
            </w:r>
          </w:p>
        </w:tc>
      </w:tr>
      <w:tr>
        <w:trPr>
          <w:trHeight w:val="184" w:hRule="exact"/>
        </w:trPr>
        <w:tc>
          <w:tcPr>
            <w:tcW w:w="840" w:type="dxa"/>
            <w:shd w:val="clear" w:color="auto" w:fill="D9D9D9"/>
          </w:tcPr>
          <w:p>
            <w:pPr/>
          </w:p>
        </w:tc>
        <w:tc>
          <w:tcPr>
            <w:tcW w:w="5886" w:type="dxa"/>
            <w:shd w:val="clear" w:color="auto" w:fill="D9D9D9"/>
          </w:tcPr>
          <w:p>
            <w:pPr>
              <w:pStyle w:val="TableParagraph"/>
              <w:spacing w:line="176" w:lineRule="exact"/>
              <w:ind w:left="73"/>
              <w:rPr>
                <w:b/>
                <w:sz w:val="16"/>
              </w:rPr>
            </w:pPr>
            <w:r>
              <w:rPr>
                <w:b/>
                <w:sz w:val="16"/>
              </w:rPr>
              <w:t>Puntuación del marco legal</w:t>
            </w:r>
          </w:p>
        </w:tc>
        <w:tc>
          <w:tcPr>
            <w:tcW w:w="894" w:type="dxa"/>
            <w:shd w:val="clear" w:color="auto" w:fill="D9D9D9"/>
          </w:tcPr>
          <w:p>
            <w:pPr>
              <w:pStyle w:val="TableParagraph"/>
              <w:spacing w:line="176" w:lineRule="exact"/>
              <w:ind w:left="293" w:right="287"/>
              <w:jc w:val="center"/>
              <w:rPr>
                <w:b/>
                <w:sz w:val="16"/>
              </w:rPr>
            </w:pPr>
            <w:r>
              <w:rPr>
                <w:b/>
                <w:sz w:val="16"/>
              </w:rPr>
              <w:t>84</w:t>
            </w:r>
          </w:p>
        </w:tc>
        <w:tc>
          <w:tcPr>
            <w:tcW w:w="712" w:type="dxa"/>
            <w:shd w:val="clear" w:color="auto" w:fill="E26C09"/>
          </w:tcPr>
          <w:p>
            <w:pPr>
              <w:pStyle w:val="TableParagraph"/>
              <w:spacing w:line="176" w:lineRule="exact"/>
              <w:ind w:left="202" w:right="202"/>
              <w:jc w:val="center"/>
              <w:rPr>
                <w:b/>
                <w:sz w:val="16"/>
              </w:rPr>
            </w:pPr>
            <w:r>
              <w:rPr>
                <w:b/>
                <w:sz w:val="16"/>
              </w:rPr>
              <w:t>83</w:t>
            </w:r>
          </w:p>
        </w:tc>
        <w:tc>
          <w:tcPr>
            <w:tcW w:w="507" w:type="dxa"/>
            <w:shd w:val="clear" w:color="auto" w:fill="D9D9D9"/>
          </w:tcPr>
          <w:p>
            <w:pPr>
              <w:pStyle w:val="TableParagraph"/>
              <w:spacing w:line="176" w:lineRule="exact"/>
              <w:ind w:right="164"/>
              <w:jc w:val="right"/>
              <w:rPr>
                <w:b/>
                <w:sz w:val="16"/>
              </w:rPr>
            </w:pPr>
            <w:r>
              <w:rPr>
                <w:b/>
                <w:sz w:val="16"/>
              </w:rPr>
              <w:t>90</w:t>
            </w:r>
          </w:p>
        </w:tc>
      </w:tr>
      <w:tr>
        <w:trPr>
          <w:trHeight w:val="198" w:hRule="exact"/>
        </w:trPr>
        <w:tc>
          <w:tcPr>
            <w:tcW w:w="840" w:type="dxa"/>
            <w:shd w:val="clear" w:color="auto" w:fill="D9D9D9"/>
          </w:tcPr>
          <w:p>
            <w:pPr/>
          </w:p>
        </w:tc>
        <w:tc>
          <w:tcPr>
            <w:tcW w:w="5886" w:type="dxa"/>
            <w:shd w:val="clear" w:color="auto" w:fill="D9D9D9"/>
          </w:tcPr>
          <w:p>
            <w:pPr>
              <w:pStyle w:val="TableParagraph"/>
              <w:spacing w:line="176" w:lineRule="exact"/>
              <w:ind w:left="73"/>
              <w:rPr>
                <w:b/>
                <w:sz w:val="16"/>
              </w:rPr>
            </w:pPr>
            <w:r>
              <w:rPr>
                <w:b/>
                <w:sz w:val="16"/>
              </w:rPr>
              <w:t>Puntuación por implementación actual</w:t>
            </w:r>
          </w:p>
        </w:tc>
        <w:tc>
          <w:tcPr>
            <w:tcW w:w="894" w:type="dxa"/>
            <w:shd w:val="clear" w:color="auto" w:fill="D9D9D9"/>
          </w:tcPr>
          <w:p>
            <w:pPr>
              <w:pStyle w:val="TableParagraph"/>
              <w:spacing w:line="176" w:lineRule="exact"/>
              <w:ind w:left="293" w:right="287"/>
              <w:jc w:val="center"/>
              <w:rPr>
                <w:b/>
                <w:sz w:val="16"/>
              </w:rPr>
            </w:pPr>
            <w:r>
              <w:rPr>
                <w:b/>
                <w:sz w:val="16"/>
              </w:rPr>
              <w:t>75</w:t>
            </w:r>
          </w:p>
        </w:tc>
        <w:tc>
          <w:tcPr>
            <w:tcW w:w="712" w:type="dxa"/>
            <w:tcBorders>
              <w:bottom w:val="single" w:sz="11" w:space="0" w:color="D9D9D9"/>
            </w:tcBorders>
            <w:shd w:val="clear" w:color="auto" w:fill="E26C09"/>
          </w:tcPr>
          <w:p>
            <w:pPr>
              <w:pStyle w:val="TableParagraph"/>
              <w:spacing w:line="176" w:lineRule="exact"/>
              <w:ind w:left="202" w:right="202"/>
              <w:jc w:val="center"/>
              <w:rPr>
                <w:b/>
                <w:sz w:val="16"/>
              </w:rPr>
            </w:pPr>
            <w:r>
              <w:rPr>
                <w:b/>
                <w:sz w:val="16"/>
              </w:rPr>
              <w:t>51</w:t>
            </w:r>
          </w:p>
        </w:tc>
        <w:tc>
          <w:tcPr>
            <w:tcW w:w="507" w:type="dxa"/>
            <w:shd w:val="clear" w:color="auto" w:fill="D9D9D9"/>
          </w:tcPr>
          <w:p>
            <w:pPr>
              <w:pStyle w:val="TableParagraph"/>
              <w:spacing w:line="176" w:lineRule="exact"/>
              <w:ind w:right="164"/>
              <w:jc w:val="right"/>
              <w:rPr>
                <w:b/>
                <w:sz w:val="16"/>
              </w:rPr>
            </w:pPr>
            <w:r>
              <w:rPr>
                <w:b/>
                <w:sz w:val="16"/>
              </w:rPr>
              <w:t>79</w:t>
            </w:r>
          </w:p>
        </w:tc>
      </w:tr>
    </w:tbl>
    <w:p>
      <w:pPr>
        <w:spacing w:line="134" w:lineRule="exact" w:before="0"/>
        <w:ind w:left="100" w:right="0" w:firstLine="0"/>
        <w:jc w:val="both"/>
        <w:rPr>
          <w:sz w:val="12"/>
        </w:rPr>
      </w:pPr>
      <w:r>
        <w:rPr>
          <w:sz w:val="12"/>
        </w:rPr>
        <w:t>FUENTE:      Elaboración propia con base en:</w:t>
      </w:r>
    </w:p>
    <w:p>
      <w:pPr>
        <w:spacing w:line="137" w:lineRule="exact" w:before="0"/>
        <w:ind w:left="809" w:right="8" w:firstLine="0"/>
        <w:jc w:val="left"/>
        <w:rPr>
          <w:sz w:val="12"/>
        </w:rPr>
      </w:pPr>
      <w:r>
        <w:rPr>
          <w:sz w:val="12"/>
        </w:rPr>
        <w:t>Global Integrity </w:t>
      </w:r>
      <w:r>
        <w:rPr>
          <w:i/>
          <w:sz w:val="12"/>
        </w:rPr>
        <w:t>the Global Integrity Report: 2011 executive Summary</w:t>
      </w:r>
      <w:r>
        <w:rPr>
          <w:sz w:val="12"/>
        </w:rPr>
        <w:t>, pp. 20, 30 y 38.</w:t>
      </w:r>
    </w:p>
    <w:p>
      <w:pPr>
        <w:spacing w:before="2"/>
        <w:ind w:left="809" w:right="4975" w:firstLine="0"/>
        <w:jc w:val="left"/>
        <w:rPr>
          <w:sz w:val="12"/>
        </w:rPr>
      </w:pPr>
      <w:r>
        <w:rPr>
          <w:sz w:val="12"/>
        </w:rPr>
        <w:t>Disponible en: </w:t>
      </w:r>
      <w:hyperlink r:id="rId80">
        <w:r>
          <w:rPr>
            <w:sz w:val="12"/>
          </w:rPr>
          <w:t>http://www.globalintegrity.org/files/GIR2011.pdf</w:t>
        </w:r>
      </w:hyperlink>
      <w:r>
        <w:rPr>
          <w:sz w:val="12"/>
        </w:rPr>
        <w:t> [Fecha consulta 6 de septiembre, 2015]</w:t>
      </w:r>
    </w:p>
    <w:p>
      <w:pPr>
        <w:pStyle w:val="BodyText"/>
        <w:rPr>
          <w:sz w:val="12"/>
        </w:rPr>
      </w:pPr>
    </w:p>
    <w:p>
      <w:pPr>
        <w:pStyle w:val="BodyText"/>
        <w:rPr>
          <w:sz w:val="12"/>
        </w:rPr>
      </w:pPr>
    </w:p>
    <w:p>
      <w:pPr>
        <w:pStyle w:val="BodyText"/>
        <w:rPr>
          <w:sz w:val="12"/>
        </w:rPr>
      </w:pPr>
    </w:p>
    <w:p>
      <w:pPr>
        <w:pStyle w:val="BodyText"/>
        <w:spacing w:line="360" w:lineRule="auto" w:before="107"/>
        <w:ind w:left="100" w:right="162" w:firstLine="708"/>
        <w:jc w:val="both"/>
      </w:pPr>
      <w:r>
        <w:rPr/>
        <w:t>El Estado mexicano obtuvo 67 puntos (débil), el alemán 79 (moderado) y el estadounidense</w:t>
      </w:r>
      <w:r>
        <w:rPr>
          <w:spacing w:val="-8"/>
        </w:rPr>
        <w:t> </w:t>
      </w:r>
      <w:r>
        <w:rPr/>
        <w:t>85</w:t>
      </w:r>
      <w:r>
        <w:rPr>
          <w:spacing w:val="-8"/>
        </w:rPr>
        <w:t> </w:t>
      </w:r>
      <w:r>
        <w:rPr/>
        <w:t>(fuerte).</w:t>
      </w:r>
      <w:r>
        <w:rPr>
          <w:spacing w:val="-6"/>
        </w:rPr>
        <w:t> </w:t>
      </w:r>
      <w:r>
        <w:rPr/>
        <w:t>La</w:t>
      </w:r>
      <w:r>
        <w:rPr>
          <w:spacing w:val="-8"/>
        </w:rPr>
        <w:t> </w:t>
      </w:r>
      <w:r>
        <w:rPr/>
        <w:t>institución</w:t>
      </w:r>
      <w:r>
        <w:rPr>
          <w:spacing w:val="-8"/>
        </w:rPr>
        <w:t> </w:t>
      </w:r>
      <w:r>
        <w:rPr/>
        <w:t>afirmó</w:t>
      </w:r>
      <w:r>
        <w:rPr>
          <w:spacing w:val="-5"/>
        </w:rPr>
        <w:t> </w:t>
      </w:r>
      <w:r>
        <w:rPr/>
        <w:t>que</w:t>
      </w:r>
      <w:r>
        <w:rPr>
          <w:spacing w:val="-8"/>
        </w:rPr>
        <w:t> </w:t>
      </w:r>
      <w:r>
        <w:rPr/>
        <w:t>en</w:t>
      </w:r>
      <w:r>
        <w:rPr>
          <w:spacing w:val="-8"/>
        </w:rPr>
        <w:t> </w:t>
      </w:r>
      <w:r>
        <w:rPr/>
        <w:t>México</w:t>
      </w:r>
      <w:r>
        <w:rPr>
          <w:spacing w:val="-8"/>
        </w:rPr>
        <w:t> </w:t>
      </w:r>
      <w:r>
        <w:rPr/>
        <w:t>la</w:t>
      </w:r>
      <w:r>
        <w:rPr>
          <w:spacing w:val="-8"/>
        </w:rPr>
        <w:t> </w:t>
      </w:r>
      <w:r>
        <w:rPr/>
        <w:t>guerra</w:t>
      </w:r>
      <w:r>
        <w:rPr>
          <w:spacing w:val="-8"/>
        </w:rPr>
        <w:t> </w:t>
      </w:r>
      <w:r>
        <w:rPr/>
        <w:t>contra</w:t>
      </w:r>
      <w:r>
        <w:rPr>
          <w:spacing w:val="-8"/>
        </w:rPr>
        <w:t> </w:t>
      </w:r>
      <w:r>
        <w:rPr/>
        <w:t>las drogas ha influido negativamente en la transparencia y en la lucha contra la corrupción.</w:t>
      </w:r>
      <w:r>
        <w:rPr>
          <w:spacing w:val="-17"/>
        </w:rPr>
        <w:t> </w:t>
      </w:r>
      <w:r>
        <w:rPr/>
        <w:t>También</w:t>
      </w:r>
      <w:r>
        <w:rPr>
          <w:spacing w:val="-21"/>
        </w:rPr>
        <w:t> </w:t>
      </w:r>
      <w:r>
        <w:rPr/>
        <w:t>se</w:t>
      </w:r>
      <w:r>
        <w:rPr>
          <w:spacing w:val="-21"/>
        </w:rPr>
        <w:t> </w:t>
      </w:r>
      <w:r>
        <w:rPr/>
        <w:t>mencionó</w:t>
      </w:r>
      <w:r>
        <w:rPr>
          <w:spacing w:val="-21"/>
        </w:rPr>
        <w:t> </w:t>
      </w:r>
      <w:r>
        <w:rPr/>
        <w:t>que</w:t>
      </w:r>
      <w:r>
        <w:rPr>
          <w:spacing w:val="-17"/>
        </w:rPr>
        <w:t> </w:t>
      </w:r>
      <w:r>
        <w:rPr/>
        <w:t>hay</w:t>
      </w:r>
      <w:r>
        <w:rPr>
          <w:spacing w:val="-23"/>
        </w:rPr>
        <w:t> </w:t>
      </w:r>
      <w:r>
        <w:rPr/>
        <w:t>la</w:t>
      </w:r>
      <w:r>
        <w:rPr>
          <w:spacing w:val="-21"/>
        </w:rPr>
        <w:t> </w:t>
      </w:r>
      <w:r>
        <w:rPr/>
        <w:t>negativa</w:t>
      </w:r>
      <w:r>
        <w:rPr>
          <w:spacing w:val="-21"/>
        </w:rPr>
        <w:t> </w:t>
      </w:r>
      <w:r>
        <w:rPr/>
        <w:t>de</w:t>
      </w:r>
      <w:r>
        <w:rPr>
          <w:spacing w:val="-21"/>
        </w:rPr>
        <w:t> </w:t>
      </w:r>
      <w:r>
        <w:rPr/>
        <w:t>las</w:t>
      </w:r>
      <w:r>
        <w:rPr>
          <w:spacing w:val="-19"/>
        </w:rPr>
        <w:t> </w:t>
      </w:r>
      <w:r>
        <w:rPr/>
        <w:t>autoridades</w:t>
      </w:r>
      <w:r>
        <w:rPr>
          <w:spacing w:val="-19"/>
        </w:rPr>
        <w:t> </w:t>
      </w:r>
      <w:r>
        <w:rPr/>
        <w:t>de</w:t>
      </w:r>
      <w:r>
        <w:rPr>
          <w:spacing w:val="-21"/>
        </w:rPr>
        <w:t> </w:t>
      </w:r>
      <w:r>
        <w:rPr/>
        <w:t>publicar información</w:t>
      </w:r>
      <w:r>
        <w:rPr>
          <w:spacing w:val="-6"/>
        </w:rPr>
        <w:t> </w:t>
      </w:r>
      <w:r>
        <w:rPr/>
        <w:t>sobre</w:t>
      </w:r>
      <w:r>
        <w:rPr>
          <w:spacing w:val="-6"/>
        </w:rPr>
        <w:t> </w:t>
      </w:r>
      <w:r>
        <w:rPr/>
        <w:t>la</w:t>
      </w:r>
      <w:r>
        <w:rPr>
          <w:spacing w:val="-6"/>
        </w:rPr>
        <w:t> </w:t>
      </w:r>
      <w:r>
        <w:rPr/>
        <w:t>seguridad</w:t>
      </w:r>
      <w:r>
        <w:rPr>
          <w:spacing w:val="-6"/>
        </w:rPr>
        <w:t> </w:t>
      </w:r>
      <w:r>
        <w:rPr/>
        <w:t>pública.</w:t>
      </w:r>
      <w:r>
        <w:rPr>
          <w:spacing w:val="-4"/>
        </w:rPr>
        <w:t> </w:t>
      </w:r>
      <w:r>
        <w:rPr/>
        <w:t>La</w:t>
      </w:r>
      <w:r>
        <w:rPr>
          <w:spacing w:val="-6"/>
        </w:rPr>
        <w:t> </w:t>
      </w:r>
      <w:r>
        <w:rPr/>
        <w:t>autocensura,</w:t>
      </w:r>
      <w:r>
        <w:rPr>
          <w:spacing w:val="-4"/>
        </w:rPr>
        <w:t> </w:t>
      </w:r>
      <w:r>
        <w:rPr/>
        <w:t>de</w:t>
      </w:r>
      <w:r>
        <w:rPr>
          <w:spacing w:val="-6"/>
        </w:rPr>
        <w:t> </w:t>
      </w:r>
      <w:r>
        <w:rPr/>
        <w:t>acuerdo</w:t>
      </w:r>
      <w:r>
        <w:rPr>
          <w:spacing w:val="-6"/>
        </w:rPr>
        <w:t> </w:t>
      </w:r>
      <w:r>
        <w:rPr/>
        <w:t>con</w:t>
      </w:r>
      <w:r>
        <w:rPr>
          <w:spacing w:val="-6"/>
        </w:rPr>
        <w:t> </w:t>
      </w:r>
      <w:r>
        <w:rPr/>
        <w:t>el</w:t>
      </w:r>
      <w:r>
        <w:rPr>
          <w:spacing w:val="-6"/>
        </w:rPr>
        <w:t> </w:t>
      </w:r>
      <w:r>
        <w:rPr/>
        <w:t>estudio,</w:t>
      </w:r>
    </w:p>
    <w:p>
      <w:pPr>
        <w:spacing w:after="0" w:line="360" w:lineRule="auto"/>
        <w:jc w:val="both"/>
        <w:sectPr>
          <w:pgSz w:w="12240" w:h="15840"/>
          <w:pgMar w:header="0" w:footer="998" w:top="1360" w:bottom="1180" w:left="1600" w:right="1540"/>
        </w:sectPr>
      </w:pPr>
    </w:p>
    <w:p>
      <w:pPr>
        <w:pStyle w:val="BodyText"/>
        <w:spacing w:line="362" w:lineRule="auto" w:before="55"/>
        <w:ind w:left="100"/>
      </w:pPr>
      <w:r>
        <w:rPr/>
        <w:t>es más común encontrarla en los medios de comunicación, los ciudadanos y las organizaciones civiles de rendición de cuentas del Estado mexicano.</w:t>
      </w:r>
    </w:p>
    <w:p>
      <w:pPr>
        <w:pStyle w:val="BodyText"/>
      </w:pPr>
    </w:p>
    <w:p>
      <w:pPr>
        <w:pStyle w:val="BodyText"/>
      </w:pPr>
    </w:p>
    <w:p>
      <w:pPr>
        <w:pStyle w:val="BodyText"/>
        <w:spacing w:before="4"/>
        <w:rPr>
          <w:sz w:val="29"/>
        </w:rPr>
      </w:pPr>
    </w:p>
    <w:p>
      <w:pPr>
        <w:pStyle w:val="Heading1"/>
        <w:spacing w:before="0"/>
        <w:ind w:left="100"/>
        <w:jc w:val="left"/>
      </w:pPr>
      <w:r>
        <w:rPr/>
        <w:t>CONCLUSIONES</w:t>
      </w:r>
    </w:p>
    <w:p>
      <w:pPr>
        <w:spacing w:after="0"/>
        <w:jc w:val="left"/>
        <w:sectPr>
          <w:pgSz w:w="12240" w:h="15840"/>
          <w:pgMar w:header="0" w:footer="998" w:top="1360" w:bottom="1180" w:left="1600" w:right="1600"/>
        </w:sectPr>
      </w:pPr>
    </w:p>
    <w:p>
      <w:pPr>
        <w:pStyle w:val="Heading1"/>
        <w:spacing w:line="360" w:lineRule="auto"/>
        <w:ind w:left="544" w:right="566" w:firstLine="1"/>
      </w:pPr>
      <w:bookmarkStart w:name="_bookmark41" w:id="54"/>
      <w:bookmarkEnd w:id="54"/>
      <w:r>
        <w:rPr>
          <w:b w:val="0"/>
        </w:rPr>
      </w:r>
      <w:r>
        <w:rPr/>
        <w:t>CAPÍTULO SEGUNDO. LA EVOLUCIÓN DEL ESTADO Y LA RENDICIÓN DE CUENTAS EN MÉXICO: UNA PERSPECTIVA POLÍTICA</w:t>
      </w:r>
    </w:p>
    <w:p>
      <w:pPr>
        <w:pStyle w:val="BodyText"/>
        <w:rPr>
          <w:b/>
          <w:sz w:val="25"/>
        </w:rPr>
      </w:pPr>
    </w:p>
    <w:p>
      <w:pPr>
        <w:pStyle w:val="BodyText"/>
        <w:spacing w:line="360" w:lineRule="auto"/>
        <w:ind w:left="100" w:right="117"/>
        <w:jc w:val="both"/>
      </w:pPr>
      <w:r>
        <w:rPr>
          <w:spacing w:val="-2"/>
        </w:rPr>
        <w:t>Más </w:t>
      </w:r>
      <w:r>
        <w:rPr/>
        <w:t>que fechas, datos y acontecimientos, la evolución del Estado y la política muestra los efectos simultáneos de fuerzas políticas y económicas que tienen un peso</w:t>
      </w:r>
      <w:r>
        <w:rPr>
          <w:spacing w:val="-9"/>
        </w:rPr>
        <w:t> </w:t>
      </w:r>
      <w:r>
        <w:rPr/>
        <w:t>extraordinario</w:t>
      </w:r>
      <w:r>
        <w:rPr>
          <w:spacing w:val="-9"/>
        </w:rPr>
        <w:t> </w:t>
      </w:r>
      <w:r>
        <w:rPr/>
        <w:t>en</w:t>
      </w:r>
      <w:r>
        <w:rPr>
          <w:spacing w:val="-9"/>
        </w:rPr>
        <w:t> </w:t>
      </w:r>
      <w:r>
        <w:rPr/>
        <w:t>la</w:t>
      </w:r>
      <w:r>
        <w:rPr>
          <w:spacing w:val="-9"/>
        </w:rPr>
        <w:t> </w:t>
      </w:r>
      <w:r>
        <w:rPr/>
        <w:t>situación</w:t>
      </w:r>
      <w:r>
        <w:rPr>
          <w:spacing w:val="-9"/>
        </w:rPr>
        <w:t> </w:t>
      </w:r>
      <w:r>
        <w:rPr/>
        <w:t>actual</w:t>
      </w:r>
      <w:r>
        <w:rPr>
          <w:spacing w:val="-8"/>
        </w:rPr>
        <w:t> </w:t>
      </w:r>
      <w:r>
        <w:rPr/>
        <w:t>del</w:t>
      </w:r>
      <w:r>
        <w:rPr>
          <w:spacing w:val="-8"/>
        </w:rPr>
        <w:t> </w:t>
      </w:r>
      <w:r>
        <w:rPr/>
        <w:t>Estado</w:t>
      </w:r>
      <w:r>
        <w:rPr>
          <w:spacing w:val="-9"/>
        </w:rPr>
        <w:t> </w:t>
      </w:r>
      <w:r>
        <w:rPr/>
        <w:t>mexicano.</w:t>
      </w:r>
      <w:r>
        <w:rPr>
          <w:spacing w:val="-6"/>
        </w:rPr>
        <w:t> </w:t>
      </w:r>
      <w:r>
        <w:rPr/>
        <w:t>Las</w:t>
      </w:r>
      <w:r>
        <w:rPr>
          <w:spacing w:val="-7"/>
        </w:rPr>
        <w:t> </w:t>
      </w:r>
      <w:r>
        <w:rPr/>
        <w:t>secuelas</w:t>
      </w:r>
      <w:r>
        <w:rPr>
          <w:spacing w:val="-7"/>
        </w:rPr>
        <w:t> </w:t>
      </w:r>
      <w:r>
        <w:rPr/>
        <w:t>de</w:t>
      </w:r>
      <w:r>
        <w:rPr>
          <w:spacing w:val="-9"/>
        </w:rPr>
        <w:t> </w:t>
      </w:r>
      <w:r>
        <w:rPr/>
        <w:t>los acontecimientos internos, intervenciones externas y el entorno internacional dieron como resultado la presente cultura</w:t>
      </w:r>
      <w:r>
        <w:rPr>
          <w:spacing w:val="-25"/>
        </w:rPr>
        <w:t> </w:t>
      </w:r>
      <w:r>
        <w:rPr/>
        <w:t>política.</w:t>
      </w:r>
    </w:p>
    <w:p>
      <w:pPr>
        <w:pStyle w:val="BodyText"/>
        <w:spacing w:line="360" w:lineRule="auto" w:before="6"/>
        <w:ind w:left="100" w:right="125" w:firstLine="427"/>
        <w:jc w:val="both"/>
      </w:pPr>
      <w:r>
        <w:rPr/>
        <w:t>Para comprender el Estado mexicano y la rendición de cuentas, es preciso considerar que, a través de la historia, México ha sido influido y, en ocasiones, ha debido modificar de manera extrema sus políticas.</w:t>
      </w:r>
    </w:p>
    <w:p>
      <w:pPr>
        <w:pStyle w:val="BodyText"/>
        <w:spacing w:line="360" w:lineRule="auto" w:before="2"/>
        <w:ind w:left="100" w:right="127" w:firstLine="427"/>
        <w:jc w:val="both"/>
      </w:pPr>
      <w:r>
        <w:rPr/>
        <w:t>La lucha por la independencia y la idea de construir un Estado sin una orientación definida, crearon muchos desaciertos de la clase política mexicana y propiciaron el aumento de la corrupción.</w:t>
      </w:r>
    </w:p>
    <w:p>
      <w:pPr>
        <w:pStyle w:val="BodyText"/>
        <w:spacing w:line="360" w:lineRule="auto" w:before="6"/>
        <w:ind w:left="100" w:right="115" w:firstLine="427"/>
        <w:jc w:val="both"/>
      </w:pPr>
      <w:r>
        <w:rPr/>
        <w:t>Aunque la idea de independencia en México fue una influencia europea y norteamericana, el caso mexicano no se circunscribe a la teoría política tradicional de esas regiones. La singularidad de México ha radicado, entre otros aspectos, en la geopolítica y en que los modelos extranjeros son adoptados tardía y deficientemente para los requerimientos nacionales.</w:t>
      </w:r>
    </w:p>
    <w:p>
      <w:pPr>
        <w:pStyle w:val="BodyText"/>
        <w:spacing w:line="360" w:lineRule="auto" w:before="2"/>
        <w:ind w:left="100" w:right="121" w:firstLine="427"/>
        <w:jc w:val="both"/>
      </w:pPr>
      <w:r>
        <w:rPr/>
        <w:t>Mientras que en Europa el cambio político permitió abolir el sistema feudal, en México los movimientos armados han dejado vestigios del sistema anterior: el caciquismo, el autoritarismo y el compadrazgo. El poder del Estado mexicano, a través de los siglos XIX y XX, principalmente, se ha caracterizado por la concentración de un poder excesivo, violento y anárquico.</w:t>
      </w:r>
    </w:p>
    <w:p>
      <w:pPr>
        <w:pStyle w:val="BodyText"/>
        <w:spacing w:line="360" w:lineRule="auto" w:before="6"/>
        <w:ind w:left="100" w:right="123" w:firstLine="427"/>
        <w:jc w:val="both"/>
      </w:pPr>
      <w:r>
        <w:rPr/>
        <w:t>Si bien las fechas de los asentamientos de las culturas precolombinas varían, al parecer la práctica hacendaria y los elementos de rendición de cuentas (información,</w:t>
      </w:r>
      <w:r>
        <w:rPr>
          <w:spacing w:val="-18"/>
        </w:rPr>
        <w:t> </w:t>
      </w:r>
      <w:r>
        <w:rPr/>
        <w:t>justificación</w:t>
      </w:r>
      <w:r>
        <w:rPr>
          <w:spacing w:val="-21"/>
        </w:rPr>
        <w:t> </w:t>
      </w:r>
      <w:r>
        <w:rPr/>
        <w:t>y</w:t>
      </w:r>
      <w:r>
        <w:rPr>
          <w:spacing w:val="-23"/>
        </w:rPr>
        <w:t> </w:t>
      </w:r>
      <w:r>
        <w:rPr/>
        <w:t>sanción)</w:t>
      </w:r>
      <w:r>
        <w:rPr>
          <w:spacing w:val="-19"/>
        </w:rPr>
        <w:t> </w:t>
      </w:r>
      <w:r>
        <w:rPr/>
        <w:t>de</w:t>
      </w:r>
      <w:r>
        <w:rPr>
          <w:spacing w:val="-21"/>
        </w:rPr>
        <w:t> </w:t>
      </w:r>
      <w:r>
        <w:rPr/>
        <w:t>los</w:t>
      </w:r>
      <w:r>
        <w:rPr>
          <w:spacing w:val="-19"/>
        </w:rPr>
        <w:t> </w:t>
      </w:r>
      <w:r>
        <w:rPr/>
        <w:t>mexicas</w:t>
      </w:r>
      <w:r>
        <w:rPr>
          <w:spacing w:val="-19"/>
        </w:rPr>
        <w:t> </w:t>
      </w:r>
      <w:r>
        <w:rPr/>
        <w:t>es</w:t>
      </w:r>
      <w:r>
        <w:rPr>
          <w:spacing w:val="-15"/>
        </w:rPr>
        <w:t> </w:t>
      </w:r>
      <w:r>
        <w:rPr>
          <w:spacing w:val="-2"/>
        </w:rPr>
        <w:t>más</w:t>
      </w:r>
      <w:r>
        <w:rPr>
          <w:spacing w:val="-19"/>
        </w:rPr>
        <w:t> </w:t>
      </w:r>
      <w:r>
        <w:rPr/>
        <w:t>antigua</w:t>
      </w:r>
      <w:r>
        <w:rPr>
          <w:spacing w:val="-21"/>
        </w:rPr>
        <w:t> </w:t>
      </w:r>
      <w:r>
        <w:rPr/>
        <w:t>que</w:t>
      </w:r>
      <w:r>
        <w:rPr>
          <w:spacing w:val="-21"/>
        </w:rPr>
        <w:t> </w:t>
      </w:r>
      <w:r>
        <w:rPr/>
        <w:t>la</w:t>
      </w:r>
      <w:r>
        <w:rPr>
          <w:spacing w:val="-21"/>
        </w:rPr>
        <w:t> </w:t>
      </w:r>
      <w:r>
        <w:rPr/>
        <w:t>española; por otra parte, la tradición de los reyes europeos de obsequiar propiedades del Estado con sus homólogos, especialmente en el Siglo XIX, les hizo necesario perfeccionar  su  política  fiscal.  Esta  política  reemplazó  al  sistema  mexica    </w:t>
      </w:r>
      <w:r>
        <w:rPr>
          <w:spacing w:val="2"/>
        </w:rPr>
        <w:t> </w:t>
      </w:r>
      <w:r>
        <w:rPr/>
        <w:t>al</w:t>
      </w:r>
    </w:p>
    <w:p>
      <w:pPr>
        <w:spacing w:after="0" w:line="360" w:lineRule="auto"/>
        <w:jc w:val="both"/>
        <w:sectPr>
          <w:pgSz w:w="12240" w:h="15840"/>
          <w:pgMar w:header="0" w:footer="998" w:top="1360" w:bottom="1180" w:left="1600" w:right="1580"/>
        </w:sectPr>
      </w:pPr>
    </w:p>
    <w:p>
      <w:pPr>
        <w:pStyle w:val="BodyText"/>
        <w:spacing w:line="362" w:lineRule="auto" w:before="55"/>
        <w:ind w:left="100"/>
      </w:pPr>
      <w:r>
        <w:rPr/>
        <w:t>establecerse</w:t>
      </w:r>
      <w:r>
        <w:rPr>
          <w:spacing w:val="-19"/>
        </w:rPr>
        <w:t> </w:t>
      </w:r>
      <w:r>
        <w:rPr/>
        <w:t>en</w:t>
      </w:r>
      <w:r>
        <w:rPr>
          <w:spacing w:val="-19"/>
        </w:rPr>
        <w:t> </w:t>
      </w:r>
      <w:r>
        <w:rPr/>
        <w:t>las</w:t>
      </w:r>
      <w:r>
        <w:rPr>
          <w:spacing w:val="-17"/>
        </w:rPr>
        <w:t> </w:t>
      </w:r>
      <w:r>
        <w:rPr/>
        <w:t>Américas</w:t>
      </w:r>
      <w:r>
        <w:rPr>
          <w:spacing w:val="-17"/>
        </w:rPr>
        <w:t> </w:t>
      </w:r>
      <w:r>
        <w:rPr/>
        <w:t>(los</w:t>
      </w:r>
      <w:r>
        <w:rPr>
          <w:spacing w:val="-13"/>
        </w:rPr>
        <w:t> </w:t>
      </w:r>
      <w:r>
        <w:rPr/>
        <w:t>mexicas</w:t>
      </w:r>
      <w:r>
        <w:rPr>
          <w:spacing w:val="-17"/>
        </w:rPr>
        <w:t> </w:t>
      </w:r>
      <w:r>
        <w:rPr/>
        <w:t>fueron</w:t>
      </w:r>
      <w:r>
        <w:rPr>
          <w:spacing w:val="-19"/>
        </w:rPr>
        <w:t> </w:t>
      </w:r>
      <w:r>
        <w:rPr/>
        <w:t>gobernados</w:t>
      </w:r>
      <w:r>
        <w:rPr>
          <w:spacing w:val="-17"/>
        </w:rPr>
        <w:t> </w:t>
      </w:r>
      <w:r>
        <w:rPr/>
        <w:t>mediante</w:t>
      </w:r>
      <w:r>
        <w:rPr>
          <w:spacing w:val="-19"/>
        </w:rPr>
        <w:t> </w:t>
      </w:r>
      <w:r>
        <w:rPr/>
        <w:t>una</w:t>
      </w:r>
      <w:r>
        <w:rPr>
          <w:spacing w:val="-19"/>
        </w:rPr>
        <w:t> </w:t>
      </w:r>
      <w:r>
        <w:rPr/>
        <w:t>política despótica, aunque efectiva para mantener su nivel de</w:t>
      </w:r>
      <w:r>
        <w:rPr>
          <w:spacing w:val="-35"/>
        </w:rPr>
        <w:t> </w:t>
      </w:r>
      <w:r>
        <w:rPr/>
        <w:t>gobernabilidad).</w:t>
      </w:r>
    </w:p>
    <w:p>
      <w:pPr>
        <w:pStyle w:val="BodyText"/>
      </w:pPr>
    </w:p>
    <w:p>
      <w:pPr>
        <w:pStyle w:val="BodyText"/>
        <w:spacing w:line="360" w:lineRule="auto" w:before="139"/>
        <w:ind w:left="100" w:right="125" w:firstLine="427"/>
        <w:jc w:val="both"/>
      </w:pPr>
      <w:r>
        <w:rPr/>
        <w:t>La cultura prehispánica mexica contó con un sistema político fuerte, donde el liderazgo del sistema político, económico y religioso fue depositado en una sola persona.</w:t>
      </w:r>
    </w:p>
    <w:p>
      <w:pPr>
        <w:pStyle w:val="BodyText"/>
        <w:spacing w:line="360" w:lineRule="auto" w:before="2"/>
        <w:ind w:left="100" w:right="120" w:firstLine="427"/>
        <w:jc w:val="both"/>
      </w:pPr>
      <w:r>
        <w:rPr/>
        <w:t>El Estado de las comunidades prehispánicas que aseguraba sustento a sus habitantes con el tiempo pasó a ser mercantilista, subsidiario del capital extranjero, que incrementó la desigualdad social, la pobreza y la corrupción.</w:t>
      </w:r>
    </w:p>
    <w:p>
      <w:pPr>
        <w:pStyle w:val="BodyText"/>
        <w:spacing w:line="360" w:lineRule="auto" w:before="6"/>
        <w:ind w:left="100" w:right="124" w:firstLine="427"/>
        <w:jc w:val="both"/>
      </w:pPr>
      <w:r>
        <w:rPr/>
        <w:t>Las instituciones políticas españolas que se implantaron en la Nueva España eliminaron los vestigios del sistema político mexica, lo que hizo obligatoria la adopción de las formas de organización europea en la región americana.</w:t>
      </w:r>
    </w:p>
    <w:p>
      <w:pPr>
        <w:pStyle w:val="BodyText"/>
        <w:spacing w:line="360" w:lineRule="auto" w:before="2"/>
        <w:ind w:left="100" w:right="117" w:firstLine="427"/>
        <w:jc w:val="both"/>
      </w:pPr>
      <w:r>
        <w:rPr/>
        <w:t>A partir de la conquista y la independencia, un grupo político se apropió del Estado a fin de obtener beneficios para su provecho, lo que generó corrupción. El Estado mexicano, caracterizado en el Siglo XX por el predominio del Poder Ejecutivo</w:t>
      </w:r>
      <w:r>
        <w:rPr>
          <w:color w:val="00AF50"/>
        </w:rPr>
        <w:t>, </w:t>
      </w:r>
      <w:r>
        <w:rPr/>
        <w:t>fue una mezcla de alta dictadura y escasa representación democrática.</w:t>
      </w:r>
    </w:p>
    <w:p>
      <w:pPr>
        <w:pStyle w:val="BodyText"/>
        <w:spacing w:line="360" w:lineRule="auto" w:before="2"/>
        <w:ind w:left="100" w:right="118" w:firstLine="427"/>
        <w:jc w:val="both"/>
      </w:pPr>
      <w:r>
        <w:rPr/>
        <w:t>Los independentistas mexicanos del Siglo XIX aprovecharon el ejemplo de la administración</w:t>
      </w:r>
      <w:r>
        <w:rPr>
          <w:spacing w:val="-8"/>
        </w:rPr>
        <w:t> </w:t>
      </w:r>
      <w:r>
        <w:rPr/>
        <w:t>pública</w:t>
      </w:r>
      <w:r>
        <w:rPr>
          <w:spacing w:val="-8"/>
        </w:rPr>
        <w:t> </w:t>
      </w:r>
      <w:r>
        <w:rPr/>
        <w:t>española</w:t>
      </w:r>
      <w:r>
        <w:rPr>
          <w:spacing w:val="-8"/>
        </w:rPr>
        <w:t> </w:t>
      </w:r>
      <w:r>
        <w:rPr/>
        <w:t>para</w:t>
      </w:r>
      <w:r>
        <w:rPr>
          <w:spacing w:val="-8"/>
        </w:rPr>
        <w:t> </w:t>
      </w:r>
      <w:r>
        <w:rPr/>
        <w:t>conformar</w:t>
      </w:r>
      <w:r>
        <w:rPr>
          <w:spacing w:val="-6"/>
        </w:rPr>
        <w:t> </w:t>
      </w:r>
      <w:r>
        <w:rPr/>
        <w:t>tanto</w:t>
      </w:r>
      <w:r>
        <w:rPr>
          <w:spacing w:val="-8"/>
        </w:rPr>
        <w:t> </w:t>
      </w:r>
      <w:r>
        <w:rPr/>
        <w:t>las</w:t>
      </w:r>
      <w:r>
        <w:rPr>
          <w:spacing w:val="-6"/>
        </w:rPr>
        <w:t> </w:t>
      </w:r>
      <w:r>
        <w:rPr/>
        <w:t>instituciones</w:t>
      </w:r>
      <w:r>
        <w:rPr>
          <w:spacing w:val="-6"/>
        </w:rPr>
        <w:t> </w:t>
      </w:r>
      <w:r>
        <w:rPr/>
        <w:t>hacendarias como aquellas encargadas de la revisión de las cuentas del naciente Estado mexicano.</w:t>
      </w:r>
    </w:p>
    <w:p>
      <w:pPr>
        <w:pStyle w:val="BodyText"/>
        <w:spacing w:line="360" w:lineRule="auto" w:before="1"/>
        <w:ind w:left="100" w:right="118" w:firstLine="427"/>
        <w:jc w:val="both"/>
      </w:pPr>
      <w:r>
        <w:rPr/>
        <w:t>Si bien la división de poderes ha sido instituida desde la primera Constitución Federal, en México, la figura presidencial representó un poder supremo sobre los otros dos poderes. En la actualidad se comprende que existe un intercambio recíproco entre justicia y legitimidad, ya que solo un sistema justo permite que una sociedad organizada le otorgue legitimidad al Estado. En este sentido, la rendición de cuentas se ha venido construyendo como ese puente entre justicia y legitimidad del Estado a lo largo del Siglo XX.</w:t>
      </w:r>
    </w:p>
    <w:p>
      <w:pPr>
        <w:pStyle w:val="BodyText"/>
        <w:spacing w:line="360" w:lineRule="auto" w:before="6"/>
        <w:ind w:left="100" w:right="114" w:firstLine="427"/>
        <w:jc w:val="both"/>
      </w:pPr>
      <w:r>
        <w:rPr/>
        <w:t>Resulta complicado revisar todos los aspectos políticos que se sucedieron en México y la evolución de los elementos de rendición de cuentas, por lo que en este capítulo solo se presenta una visión sintetizada de los acontecimientos más relevantes, desde las civilizaciones prehispánicas hasta el Siglo XX.</w:t>
      </w:r>
    </w:p>
    <w:p>
      <w:pPr>
        <w:spacing w:after="0" w:line="360" w:lineRule="auto"/>
        <w:jc w:val="both"/>
        <w:sectPr>
          <w:pgSz w:w="12240" w:h="15840"/>
          <w:pgMar w:header="0" w:footer="998" w:top="1360" w:bottom="1180" w:left="1600" w:right="1580"/>
        </w:sectPr>
      </w:pPr>
    </w:p>
    <w:p>
      <w:pPr>
        <w:pStyle w:val="BodyText"/>
        <w:spacing w:line="360" w:lineRule="auto" w:before="55"/>
        <w:ind w:left="140" w:right="120" w:firstLine="427"/>
        <w:jc w:val="both"/>
      </w:pPr>
      <w:r>
        <w:rPr/>
        <w:t>Mediante el estudio de la historia se hacen presentes los elementos que hacen singular a México: el nacimiento del Estado, carente de una orientación definida hacia “el buen gobierno” y una división de poderes no pragmática, que dieron paso a una elevada concentración del poder, el abuso de la clase política y la excesiva intervención del Estado, que en forma conjunta aumentaron la corrupción.</w:t>
      </w:r>
    </w:p>
    <w:p>
      <w:pPr>
        <w:pStyle w:val="BodyText"/>
        <w:spacing w:line="360" w:lineRule="auto" w:before="2"/>
        <w:ind w:left="140" w:right="116" w:firstLine="427"/>
        <w:jc w:val="both"/>
      </w:pPr>
      <w:r>
        <w:rPr/>
        <w:t>En el esquema siguiente se presenta </w:t>
      </w:r>
      <w:r>
        <w:rPr>
          <w:i/>
        </w:rPr>
        <w:t>grosso modo</w:t>
      </w:r>
      <w:r>
        <w:rPr/>
        <w:t>, la evolución del Estado y sus</w:t>
      </w:r>
      <w:r>
        <w:rPr>
          <w:spacing w:val="-7"/>
        </w:rPr>
        <w:t> </w:t>
      </w:r>
      <w:r>
        <w:rPr/>
        <w:t>mecanismos</w:t>
      </w:r>
      <w:r>
        <w:rPr>
          <w:spacing w:val="-7"/>
        </w:rPr>
        <w:t> </w:t>
      </w:r>
      <w:r>
        <w:rPr/>
        <w:t>de</w:t>
      </w:r>
      <w:r>
        <w:rPr>
          <w:spacing w:val="-9"/>
        </w:rPr>
        <w:t> </w:t>
      </w:r>
      <w:r>
        <w:rPr/>
        <w:t>control,</w:t>
      </w:r>
      <w:r>
        <w:rPr>
          <w:spacing w:val="-6"/>
        </w:rPr>
        <w:t> </w:t>
      </w:r>
      <w:r>
        <w:rPr/>
        <w:t>tanto</w:t>
      </w:r>
      <w:r>
        <w:rPr>
          <w:spacing w:val="-9"/>
        </w:rPr>
        <w:t> </w:t>
      </w:r>
      <w:r>
        <w:rPr/>
        <w:t>interno</w:t>
      </w:r>
      <w:r>
        <w:rPr>
          <w:spacing w:val="-9"/>
        </w:rPr>
        <w:t> </w:t>
      </w:r>
      <w:r>
        <w:rPr/>
        <w:t>como</w:t>
      </w:r>
      <w:r>
        <w:rPr>
          <w:spacing w:val="-5"/>
        </w:rPr>
        <w:t> </w:t>
      </w:r>
      <w:r>
        <w:rPr/>
        <w:t>externo,</w:t>
      </w:r>
      <w:r>
        <w:rPr>
          <w:spacing w:val="-3"/>
        </w:rPr>
        <w:t> </w:t>
      </w:r>
      <w:r>
        <w:rPr/>
        <w:t>mostrando</w:t>
      </w:r>
      <w:r>
        <w:rPr>
          <w:spacing w:val="-5"/>
        </w:rPr>
        <w:t> </w:t>
      </w:r>
      <w:r>
        <w:rPr/>
        <w:t>el</w:t>
      </w:r>
      <w:r>
        <w:rPr>
          <w:spacing w:val="-8"/>
        </w:rPr>
        <w:t> </w:t>
      </w:r>
      <w:r>
        <w:rPr/>
        <w:t>desarrollo</w:t>
      </w:r>
      <w:r>
        <w:rPr>
          <w:spacing w:val="-5"/>
        </w:rPr>
        <w:t> </w:t>
      </w:r>
      <w:r>
        <w:rPr/>
        <w:t>de las dos instituciones encargadas de vigilar el uso adecuado de los recursos mediante la rendición de</w:t>
      </w:r>
      <w:r>
        <w:rPr>
          <w:spacing w:val="-20"/>
        </w:rPr>
        <w:t> </w:t>
      </w:r>
      <w:r>
        <w:rPr/>
        <w:t>cuentas.</w:t>
      </w:r>
    </w:p>
    <w:p>
      <w:pPr>
        <w:pStyle w:val="BodyText"/>
      </w:pPr>
    </w:p>
    <w:p>
      <w:pPr>
        <w:spacing w:before="180"/>
        <w:ind w:left="1608" w:right="8" w:firstLine="0"/>
        <w:jc w:val="left"/>
        <w:rPr>
          <w:sz w:val="20"/>
        </w:rPr>
      </w:pPr>
      <w:bookmarkStart w:name="_bookmark42" w:id="55"/>
      <w:bookmarkEnd w:id="55"/>
      <w:r>
        <w:rPr/>
      </w:r>
      <w:r>
        <w:rPr>
          <w:sz w:val="20"/>
        </w:rPr>
        <w:t>Esquema 2. 1. Evolución del Estado mexicano y del control estatal</w:t>
      </w:r>
    </w:p>
    <w:p>
      <w:pPr>
        <w:pStyle w:val="BodyText"/>
        <w:rPr>
          <w:sz w:val="14"/>
        </w:rPr>
      </w:pPr>
      <w:r>
        <w:rPr/>
        <w:pict>
          <v:group style="position:absolute;margin-left:83.199997pt;margin-top:10.000873pt;width:433.6pt;height:256.6pt;mso-position-horizontal-relative:page;mso-position-vertical-relative:paragraph;z-index:6016;mso-wrap-distance-left:0;mso-wrap-distance-right:0" coordorigin="1664,200" coordsize="8672,5132">
            <v:shape style="position:absolute;left:1664;top:200;width:8672;height:5132" type="#_x0000_t75" stroked="false">
              <v:imagedata r:id="rId81" o:title=""/>
            </v:shape>
            <v:rect style="position:absolute;left:1791;top:232;width:8503;height:5013" filled="true" fillcolor="#edebe0" stroked="false">
              <v:fill type="solid"/>
            </v:rect>
            <v:rect style="position:absolute;left:8849;top:1606;width:1208;height:452" filled="true" fillcolor="#ffffff" stroked="false">
              <v:fill type="solid"/>
            </v:rect>
            <v:rect style="position:absolute;left:8849;top:1606;width:1208;height:452" filled="false" stroked="true" strokeweight="1.081392pt" strokecolor="#000000"/>
            <v:shape style="position:absolute;left:1792;top:899;width:8230;height:4085" coordorigin="1792,899" coordsize="8230,4085" path="m9855,951l1792,4938,1822,4984,9886,997,9916,951,9855,951xm10019,903l9953,903,9984,948,9886,997,9836,1070,9833,1080,9833,1090,9839,1099,9848,1106,9859,1109,9871,1109,9882,1104,9890,1096,10019,903xm9960,912l9942,912,9968,951,9916,951,9886,997,9977,951,9968,951,9977,951,9984,948,9960,912xm9942,912l9916,951,9968,951,9942,912xm9953,903l9855,951,9916,951,9942,912,9960,912,9953,903xm9755,899l9743,901,9734,906,9727,915,9725,925,9727,935,9734,943,9743,949,9755,951,9855,951,9953,903,10019,903,10021,899,9755,899xe" filled="true" fillcolor="#001f5f" stroked="false">
              <v:path arrowok="t"/>
              <v:fill type="solid"/>
            </v:shape>
            <v:shape style="position:absolute;left:2085;top:4928;width:229;height:139" type="#_x0000_t75" stroked="false">
              <v:imagedata r:id="rId82" o:title=""/>
            </v:shape>
            <v:shape style="position:absolute;left:3196;top:4350;width:226;height:149" type="#_x0000_t75" stroked="false">
              <v:imagedata r:id="rId83" o:title=""/>
            </v:shape>
            <v:shape style="position:absolute;left:1941;top:3372;width:2368;height:1712" type="#_x0000_t75" stroked="false">
              <v:imagedata r:id="rId84" o:title=""/>
            </v:shape>
            <v:shape style="position:absolute;left:3656;top:4431;width:169;height:229" type="#_x0000_t75" stroked="false">
              <v:imagedata r:id="rId85" o:title=""/>
            </v:shape>
            <v:shape style="position:absolute;left:3176;top:3842;width:170;height:420" coordorigin="3176,3842" coordsize="170,420" path="m3283,4168l3246,4168,3248,4262,3285,4261,3283,4168xm3281,4043l3244,4044,3246,4137,3282,4137,3281,4043xm3270,3919l3250,3919,3242,3931,3243,4013,3280,4012,3278,3931,3270,3919xm3258,3842l3181,3960,3176,3968,3179,3977,3188,3981,3197,3986,3208,3983,3213,3975,3242,3931,3242,3919,3250,3919,3260,3904,3248,3888,3241,3888,3241,3874,3277,3873,3280,3873,3258,3842xm3313,3919l3278,3919,3278,3931,3314,3981,3326,3984,3334,3979,3343,3975,3346,3965,3313,3919xm3250,3919l3242,3919,3242,3931,3250,3919xm3278,3919l3270,3919,3278,3931,3278,3919xm3280,3873l3277,3873,3278,3888,3271,3888,3260,3904,3270,3919,3278,3919,3313,3919,3280,3873xm3271,3888l3248,3888,3260,3904,3271,3888xm3277,3873l3241,3874,3241,3888,3248,3888,3243,3882,3275,3881,3277,3881,3277,3873xm3248,3888l3241,3888,3248,3888,3248,3888xm3275,3881l3243,3882,3248,3888,3271,3888,3275,3881xm3277,3881l3275,3881,3271,3888,3278,3888,3277,3881xe" filled="true" fillcolor="#001f5f" stroked="false">
              <v:path arrowok="t"/>
              <v:fill type="solid"/>
            </v:shape>
            <v:shape style="position:absolute;left:2430;top:4490;width:978;height:634" type="#_x0000_t75" stroked="false">
              <v:imagedata r:id="rId86" o:title=""/>
            </v:shape>
            <v:shape style="position:absolute;left:4292;top:3359;width:683;height:145" coordorigin="4292,3359" coordsize="683,145" path="m4402,3420l4292,3421,4293,3453,4403,3452,4402,3420xm4548,3419l4439,3420,4439,3451,4549,3450,4548,3419xm4694,3417l4585,3419,4585,3450,4695,3449,4694,3417xm4877,3444l4812,3477,4809,3487,4814,3494,4819,3502,4831,3504,4943,3447,4877,3447,4877,3444xm4840,3416l4731,3417,4731,3448,4841,3447,4840,3416xm4903,3431l4877,3444,4877,3447,4939,3446,4939,3444,4930,3444,4903,3431xm4943,3415l4939,3415,4939,3446,4877,3447,4943,3447,4975,3430,4943,3415xm4929,3417l4903,3431,4930,3444,4929,3417xm4939,3417l4929,3417,4930,3444,4939,3444,4939,3417xm4877,3419l4877,3444,4903,3431,4877,3419xm4939,3415l4877,3416,4877,3419,4903,3431,4929,3417,4939,3417,4939,3415xm4829,3359l4818,3362,4808,3377,4811,3387,4877,3419,4877,3416,4939,3415,4943,3415,4829,3359xe" filled="true" fillcolor="#c00000" stroked="false">
              <v:path arrowok="t"/>
              <v:fill type="solid"/>
            </v:shape>
            <v:shape style="position:absolute;left:4760;top:2959;width:170;height:458" coordorigin="4760,2959" coordsize="170,458" path="m4863,3323l4827,3323,4827,3417,4863,3417,4863,3323xm4863,3199l4827,3199,4827,3292,4863,3292,4863,3199xm4863,3074l4827,3074,4827,3167,4863,3167,4863,3074xm4845,2959l4765,3076,4760,3083,4763,3093,4781,3101,4792,3099,4830,3043,4827,3043,4827,2990,4866,2990,4845,2959xm4863,2998l4861,2998,4845,3021,4893,3091,4898,3099,4909,3101,4927,3093,4930,3083,4925,3076,4902,3043,4863,3043,4863,2998xm4863,2990l4827,2990,4827,3043,4830,3043,4845,3021,4829,2998,4863,2998,4863,2990xm4845,3021l4830,3043,4860,3043,4845,3021xm4866,2990l4863,2990,4863,3043,4902,3043,4866,2990xm4861,2998l4829,2998,4845,3021,4861,2998xe" filled="true" fillcolor="#c00000" stroked="false">
              <v:path arrowok="t"/>
              <v:fill type="solid"/>
            </v:shape>
            <v:shape style="position:absolute;left:4845;top:2946;width:898;height:145" coordorigin="4845,2946" coordsize="898,145" path="m4954,3002l4845,3002,4845,3033,4954,3033,4954,3002xm5101,3002l4991,3002,4991,3033,5101,3033,5101,3002xm5247,3002l5137,3002,5137,3033,5247,3033,5247,3002xm5393,3002l5283,3002,5283,3033,5393,3033,5393,3002xm5539,3002l5429,3002,5429,3033,5539,3033,5539,3002xm5670,3018l5579,3063,5576,3073,5581,3080,5586,3088,5597,3090,5711,3033,5685,3033,5685,3025,5670,3018xm5639,3002l5575,3002,5575,3033,5638,3033,5670,3018,5639,3002xm5685,3025l5685,3033,5711,3033,5715,3031,5697,3031,5685,3025xm5697,3004l5685,3010,5685,3025,5697,3031,5697,3004xm5715,3004l5697,3004,5697,3031,5715,3031,5742,3018,5715,3004xm5685,3010l5670,3018,5685,3025,5685,3010xm5597,2946l5586,2948,5581,2955,5576,2963,5579,2972,5670,3018,5685,3010,5685,3002,5711,3002,5597,2946xm5711,3002l5685,3002,5685,3010,5697,3004,5715,3004,5711,3002xe" filled="true" fillcolor="#c00000" stroked="false">
              <v:path arrowok="t"/>
              <v:fill type="solid"/>
            </v:shape>
            <v:line style="position:absolute" from="5759,465" to="5759,559" stroked="true" strokeweight=".371299pt" strokecolor="#000000"/>
            <v:line style="position:absolute" from="5744,465" to="5744,559" stroked="true" strokeweight=".675643pt" strokecolor="#000000"/>
            <v:line style="position:absolute" from="5729,465" to="5729,559" stroked="true" strokeweight=".371299pt" strokecolor="#000000"/>
            <v:line style="position:absolute" from="5761,590" to="5761,683" stroked="true" strokeweight=".371299pt" strokecolor="#000000"/>
            <v:line style="position:absolute" from="5746,590" to="5746,683" stroked="true" strokeweight=".675643pt" strokecolor="#000000"/>
            <v:line style="position:absolute" from="5731,590" to="5731,683" stroked="true" strokeweight=".371299pt" strokecolor="#000000"/>
            <v:line style="position:absolute" from="5763,714" to="5763,808" stroked="true" strokeweight=".371299pt" strokecolor="#000000"/>
            <v:line style="position:absolute" from="5748,714" to="5748,808" stroked="true" strokeweight=".675643pt" strokecolor="#000000"/>
            <v:line style="position:absolute" from="5732,714" to="5732,808" stroked="true" strokeweight=".371299pt" strokecolor="#000000"/>
            <v:line style="position:absolute" from="5765,839" to="5765,932" stroked="true" strokeweight=".377386pt" strokecolor="#000000"/>
            <v:line style="position:absolute" from="5749,839" to="5749,932" stroked="true" strokeweight=".68173pt" strokecolor="#000000"/>
            <v:line style="position:absolute" from="5734,839" to="5734,933" stroked="true" strokeweight=".377386pt" strokecolor="#000000"/>
            <v:line style="position:absolute" from="5766,963" to="5766,1057" stroked="true" strokeweight=".371299pt" strokecolor="#000000"/>
            <v:line style="position:absolute" from="5751,963" to="5751,1057" stroked="true" strokeweight=".675643pt" strokecolor="#000000"/>
            <v:line style="position:absolute" from="5736,964" to="5736,1027" stroked="true" strokeweight=".371299pt" strokecolor="#000000"/>
            <v:line style="position:absolute" from="5772,1337" to="5772,1431" stroked="true" strokeweight=".371299pt" strokecolor="#000000"/>
            <v:line style="position:absolute" from="5757,1337" to="5757,1431" stroked="true" strokeweight=".675643pt" strokecolor="#000000"/>
            <v:line style="position:absolute" from="5741,1337" to="5741,1431" stroked="true" strokeweight=".371299pt" strokecolor="#000000"/>
            <v:line style="position:absolute" from="5774,1462" to="5774,1555" stroked="true" strokeweight=".377386pt" strokecolor="#000000"/>
            <v:line style="position:absolute" from="5758,1462" to="5758,1555" stroked="true" strokeweight=".675643pt" strokecolor="#000000"/>
            <v:line style="position:absolute" from="5743,1462" to="5743,1555" stroked="true" strokeweight=".371299pt" strokecolor="#000000"/>
            <v:line style="position:absolute" from="5775,1586" to="5775,1680" stroked="true" strokeweight=".371299pt" strokecolor="#000000"/>
            <v:line style="position:absolute" from="5760,1586" to="5760,1680" stroked="true" strokeweight=".675643pt" strokecolor="#000000"/>
            <v:line style="position:absolute" from="5745,1586" to="5745,1680" stroked="true" strokeweight=".371299pt" strokecolor="#000000"/>
            <v:line style="position:absolute" from="5777,1711" to="5777,1804" stroked="true" strokeweight=".371299pt" strokecolor="#000000"/>
            <v:line style="position:absolute" from="5762,1711" to="5762,1804" stroked="true" strokeweight=".675643pt" strokecolor="#000000"/>
            <v:line style="position:absolute" from="5747,1711" to="5747,1805" stroked="true" strokeweight=".371299pt" strokecolor="#000000"/>
            <v:line style="position:absolute" from="5779,1835" to="5779,1929" stroked="true" strokeweight=".371299pt" strokecolor="#000000"/>
            <v:line style="position:absolute" from="5764,1835" to="5764,1929" stroked="true" strokeweight=".675643pt" strokecolor="#000000"/>
            <v:line style="position:absolute" from="5749,1836" to="5749,1929" stroked="true" strokeweight=".371299pt" strokecolor="#000000"/>
            <v:line style="position:absolute" from="5781,1960" to="5781,2053" stroked="true" strokeweight=".371299pt" strokecolor="#000000"/>
            <v:line style="position:absolute" from="5766,1960" to="5766,2054" stroked="true" strokeweight=".675643pt" strokecolor="#000000"/>
            <v:line style="position:absolute" from="5750,1960" to="5750,2054" stroked="true" strokeweight=".371299pt" strokecolor="#000000"/>
            <v:line style="position:absolute" from="5783,2084" to="5783,2178" stroked="true" strokeweight=".371299pt" strokecolor="#000000"/>
            <v:line style="position:absolute" from="5767,2085" to="5767,2178" stroked="true" strokeweight=".675643pt" strokecolor="#000000"/>
            <v:line style="position:absolute" from="5752,2085" to="5752,2178" stroked="true" strokeweight=".371299pt" strokecolor="#000000"/>
            <v:line style="position:absolute" from="5784,2209" to="5784,2302" stroked="true" strokeweight=".371299pt" strokecolor="#000000"/>
            <v:line style="position:absolute" from="5769,2209" to="5769,2303" stroked="true" strokeweight=".675643pt" strokecolor="#000000"/>
            <v:line style="position:absolute" from="5754,2209" to="5754,2303" stroked="true" strokeweight=".371299pt" strokecolor="#000000"/>
            <v:line style="position:absolute" from="5786,2334" to="5786,2427" stroked="true" strokeweight=".371299pt" strokecolor="#000000"/>
            <v:line style="position:absolute" from="5771,2334" to="5771,2427" stroked="true" strokeweight=".675643pt" strokecolor="#000000"/>
            <v:line style="position:absolute" from="5756,2334" to="5756,2427" stroked="true" strokeweight=".371299pt" strokecolor="#000000"/>
            <v:line style="position:absolute" from="5788,2458" to="5788,2552" stroked="true" strokeweight=".371299pt" strokecolor="#000000"/>
            <v:line style="position:absolute" from="5773,2458" to="5773,2552" stroked="true" strokeweight=".675643pt" strokecolor="#000000"/>
            <v:line style="position:absolute" from="5758,2458" to="5758,2552" stroked="true" strokeweight=".371299pt" strokecolor="#000000"/>
            <v:line style="position:absolute" from="5790,2583" to="5790,2676" stroked="true" strokeweight=".371299pt" strokecolor="#000000"/>
            <v:line style="position:absolute" from="5775,2583" to="5775,2676" stroked="true" strokeweight=".675643pt" strokecolor="#000000"/>
            <v:line style="position:absolute" from="5759,2583" to="5759,2677" stroked="true" strokeweight=".371299pt" strokecolor="#000000"/>
            <v:line style="position:absolute" from="5792,2707" to="5792,2801" stroked="true" strokeweight=".371299pt" strokecolor="#000000"/>
            <v:line style="position:absolute" from="5777,2707" to="5777,2801" stroked="true" strokeweight=".675643pt" strokecolor="#000000"/>
            <v:line style="position:absolute" from="5761,2708" to="5761,2801" stroked="true" strokeweight=".371299pt" strokecolor="#000000"/>
            <v:line style="position:absolute" from="5793,2832" to="5793,2925" stroked="true" strokeweight=".377386pt" strokecolor="#000000"/>
            <v:line style="position:absolute" from="5778,2832" to="5778,2926" stroked="true" strokeweight=".68173pt" strokecolor="#000000"/>
            <v:line style="position:absolute" from="5763,2832" to="5763,2926" stroked="true" strokeweight=".377386pt" strokecolor="#000000"/>
            <v:line style="position:absolute" from="5795,2956" to="5795,3050" stroked="true" strokeweight=".371299pt" strokecolor="#000000"/>
            <v:line style="position:absolute" from="5780,2957" to="5780,3050" stroked="true" strokeweight=".675643pt" strokecolor="#000000"/>
            <v:line style="position:absolute" from="5765,2957" to="5765,3050" stroked="true" strokeweight=".371299pt" strokecolor="#000000"/>
            <v:line style="position:absolute" from="5797,3081" to="5797,3175" stroked="true" strokeweight=".371299pt" strokecolor="#000000"/>
            <v:line style="position:absolute" from="5782,3081" to="5782,3175" stroked="true" strokeweight=".675643pt" strokecolor="#000000"/>
            <v:line style="position:absolute" from="5767,3081" to="5767,3175" stroked="true" strokeweight=".371299pt" strokecolor="#000000"/>
            <v:line style="position:absolute" from="5799,3206" to="5799,3299" stroked="true" strokeweight=".371299pt" strokecolor="#000000"/>
            <v:line style="position:absolute" from="5784,3206" to="5784,3299" stroked="true" strokeweight=".675643pt" strokecolor="#000000"/>
            <v:line style="position:absolute" from="5768,3206" to="5768,3299" stroked="true" strokeweight=".371299pt" strokecolor="#000000"/>
            <v:line style="position:absolute" from="5801,3330" to="5801,3424" stroked="true" strokeweight=".371299pt" strokecolor="#000000"/>
            <v:line style="position:absolute" from="5786,3330" to="5786,3424" stroked="true" strokeweight=".675643pt" strokecolor="#000000"/>
            <v:line style="position:absolute" from="5770,3330" to="5770,3424" stroked="true" strokeweight=".371299pt" strokecolor="#000000"/>
            <v:line style="position:absolute" from="5803,3455" to="5803,3548" stroked="true" strokeweight=".371299pt" strokecolor="#000000"/>
            <v:line style="position:absolute" from="5787,3455" to="5787,3548" stroked="true" strokeweight=".675643pt" strokecolor="#000000"/>
            <v:line style="position:absolute" from="5772,3455" to="5772,3548" stroked="true" strokeweight=".371299pt" strokecolor="#000000"/>
            <v:line style="position:absolute" from="5804,3579" to="5804,3673" stroked="true" strokeweight=".371299pt" strokecolor="#000000"/>
            <v:line style="position:absolute" from="5789,3579" to="5789,3673" stroked="true" strokeweight=".675643pt" strokecolor="#000000"/>
            <v:line style="position:absolute" from="5774,3580" to="5774,3673" stroked="true" strokeweight=".371299pt" strokecolor="#000000"/>
            <v:line style="position:absolute" from="5806,3704" to="5806,3797" stroked="true" strokeweight=".371299pt" strokecolor="#000000"/>
            <v:line style="position:absolute" from="5791,3704" to="5791,3798" stroked="true" strokeweight=".675643pt" strokecolor="#000000"/>
            <v:line style="position:absolute" from="5776,3704" to="5776,3798" stroked="true" strokeweight=".371299pt" strokecolor="#000000"/>
            <v:line style="position:absolute" from="5808,3828" to="5808,3922" stroked="true" strokeweight=".371299pt" strokecolor="#000000"/>
            <v:line style="position:absolute" from="5793,3829" to="5793,3922" stroked="true" strokeweight=".675643pt" strokecolor="#000000"/>
            <v:line style="position:absolute" from="5777,3829" to="5777,3922" stroked="true" strokeweight=".371299pt" strokecolor="#000000"/>
            <v:line style="position:absolute" from="5810,3953" to="5810,4046" stroked="true" strokeweight=".371299pt" strokecolor="#000000"/>
            <v:line style="position:absolute" from="5795,3953" to="5795,4047" stroked="true" strokeweight=".675643pt" strokecolor="#000000"/>
            <v:line style="position:absolute" from="5779,3953" to="5779,4047" stroked="true" strokeweight=".371299pt" strokecolor="#000000"/>
            <v:line style="position:absolute" from="5812,4078" to="5812,4171" stroked="true" strokeweight=".371299pt" strokecolor="#000000"/>
            <v:line style="position:absolute" from="5796,4078" to="5796,4171" stroked="true" strokeweight=".675643pt" strokecolor="#000000"/>
            <v:line style="position:absolute" from="5781,4078" to="5781,4171" stroked="true" strokeweight=".371299pt" strokecolor="#000000"/>
            <v:line style="position:absolute" from="5813,4202" to="5813,4296" stroked="true" strokeweight=".371299pt" strokecolor="#000000"/>
            <v:line style="position:absolute" from="5798,4202" to="5798,4296" stroked="true" strokeweight=".68173pt" strokecolor="#000000"/>
            <v:line style="position:absolute" from="5783,4202" to="5783,4296" stroked="true" strokeweight=".377386pt" strokecolor="#000000"/>
            <v:line style="position:absolute" from="5815,4327" to="5815,4420" stroked="true" strokeweight=".371299pt" strokecolor="#000000"/>
            <v:line style="position:absolute" from="5800,4327" to="5800,4420" stroked="true" strokeweight=".675643pt" strokecolor="#000000"/>
            <v:line style="position:absolute" from="5785,4327" to="5785,4421" stroked="true" strokeweight=".371299pt" strokecolor="#000000"/>
            <v:line style="position:absolute" from="5817,4451" to="5817,4545" stroked="true" strokeweight=".371299pt" strokecolor="#000000"/>
            <v:line style="position:absolute" from="5802,4451" to="5802,4545" stroked="true" strokeweight=".675643pt" strokecolor="#000000"/>
            <v:line style="position:absolute" from="5786,4452" to="5786,4545" stroked="true" strokeweight=".371299pt" strokecolor="#000000"/>
            <v:line style="position:absolute" from="5819,4576" to="5819,4669" stroked="true" strokeweight=".371299pt" strokecolor="#000000"/>
            <v:line style="position:absolute" from="5804,4576" to="5804,4670" stroked="true" strokeweight=".675643pt" strokecolor="#000000"/>
            <v:line style="position:absolute" from="5788,4576" to="5788,4670" stroked="true" strokeweight=".371299pt" strokecolor="#000000"/>
            <v:line style="position:absolute" from="5821,4700" to="5821,4794" stroked="true" strokeweight=".371299pt" strokecolor="#000000"/>
            <v:line style="position:absolute" from="5805,4701" to="5805,4794" stroked="true" strokeweight=".675643pt" strokecolor="#000000"/>
            <v:line style="position:absolute" from="5790,4701" to="5790,4794" stroked="true" strokeweight=".371299pt" strokecolor="#000000"/>
            <v:line style="position:absolute" from="5822,4825" to="5822,4918" stroked="true" strokeweight=".377386pt" strokecolor="#000000"/>
            <v:line style="position:absolute" from="5807,4825" to="5807,4919" stroked="true" strokeweight=".68173pt" strokecolor="#000000"/>
            <v:line style="position:absolute" from="5792,4825" to="5792,4919" stroked="true" strokeweight=".377386pt" strokecolor="#000000"/>
            <v:line style="position:absolute" from="5824,4950" to="5824,5043" stroked="true" strokeweight=".371299pt" strokecolor="#000000"/>
            <v:line style="position:absolute" from="5809,4950" to="5809,5043" stroked="true" strokeweight=".675643pt" strokecolor="#000000"/>
            <v:line style="position:absolute" from="5794,4950" to="5794,5043" stroked="true" strokeweight=".371299pt" strokecolor="#000000"/>
            <v:line style="position:absolute" from="5826,5074" to="5826,5168" stroked="true" strokeweight=".371299pt" strokecolor="#000000"/>
            <v:line style="position:absolute" from="5811,5074" to="5811,5168" stroked="true" strokeweight=".675643pt" strokecolor="#000000"/>
            <v:line style="position:absolute" from="5795,5074" to="5795,5168" stroked="true" strokeweight=".371299pt" strokecolor="#000000"/>
            <v:line style="position:absolute" from="5824,5216" to="5831,5216" stroked="true" strokeweight="1.715202pt" strokecolor="#000000"/>
            <v:line style="position:absolute" from="5806,5216" to="5818,5216" stroked="true" strokeweight="1.71842pt" strokecolor="#000000"/>
            <v:line style="position:absolute" from="5794,5216" to="5800,5216" stroked="true" strokeweight="1.715202pt" strokecolor="#000000"/>
            <v:shape style="position:absolute;left:9246;top:1253;width:169;height:353" type="#_x0000_t75" stroked="false">
              <v:imagedata r:id="rId87" o:title=""/>
            </v:shape>
            <v:shape style="position:absolute;left:5743;top:665;width:483;height:294" coordorigin="5743,665" coordsize="483,294" path="m5754,738l5743,738,5743,885,5754,885,5754,738xm5786,738l5765,738,5765,885,5786,885,5786,738xm6053,665l6053,738,5797,738,5797,885,6053,885,6053,959,6225,812,6053,665xe" filled="true" fillcolor="#000000" stroked="false">
              <v:path arrowok="t"/>
              <v:fill type="solid"/>
            </v:shape>
            <v:shape style="position:absolute;left:5731;top:639;width:513;height:346" coordorigin="5731,639" coordsize="513,346" path="m6041,885l6041,984,6071,959,6065,959,6044,951,6065,933,6065,896,6053,896,6041,885xm6065,933l6044,951,6065,959,6065,933xm6208,812l6065,933,6065,959,6071,959,6234,819,6217,819,6208,812xm5752,727l5731,727,5731,896,5752,896,5752,885,5742,885,5742,738,5752,738,5752,727xm5752,882l5752,896,5766,896,5766,885,5756,885,5752,882xm5766,876l5766,896,5785,896,5785,885,5774,885,5774,882,5766,876xm5797,874l5786,874,5785,876,5785,896,5799,896,5799,876,5797,874xm5799,876l5799,896,6041,896,6041,885,5810,885,5799,876xm6065,874l5810,874,5810,885,6041,885,6053,896,6065,896,6065,874xm5742,738l5742,885,5749,879,5743,874,5752,874,5752,749,5743,749,5749,744,5742,738xm5749,879l5742,885,5752,885,5752,882,5749,879xm5756,874l5754,874,5752,876,5752,882,5756,885,5756,874xm5766,738l5756,738,5756,885,5766,885,5766,876,5765,874,5766,874,5766,749,5765,749,5766,747,5766,738xm5774,882l5774,885,5776,884,5774,882xm5776,884l5774,885,5777,885,5776,884xm5777,882l5776,884,5777,885,5777,882xm5785,876l5777,882,5777,885,5785,885,5785,876xm5810,738l5799,747,5799,876,5810,885,5810,738xm5776,739l5774,741,5774,882,5776,884,5777,882,5777,741,5776,739xm5752,876l5749,879,5752,882,5752,876xm5774,741l5767,747,5766,876,5774,882,5774,741xm5777,741l5777,882,5785,876,5785,747,5777,741xm5752,874l5743,874,5749,879,5752,876,5752,874xm5785,747l5785,876,5786,874,5799,874,5799,749,5786,749,5785,747xm5799,874l5797,874,5799,876,5799,874xm5752,747l5752,876,5754,874,5756,874,5756,749,5754,749,5752,747xm5766,874l5765,874,5766,876,5766,874xm6217,804l6208,812,6217,819,6217,804xm6234,804l6217,804,6217,819,6234,819,6243,812,6234,804xm6071,665l6065,665,6065,690,6208,812,6217,804,6234,804,6071,665xm5749,744l5743,749,5752,749,5752,747,5749,744xm5756,738l5752,741,5752,747,5754,749,5756,749,5756,738xm5766,747l5765,749,5766,749,5766,747xm5799,727l5785,727,5785,747,5786,749,5797,749,5799,747,5799,727xm5799,747l5797,749,5799,749,5799,747xm6065,727l6053,727,6041,738,5810,738,5810,749,6065,749,6065,727xm5752,741l5749,744,5752,747,5752,741xm5785,727l5766,727,5766,747,5774,741,5774,738,5785,738,5785,727xm5785,738l5777,738,5777,741,5785,747,5785,738xm6041,727l5799,727,5799,747,5810,738,6041,738,6041,727xm5752,738l5742,738,5749,744,5752,741,5752,738xm5766,727l5752,727,5752,741,5756,738,5766,738,5766,727xm5774,738l5774,741,5776,739,5774,738xm5777,738l5776,739,5777,741,5777,738xm5777,738l5774,738,5776,739,5777,738xm6041,639l6041,738,6053,727,6065,727,6065,690,6044,672,6065,665,6071,665,6041,639xm6065,665l6044,672,6065,690,6065,665xe" filled="true" fillcolor="#000000" stroked="false">
              <v:path arrowok="t"/>
              <v:fill type="solid"/>
            </v:shape>
            <v:shape style="position:absolute;left:5812;top:4313;width:483;height:294" coordorigin="5812,4313" coordsize="483,294" path="m5823,4387l5812,4387,5812,4534,5823,4534,5823,4387xm5855,4387l5834,4387,5834,4534,5855,4534,5855,4387xm6122,4313l6122,4387,5866,4387,5866,4534,6122,4534,6122,4607,6294,4460,6122,4313xe" filled="true" fillcolor="#000000" stroked="false">
              <v:path arrowok="t"/>
              <v:fill type="solid"/>
            </v:shape>
            <v:shape style="position:absolute;left:5800;top:4288;width:513;height:346" coordorigin="5800,4288" coordsize="513,346" path="m6109,4534l6109,4633,6139,4607,6134,4607,6113,4600,6134,4582,6134,4545,6122,4545,6109,4534xm6134,4582l6113,4600,6134,4607,6134,4582xm6277,4460l6134,4582,6134,4607,6139,4607,6303,4468,6285,4468,6277,4460xm5821,4376l5800,4376,5800,4545,5821,4545,5821,4534,5810,4534,5810,4387,5821,4387,5821,4376xm5821,4531l5821,4545,5835,4545,5835,4534,5824,4534,5821,4531xm5835,4525l5835,4545,5853,4545,5853,4534,5843,4534,5843,4531,5835,4525xm5866,4523l5855,4523,5854,4525,5853,4545,5868,4545,5867,4525,5866,4523xm5868,4525l5868,4545,6109,4545,6109,4534,5878,4534,5868,4525xm6134,4523l5878,4523,5878,4534,6109,4534,6122,4545,6134,4545,6134,4523xm5810,4387l5810,4534,5817,4528,5812,4523,5821,4523,5821,4398,5812,4398,5817,4393,5810,4387xm5817,4528l5810,4534,5821,4534,5821,4531,5817,4528xm5824,4523l5823,4523,5821,4525,5821,4531,5824,4534,5824,4523xm5835,4387l5824,4387,5824,4534,5835,4534,5835,4525,5834,4523,5835,4523,5835,4398,5834,4398,5835,4396,5835,4387xm5843,4531l5843,4534,5844,4533,5843,4531xm5844,4533l5843,4534,5846,4534,5844,4533xm5846,4531l5844,4533,5846,4534,5846,4531xm5853,4525l5846,4531,5846,4534,5853,4534,5853,4525xm5878,4387l5868,4396,5868,4525,5878,4534,5878,4387xm5844,4388l5843,4390,5843,4531,5844,4533,5846,4531,5846,4390,5844,4388xm5821,4525l5817,4528,5821,4531,5821,4525xm5843,4390l5835,4396,5835,4525,5843,4531,5843,4390xm5846,4390l5846,4531,5853,4525,5853,4396,5846,4390xm5821,4523l5812,4523,5817,4528,5821,4525,5821,4523xm5853,4396l5853,4525,5855,4523,5868,4523,5868,4398,5855,4398,5853,4396xm5868,4523l5866,4523,5868,4525,5868,4523xm5821,4396l5821,4525,5823,4523,5824,4523,5824,4398,5823,4398,5821,4396xm5835,4523l5834,4523,5835,4525,5835,4523xm6285,4453l6277,4460,6285,4468,6285,4453xm6303,4453l6285,4453,6285,4468,6303,4468,6312,4460,6303,4453xm6139,4313l6134,4313,6134,4339,6277,4460,6285,4453,6303,4453,6139,4313xm5817,4393l5812,4398,5821,4398,5821,4396,5817,4393xm5824,4387l5821,4390,5821,4396,5823,4398,5824,4398,5824,4387xm5835,4396l5834,4398,5835,4398,5835,4396xm5868,4376l5853,4376,5854,4396,5855,4398,5866,4398,5867,4396,5868,4376xm5868,4396l5866,4398,5868,4398,5868,4396xm6134,4376l6122,4376,6109,4387,5878,4387,5878,4398,6134,4398,6134,4376xm5821,4390l5817,4393,5821,4396,5821,4390xm5853,4376l5835,4376,5835,4396,5843,4390,5843,4387,5853,4387,5853,4376xm5853,4387l5846,4387,5846,4390,5853,4396,5853,4387xm6109,4376l5868,4376,5868,4396,5878,4387,6109,4387,6109,4376xm5821,4387l5810,4387,5817,4393,5821,4390,5821,4387xm5835,4376l5821,4376,5821,4390,5824,4387,5835,4387,5835,4376xm5843,4387l5843,4390,5844,4388,5843,4387xm5846,4387l5844,4388,5846,4390,5846,4387xm5846,4387l5843,4387,5844,4388,5846,4387xm6109,4288l6109,4387,6122,4376,6134,4376,6134,4339,6113,4321,6134,4313,6139,4313,6109,4288xm6134,4313l6113,4321,6134,4339,6134,4313xe" filled="true" fillcolor="#000000" stroked="false">
              <v:path arrowok="t"/>
              <v:fill type="solid"/>
            </v:shape>
            <v:shape style="position:absolute;left:6762;top:2539;width:223;height:302" type="#_x0000_t75" stroked="false">
              <v:imagedata r:id="rId88" o:title=""/>
            </v:shape>
            <v:rect style="position:absolute;left:5812;top:2430;width:966;height:578" filled="true" fillcolor="#ffffff" stroked="false">
              <v:fill type="solid"/>
            </v:rect>
            <v:rect style="position:absolute;left:5812;top:2430;width:966;height:578" filled="false" stroked="true" strokeweight="1.107151pt" strokecolor="#000000"/>
            <v:shape style="position:absolute;left:7043;top:2058;width:169;height:234" type="#_x0000_t75" stroked="false">
              <v:imagedata r:id="rId89" o:title=""/>
            </v:shape>
            <v:rect style="position:absolute;left:6640;top:1650;width:1034;height:453" filled="true" fillcolor="#ffffff" stroked="false">
              <v:fill type="solid"/>
            </v:rect>
            <v:rect style="position:absolute;left:6640;top:1650;width:1034;height:453" filled="false" stroked="true" strokeweight="1.0884pt" strokecolor="#000000"/>
            <v:shape style="position:absolute;left:8281;top:1371;width:170;height:413" coordorigin="8281,1371" coordsize="170,413" path="m8384,1690l8347,1690,8347,1783,8384,1783,8384,1690xm8384,1565l8347,1565,8347,1658,8384,1658,8384,1565xm8371,1440l8360,1440,8347,1459,8347,1534,8384,1534,8384,1459,8371,1440xm8366,1371l8286,1487,8281,1495,8284,1504,8301,1513,8312,1510,8347,1459,8347,1440,8360,1440,8366,1433,8350,1410,8392,1410,8392,1409,8347,1409,8347,1402,8387,1402,8366,1371xm8413,1440l8384,1440,8384,1459,8419,1510,8430,1513,8447,1504,8450,1495,8445,1487,8413,1440xm8360,1440l8347,1440,8347,1459,8360,1440xm8392,1410l8381,1410,8366,1433,8384,1459,8384,1440,8413,1440,8392,1410xm8381,1410l8350,1410,8366,1433,8381,1410xm8384,1402l8347,1402,8347,1409,8384,1409,8384,1402xm8387,1402l8384,1402,8384,1409,8392,1409,8387,1402xe" filled="true" fillcolor="#001f5f" stroked="false">
              <v:path arrowok="t"/>
              <v:fill type="solid"/>
            </v:shape>
            <v:rect style="position:absolute;left:7923;top:884;width:1173;height:528" filled="true" fillcolor="#ffffff" stroked="false">
              <v:fill type="solid"/>
            </v:rect>
            <v:rect style="position:absolute;left:7923;top:884;width:1173;height:528" filled="false" stroked="true" strokeweight="1.089742pt" strokecolor="#000000"/>
            <v:rect style="position:absolute;left:8573;top:546;width:1518;height:328" filled="true" fillcolor="#ffffff" stroked="false">
              <v:fill type="solid"/>
            </v:rect>
            <v:rect style="position:absolute;left:8573;top:546;width:1518;height:328" filled="false" stroked="true" strokeweight="1.067065pt" strokecolor="#000000"/>
            <v:shape style="position:absolute;left:9317;top:900;width:169;height:294" type="#_x0000_t75" stroked="false">
              <v:imagedata r:id="rId90" o:title=""/>
            </v:shape>
            <v:shape style="position:absolute;left:7453;top:2194;width:169;height:294" type="#_x0000_t75" stroked="false">
              <v:imagedata r:id="rId91" o:title=""/>
            </v:shape>
            <v:rect style="position:absolute;left:2775;top:252;width:2622;height:528" filled="false" stroked="true" strokeweight="1.066055pt" strokecolor="#000000"/>
            <v:rect style="position:absolute;left:6157;top:252;width:2277;height:301" filled="false" stroked="true" strokeweight="1.062075pt" strokecolor="#000000"/>
            <v:shape style="position:absolute;left:5247;top:2302;width:497;height:424" coordorigin="5247,2302" coordsize="497,424" path="m5590,2658l5580,2663,5577,2672,5574,2680,5580,2688,5743,2725,5740,2714,5704,2714,5660,2676,5662,2674,5590,2658xm5662,2674l5660,2676,5704,2714,5713,2707,5700,2707,5692,2681,5662,2674xm5721,2654l5686,2654,5730,2692,5704,2714,5740,2714,5721,2654xm5692,2681l5700,2707,5722,2688,5692,2681xm5686,2654l5684,2656,5692,2681,5722,2688,5700,2707,5713,2707,5730,2692,5686,2654xm5684,2656l5662,2674,5692,2681,5684,2656xm5690,2581l5671,2585,5665,2594,5684,2656,5686,2654,5721,2654,5700,2586,5690,2581xm5583,2566l5557,2588,5634,2654,5660,2632,5583,2566xm5479,2478l5453,2500,5531,2566,5557,2544,5479,2478xm5376,2390l5350,2412,5428,2478,5453,2456,5376,2390xm5273,2302l5247,2324,5324,2390,5350,2368,5273,2302xe" filled="true" fillcolor="#c00000" stroked="false">
              <v:path arrowok="t"/>
              <v:fill type="solid"/>
            </v:shape>
            <v:shape style="position:absolute;left:5183;top:2313;width:508;height:799" coordorigin="5183,2313" coordsize="508,799" path="m5640,3014l5607,3028,5658,3111,5690,3097,5640,3014xm5572,2903l5540,2918,5591,3001,5623,2986,5572,2903xm5505,2793l5473,2807,5523,2890,5556,2876,5505,2793xm5438,2683l5405,2697,5456,2780,5488,2765,5438,2683xm5370,2572l5338,2586,5388,2669,5421,2655,5370,2572xm5303,2462l5270,2476,5321,2559,5353,2544,5303,2462xm5191,2313l5183,2456,5191,2463,5211,2464,5219,2457,5223,2398,5203,2365,5213,2361,5198,2353,5226,2341,5244,2341,5191,2313xm5225,2367l5223,2398,5253,2448,5286,2434,5255,2384,5225,2367xm5262,2351l5235,2351,5255,2384,5305,2411,5314,2416,5325,2413,5331,2406,5336,2399,5333,2389,5325,2385,5262,2351xm5213,2361l5203,2365,5223,2398,5225,2367,5213,2361xm5235,2351l5225,2355,5225,2367,5255,2384,5235,2351xm5225,2355l5213,2361,5225,2367,5225,2355xm5226,2341l5198,2353,5213,2361,5225,2355,5226,2341xm5244,2341l5226,2341,5225,2355,5235,2351,5262,2351,5244,2341xe" filled="true" fillcolor="#c00000" stroked="false">
              <v:path arrowok="t"/>
              <v:fill type="solid"/>
            </v:shape>
            <v:rect style="position:absolute;left:5777;top:1782;width:932;height:642" filled="true" fillcolor="#ffffff" stroked="false">
              <v:fill type="solid"/>
            </v:rect>
            <v:rect style="position:absolute;left:5777;top:1782;width:932;height:642" filled="false" stroked="true" strokeweight="1.117698pt" strokecolor="#000000"/>
            <v:shape style="position:absolute;left:6693;top:2235;width:169;height:195" type="#_x0000_t75" stroked="false">
              <v:imagedata r:id="rId92" o:title=""/>
            </v:shape>
            <v:rect style="position:absolute;left:6778;top:1197;width:1229;height:415" filled="true" fillcolor="#ffffff" stroked="false">
              <v:fill type="solid"/>
            </v:rect>
            <v:rect style="position:absolute;left:6778;top:1197;width:1229;height:415" filled="false" stroked="true" strokeweight="1.077636pt" strokecolor="#000000"/>
            <v:shape style="position:absolute;left:7729;top:1700;width:169;height:234" type="#_x0000_t75" stroked="false">
              <v:imagedata r:id="rId89" o:title=""/>
            </v:shape>
            <v:shape style="position:absolute;left:8573;top:546;width:1518;height:333" type="#_x0000_t202" filled="false" stroked="false">
              <v:textbox inset="0,0,0,0">
                <w:txbxContent>
                  <w:p>
                    <w:pPr>
                      <w:spacing w:line="259" w:lineRule="auto" w:before="44"/>
                      <w:ind w:left="329" w:right="169" w:hanging="148"/>
                      <w:jc w:val="left"/>
                      <w:rPr>
                        <w:sz w:val="10"/>
                      </w:rPr>
                    </w:pPr>
                    <w:r>
                      <w:rPr>
                        <w:w w:val="120"/>
                        <w:sz w:val="10"/>
                      </w:rPr>
                      <w:t>2003 Secretaría de la Función Pública</w:t>
                    </w:r>
                  </w:p>
                </w:txbxContent>
              </v:textbox>
              <w10:wrap type="none"/>
            </v:shape>
            <v:shape style="position:absolute;left:6675;top:1631;width:1000;height:473" type="#_x0000_t202" filled="false" stroked="false">
              <v:textbox inset="0,0,0,0">
                <w:txbxContent>
                  <w:p>
                    <w:pPr>
                      <w:spacing w:before="64"/>
                      <w:ind w:left="98" w:right="129" w:firstLine="0"/>
                      <w:jc w:val="center"/>
                      <w:rPr>
                        <w:sz w:val="10"/>
                      </w:rPr>
                    </w:pPr>
                    <w:r>
                      <w:rPr>
                        <w:w w:val="120"/>
                        <w:sz w:val="10"/>
                      </w:rPr>
                      <w:t>1917:</w:t>
                    </w:r>
                  </w:p>
                  <w:p>
                    <w:pPr>
                      <w:spacing w:line="259" w:lineRule="auto" w:before="9"/>
                      <w:ind w:left="98" w:right="129" w:firstLine="0"/>
                      <w:jc w:val="center"/>
                      <w:rPr>
                        <w:sz w:val="10"/>
                      </w:rPr>
                    </w:pPr>
                    <w:r>
                      <w:rPr>
                        <w:w w:val="120"/>
                        <w:sz w:val="10"/>
                      </w:rPr>
                      <w:t>Departamento de Contraloría</w:t>
                    </w:r>
                  </w:p>
                </w:txbxContent>
              </v:textbox>
              <w10:wrap type="none"/>
            </v:shape>
            <v:shape style="position:absolute;left:5794;top:1782;width:881;height:645" type="#_x0000_t202" filled="false" stroked="false">
              <v:textbox inset="0,0,0,0">
                <w:txbxContent>
                  <w:p>
                    <w:pPr>
                      <w:spacing w:line="259" w:lineRule="auto" w:before="44"/>
                      <w:ind w:left="76" w:right="58" w:firstLine="0"/>
                      <w:jc w:val="center"/>
                      <w:rPr>
                        <w:sz w:val="9"/>
                      </w:rPr>
                    </w:pPr>
                    <w:r>
                      <w:rPr>
                        <w:w w:val="120"/>
                        <w:sz w:val="9"/>
                      </w:rPr>
                      <w:t>1824: Creación del      Departamento de Cuenta y Razón</w:t>
                    </w:r>
                  </w:p>
                </w:txbxContent>
              </v:textbox>
              <w10:wrap type="none"/>
            </v:shape>
            <v:shape style="position:absolute;left:5794;top:2427;width:984;height:582" type="#_x0000_t202" filled="false" stroked="false">
              <v:textbox inset="0,0,0,0">
                <w:txbxContent>
                  <w:p>
                    <w:pPr>
                      <w:spacing w:before="47"/>
                      <w:ind w:left="134" w:right="117" w:firstLine="0"/>
                      <w:jc w:val="center"/>
                      <w:rPr>
                        <w:sz w:val="10"/>
                      </w:rPr>
                    </w:pPr>
                    <w:r>
                      <w:rPr>
                        <w:w w:val="120"/>
                        <w:sz w:val="10"/>
                      </w:rPr>
                      <w:t>1810:</w:t>
                    </w:r>
                  </w:p>
                  <w:p>
                    <w:pPr>
                      <w:spacing w:line="259" w:lineRule="auto" w:before="9"/>
                      <w:ind w:left="137" w:right="117" w:firstLine="0"/>
                      <w:jc w:val="center"/>
                      <w:rPr>
                        <w:sz w:val="10"/>
                      </w:rPr>
                    </w:pPr>
                    <w:r>
                      <w:rPr>
                        <w:w w:val="120"/>
                        <w:sz w:val="10"/>
                      </w:rPr>
                      <w:t>Secretaría de Estado y del Despacho</w:t>
                    </w:r>
                  </w:p>
                </w:txbxContent>
              </v:textbox>
              <w10:wrap type="none"/>
            </v:shape>
            <v:shape style="position:absolute;left:2775;top:232;width:2623;height:549" type="#_x0000_t202" filled="false" stroked="false">
              <v:textbox inset="0,0,0,0">
                <w:txbxContent>
                  <w:p>
                    <w:pPr>
                      <w:spacing w:line="259" w:lineRule="auto" w:before="70"/>
                      <w:ind w:left="804" w:right="167" w:hanging="573"/>
                      <w:jc w:val="left"/>
                      <w:rPr>
                        <w:b/>
                        <w:sz w:val="18"/>
                      </w:rPr>
                    </w:pPr>
                    <w:r>
                      <w:rPr>
                        <w:b/>
                        <w:w w:val="120"/>
                        <w:sz w:val="18"/>
                      </w:rPr>
                      <w:t>Estado prehispánico y colonial</w:t>
                    </w:r>
                  </w:p>
                </w:txbxContent>
              </v:textbox>
              <w10:wrap type="none"/>
            </v:shape>
            <v:shape style="position:absolute;left:6157;top:232;width:2278;height:323" type="#_x0000_t202" filled="false" stroked="false">
              <v:textbox inset="0,0,0,0">
                <w:txbxContent>
                  <w:p>
                    <w:pPr>
                      <w:spacing w:before="70"/>
                      <w:ind w:left="238" w:right="0" w:firstLine="0"/>
                      <w:jc w:val="left"/>
                      <w:rPr>
                        <w:b/>
                        <w:sz w:val="18"/>
                      </w:rPr>
                    </w:pPr>
                    <w:r>
                      <w:rPr>
                        <w:b/>
                        <w:w w:val="120"/>
                        <w:sz w:val="18"/>
                      </w:rPr>
                      <w:t>Estado mexicano</w:t>
                    </w:r>
                  </w:p>
                </w:txbxContent>
              </v:textbox>
              <w10:wrap type="none"/>
            </v:shape>
            <v:shape style="position:absolute;left:6983;top:1249;width:818;height:318" type="#_x0000_t202" filled="false" stroked="false">
              <v:textbox inset="0,0,0,0">
                <w:txbxContent>
                  <w:p>
                    <w:pPr>
                      <w:spacing w:line="95" w:lineRule="exact" w:before="0"/>
                      <w:ind w:left="80" w:right="-6" w:hanging="81"/>
                      <w:jc w:val="left"/>
                      <w:rPr>
                        <w:sz w:val="9"/>
                      </w:rPr>
                    </w:pPr>
                    <w:r>
                      <w:rPr>
                        <w:w w:val="120"/>
                        <w:sz w:val="9"/>
                      </w:rPr>
                      <w:t>1982 Contraloría</w:t>
                    </w:r>
                  </w:p>
                  <w:p>
                    <w:pPr>
                      <w:spacing w:line="259" w:lineRule="auto" w:before="8"/>
                      <w:ind w:left="132" w:right="70" w:hanging="53"/>
                      <w:jc w:val="left"/>
                      <w:rPr>
                        <w:sz w:val="9"/>
                      </w:rPr>
                    </w:pPr>
                    <w:r>
                      <w:rPr>
                        <w:w w:val="120"/>
                        <w:sz w:val="9"/>
                      </w:rPr>
                      <w:t>General de la Federación</w:t>
                    </w:r>
                  </w:p>
                </w:txbxContent>
              </v:textbox>
              <w10:wrap type="none"/>
            </v:shape>
            <v:shape style="position:absolute;left:8029;top:936;width:962;height:430" type="#_x0000_t202" filled="false" stroked="false">
              <v:textbox inset="0,0,0,0">
                <w:txbxContent>
                  <w:p>
                    <w:pPr>
                      <w:spacing w:line="95" w:lineRule="exact" w:before="0"/>
                      <w:ind w:left="0" w:right="0" w:firstLine="0"/>
                      <w:jc w:val="center"/>
                      <w:rPr>
                        <w:sz w:val="9"/>
                      </w:rPr>
                    </w:pPr>
                    <w:r>
                      <w:rPr>
                        <w:w w:val="120"/>
                        <w:sz w:val="9"/>
                      </w:rPr>
                      <w:t>1994: Secretaría de</w:t>
                    </w:r>
                  </w:p>
                  <w:p>
                    <w:pPr>
                      <w:spacing w:line="259" w:lineRule="auto" w:before="9"/>
                      <w:ind w:left="2" w:right="0" w:firstLine="0"/>
                      <w:jc w:val="center"/>
                      <w:rPr>
                        <w:sz w:val="9"/>
                      </w:rPr>
                    </w:pPr>
                    <w:r>
                      <w:rPr>
                        <w:w w:val="120"/>
                        <w:sz w:val="9"/>
                      </w:rPr>
                      <w:t>la Contraloría y Desarrollo Administrativo</w:t>
                    </w:r>
                  </w:p>
                </w:txbxContent>
              </v:textbox>
              <w10:wrap type="none"/>
            </v:shape>
            <v:shape style="position:absolute;left:4468;top:2661;width:1099;height:229" type="#_x0000_t202" filled="false" stroked="false">
              <v:textbox inset="0,0,0,0">
                <w:txbxContent>
                  <w:p>
                    <w:pPr>
                      <w:spacing w:line="105" w:lineRule="exact" w:before="0"/>
                      <w:ind w:left="0" w:right="-9" w:firstLine="14"/>
                      <w:jc w:val="left"/>
                      <w:rPr>
                        <w:sz w:val="10"/>
                      </w:rPr>
                    </w:pPr>
                    <w:r>
                      <w:rPr>
                        <w:w w:val="120"/>
                        <w:sz w:val="10"/>
                      </w:rPr>
                      <w:t>1605: Tribunales de</w:t>
                    </w:r>
                  </w:p>
                  <w:p>
                    <w:pPr>
                      <w:spacing w:line="113" w:lineRule="exact" w:before="10"/>
                      <w:ind w:left="0" w:right="-9" w:firstLine="0"/>
                      <w:jc w:val="left"/>
                      <w:rPr>
                        <w:sz w:val="10"/>
                      </w:rPr>
                    </w:pPr>
                    <w:r>
                      <w:rPr>
                        <w:w w:val="120"/>
                        <w:sz w:val="10"/>
                      </w:rPr>
                      <w:t>Cuentas en América</w:t>
                    </w:r>
                  </w:p>
                </w:txbxContent>
              </v:textbox>
              <w10:wrap type="none"/>
            </v:shape>
            <v:shape style="position:absolute;left:7327;top:2543;width:1318;height:228" type="#_x0000_t202" filled="false" stroked="false">
              <v:textbox inset="0,0,0,0">
                <w:txbxContent>
                  <w:p>
                    <w:pPr>
                      <w:spacing w:line="105" w:lineRule="exact" w:before="0"/>
                      <w:ind w:left="0" w:right="-10" w:firstLine="92"/>
                      <w:jc w:val="left"/>
                      <w:rPr>
                        <w:sz w:val="10"/>
                      </w:rPr>
                    </w:pPr>
                    <w:r>
                      <w:rPr>
                        <w:w w:val="120"/>
                        <w:sz w:val="10"/>
                      </w:rPr>
                      <w:t>1910: Suspensión de</w:t>
                    </w:r>
                  </w:p>
                  <w:p>
                    <w:pPr>
                      <w:spacing w:line="113" w:lineRule="exact" w:before="9"/>
                      <w:ind w:left="0" w:right="-10" w:firstLine="0"/>
                      <w:jc w:val="left"/>
                      <w:rPr>
                        <w:sz w:val="10"/>
                      </w:rPr>
                    </w:pPr>
                    <w:r>
                      <w:rPr>
                        <w:w w:val="120"/>
                        <w:sz w:val="10"/>
                      </w:rPr>
                      <w:t>labores por la revolución</w:t>
                    </w:r>
                  </w:p>
                </w:txbxContent>
              </v:textbox>
              <w10:wrap type="none"/>
            </v:shape>
            <v:shape style="position:absolute;left:3320;top:3132;width:1293;height:228" type="#_x0000_t202" filled="false" stroked="false">
              <v:textbox inset="0,0,0,0">
                <w:txbxContent>
                  <w:p>
                    <w:pPr>
                      <w:spacing w:line="105" w:lineRule="exact" w:before="0"/>
                      <w:ind w:left="0" w:right="0" w:firstLine="0"/>
                      <w:jc w:val="center"/>
                      <w:rPr>
                        <w:sz w:val="10"/>
                      </w:rPr>
                    </w:pPr>
                    <w:r>
                      <w:rPr>
                        <w:w w:val="120"/>
                        <w:sz w:val="10"/>
                      </w:rPr>
                      <w:t>1519: Conquista</w:t>
                    </w:r>
                  </w:p>
                  <w:p>
                    <w:pPr>
                      <w:spacing w:line="113" w:lineRule="exact" w:before="9"/>
                      <w:ind w:left="0" w:right="0" w:firstLine="0"/>
                      <w:jc w:val="center"/>
                      <w:rPr>
                        <w:sz w:val="10"/>
                      </w:rPr>
                    </w:pPr>
                    <w:r>
                      <w:rPr>
                        <w:w w:val="120"/>
                        <w:sz w:val="10"/>
                      </w:rPr>
                      <w:t>española  a los mexicas</w:t>
                    </w:r>
                  </w:p>
                </w:txbxContent>
              </v:textbox>
              <w10:wrap type="none"/>
            </v:shape>
            <v:shape style="position:absolute;left:2309;top:3721;width:1712;height:104" type="#_x0000_t202" filled="false" stroked="false">
              <v:textbox inset="0,0,0,0">
                <w:txbxContent>
                  <w:p>
                    <w:pPr>
                      <w:spacing w:line="103" w:lineRule="exact" w:before="0"/>
                      <w:ind w:left="0" w:right="-3" w:firstLine="0"/>
                      <w:jc w:val="left"/>
                      <w:rPr>
                        <w:sz w:val="10"/>
                      </w:rPr>
                    </w:pPr>
                    <w:r>
                      <w:rPr>
                        <w:w w:val="120"/>
                        <w:sz w:val="10"/>
                      </w:rPr>
                      <w:t>1344: Registro tributario mexica</w:t>
                    </w:r>
                  </w:p>
                </w:txbxContent>
              </v:textbox>
              <w10:wrap type="none"/>
            </v:shape>
            <v:shape style="position:absolute;left:3630;top:4663;width:1600;height:228" type="#_x0000_t202" filled="false" stroked="false">
              <v:textbox inset="0,0,0,0">
                <w:txbxContent>
                  <w:p>
                    <w:pPr>
                      <w:spacing w:line="105" w:lineRule="exact" w:before="0"/>
                      <w:ind w:left="-1" w:right="0" w:firstLine="0"/>
                      <w:jc w:val="center"/>
                      <w:rPr>
                        <w:sz w:val="10"/>
                      </w:rPr>
                    </w:pPr>
                    <w:r>
                      <w:rPr>
                        <w:w w:val="120"/>
                        <w:sz w:val="10"/>
                      </w:rPr>
                      <w:t>1388: Registro de las</w:t>
                    </w:r>
                    <w:r>
                      <w:rPr>
                        <w:spacing w:val="5"/>
                        <w:w w:val="120"/>
                        <w:sz w:val="10"/>
                      </w:rPr>
                      <w:t> </w:t>
                    </w:r>
                    <w:r>
                      <w:rPr>
                        <w:w w:val="120"/>
                        <w:sz w:val="10"/>
                      </w:rPr>
                      <w:t>cuentas</w:t>
                    </w:r>
                  </w:p>
                  <w:p>
                    <w:pPr>
                      <w:spacing w:line="113" w:lineRule="exact" w:before="9"/>
                      <w:ind w:left="1" w:right="0" w:firstLine="0"/>
                      <w:jc w:val="center"/>
                      <w:rPr>
                        <w:sz w:val="10"/>
                      </w:rPr>
                    </w:pPr>
                    <w:r>
                      <w:rPr>
                        <w:w w:val="120"/>
                        <w:sz w:val="10"/>
                      </w:rPr>
                      <w:t>de la corona española</w:t>
                    </w:r>
                  </w:p>
                </w:txbxContent>
              </v:textbox>
              <w10:wrap type="none"/>
            </v:shape>
            <v:shape style="position:absolute;left:8849;top:1606;width:1209;height:453" type="#_x0000_t202" filled="false" stroked="false">
              <v:textbox inset="0,0,0,0">
                <w:txbxContent>
                  <w:p>
                    <w:pPr>
                      <w:spacing w:line="259" w:lineRule="auto" w:before="43"/>
                      <w:ind w:left="195" w:right="192" w:firstLine="0"/>
                      <w:jc w:val="center"/>
                      <w:rPr>
                        <w:sz w:val="10"/>
                      </w:rPr>
                    </w:pPr>
                    <w:r>
                      <w:rPr>
                        <w:w w:val="120"/>
                        <w:sz w:val="10"/>
                      </w:rPr>
                      <w:t>2000: Auditoría Superior de la Federación</w:t>
                    </w:r>
                  </w:p>
                </w:txbxContent>
              </v:textbox>
              <w10:wrap type="none"/>
            </v:shape>
            <v:shape style="position:absolute;left:6283;top:653;width:1267;height:224" type="#_x0000_t202" filled="true" fillcolor="#000000" stroked="false">
              <v:textbox inset="0,0,0,0">
                <w:txbxContent>
                  <w:p>
                    <w:pPr>
                      <w:spacing w:before="55"/>
                      <w:ind w:left="231" w:right="0" w:firstLine="0"/>
                      <w:jc w:val="left"/>
                      <w:rPr>
                        <w:sz w:val="10"/>
                      </w:rPr>
                    </w:pPr>
                    <w:r>
                      <w:rPr>
                        <w:color w:val="FFFFFF"/>
                        <w:w w:val="120"/>
                        <w:sz w:val="10"/>
                      </w:rPr>
                      <w:t>Control Interno</w:t>
                    </w:r>
                  </w:p>
                </w:txbxContent>
              </v:textbox>
              <v:fill type="solid"/>
              <w10:wrap type="none"/>
            </v:shape>
            <v:shape style="position:absolute;left:3948;top:1959;width:1450;height:328" type="#_x0000_t202" filled="true" fillcolor="#ffffff" stroked="true" strokeweight="1.070932pt" strokecolor="#000000">
              <v:textbox inset="0,0,0,0">
                <w:txbxContent>
                  <w:p>
                    <w:pPr>
                      <w:spacing w:line="259" w:lineRule="auto" w:before="33"/>
                      <w:ind w:left="171" w:right="0" w:firstLine="11"/>
                      <w:jc w:val="left"/>
                      <w:rPr>
                        <w:sz w:val="10"/>
                      </w:rPr>
                    </w:pPr>
                    <w:r>
                      <w:rPr>
                        <w:w w:val="120"/>
                        <w:sz w:val="10"/>
                      </w:rPr>
                      <w:t>1705: Secretaría de Despacho Universal</w:t>
                    </w:r>
                  </w:p>
                </w:txbxContent>
              </v:textbox>
              <v:fill type="solid"/>
              <w10:wrap type="none"/>
            </v:shape>
            <v:shape style="position:absolute;left:6916;top:2842;width:1450;height:453" type="#_x0000_t202" filled="true" fillcolor="#ffffff" stroked="true" strokeweight="1.080513pt" strokecolor="#000000">
              <v:textbox inset="0,0,0,0">
                <w:txbxContent>
                  <w:p>
                    <w:pPr>
                      <w:spacing w:line="259" w:lineRule="auto" w:before="33"/>
                      <w:ind w:left="145" w:right="143" w:hanging="2"/>
                      <w:jc w:val="center"/>
                      <w:rPr>
                        <w:sz w:val="10"/>
                      </w:rPr>
                    </w:pPr>
                    <w:r>
                      <w:rPr>
                        <w:w w:val="120"/>
                        <w:sz w:val="10"/>
                      </w:rPr>
                      <w:t>1824: Creación de la Contaduría Mayor de Hacienda</w:t>
                    </w:r>
                  </w:p>
                </w:txbxContent>
              </v:textbox>
              <v:fill type="solid"/>
              <w10:wrap type="none"/>
            </v:shape>
            <v:shape style="position:absolute;left:5145;top:1016;width:1265;height:351" type="#_x0000_t202" filled="true" fillcolor="#000000" stroked="false">
              <v:textbox inset="0,0,0,0">
                <w:txbxContent>
                  <w:p>
                    <w:pPr>
                      <w:spacing w:before="55"/>
                      <w:ind w:left="218" w:right="219" w:firstLine="0"/>
                      <w:jc w:val="center"/>
                      <w:rPr>
                        <w:sz w:val="10"/>
                      </w:rPr>
                    </w:pPr>
                    <w:r>
                      <w:rPr>
                        <w:color w:val="FFFFFF"/>
                        <w:w w:val="120"/>
                        <w:sz w:val="10"/>
                      </w:rPr>
                      <w:t>1810:</w:t>
                    </w:r>
                  </w:p>
                  <w:p>
                    <w:pPr>
                      <w:spacing w:before="9"/>
                      <w:ind w:left="218" w:right="219" w:firstLine="0"/>
                      <w:jc w:val="center"/>
                      <w:rPr>
                        <w:sz w:val="10"/>
                      </w:rPr>
                    </w:pPr>
                    <w:r>
                      <w:rPr>
                        <w:color w:val="FFFFFF"/>
                        <w:w w:val="120"/>
                        <w:sz w:val="10"/>
                      </w:rPr>
                      <w:t>Independencia</w:t>
                    </w:r>
                  </w:p>
                </w:txbxContent>
              </v:textbox>
              <v:fill type="solid"/>
              <w10:wrap type="none"/>
            </v:shape>
            <v:shape style="position:absolute;left:6421;top:4302;width:1265;height:225" type="#_x0000_t202" filled="true" fillcolor="#000000" stroked="false">
              <v:textbox inset="0,0,0,0">
                <w:txbxContent>
                  <w:p>
                    <w:pPr>
                      <w:spacing w:before="56"/>
                      <w:ind w:left="210" w:right="0" w:firstLine="0"/>
                      <w:jc w:val="left"/>
                      <w:rPr>
                        <w:sz w:val="10"/>
                      </w:rPr>
                    </w:pPr>
                    <w:r>
                      <w:rPr>
                        <w:color w:val="FFFFFF"/>
                        <w:w w:val="120"/>
                        <w:sz w:val="10"/>
                      </w:rPr>
                      <w:t>Control Externo</w:t>
                    </w:r>
                  </w:p>
                </w:txbxContent>
              </v:textbox>
              <v:fill type="solid"/>
              <w10:wrap type="none"/>
            </v:shape>
            <w10:wrap type="topAndBottom"/>
          </v:group>
        </w:pict>
      </w:r>
    </w:p>
    <w:p>
      <w:pPr>
        <w:spacing w:after="0"/>
        <w:rPr>
          <w:sz w:val="14"/>
        </w:rPr>
        <w:sectPr>
          <w:pgSz w:w="12240" w:h="15840"/>
          <w:pgMar w:header="0" w:footer="998" w:top="1360" w:bottom="1180" w:left="1560" w:right="1580"/>
        </w:sectPr>
      </w:pPr>
    </w:p>
    <w:p>
      <w:pPr>
        <w:pStyle w:val="Heading2"/>
        <w:numPr>
          <w:ilvl w:val="1"/>
          <w:numId w:val="41"/>
        </w:numPr>
        <w:tabs>
          <w:tab w:pos="533" w:val="left" w:leader="none"/>
        </w:tabs>
        <w:spacing w:line="240" w:lineRule="auto" w:before="48" w:after="0"/>
        <w:ind w:left="532" w:right="0" w:hanging="432"/>
        <w:jc w:val="both"/>
      </w:pPr>
      <w:bookmarkStart w:name="_bookmark43" w:id="56"/>
      <w:bookmarkEnd w:id="56"/>
      <w:r>
        <w:rPr>
          <w:b w:val="0"/>
        </w:rPr>
      </w:r>
      <w:bookmarkStart w:name="_bookmark43" w:id="57"/>
      <w:bookmarkEnd w:id="57"/>
      <w:r>
        <w:rPr/>
        <w:t>L</w:t>
      </w:r>
      <w:r>
        <w:rPr/>
        <w:t>a Nueva España</w:t>
      </w:r>
      <w:r>
        <w:rPr>
          <w:spacing w:val="-12"/>
        </w:rPr>
        <w:t> </w:t>
      </w:r>
      <w:r>
        <w:rPr/>
        <w:t>(1521-1821)</w:t>
      </w:r>
    </w:p>
    <w:p>
      <w:pPr>
        <w:pStyle w:val="BodyText"/>
        <w:spacing w:before="6"/>
        <w:rPr>
          <w:b/>
          <w:sz w:val="30"/>
        </w:rPr>
      </w:pPr>
    </w:p>
    <w:p>
      <w:pPr>
        <w:pStyle w:val="Heading3"/>
        <w:numPr>
          <w:ilvl w:val="2"/>
          <w:numId w:val="41"/>
        </w:numPr>
        <w:tabs>
          <w:tab w:pos="700" w:val="left" w:leader="none"/>
        </w:tabs>
        <w:spacing w:line="362" w:lineRule="auto" w:before="1" w:after="0"/>
        <w:ind w:left="668" w:right="272" w:hanging="568"/>
        <w:jc w:val="left"/>
      </w:pPr>
      <w:bookmarkStart w:name="_bookmark44" w:id="58"/>
      <w:bookmarkEnd w:id="58"/>
      <w:r>
        <w:rPr>
          <w:b w:val="0"/>
        </w:rPr>
      </w:r>
      <w:bookmarkStart w:name="_bookmark44" w:id="59"/>
      <w:bookmarkEnd w:id="59"/>
      <w:r>
        <w:rPr/>
        <w:t>L</w:t>
      </w:r>
      <w:r>
        <w:rPr/>
        <w:t>a institución de rendición de cuentas en la Nueva España: La</w:t>
      </w:r>
      <w:r>
        <w:rPr>
          <w:spacing w:val="-34"/>
        </w:rPr>
        <w:t> </w:t>
      </w:r>
      <w:r>
        <w:rPr/>
        <w:t>herencia extranjera</w:t>
      </w:r>
    </w:p>
    <w:p>
      <w:pPr>
        <w:pStyle w:val="BodyText"/>
        <w:rPr>
          <w:b/>
        </w:rPr>
      </w:pPr>
    </w:p>
    <w:p>
      <w:pPr>
        <w:pStyle w:val="BodyText"/>
        <w:spacing w:line="360" w:lineRule="auto" w:before="143"/>
        <w:ind w:left="100" w:right="200"/>
        <w:jc w:val="both"/>
      </w:pPr>
      <w:r>
        <w:rPr/>
        <w:t>Con una tradición heredada de los musulmanes, los hebreos y la comunidad romano-germánica, los españoles instituyeron su política hacendaria y algunos elementos de rendición de cuentas en la época medieval. (Solares, 2004: 211)</w:t>
      </w:r>
    </w:p>
    <w:p>
      <w:pPr>
        <w:pStyle w:val="BodyText"/>
        <w:spacing w:line="360" w:lineRule="auto" w:before="2"/>
        <w:ind w:left="100" w:right="111" w:firstLine="427"/>
        <w:jc w:val="both"/>
      </w:pPr>
      <w:r>
        <w:rPr/>
        <w:t>En Europa del siglo XIII eran frecuentes las donaciones de castillos, heredades y</w:t>
      </w:r>
      <w:r>
        <w:rPr>
          <w:spacing w:val="-23"/>
        </w:rPr>
        <w:t> </w:t>
      </w:r>
      <w:r>
        <w:rPr/>
        <w:t>territorios</w:t>
      </w:r>
      <w:r>
        <w:rPr>
          <w:spacing w:val="-19"/>
        </w:rPr>
        <w:t> </w:t>
      </w:r>
      <w:r>
        <w:rPr/>
        <w:t>que</w:t>
      </w:r>
      <w:r>
        <w:rPr>
          <w:spacing w:val="-21"/>
        </w:rPr>
        <w:t> </w:t>
      </w:r>
      <w:r>
        <w:rPr/>
        <w:t>hacían</w:t>
      </w:r>
      <w:r>
        <w:rPr>
          <w:spacing w:val="-17"/>
        </w:rPr>
        <w:t> </w:t>
      </w:r>
      <w:r>
        <w:rPr/>
        <w:t>los</w:t>
      </w:r>
      <w:r>
        <w:rPr>
          <w:spacing w:val="-19"/>
        </w:rPr>
        <w:t> </w:t>
      </w:r>
      <w:r>
        <w:rPr/>
        <w:t>reyes</w:t>
      </w:r>
      <w:r>
        <w:rPr>
          <w:spacing w:val="-19"/>
        </w:rPr>
        <w:t> </w:t>
      </w:r>
      <w:r>
        <w:rPr/>
        <w:t>entre</w:t>
      </w:r>
      <w:r>
        <w:rPr>
          <w:spacing w:val="-17"/>
        </w:rPr>
        <w:t> </w:t>
      </w:r>
      <w:r>
        <w:rPr/>
        <w:t>sí,</w:t>
      </w:r>
      <w:r>
        <w:rPr>
          <w:spacing w:val="-18"/>
        </w:rPr>
        <w:t> </w:t>
      </w:r>
      <w:r>
        <w:rPr/>
        <w:t>por</w:t>
      </w:r>
      <w:r>
        <w:rPr>
          <w:spacing w:val="-19"/>
        </w:rPr>
        <w:t> </w:t>
      </w:r>
      <w:r>
        <w:rPr/>
        <w:t>lo</w:t>
      </w:r>
      <w:r>
        <w:rPr>
          <w:spacing w:val="-21"/>
        </w:rPr>
        <w:t> </w:t>
      </w:r>
      <w:r>
        <w:rPr/>
        <w:t>que</w:t>
      </w:r>
      <w:r>
        <w:rPr>
          <w:spacing w:val="-21"/>
        </w:rPr>
        <w:t> </w:t>
      </w:r>
      <w:r>
        <w:rPr/>
        <w:t>la</w:t>
      </w:r>
      <w:r>
        <w:rPr>
          <w:spacing w:val="-17"/>
        </w:rPr>
        <w:t> </w:t>
      </w:r>
      <w:r>
        <w:rPr/>
        <w:t>monarquía</w:t>
      </w:r>
      <w:r>
        <w:rPr>
          <w:spacing w:val="-21"/>
        </w:rPr>
        <w:t> </w:t>
      </w:r>
      <w:r>
        <w:rPr/>
        <w:t>española</w:t>
      </w:r>
      <w:r>
        <w:rPr>
          <w:spacing w:val="-21"/>
        </w:rPr>
        <w:t> </w:t>
      </w:r>
      <w:r>
        <w:rPr/>
        <w:t>consideró necesario recuperar la vieja tradición romana que distinguía entre los bienes del Estado</w:t>
      </w:r>
      <w:r>
        <w:rPr>
          <w:spacing w:val="-17"/>
        </w:rPr>
        <w:t> </w:t>
      </w:r>
      <w:r>
        <w:rPr/>
        <w:t>y</w:t>
      </w:r>
      <w:r>
        <w:rPr>
          <w:spacing w:val="-19"/>
        </w:rPr>
        <w:t> </w:t>
      </w:r>
      <w:r>
        <w:rPr/>
        <w:t>los</w:t>
      </w:r>
      <w:r>
        <w:rPr>
          <w:spacing w:val="-15"/>
        </w:rPr>
        <w:t> </w:t>
      </w:r>
      <w:r>
        <w:rPr/>
        <w:t>bienes</w:t>
      </w:r>
      <w:r>
        <w:rPr>
          <w:spacing w:val="-15"/>
        </w:rPr>
        <w:t> </w:t>
      </w:r>
      <w:r>
        <w:rPr/>
        <w:t>del</w:t>
      </w:r>
      <w:r>
        <w:rPr>
          <w:spacing w:val="-16"/>
        </w:rPr>
        <w:t> </w:t>
      </w:r>
      <w:r>
        <w:rPr/>
        <w:t>rey.</w:t>
      </w:r>
      <w:r>
        <w:rPr>
          <w:spacing w:val="-14"/>
        </w:rPr>
        <w:t> </w:t>
      </w:r>
      <w:r>
        <w:rPr/>
        <w:t>Con</w:t>
      </w:r>
      <w:r>
        <w:rPr>
          <w:spacing w:val="-17"/>
        </w:rPr>
        <w:t> </w:t>
      </w:r>
      <w:r>
        <w:rPr/>
        <w:t>ello</w:t>
      </w:r>
      <w:r>
        <w:rPr>
          <w:spacing w:val="-17"/>
        </w:rPr>
        <w:t> </w:t>
      </w:r>
      <w:r>
        <w:rPr/>
        <w:t>se</w:t>
      </w:r>
      <w:r>
        <w:rPr>
          <w:spacing w:val="-17"/>
        </w:rPr>
        <w:t> </w:t>
      </w:r>
      <w:r>
        <w:rPr/>
        <w:t>hizo</w:t>
      </w:r>
      <w:r>
        <w:rPr>
          <w:spacing w:val="-17"/>
        </w:rPr>
        <w:t> </w:t>
      </w:r>
      <w:r>
        <w:rPr/>
        <w:t>necesario</w:t>
      </w:r>
      <w:r>
        <w:rPr>
          <w:spacing w:val="-17"/>
        </w:rPr>
        <w:t> </w:t>
      </w:r>
      <w:r>
        <w:rPr/>
        <w:t>organizar</w:t>
      </w:r>
      <w:r>
        <w:rPr>
          <w:spacing w:val="-11"/>
        </w:rPr>
        <w:t> </w:t>
      </w:r>
      <w:r>
        <w:rPr/>
        <w:t>y</w:t>
      </w:r>
      <w:r>
        <w:rPr>
          <w:spacing w:val="-19"/>
        </w:rPr>
        <w:t> </w:t>
      </w:r>
      <w:r>
        <w:rPr/>
        <w:t>vigilar</w:t>
      </w:r>
      <w:r>
        <w:rPr>
          <w:spacing w:val="-15"/>
        </w:rPr>
        <w:t> </w:t>
      </w:r>
      <w:r>
        <w:rPr/>
        <w:t>los</w:t>
      </w:r>
      <w:r>
        <w:rPr>
          <w:spacing w:val="-15"/>
        </w:rPr>
        <w:t> </w:t>
      </w:r>
      <w:r>
        <w:rPr/>
        <w:t>recursos públicos.</w:t>
      </w:r>
    </w:p>
    <w:p>
      <w:pPr>
        <w:pStyle w:val="BodyText"/>
        <w:spacing w:line="360" w:lineRule="auto" w:before="5"/>
        <w:ind w:left="100" w:right="107" w:firstLine="427"/>
        <w:jc w:val="both"/>
      </w:pPr>
      <w:r>
        <w:rPr/>
        <w:t>A los españoles les requirió tiempo establecer un sistema funcional que les permitiera registrar las donaciones, ingresos y gastos de la monarquía. Solo a fines de la Edad Media, cuando en cumplimiento de la </w:t>
      </w:r>
      <w:r>
        <w:rPr>
          <w:i/>
        </w:rPr>
        <w:t>ordenanza de buen gobierno </w:t>
      </w:r>
      <w:r>
        <w:rPr/>
        <w:t>referente al registro de las cuentas de la corona, en 1388 se promulgó la existencia de Contadores Mayores en Castilla, quienes realizaban el registro de los bienes monárquicos y las tributaciones.</w:t>
      </w:r>
    </w:p>
    <w:p>
      <w:pPr>
        <w:pStyle w:val="BodyText"/>
        <w:spacing w:line="360" w:lineRule="auto" w:before="6"/>
        <w:ind w:left="100" w:right="105" w:firstLine="427"/>
        <w:jc w:val="both"/>
      </w:pPr>
      <w:r>
        <w:rPr/>
        <w:t>Aun</w:t>
      </w:r>
      <w:r>
        <w:rPr>
          <w:spacing w:val="-12"/>
        </w:rPr>
        <w:t> </w:t>
      </w:r>
      <w:r>
        <w:rPr/>
        <w:t>con</w:t>
      </w:r>
      <w:r>
        <w:rPr>
          <w:spacing w:val="-8"/>
        </w:rPr>
        <w:t> </w:t>
      </w:r>
      <w:r>
        <w:rPr/>
        <w:t>esta</w:t>
      </w:r>
      <w:r>
        <w:rPr>
          <w:spacing w:val="-12"/>
        </w:rPr>
        <w:t> </w:t>
      </w:r>
      <w:r>
        <w:rPr/>
        <w:t>disposición</w:t>
      </w:r>
      <w:r>
        <w:rPr>
          <w:spacing w:val="-12"/>
        </w:rPr>
        <w:t> </w:t>
      </w:r>
      <w:r>
        <w:rPr/>
        <w:t>para</w:t>
      </w:r>
      <w:r>
        <w:rPr>
          <w:spacing w:val="-12"/>
        </w:rPr>
        <w:t> </w:t>
      </w:r>
      <w:r>
        <w:rPr/>
        <w:t>regular</w:t>
      </w:r>
      <w:r>
        <w:rPr>
          <w:spacing w:val="-10"/>
        </w:rPr>
        <w:t> </w:t>
      </w:r>
      <w:r>
        <w:rPr/>
        <w:t>la</w:t>
      </w:r>
      <w:r>
        <w:rPr>
          <w:spacing w:val="-12"/>
        </w:rPr>
        <w:t> </w:t>
      </w:r>
      <w:r>
        <w:rPr/>
        <w:t>donación</w:t>
      </w:r>
      <w:r>
        <w:rPr>
          <w:spacing w:val="-12"/>
        </w:rPr>
        <w:t> </w:t>
      </w:r>
      <w:r>
        <w:rPr/>
        <w:t>de</w:t>
      </w:r>
      <w:r>
        <w:rPr>
          <w:spacing w:val="-8"/>
        </w:rPr>
        <w:t> </w:t>
      </w:r>
      <w:r>
        <w:rPr/>
        <w:t>bienes</w:t>
      </w:r>
      <w:r>
        <w:rPr>
          <w:spacing w:val="-10"/>
        </w:rPr>
        <w:t> </w:t>
      </w:r>
      <w:r>
        <w:rPr/>
        <w:t>del</w:t>
      </w:r>
      <w:r>
        <w:rPr>
          <w:spacing w:val="-11"/>
        </w:rPr>
        <w:t> </w:t>
      </w:r>
      <w:r>
        <w:rPr/>
        <w:t>Estado</w:t>
      </w:r>
      <w:r>
        <w:rPr>
          <w:spacing w:val="-12"/>
        </w:rPr>
        <w:t> </w:t>
      </w:r>
      <w:r>
        <w:rPr/>
        <w:t>español, los reyes de España todavía contaban con plena capacidad para enajenar o donar villas,</w:t>
      </w:r>
      <w:r>
        <w:rPr>
          <w:spacing w:val="-5"/>
        </w:rPr>
        <w:t> </w:t>
      </w:r>
      <w:r>
        <w:rPr/>
        <w:t>ciudades,</w:t>
      </w:r>
      <w:r>
        <w:rPr>
          <w:spacing w:val="-5"/>
        </w:rPr>
        <w:t> </w:t>
      </w:r>
      <w:r>
        <w:rPr/>
        <w:t>castillos</w:t>
      </w:r>
      <w:r>
        <w:rPr>
          <w:spacing w:val="-2"/>
        </w:rPr>
        <w:t> </w:t>
      </w:r>
      <w:r>
        <w:rPr/>
        <w:t>y</w:t>
      </w:r>
      <w:r>
        <w:rPr>
          <w:spacing w:val="-10"/>
        </w:rPr>
        <w:t> </w:t>
      </w:r>
      <w:r>
        <w:rPr/>
        <w:t>territorios</w:t>
      </w:r>
      <w:r>
        <w:rPr>
          <w:spacing w:val="-6"/>
        </w:rPr>
        <w:t> </w:t>
      </w:r>
      <w:r>
        <w:rPr/>
        <w:t>del</w:t>
      </w:r>
      <w:r>
        <w:rPr>
          <w:spacing w:val="-7"/>
        </w:rPr>
        <w:t> </w:t>
      </w:r>
      <w:r>
        <w:rPr/>
        <w:t>reino,</w:t>
      </w:r>
      <w:r>
        <w:rPr>
          <w:spacing w:val="-2"/>
        </w:rPr>
        <w:t> </w:t>
      </w:r>
      <w:r>
        <w:rPr/>
        <w:t>y</w:t>
      </w:r>
      <w:r>
        <w:rPr>
          <w:spacing w:val="-10"/>
        </w:rPr>
        <w:t> </w:t>
      </w:r>
      <w:r>
        <w:rPr/>
        <w:t>a</w:t>
      </w:r>
      <w:r>
        <w:rPr>
          <w:spacing w:val="-8"/>
        </w:rPr>
        <w:t> </w:t>
      </w:r>
      <w:r>
        <w:rPr/>
        <w:t>partir</w:t>
      </w:r>
      <w:r>
        <w:rPr>
          <w:spacing w:val="-2"/>
        </w:rPr>
        <w:t> </w:t>
      </w:r>
      <w:r>
        <w:rPr/>
        <w:t>de</w:t>
      </w:r>
      <w:r>
        <w:rPr>
          <w:spacing w:val="-8"/>
        </w:rPr>
        <w:t> </w:t>
      </w:r>
      <w:r>
        <w:rPr/>
        <w:t>1436</w:t>
      </w:r>
      <w:r>
        <w:rPr>
          <w:spacing w:val="-8"/>
        </w:rPr>
        <w:t> </w:t>
      </w:r>
      <w:r>
        <w:rPr/>
        <w:t>se</w:t>
      </w:r>
      <w:r>
        <w:rPr>
          <w:spacing w:val="-8"/>
        </w:rPr>
        <w:t> </w:t>
      </w:r>
      <w:r>
        <w:rPr/>
        <w:t>instauró</w:t>
      </w:r>
      <w:r>
        <w:rPr>
          <w:spacing w:val="-4"/>
        </w:rPr>
        <w:t> </w:t>
      </w:r>
      <w:r>
        <w:rPr/>
        <w:t>la</w:t>
      </w:r>
      <w:r>
        <w:rPr>
          <w:spacing w:val="-8"/>
        </w:rPr>
        <w:t> </w:t>
      </w:r>
      <w:r>
        <w:rPr/>
        <w:t>Casa de Cuentas, y en 1437 con la ordenanza de Juan II se instituyó formalmente la Contaduría Mayor de Cuentas en la Nueva</w:t>
      </w:r>
      <w:r>
        <w:rPr>
          <w:spacing w:val="-27"/>
        </w:rPr>
        <w:t> </w:t>
      </w:r>
      <w:r>
        <w:rPr/>
        <w:t>España.</w:t>
      </w:r>
    </w:p>
    <w:p>
      <w:pPr>
        <w:pStyle w:val="BodyText"/>
        <w:spacing w:line="360" w:lineRule="auto" w:before="1"/>
        <w:ind w:left="100" w:right="103" w:firstLine="427"/>
        <w:jc w:val="both"/>
      </w:pPr>
      <w:r>
        <w:rPr/>
        <w:t>A partir de 1442 las cortes españolas trataron de frenar la costumbre de donaciones</w:t>
      </w:r>
      <w:r>
        <w:rPr>
          <w:spacing w:val="-6"/>
        </w:rPr>
        <w:t> </w:t>
      </w:r>
      <w:r>
        <w:rPr/>
        <w:t>en</w:t>
      </w:r>
      <w:r>
        <w:rPr>
          <w:spacing w:val="-8"/>
        </w:rPr>
        <w:t> </w:t>
      </w:r>
      <w:r>
        <w:rPr/>
        <w:t>su</w:t>
      </w:r>
      <w:r>
        <w:rPr>
          <w:spacing w:val="-4"/>
        </w:rPr>
        <w:t> </w:t>
      </w:r>
      <w:r>
        <w:rPr/>
        <w:t>país</w:t>
      </w:r>
      <w:r>
        <w:rPr>
          <w:spacing w:val="-6"/>
        </w:rPr>
        <w:t> </w:t>
      </w:r>
      <w:r>
        <w:rPr/>
        <w:t>y</w:t>
      </w:r>
      <w:r>
        <w:rPr>
          <w:spacing w:val="-10"/>
        </w:rPr>
        <w:t> </w:t>
      </w:r>
      <w:r>
        <w:rPr/>
        <w:t>se</w:t>
      </w:r>
      <w:r>
        <w:rPr>
          <w:spacing w:val="-8"/>
        </w:rPr>
        <w:t> </w:t>
      </w:r>
      <w:r>
        <w:rPr/>
        <w:t>dispuso</w:t>
      </w:r>
      <w:r>
        <w:rPr>
          <w:spacing w:val="-8"/>
        </w:rPr>
        <w:t> </w:t>
      </w:r>
      <w:r>
        <w:rPr/>
        <w:t>al</w:t>
      </w:r>
      <w:r>
        <w:rPr>
          <w:spacing w:val="-4"/>
        </w:rPr>
        <w:t> </w:t>
      </w:r>
      <w:r>
        <w:rPr/>
        <w:t>rey</w:t>
      </w:r>
      <w:r>
        <w:rPr>
          <w:spacing w:val="-10"/>
        </w:rPr>
        <w:t> </w:t>
      </w:r>
      <w:r>
        <w:rPr/>
        <w:t>que</w:t>
      </w:r>
      <w:r>
        <w:rPr>
          <w:spacing w:val="-8"/>
        </w:rPr>
        <w:t> </w:t>
      </w:r>
      <w:r>
        <w:rPr/>
        <w:t>los</w:t>
      </w:r>
      <w:r>
        <w:rPr>
          <w:spacing w:val="-6"/>
        </w:rPr>
        <w:t> </w:t>
      </w:r>
      <w:r>
        <w:rPr/>
        <w:t>bienes</w:t>
      </w:r>
      <w:r>
        <w:rPr>
          <w:spacing w:val="-2"/>
        </w:rPr>
        <w:t> </w:t>
      </w:r>
      <w:r>
        <w:rPr/>
        <w:t>y</w:t>
      </w:r>
      <w:r>
        <w:rPr>
          <w:spacing w:val="-10"/>
        </w:rPr>
        <w:t> </w:t>
      </w:r>
      <w:r>
        <w:rPr/>
        <w:t>heredades</w:t>
      </w:r>
      <w:r>
        <w:rPr>
          <w:spacing w:val="-6"/>
        </w:rPr>
        <w:t> </w:t>
      </w:r>
      <w:r>
        <w:rPr/>
        <w:t>del</w:t>
      </w:r>
      <w:r>
        <w:rPr>
          <w:spacing w:val="-7"/>
        </w:rPr>
        <w:t> </w:t>
      </w:r>
      <w:r>
        <w:rPr/>
        <w:t>reino</w:t>
      </w:r>
      <w:r>
        <w:rPr>
          <w:spacing w:val="-8"/>
        </w:rPr>
        <w:t> </w:t>
      </w:r>
      <w:r>
        <w:rPr/>
        <w:t>eran inalienables e imprescindibles. Aun con esta medida, no se pudieron evitar las donaciones hechas por Enrique IV, y los reyes católicos revocaron donaciones para acrecentar los territorios del Reino de Castilla y</w:t>
      </w:r>
      <w:r>
        <w:rPr>
          <w:spacing w:val="-30"/>
        </w:rPr>
        <w:t> </w:t>
      </w:r>
      <w:r>
        <w:rPr/>
        <w:t>León.</w:t>
      </w:r>
    </w:p>
    <w:p>
      <w:pPr>
        <w:pStyle w:val="BodyText"/>
        <w:spacing w:line="357" w:lineRule="auto" w:before="6"/>
        <w:ind w:left="100" w:right="101" w:firstLine="427"/>
        <w:jc w:val="both"/>
      </w:pPr>
      <w:r>
        <w:rPr/>
        <w:t>Durante el Siglo XV las finanzas públicas españolas fueron registradas por la Contaduría  Mayor  de Hacienda,  la cual fue  adquiriendo funciones cada vez  más</w:t>
      </w:r>
    </w:p>
    <w:p>
      <w:pPr>
        <w:spacing w:after="0" w:line="357" w:lineRule="auto"/>
        <w:jc w:val="both"/>
        <w:sectPr>
          <w:pgSz w:w="12240" w:h="15840"/>
          <w:pgMar w:header="0" w:footer="998" w:top="1360" w:bottom="1180" w:left="1600" w:right="1500"/>
        </w:sectPr>
      </w:pPr>
    </w:p>
    <w:p>
      <w:pPr>
        <w:pStyle w:val="BodyText"/>
        <w:spacing w:line="360" w:lineRule="auto" w:before="50"/>
        <w:ind w:left="120" w:right="102"/>
        <w:jc w:val="both"/>
      </w:pPr>
      <w:r>
        <w:rPr/>
        <w:t>especializadas: por una parte, se registraba la gestión de la hacienda pública</w:t>
      </w:r>
      <w:r>
        <w:rPr>
          <w:position w:val="8"/>
          <w:sz w:val="16"/>
        </w:rPr>
        <w:t>38 </w:t>
      </w:r>
      <w:r>
        <w:rPr/>
        <w:t>(política hacendaria) y por otra, se revisaba las cuentas de las recaudaciones (política de rendición de cuentas).</w:t>
      </w:r>
    </w:p>
    <w:p>
      <w:pPr>
        <w:pStyle w:val="BodyText"/>
        <w:spacing w:line="360" w:lineRule="auto" w:before="6"/>
        <w:ind w:left="120" w:right="111" w:firstLine="427"/>
        <w:jc w:val="both"/>
      </w:pPr>
      <w:r>
        <w:rPr/>
        <w:t>La</w:t>
      </w:r>
      <w:r>
        <w:rPr>
          <w:spacing w:val="-22"/>
        </w:rPr>
        <w:t> </w:t>
      </w:r>
      <w:r>
        <w:rPr/>
        <w:t>Contaduría</w:t>
      </w:r>
      <w:r>
        <w:rPr>
          <w:spacing w:val="-18"/>
        </w:rPr>
        <w:t> </w:t>
      </w:r>
      <w:r>
        <w:rPr/>
        <w:t>Mayor</w:t>
      </w:r>
      <w:r>
        <w:rPr>
          <w:spacing w:val="-20"/>
        </w:rPr>
        <w:t> </w:t>
      </w:r>
      <w:r>
        <w:rPr/>
        <w:t>de</w:t>
      </w:r>
      <w:r>
        <w:rPr>
          <w:spacing w:val="-22"/>
        </w:rPr>
        <w:t> </w:t>
      </w:r>
      <w:r>
        <w:rPr/>
        <w:t>Hacienda</w:t>
      </w:r>
      <w:r>
        <w:rPr>
          <w:spacing w:val="-22"/>
        </w:rPr>
        <w:t> </w:t>
      </w:r>
      <w:r>
        <w:rPr/>
        <w:t>estaba</w:t>
      </w:r>
      <w:r>
        <w:rPr>
          <w:spacing w:val="-22"/>
        </w:rPr>
        <w:t> </w:t>
      </w:r>
      <w:r>
        <w:rPr/>
        <w:t>representada</w:t>
      </w:r>
      <w:r>
        <w:rPr>
          <w:spacing w:val="-22"/>
        </w:rPr>
        <w:t> </w:t>
      </w:r>
      <w:r>
        <w:rPr/>
        <w:t>por</w:t>
      </w:r>
      <w:r>
        <w:rPr>
          <w:spacing w:val="-20"/>
        </w:rPr>
        <w:t> </w:t>
      </w:r>
      <w:r>
        <w:rPr/>
        <w:t>el</w:t>
      </w:r>
      <w:r>
        <w:rPr>
          <w:spacing w:val="-21"/>
        </w:rPr>
        <w:t> </w:t>
      </w:r>
      <w:r>
        <w:rPr/>
        <w:t>Mayordomo</w:t>
      </w:r>
      <w:r>
        <w:rPr>
          <w:spacing w:val="-22"/>
        </w:rPr>
        <w:t> </w:t>
      </w:r>
      <w:r>
        <w:rPr/>
        <w:t>Mayor de Castilla, quien supervisaba el trabajo de los contadores mayores y menores designados a la contaduría. La figura de Mayordomo Mayor fue reemplazada en 1517 por el Secretario de</w:t>
      </w:r>
      <w:r>
        <w:rPr>
          <w:spacing w:val="-21"/>
        </w:rPr>
        <w:t> </w:t>
      </w:r>
      <w:r>
        <w:rPr/>
        <w:t>Hacienda.</w:t>
      </w:r>
    </w:p>
    <w:p>
      <w:pPr>
        <w:pStyle w:val="BodyText"/>
        <w:spacing w:line="360" w:lineRule="auto" w:before="6"/>
        <w:ind w:left="120" w:right="112" w:firstLine="427"/>
        <w:jc w:val="both"/>
      </w:pPr>
      <w:r>
        <w:rPr/>
        <w:t>La organización hacendaria española estaba caracterizada por delimitar el territorio</w:t>
      </w:r>
      <w:r>
        <w:rPr>
          <w:spacing w:val="-16"/>
        </w:rPr>
        <w:t> </w:t>
      </w:r>
      <w:r>
        <w:rPr/>
        <w:t>al</w:t>
      </w:r>
      <w:r>
        <w:rPr>
          <w:spacing w:val="-15"/>
        </w:rPr>
        <w:t> </w:t>
      </w:r>
      <w:r>
        <w:rPr/>
        <w:t>que</w:t>
      </w:r>
      <w:r>
        <w:rPr>
          <w:spacing w:val="-16"/>
        </w:rPr>
        <w:t> </w:t>
      </w:r>
      <w:r>
        <w:rPr/>
        <w:t>serían</w:t>
      </w:r>
      <w:r>
        <w:rPr>
          <w:spacing w:val="-16"/>
        </w:rPr>
        <w:t> </w:t>
      </w:r>
      <w:r>
        <w:rPr/>
        <w:t>asignados</w:t>
      </w:r>
      <w:r>
        <w:rPr>
          <w:spacing w:val="-10"/>
        </w:rPr>
        <w:t> </w:t>
      </w:r>
      <w:r>
        <w:rPr/>
        <w:t>los</w:t>
      </w:r>
      <w:r>
        <w:rPr>
          <w:spacing w:val="-14"/>
        </w:rPr>
        <w:t> </w:t>
      </w:r>
      <w:r>
        <w:rPr/>
        <w:t>recursos</w:t>
      </w:r>
      <w:r>
        <w:rPr>
          <w:spacing w:val="-14"/>
        </w:rPr>
        <w:t> </w:t>
      </w:r>
      <w:r>
        <w:rPr/>
        <w:t>recaudados</w:t>
      </w:r>
      <w:r>
        <w:rPr>
          <w:spacing w:val="-10"/>
        </w:rPr>
        <w:t> </w:t>
      </w:r>
      <w:r>
        <w:rPr/>
        <w:t>y</w:t>
      </w:r>
      <w:r>
        <w:rPr>
          <w:spacing w:val="-14"/>
        </w:rPr>
        <w:t> </w:t>
      </w:r>
      <w:r>
        <w:rPr/>
        <w:t>establecía</w:t>
      </w:r>
      <w:r>
        <w:rPr>
          <w:spacing w:val="-16"/>
        </w:rPr>
        <w:t> </w:t>
      </w:r>
      <w:r>
        <w:rPr/>
        <w:t>el</w:t>
      </w:r>
      <w:r>
        <w:rPr>
          <w:spacing w:val="-11"/>
        </w:rPr>
        <w:t> </w:t>
      </w:r>
      <w:r>
        <w:rPr/>
        <w:t>monto</w:t>
      </w:r>
      <w:r>
        <w:rPr>
          <w:spacing w:val="-16"/>
        </w:rPr>
        <w:t> </w:t>
      </w:r>
      <w:r>
        <w:rPr/>
        <w:t>para sufragar los gastos de las instituciones públicas y los empleados de la</w:t>
      </w:r>
      <w:r>
        <w:rPr>
          <w:spacing w:val="-36"/>
        </w:rPr>
        <w:t> </w:t>
      </w:r>
      <w:r>
        <w:rPr/>
        <w:t>monarquía.</w:t>
      </w:r>
    </w:p>
    <w:p>
      <w:pPr>
        <w:pStyle w:val="BodyText"/>
        <w:spacing w:line="362" w:lineRule="auto" w:before="2"/>
        <w:ind w:left="120" w:right="107" w:firstLine="427"/>
        <w:jc w:val="both"/>
      </w:pPr>
      <w:r>
        <w:rPr/>
        <w:t>Los</w:t>
      </w:r>
      <w:r>
        <w:rPr>
          <w:spacing w:val="-19"/>
        </w:rPr>
        <w:t> </w:t>
      </w:r>
      <w:r>
        <w:rPr/>
        <w:t>cambios</w:t>
      </w:r>
      <w:r>
        <w:rPr>
          <w:spacing w:val="-19"/>
        </w:rPr>
        <w:t> </w:t>
      </w:r>
      <w:r>
        <w:rPr/>
        <w:t>más</w:t>
      </w:r>
      <w:r>
        <w:rPr>
          <w:spacing w:val="-19"/>
        </w:rPr>
        <w:t> </w:t>
      </w:r>
      <w:r>
        <w:rPr/>
        <w:t>importantes</w:t>
      </w:r>
      <w:r>
        <w:rPr>
          <w:spacing w:val="-19"/>
        </w:rPr>
        <w:t> </w:t>
      </w:r>
      <w:r>
        <w:rPr/>
        <w:t>de</w:t>
      </w:r>
      <w:r>
        <w:rPr>
          <w:spacing w:val="-21"/>
        </w:rPr>
        <w:t> </w:t>
      </w:r>
      <w:r>
        <w:rPr/>
        <w:t>la</w:t>
      </w:r>
      <w:r>
        <w:rPr>
          <w:spacing w:val="-21"/>
        </w:rPr>
        <w:t> </w:t>
      </w:r>
      <w:r>
        <w:rPr/>
        <w:t>institución</w:t>
      </w:r>
      <w:r>
        <w:rPr>
          <w:spacing w:val="-21"/>
        </w:rPr>
        <w:t> </w:t>
      </w:r>
      <w:r>
        <w:rPr/>
        <w:t>de</w:t>
      </w:r>
      <w:r>
        <w:rPr>
          <w:spacing w:val="-21"/>
        </w:rPr>
        <w:t> </w:t>
      </w:r>
      <w:r>
        <w:rPr/>
        <w:t>rendición</w:t>
      </w:r>
      <w:r>
        <w:rPr>
          <w:spacing w:val="-21"/>
        </w:rPr>
        <w:t> </w:t>
      </w:r>
      <w:r>
        <w:rPr/>
        <w:t>de</w:t>
      </w:r>
      <w:r>
        <w:rPr>
          <w:spacing w:val="-21"/>
        </w:rPr>
        <w:t> </w:t>
      </w:r>
      <w:r>
        <w:rPr/>
        <w:t>cuentas</w:t>
      </w:r>
      <w:r>
        <w:rPr>
          <w:spacing w:val="-19"/>
        </w:rPr>
        <w:t> </w:t>
      </w:r>
      <w:r>
        <w:rPr/>
        <w:t>españolas fueron los</w:t>
      </w:r>
      <w:r>
        <w:rPr>
          <w:spacing w:val="-17"/>
        </w:rPr>
        <w:t> </w:t>
      </w:r>
      <w:r>
        <w:rPr/>
        <w:t>siguientes:</w:t>
      </w:r>
    </w:p>
    <w:p>
      <w:pPr>
        <w:pStyle w:val="BodyText"/>
      </w:pPr>
    </w:p>
    <w:p>
      <w:pPr>
        <w:pStyle w:val="ListParagraph"/>
        <w:numPr>
          <w:ilvl w:val="3"/>
          <w:numId w:val="41"/>
        </w:numPr>
        <w:tabs>
          <w:tab w:pos="841" w:val="left" w:leader="none"/>
        </w:tabs>
        <w:spacing w:line="360" w:lineRule="auto" w:before="139" w:after="0"/>
        <w:ind w:left="841" w:right="108" w:hanging="361"/>
        <w:jc w:val="both"/>
        <w:rPr>
          <w:sz w:val="24"/>
        </w:rPr>
      </w:pPr>
      <w:r>
        <w:rPr>
          <w:sz w:val="24"/>
        </w:rPr>
        <w:t>En 1523 y 1525 se adicionaron dos miembros al Consejo de Castilla para regular la gestión de los contadores, por orden de las Cortes de</w:t>
      </w:r>
      <w:r>
        <w:rPr>
          <w:spacing w:val="-34"/>
          <w:sz w:val="24"/>
        </w:rPr>
        <w:t> </w:t>
      </w:r>
      <w:r>
        <w:rPr>
          <w:sz w:val="24"/>
        </w:rPr>
        <w:t>Valladolid.</w:t>
      </w:r>
    </w:p>
    <w:p>
      <w:pPr>
        <w:pStyle w:val="ListParagraph"/>
        <w:numPr>
          <w:ilvl w:val="3"/>
          <w:numId w:val="41"/>
        </w:numPr>
        <w:tabs>
          <w:tab w:pos="841" w:val="left" w:leader="none"/>
        </w:tabs>
        <w:spacing w:line="357" w:lineRule="auto" w:before="6" w:after="0"/>
        <w:ind w:left="841" w:right="111" w:hanging="361"/>
        <w:jc w:val="both"/>
        <w:rPr>
          <w:sz w:val="24"/>
        </w:rPr>
      </w:pPr>
      <w:r>
        <w:rPr>
          <w:sz w:val="24"/>
        </w:rPr>
        <w:t>En 1525 el Consejo de Hacienda fue conformado con la finalidad de vigilar la correcta recaudación y asignación de</w:t>
      </w:r>
      <w:r>
        <w:rPr>
          <w:spacing w:val="-23"/>
          <w:sz w:val="24"/>
        </w:rPr>
        <w:t> </w:t>
      </w:r>
      <w:r>
        <w:rPr>
          <w:sz w:val="24"/>
        </w:rPr>
        <w:t>recursos.</w:t>
      </w:r>
    </w:p>
    <w:p>
      <w:pPr>
        <w:pStyle w:val="ListParagraph"/>
        <w:numPr>
          <w:ilvl w:val="3"/>
          <w:numId w:val="41"/>
        </w:numPr>
        <w:tabs>
          <w:tab w:pos="841" w:val="left" w:leader="none"/>
        </w:tabs>
        <w:spacing w:line="357" w:lineRule="auto" w:before="8" w:after="0"/>
        <w:ind w:left="841" w:right="112" w:hanging="361"/>
        <w:jc w:val="both"/>
        <w:rPr>
          <w:sz w:val="24"/>
        </w:rPr>
      </w:pPr>
      <w:r>
        <w:rPr>
          <w:sz w:val="24"/>
        </w:rPr>
        <w:t>Las ordenanzas de 1554 de La Coruña consideraron necesaria la presencia de 3 oidores (auditores) en la Contaduría Mayor de</w:t>
      </w:r>
      <w:r>
        <w:rPr>
          <w:spacing w:val="-28"/>
          <w:sz w:val="24"/>
        </w:rPr>
        <w:t> </w:t>
      </w:r>
      <w:r>
        <w:rPr>
          <w:sz w:val="24"/>
        </w:rPr>
        <w:t>Hacienda.</w:t>
      </w:r>
    </w:p>
    <w:p>
      <w:pPr>
        <w:pStyle w:val="ListParagraph"/>
        <w:numPr>
          <w:ilvl w:val="3"/>
          <w:numId w:val="41"/>
        </w:numPr>
        <w:tabs>
          <w:tab w:pos="841" w:val="left" w:leader="none"/>
        </w:tabs>
        <w:spacing w:line="360" w:lineRule="auto" w:before="9" w:after="0"/>
        <w:ind w:left="841" w:right="110" w:hanging="361"/>
        <w:jc w:val="both"/>
        <w:rPr>
          <w:sz w:val="24"/>
        </w:rPr>
      </w:pPr>
      <w:r>
        <w:rPr>
          <w:sz w:val="24"/>
        </w:rPr>
        <w:t>El Rey Felipe II instauró el Tribunal de Contaduría con la finalidad de atender los asuntos contenciosos generados por la gestión de los recursos de la monarquía. Su registro contable era revisado por los representantes de la sociedad, quienes demandaban explicaciones al Rey sobre sus aportaciones (Vargas,</w:t>
      </w:r>
      <w:r>
        <w:rPr>
          <w:spacing w:val="-10"/>
          <w:sz w:val="24"/>
        </w:rPr>
        <w:t> </w:t>
      </w:r>
      <w:r>
        <w:rPr>
          <w:sz w:val="24"/>
        </w:rPr>
        <w:t>2002).</w:t>
      </w:r>
    </w:p>
    <w:p>
      <w:pPr>
        <w:pStyle w:val="BodyText"/>
      </w:pPr>
    </w:p>
    <w:p>
      <w:pPr>
        <w:pStyle w:val="BodyText"/>
        <w:spacing w:line="360" w:lineRule="auto" w:before="142"/>
        <w:ind w:left="120" w:right="114" w:firstLine="427"/>
        <w:jc w:val="both"/>
      </w:pPr>
      <w:r>
        <w:rPr/>
        <w:t>En 1535 se creó el virreinato en la Nueva España que duró cerca de tres siglos. Durante ese tiempo hubo 63 virreyes españoles y tres audiencias (en México, Guadalajara y Guatemala) y así formaron su gobierno de la Nueva España.</w:t>
      </w:r>
    </w:p>
    <w:p>
      <w:pPr>
        <w:pStyle w:val="BodyText"/>
        <w:rPr>
          <w:sz w:val="20"/>
        </w:rPr>
      </w:pPr>
    </w:p>
    <w:p>
      <w:pPr>
        <w:pStyle w:val="BodyText"/>
        <w:rPr>
          <w:sz w:val="20"/>
        </w:rPr>
      </w:pPr>
    </w:p>
    <w:p>
      <w:pPr>
        <w:pStyle w:val="BodyText"/>
        <w:rPr>
          <w:sz w:val="20"/>
        </w:rPr>
      </w:pPr>
    </w:p>
    <w:p>
      <w:pPr>
        <w:pStyle w:val="BodyText"/>
        <w:spacing w:before="11"/>
        <w:rPr>
          <w:sz w:val="17"/>
        </w:rPr>
      </w:pPr>
      <w:r>
        <w:rPr/>
        <w:pict>
          <v:line style="position:absolute;mso-position-horizontal-relative:page;mso-position-vertical-relative:paragraph;z-index:6040;mso-wrap-distance-left:0;mso-wrap-distance-right:0" from="85.025002pt,12.681817pt" to="229.075002pt,12.681817pt" stroked="true" strokeweight=".80005pt" strokecolor="#000000">
            <w10:wrap type="topAndBottom"/>
          </v:line>
        </w:pict>
      </w:r>
    </w:p>
    <w:p>
      <w:pPr>
        <w:spacing w:before="61"/>
        <w:ind w:left="120" w:right="137" w:firstLine="0"/>
        <w:jc w:val="left"/>
        <w:rPr>
          <w:sz w:val="16"/>
        </w:rPr>
      </w:pPr>
      <w:r>
        <w:rPr>
          <w:position w:val="6"/>
          <w:sz w:val="10"/>
        </w:rPr>
        <w:t>38 </w:t>
      </w:r>
      <w:r>
        <w:rPr>
          <w:sz w:val="16"/>
        </w:rPr>
        <w:t>En la actualidad se ha definido a la hacienda pública como el estudio de las leyes por las cuales los hombres satisfacen las necesidades públicas. (Astudillo, 2002).</w:t>
      </w:r>
    </w:p>
    <w:p>
      <w:pPr>
        <w:spacing w:after="0"/>
        <w:jc w:val="left"/>
        <w:rPr>
          <w:sz w:val="16"/>
        </w:rPr>
        <w:sectPr>
          <w:footerReference w:type="default" r:id="rId93"/>
          <w:pgSz w:w="12240" w:h="15840"/>
          <w:pgMar w:footer="998" w:header="0" w:top="1360" w:bottom="1180" w:left="1580" w:right="1500"/>
        </w:sectPr>
      </w:pPr>
    </w:p>
    <w:p>
      <w:pPr>
        <w:pStyle w:val="BodyText"/>
        <w:spacing w:line="360" w:lineRule="auto" w:before="55"/>
        <w:ind w:left="120" w:right="102" w:firstLine="427"/>
        <w:jc w:val="both"/>
      </w:pPr>
      <w:r>
        <w:rPr/>
        <w:t>Surgieron en América las instituciones que intentaron copiar el modelo español, como la Real Hacienda, la Encomienda en 1503 (Cossío, 1981: 340-432) y el Consejo Real y Supremo de Indias en 1519. Los oficiales reales, expresamente enviados y nombrados por la Corona Española para llevar un registro de la riqueza obtenida de la explotación agrícola, minera y tributaria, realizaban sus funciones junto con el virrey, para que la sociedad novohispana conformara una organización económica y productiva que retribuyera a la Corona lo que, a su juicio, le correspondía por derecho. (Vargas, 2008)</w:t>
      </w:r>
    </w:p>
    <w:p>
      <w:pPr>
        <w:pStyle w:val="BodyText"/>
        <w:spacing w:line="360" w:lineRule="auto" w:before="2"/>
        <w:ind w:left="120" w:right="110" w:firstLine="427"/>
        <w:jc w:val="both"/>
      </w:pPr>
      <w:r>
        <w:rPr/>
        <w:t>En</w:t>
      </w:r>
      <w:r>
        <w:rPr>
          <w:spacing w:val="-16"/>
        </w:rPr>
        <w:t> </w:t>
      </w:r>
      <w:r>
        <w:rPr/>
        <w:t>1524</w:t>
      </w:r>
      <w:r>
        <w:rPr>
          <w:spacing w:val="-16"/>
        </w:rPr>
        <w:t> </w:t>
      </w:r>
      <w:r>
        <w:rPr/>
        <w:t>la</w:t>
      </w:r>
      <w:r>
        <w:rPr>
          <w:spacing w:val="-16"/>
        </w:rPr>
        <w:t> </w:t>
      </w:r>
      <w:r>
        <w:rPr/>
        <w:t>Corona</w:t>
      </w:r>
      <w:r>
        <w:rPr>
          <w:spacing w:val="-16"/>
        </w:rPr>
        <w:t> </w:t>
      </w:r>
      <w:r>
        <w:rPr/>
        <w:t>Española</w:t>
      </w:r>
      <w:r>
        <w:rPr>
          <w:spacing w:val="-12"/>
        </w:rPr>
        <w:t> </w:t>
      </w:r>
      <w:r>
        <w:rPr/>
        <w:t>decidió</w:t>
      </w:r>
      <w:r>
        <w:rPr>
          <w:spacing w:val="-16"/>
        </w:rPr>
        <w:t> </w:t>
      </w:r>
      <w:r>
        <w:rPr/>
        <w:t>crear</w:t>
      </w:r>
      <w:r>
        <w:rPr>
          <w:spacing w:val="-14"/>
        </w:rPr>
        <w:t> </w:t>
      </w:r>
      <w:r>
        <w:rPr/>
        <w:t>en</w:t>
      </w:r>
      <w:r>
        <w:rPr>
          <w:spacing w:val="-16"/>
        </w:rPr>
        <w:t> </w:t>
      </w:r>
      <w:r>
        <w:rPr/>
        <w:t>la</w:t>
      </w:r>
      <w:r>
        <w:rPr>
          <w:spacing w:val="-16"/>
        </w:rPr>
        <w:t> </w:t>
      </w:r>
      <w:r>
        <w:rPr/>
        <w:t>Nueva</w:t>
      </w:r>
      <w:r>
        <w:rPr>
          <w:spacing w:val="-16"/>
        </w:rPr>
        <w:t> </w:t>
      </w:r>
      <w:r>
        <w:rPr/>
        <w:t>España</w:t>
      </w:r>
      <w:r>
        <w:rPr>
          <w:spacing w:val="-16"/>
        </w:rPr>
        <w:t> </w:t>
      </w:r>
      <w:r>
        <w:rPr/>
        <w:t>el</w:t>
      </w:r>
      <w:r>
        <w:rPr>
          <w:spacing w:val="-15"/>
        </w:rPr>
        <w:t> </w:t>
      </w:r>
      <w:r>
        <w:rPr/>
        <w:t>Tribunal</w:t>
      </w:r>
      <w:r>
        <w:rPr>
          <w:spacing w:val="-11"/>
        </w:rPr>
        <w:t> </w:t>
      </w:r>
      <w:r>
        <w:rPr/>
        <w:t>Mayor de Cuentas, año considerado por algunos historiadores, como el antecedente más remoto de institucionalización europea de rendición de cuentas en</w:t>
      </w:r>
      <w:r>
        <w:rPr>
          <w:spacing w:val="-37"/>
        </w:rPr>
        <w:t> </w:t>
      </w:r>
      <w:r>
        <w:rPr/>
        <w:t>América.</w:t>
      </w:r>
    </w:p>
    <w:p>
      <w:pPr>
        <w:pStyle w:val="BodyText"/>
        <w:spacing w:line="360" w:lineRule="auto" w:before="5"/>
        <w:ind w:left="120" w:right="106" w:firstLine="427"/>
        <w:jc w:val="both"/>
      </w:pPr>
      <w:r>
        <w:rPr/>
        <w:t>La finalidad del Tribunal de Cuentas fue el revisar los ingresos y gastos de Hernán Cortés, además de recaudar, administrar las rentas de la Corona Española en</w:t>
      </w:r>
      <w:r>
        <w:rPr>
          <w:spacing w:val="-18"/>
        </w:rPr>
        <w:t> </w:t>
      </w:r>
      <w:r>
        <w:rPr/>
        <w:t>la</w:t>
      </w:r>
      <w:r>
        <w:rPr>
          <w:spacing w:val="-18"/>
        </w:rPr>
        <w:t> </w:t>
      </w:r>
      <w:r>
        <w:rPr/>
        <w:t>Nueva</w:t>
      </w:r>
      <w:r>
        <w:rPr>
          <w:spacing w:val="-18"/>
        </w:rPr>
        <w:t> </w:t>
      </w:r>
      <w:r>
        <w:rPr/>
        <w:t>España</w:t>
      </w:r>
      <w:r>
        <w:rPr>
          <w:spacing w:val="-18"/>
        </w:rPr>
        <w:t> </w:t>
      </w:r>
      <w:r>
        <w:rPr/>
        <w:t>(política</w:t>
      </w:r>
      <w:r>
        <w:rPr>
          <w:spacing w:val="-18"/>
        </w:rPr>
        <w:t> </w:t>
      </w:r>
      <w:r>
        <w:rPr/>
        <w:t>hacendaria)</w:t>
      </w:r>
      <w:r>
        <w:rPr>
          <w:spacing w:val="-16"/>
        </w:rPr>
        <w:t> </w:t>
      </w:r>
      <w:r>
        <w:rPr/>
        <w:t>y</w:t>
      </w:r>
      <w:r>
        <w:rPr>
          <w:spacing w:val="-19"/>
        </w:rPr>
        <w:t> </w:t>
      </w:r>
      <w:r>
        <w:rPr/>
        <w:t>revisar</w:t>
      </w:r>
      <w:r>
        <w:rPr>
          <w:spacing w:val="-16"/>
        </w:rPr>
        <w:t> </w:t>
      </w:r>
      <w:r>
        <w:rPr/>
        <w:t>el</w:t>
      </w:r>
      <w:r>
        <w:rPr>
          <w:spacing w:val="-17"/>
        </w:rPr>
        <w:t> </w:t>
      </w:r>
      <w:r>
        <w:rPr/>
        <w:t>correcto</w:t>
      </w:r>
      <w:r>
        <w:rPr>
          <w:spacing w:val="-18"/>
        </w:rPr>
        <w:t> </w:t>
      </w:r>
      <w:r>
        <w:rPr/>
        <w:t>manejo</w:t>
      </w:r>
      <w:r>
        <w:rPr>
          <w:spacing w:val="-18"/>
        </w:rPr>
        <w:t> </w:t>
      </w:r>
      <w:r>
        <w:rPr/>
        <w:t>de</w:t>
      </w:r>
      <w:r>
        <w:rPr>
          <w:spacing w:val="-18"/>
        </w:rPr>
        <w:t> </w:t>
      </w:r>
      <w:r>
        <w:rPr/>
        <w:t>los</w:t>
      </w:r>
      <w:r>
        <w:rPr>
          <w:spacing w:val="-16"/>
        </w:rPr>
        <w:t> </w:t>
      </w:r>
      <w:r>
        <w:rPr/>
        <w:t>recursos (política de rendición de cuentas), de acuerdo con los mismos procedimientos de la Contaduría Mayor de Cuentas del Reino de</w:t>
      </w:r>
      <w:r>
        <w:rPr>
          <w:spacing w:val="-30"/>
        </w:rPr>
        <w:t> </w:t>
      </w:r>
      <w:r>
        <w:rPr/>
        <w:t>Castilla.</w:t>
      </w:r>
    </w:p>
    <w:p>
      <w:pPr>
        <w:pStyle w:val="BodyText"/>
        <w:spacing w:line="360" w:lineRule="auto" w:before="2"/>
        <w:ind w:left="120" w:right="109" w:firstLine="427"/>
        <w:jc w:val="both"/>
      </w:pPr>
      <w:r>
        <w:rPr/>
        <w:t>El Tribunal de Cuentas pertenecía a la categoría de los llamados “supremos”, compuesto por un presidente, nueve ministros y un secretario general. Había contadores,</w:t>
      </w:r>
      <w:r>
        <w:rPr>
          <w:spacing w:val="-14"/>
        </w:rPr>
        <w:t> </w:t>
      </w:r>
      <w:r>
        <w:rPr/>
        <w:t>archivistas,</w:t>
      </w:r>
      <w:r>
        <w:rPr>
          <w:spacing w:val="-14"/>
        </w:rPr>
        <w:t> </w:t>
      </w:r>
      <w:r>
        <w:rPr/>
        <w:t>oficiales</w:t>
      </w:r>
      <w:r>
        <w:rPr>
          <w:spacing w:val="-11"/>
        </w:rPr>
        <w:t> </w:t>
      </w:r>
      <w:r>
        <w:rPr/>
        <w:t>y</w:t>
      </w:r>
      <w:r>
        <w:rPr>
          <w:spacing w:val="-19"/>
        </w:rPr>
        <w:t> </w:t>
      </w:r>
      <w:r>
        <w:rPr/>
        <w:t>otros</w:t>
      </w:r>
      <w:r>
        <w:rPr>
          <w:spacing w:val="-15"/>
        </w:rPr>
        <w:t> </w:t>
      </w:r>
      <w:r>
        <w:rPr/>
        <w:t>subalternos.</w:t>
      </w:r>
      <w:r>
        <w:rPr>
          <w:spacing w:val="-14"/>
        </w:rPr>
        <w:t> </w:t>
      </w:r>
      <w:r>
        <w:rPr/>
        <w:t>Al</w:t>
      </w:r>
      <w:r>
        <w:rPr>
          <w:spacing w:val="-16"/>
        </w:rPr>
        <w:t> </w:t>
      </w:r>
      <w:r>
        <w:rPr/>
        <w:t>fiscal</w:t>
      </w:r>
      <w:r>
        <w:rPr>
          <w:spacing w:val="-13"/>
        </w:rPr>
        <w:t> </w:t>
      </w:r>
      <w:r>
        <w:rPr/>
        <w:t>lo</w:t>
      </w:r>
      <w:r>
        <w:rPr>
          <w:spacing w:val="-13"/>
        </w:rPr>
        <w:t> </w:t>
      </w:r>
      <w:r>
        <w:rPr/>
        <w:t>auxiliaban</w:t>
      </w:r>
      <w:r>
        <w:rPr>
          <w:spacing w:val="-17"/>
        </w:rPr>
        <w:t> </w:t>
      </w:r>
      <w:r>
        <w:rPr/>
        <w:t>abogados fiscales y agentes contables. El presidente y los ministros eran nombrados por Decreto Real con carácter</w:t>
      </w:r>
      <w:r>
        <w:rPr>
          <w:spacing w:val="-20"/>
        </w:rPr>
        <w:t> </w:t>
      </w:r>
      <w:r>
        <w:rPr/>
        <w:t>inamovible.</w:t>
      </w:r>
    </w:p>
    <w:p>
      <w:pPr>
        <w:pStyle w:val="BodyText"/>
        <w:spacing w:line="357" w:lineRule="auto" w:before="6"/>
        <w:ind w:left="120" w:right="101" w:firstLine="427"/>
        <w:jc w:val="both"/>
        <w:rPr>
          <w:sz w:val="16"/>
        </w:rPr>
      </w:pPr>
      <w:r>
        <w:rPr/>
        <w:t>El primer caso de corrupción registrado como tal en la época colonial, fue atendido por el Tribunal de Cuentas, que consistió en negarle Hernán Cortés el derecho,</w:t>
      </w:r>
      <w:r>
        <w:rPr>
          <w:spacing w:val="-5"/>
        </w:rPr>
        <w:t> </w:t>
      </w:r>
      <w:r>
        <w:rPr/>
        <w:t>que</w:t>
      </w:r>
      <w:r>
        <w:rPr>
          <w:spacing w:val="-8"/>
        </w:rPr>
        <w:t> </w:t>
      </w:r>
      <w:r>
        <w:rPr/>
        <w:t>él</w:t>
      </w:r>
      <w:r>
        <w:rPr>
          <w:spacing w:val="-7"/>
        </w:rPr>
        <w:t> </w:t>
      </w:r>
      <w:r>
        <w:rPr/>
        <w:t>se</w:t>
      </w:r>
      <w:r>
        <w:rPr>
          <w:spacing w:val="-8"/>
        </w:rPr>
        <w:t> </w:t>
      </w:r>
      <w:r>
        <w:rPr/>
        <w:t>adjudicaba,</w:t>
      </w:r>
      <w:r>
        <w:rPr>
          <w:spacing w:val="-5"/>
        </w:rPr>
        <w:t> </w:t>
      </w:r>
      <w:r>
        <w:rPr/>
        <w:t>de</w:t>
      </w:r>
      <w:r>
        <w:rPr>
          <w:spacing w:val="-8"/>
        </w:rPr>
        <w:t> </w:t>
      </w:r>
      <w:r>
        <w:rPr/>
        <w:t>exigir</w:t>
      </w:r>
      <w:r>
        <w:rPr>
          <w:spacing w:val="-6"/>
        </w:rPr>
        <w:t> </w:t>
      </w:r>
      <w:r>
        <w:rPr/>
        <w:t>el</w:t>
      </w:r>
      <w:r>
        <w:rPr>
          <w:spacing w:val="-7"/>
        </w:rPr>
        <w:t> </w:t>
      </w:r>
      <w:r>
        <w:rPr/>
        <w:t>pago</w:t>
      </w:r>
      <w:r>
        <w:rPr>
          <w:spacing w:val="-8"/>
        </w:rPr>
        <w:t> </w:t>
      </w:r>
      <w:r>
        <w:rPr/>
        <w:t>de</w:t>
      </w:r>
      <w:r>
        <w:rPr>
          <w:spacing w:val="-8"/>
        </w:rPr>
        <w:t> </w:t>
      </w:r>
      <w:r>
        <w:rPr/>
        <w:t>sesenta</w:t>
      </w:r>
      <w:r>
        <w:rPr>
          <w:spacing w:val="-4"/>
        </w:rPr>
        <w:t> </w:t>
      </w:r>
      <w:r>
        <w:rPr/>
        <w:t>mil</w:t>
      </w:r>
      <w:r>
        <w:rPr>
          <w:spacing w:val="-7"/>
        </w:rPr>
        <w:t> </w:t>
      </w:r>
      <w:r>
        <w:rPr/>
        <w:t>ducados</w:t>
      </w:r>
      <w:r>
        <w:rPr>
          <w:position w:val="8"/>
          <w:sz w:val="16"/>
        </w:rPr>
        <w:t>39</w:t>
      </w:r>
      <w:r>
        <w:rPr>
          <w:spacing w:val="15"/>
          <w:position w:val="8"/>
          <w:sz w:val="16"/>
        </w:rPr>
        <w:t> </w:t>
      </w:r>
      <w:r>
        <w:rPr/>
        <w:t>que</w:t>
      </w:r>
      <w:r>
        <w:rPr>
          <w:spacing w:val="-4"/>
        </w:rPr>
        <w:t> </w:t>
      </w:r>
      <w:r>
        <w:rPr/>
        <w:t>decía haber gastado por la conquista. Una vez que el Tribunal de Cuentas culminó sus investigaciones, acusó a Cortés de ladrón, rebelde y de ocultar</w:t>
      </w:r>
      <w:r>
        <w:rPr>
          <w:spacing w:val="-31"/>
        </w:rPr>
        <w:t> </w:t>
      </w:r>
      <w:r>
        <w:rPr/>
        <w:t>fondos.</w:t>
      </w:r>
      <w:r>
        <w:rPr>
          <w:position w:val="8"/>
          <w:sz w:val="16"/>
        </w:rPr>
        <w:t>40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6064;mso-wrap-distance-left:0;mso-wrap-distance-right:0" from="85.025002pt,12.506216pt" to="229.075002pt,12.506216pt" stroked="true" strokeweight=".79999pt" strokecolor="#000000">
            <w10:wrap type="topAndBottom"/>
          </v:line>
        </w:pict>
      </w:r>
    </w:p>
    <w:p>
      <w:pPr>
        <w:spacing w:before="61"/>
        <w:ind w:left="120" w:right="137" w:firstLine="0"/>
        <w:jc w:val="left"/>
        <w:rPr>
          <w:sz w:val="16"/>
        </w:rPr>
      </w:pPr>
      <w:r>
        <w:rPr>
          <w:position w:val="6"/>
          <w:sz w:val="10"/>
        </w:rPr>
        <w:t>39</w:t>
      </w:r>
      <w:r>
        <w:rPr>
          <w:sz w:val="16"/>
        </w:rPr>
        <w:t>Ducado: Moneda de oro, de origen italiano, que se acuñó en la Península Ibérica desde el Siglo XV hasta fines del Siglo</w:t>
      </w:r>
    </w:p>
    <w:p>
      <w:pPr>
        <w:pStyle w:val="ListParagraph"/>
        <w:numPr>
          <w:ilvl w:val="0"/>
          <w:numId w:val="42"/>
        </w:numPr>
        <w:tabs>
          <w:tab w:pos="465" w:val="left" w:leader="none"/>
        </w:tabs>
        <w:spacing w:line="181" w:lineRule="exact" w:before="0" w:after="0"/>
        <w:ind w:left="464" w:right="0" w:hanging="344"/>
        <w:jc w:val="left"/>
        <w:rPr>
          <w:sz w:val="16"/>
        </w:rPr>
      </w:pPr>
      <w:r>
        <w:rPr>
          <w:sz w:val="16"/>
        </w:rPr>
        <w:t>Juan II de Aragón la introdujo em España com el peso de 3.54</w:t>
      </w:r>
      <w:r>
        <w:rPr>
          <w:spacing w:val="-19"/>
          <w:sz w:val="16"/>
        </w:rPr>
        <w:t> </w:t>
      </w:r>
      <w:r>
        <w:rPr>
          <w:sz w:val="16"/>
        </w:rPr>
        <w:t>g.</w:t>
      </w:r>
    </w:p>
    <w:p>
      <w:pPr>
        <w:spacing w:line="223" w:lineRule="exact" w:before="0"/>
        <w:ind w:left="120" w:right="137" w:firstLine="0"/>
        <w:jc w:val="left"/>
        <w:rPr>
          <w:sz w:val="16"/>
        </w:rPr>
      </w:pPr>
      <w:r>
        <w:rPr>
          <w:rFonts w:ascii="Times New Roman" w:hAnsi="Times New Roman"/>
          <w:position w:val="7"/>
          <w:sz w:val="13"/>
        </w:rPr>
        <w:t>40</w:t>
      </w:r>
      <w:r>
        <w:rPr>
          <w:sz w:val="16"/>
        </w:rPr>
        <w:t>Autonomía de la Auditoría Superior de la Federación y de la Procuraduría General de la República, p. 124.</w:t>
      </w:r>
    </w:p>
    <w:p>
      <w:pPr>
        <w:spacing w:before="12"/>
        <w:ind w:left="120" w:right="4564" w:firstLine="0"/>
        <w:jc w:val="left"/>
        <w:rPr>
          <w:sz w:val="16"/>
        </w:rPr>
      </w:pPr>
      <w:r>
        <w:rPr>
          <w:sz w:val="16"/>
        </w:rPr>
        <w:t>Disponible en: </w:t>
      </w:r>
      <w:hyperlink r:id="rId33">
        <w:r>
          <w:rPr>
            <w:sz w:val="16"/>
          </w:rPr>
          <w:t>http://www.bibliojuridica.org/libros/6/2739/11.pdf</w:t>
        </w:r>
      </w:hyperlink>
      <w:r>
        <w:rPr>
          <w:sz w:val="16"/>
        </w:rPr>
        <w:t> [Fecha de consulta: 17 de septiembre, 2015]</w:t>
      </w:r>
    </w:p>
    <w:p>
      <w:pPr>
        <w:spacing w:after="0"/>
        <w:jc w:val="left"/>
        <w:rPr>
          <w:sz w:val="16"/>
        </w:rPr>
        <w:sectPr>
          <w:footerReference w:type="default" r:id="rId94"/>
          <w:pgSz w:w="12240" w:h="15840"/>
          <w:pgMar w:footer="998" w:header="0" w:top="1360" w:bottom="1180" w:left="1580" w:right="1500"/>
          <w:pgNumType w:start="71"/>
        </w:sectPr>
      </w:pPr>
    </w:p>
    <w:p>
      <w:pPr>
        <w:pStyle w:val="BodyText"/>
        <w:spacing w:line="360" w:lineRule="auto" w:before="55"/>
        <w:ind w:left="100" w:right="105" w:firstLine="427"/>
        <w:jc w:val="both"/>
      </w:pPr>
      <w:r>
        <w:rPr/>
        <w:t>Durante 80 años las funciones del Tribunal de Cuentas de la Nueva España no tuvieron</w:t>
      </w:r>
      <w:r>
        <w:rPr>
          <w:spacing w:val="-12"/>
        </w:rPr>
        <w:t> </w:t>
      </w:r>
      <w:r>
        <w:rPr/>
        <w:t>modificaciones</w:t>
      </w:r>
      <w:r>
        <w:rPr>
          <w:spacing w:val="-6"/>
        </w:rPr>
        <w:t> </w:t>
      </w:r>
      <w:r>
        <w:rPr/>
        <w:t>y</w:t>
      </w:r>
      <w:r>
        <w:rPr>
          <w:spacing w:val="-14"/>
        </w:rPr>
        <w:t> </w:t>
      </w:r>
      <w:r>
        <w:rPr/>
        <w:t>de</w:t>
      </w:r>
      <w:r>
        <w:rPr>
          <w:spacing w:val="-12"/>
        </w:rPr>
        <w:t> </w:t>
      </w:r>
      <w:r>
        <w:rPr/>
        <w:t>la</w:t>
      </w:r>
      <w:r>
        <w:rPr>
          <w:spacing w:val="-12"/>
        </w:rPr>
        <w:t> </w:t>
      </w:r>
      <w:r>
        <w:rPr/>
        <w:t>revisión</w:t>
      </w:r>
      <w:r>
        <w:rPr>
          <w:spacing w:val="-12"/>
        </w:rPr>
        <w:t> </w:t>
      </w:r>
      <w:r>
        <w:rPr/>
        <w:t>del</w:t>
      </w:r>
      <w:r>
        <w:rPr>
          <w:spacing w:val="-11"/>
        </w:rPr>
        <w:t> </w:t>
      </w:r>
      <w:r>
        <w:rPr/>
        <w:t>estado</w:t>
      </w:r>
      <w:r>
        <w:rPr>
          <w:spacing w:val="-12"/>
        </w:rPr>
        <w:t> </w:t>
      </w:r>
      <w:r>
        <w:rPr/>
        <w:t>de</w:t>
      </w:r>
      <w:r>
        <w:rPr>
          <w:spacing w:val="-12"/>
        </w:rPr>
        <w:t> </w:t>
      </w:r>
      <w:r>
        <w:rPr/>
        <w:t>la</w:t>
      </w:r>
      <w:r>
        <w:rPr>
          <w:spacing w:val="-12"/>
        </w:rPr>
        <w:t> </w:t>
      </w:r>
      <w:r>
        <w:rPr/>
        <w:t>Real</w:t>
      </w:r>
      <w:r>
        <w:rPr>
          <w:spacing w:val="-11"/>
        </w:rPr>
        <w:t> </w:t>
      </w:r>
      <w:r>
        <w:rPr/>
        <w:t>Hacienda</w:t>
      </w:r>
      <w:r>
        <w:rPr>
          <w:spacing w:val="-12"/>
        </w:rPr>
        <w:t> </w:t>
      </w:r>
      <w:r>
        <w:rPr/>
        <w:t>se</w:t>
      </w:r>
      <w:r>
        <w:rPr>
          <w:spacing w:val="-12"/>
        </w:rPr>
        <w:t> </w:t>
      </w:r>
      <w:r>
        <w:rPr/>
        <w:t>redactaba una memoria de la cuenta general de cada presupuesto, haciendo “observaciones” y proponiendo las reformas a que dieran lugar los abusos cometidos en la recaudación y distribución de los fondos públicos. (Manjarrez, 2002:</w:t>
      </w:r>
      <w:r>
        <w:rPr>
          <w:spacing w:val="-36"/>
        </w:rPr>
        <w:t> </w:t>
      </w:r>
      <w:r>
        <w:rPr/>
        <w:t>84)</w:t>
      </w:r>
    </w:p>
    <w:p>
      <w:pPr>
        <w:pStyle w:val="BodyText"/>
        <w:spacing w:line="360" w:lineRule="auto" w:before="6"/>
        <w:ind w:left="100" w:right="109" w:firstLine="427"/>
        <w:jc w:val="both"/>
      </w:pPr>
      <w:r>
        <w:rPr/>
        <w:t>Mediante las ordenanzas promulgadas en Burgos el 24 de agosto de 1605, Felipe</w:t>
      </w:r>
      <w:r>
        <w:rPr>
          <w:spacing w:val="-1"/>
        </w:rPr>
        <w:t> </w:t>
      </w:r>
      <w:r>
        <w:rPr/>
        <w:t>III</w:t>
      </w:r>
      <w:r>
        <w:rPr>
          <w:spacing w:val="-6"/>
        </w:rPr>
        <w:t> </w:t>
      </w:r>
      <w:r>
        <w:rPr/>
        <w:t>fundó</w:t>
      </w:r>
      <w:r>
        <w:rPr>
          <w:spacing w:val="-5"/>
        </w:rPr>
        <w:t> </w:t>
      </w:r>
      <w:r>
        <w:rPr/>
        <w:t>el</w:t>
      </w:r>
      <w:r>
        <w:rPr>
          <w:spacing w:val="-5"/>
        </w:rPr>
        <w:t> </w:t>
      </w:r>
      <w:r>
        <w:rPr/>
        <w:t>Tribunal</w:t>
      </w:r>
      <w:r>
        <w:rPr>
          <w:spacing w:val="-5"/>
        </w:rPr>
        <w:t> </w:t>
      </w:r>
      <w:r>
        <w:rPr/>
        <w:t>de</w:t>
      </w:r>
      <w:r>
        <w:rPr>
          <w:spacing w:val="-5"/>
        </w:rPr>
        <w:t> </w:t>
      </w:r>
      <w:r>
        <w:rPr/>
        <w:t>Cuentas en</w:t>
      </w:r>
      <w:r>
        <w:rPr>
          <w:spacing w:val="-5"/>
        </w:rPr>
        <w:t> </w:t>
      </w:r>
      <w:r>
        <w:rPr/>
        <w:t>la</w:t>
      </w:r>
      <w:r>
        <w:rPr>
          <w:spacing w:val="-5"/>
        </w:rPr>
        <w:t> </w:t>
      </w:r>
      <w:r>
        <w:rPr/>
        <w:t>Ciudad</w:t>
      </w:r>
      <w:r>
        <w:rPr>
          <w:spacing w:val="-5"/>
        </w:rPr>
        <w:t> </w:t>
      </w:r>
      <w:r>
        <w:rPr/>
        <w:t>de</w:t>
      </w:r>
      <w:r>
        <w:rPr>
          <w:spacing w:val="-1"/>
        </w:rPr>
        <w:t> </w:t>
      </w:r>
      <w:r>
        <w:rPr/>
        <w:t>México.</w:t>
      </w:r>
      <w:r>
        <w:rPr>
          <w:spacing w:val="-3"/>
        </w:rPr>
        <w:t> </w:t>
      </w:r>
      <w:r>
        <w:rPr/>
        <w:t>El</w:t>
      </w:r>
      <w:r>
        <w:rPr>
          <w:spacing w:val="-5"/>
        </w:rPr>
        <w:t> </w:t>
      </w:r>
      <w:r>
        <w:rPr/>
        <w:t>Tribunal</w:t>
      </w:r>
      <w:r>
        <w:rPr>
          <w:spacing w:val="-5"/>
        </w:rPr>
        <w:t> </w:t>
      </w:r>
      <w:r>
        <w:rPr/>
        <w:t>tenía</w:t>
      </w:r>
      <w:r>
        <w:rPr>
          <w:spacing w:val="-5"/>
        </w:rPr>
        <w:t> </w:t>
      </w:r>
      <w:r>
        <w:rPr/>
        <w:t>por objeto tomar y finiquitar las cuentas que presentaban los oficiales reales y demás encargados de recaudar y administrar las rentas de la Corona, conforme a los procedimientos de la Contaduría Mayor de Cuentas de Castilla. La administración pública incipiente fue una respuesta al sistema económico mercantilista que ha prevalecido en México desde esta época. Los sectores que consideró la administración pública son los</w:t>
      </w:r>
      <w:r>
        <w:rPr>
          <w:spacing w:val="-22"/>
        </w:rPr>
        <w:t> </w:t>
      </w:r>
      <w:r>
        <w:rPr/>
        <w:t>siguientes.</w:t>
      </w:r>
    </w:p>
    <w:p>
      <w:pPr>
        <w:pStyle w:val="BodyText"/>
      </w:pPr>
    </w:p>
    <w:p>
      <w:pPr>
        <w:pStyle w:val="BodyText"/>
        <w:spacing w:before="8"/>
        <w:rPr>
          <w:sz w:val="29"/>
        </w:rPr>
      </w:pPr>
    </w:p>
    <w:p>
      <w:pPr>
        <w:pStyle w:val="ListParagraph"/>
        <w:numPr>
          <w:ilvl w:val="1"/>
          <w:numId w:val="42"/>
        </w:numPr>
        <w:tabs>
          <w:tab w:pos="821" w:val="left" w:leader="none"/>
        </w:tabs>
        <w:spacing w:line="360" w:lineRule="auto" w:before="1" w:after="0"/>
        <w:ind w:left="821" w:right="106" w:hanging="361"/>
        <w:jc w:val="both"/>
        <w:rPr>
          <w:sz w:val="24"/>
        </w:rPr>
      </w:pPr>
      <w:r>
        <w:rPr>
          <w:sz w:val="24"/>
        </w:rPr>
        <w:t>Sector</w:t>
      </w:r>
      <w:r>
        <w:rPr>
          <w:spacing w:val="-19"/>
          <w:sz w:val="24"/>
        </w:rPr>
        <w:t> </w:t>
      </w:r>
      <w:r>
        <w:rPr>
          <w:sz w:val="24"/>
        </w:rPr>
        <w:t>de</w:t>
      </w:r>
      <w:r>
        <w:rPr>
          <w:spacing w:val="-20"/>
          <w:sz w:val="24"/>
        </w:rPr>
        <w:t> </w:t>
      </w:r>
      <w:r>
        <w:rPr>
          <w:sz w:val="24"/>
        </w:rPr>
        <w:t>masa</w:t>
      </w:r>
      <w:r>
        <w:rPr>
          <w:spacing w:val="-20"/>
          <w:sz w:val="24"/>
        </w:rPr>
        <w:t> </w:t>
      </w:r>
      <w:r>
        <w:rPr>
          <w:sz w:val="24"/>
        </w:rPr>
        <w:t>común:</w:t>
      </w:r>
      <w:r>
        <w:rPr>
          <w:spacing w:val="-18"/>
          <w:sz w:val="24"/>
        </w:rPr>
        <w:t> </w:t>
      </w:r>
      <w:r>
        <w:rPr>
          <w:sz w:val="24"/>
        </w:rPr>
        <w:t>constituido</w:t>
      </w:r>
      <w:r>
        <w:rPr>
          <w:spacing w:val="-20"/>
          <w:sz w:val="24"/>
        </w:rPr>
        <w:t> </w:t>
      </w:r>
      <w:r>
        <w:rPr>
          <w:sz w:val="24"/>
        </w:rPr>
        <w:t>por</w:t>
      </w:r>
      <w:r>
        <w:rPr>
          <w:spacing w:val="-15"/>
          <w:sz w:val="24"/>
        </w:rPr>
        <w:t> </w:t>
      </w:r>
      <w:r>
        <w:rPr>
          <w:sz w:val="24"/>
        </w:rPr>
        <w:t>56</w:t>
      </w:r>
      <w:r>
        <w:rPr>
          <w:spacing w:val="-20"/>
          <w:sz w:val="24"/>
        </w:rPr>
        <w:t> </w:t>
      </w:r>
      <w:r>
        <w:rPr>
          <w:sz w:val="24"/>
        </w:rPr>
        <w:t>ramos</w:t>
      </w:r>
      <w:r>
        <w:rPr>
          <w:spacing w:val="-19"/>
          <w:sz w:val="24"/>
        </w:rPr>
        <w:t> </w:t>
      </w:r>
      <w:r>
        <w:rPr>
          <w:sz w:val="24"/>
        </w:rPr>
        <w:t>entre</w:t>
      </w:r>
      <w:r>
        <w:rPr>
          <w:spacing w:val="-20"/>
          <w:sz w:val="24"/>
        </w:rPr>
        <w:t> </w:t>
      </w:r>
      <w:r>
        <w:rPr>
          <w:sz w:val="24"/>
        </w:rPr>
        <w:t>los</w:t>
      </w:r>
      <w:r>
        <w:rPr>
          <w:spacing w:val="-19"/>
          <w:sz w:val="24"/>
        </w:rPr>
        <w:t> </w:t>
      </w:r>
      <w:r>
        <w:rPr>
          <w:sz w:val="24"/>
        </w:rPr>
        <w:t>que</w:t>
      </w:r>
      <w:r>
        <w:rPr>
          <w:spacing w:val="-20"/>
          <w:sz w:val="24"/>
        </w:rPr>
        <w:t> </w:t>
      </w:r>
      <w:r>
        <w:rPr>
          <w:sz w:val="24"/>
        </w:rPr>
        <w:t>se</w:t>
      </w:r>
      <w:r>
        <w:rPr>
          <w:spacing w:val="-20"/>
          <w:sz w:val="24"/>
        </w:rPr>
        <w:t> </w:t>
      </w:r>
      <w:r>
        <w:rPr>
          <w:sz w:val="24"/>
        </w:rPr>
        <w:t>encontraban los más productivos. Este sector era el sustento de la administración pública y</w:t>
      </w:r>
      <w:r>
        <w:rPr>
          <w:spacing w:val="-10"/>
          <w:sz w:val="24"/>
        </w:rPr>
        <w:t> </w:t>
      </w:r>
      <w:r>
        <w:rPr>
          <w:sz w:val="24"/>
        </w:rPr>
        <w:t>la</w:t>
      </w:r>
      <w:r>
        <w:rPr>
          <w:spacing w:val="-8"/>
          <w:sz w:val="24"/>
        </w:rPr>
        <w:t> </w:t>
      </w:r>
      <w:r>
        <w:rPr>
          <w:sz w:val="24"/>
        </w:rPr>
        <w:t>defensa</w:t>
      </w:r>
      <w:r>
        <w:rPr>
          <w:spacing w:val="-8"/>
          <w:sz w:val="24"/>
        </w:rPr>
        <w:t> </w:t>
      </w:r>
      <w:r>
        <w:rPr>
          <w:sz w:val="24"/>
        </w:rPr>
        <w:t>militar.</w:t>
      </w:r>
      <w:r>
        <w:rPr>
          <w:spacing w:val="-5"/>
          <w:sz w:val="24"/>
        </w:rPr>
        <w:t> </w:t>
      </w:r>
      <w:r>
        <w:rPr>
          <w:sz w:val="24"/>
        </w:rPr>
        <w:t>Este</w:t>
      </w:r>
      <w:r>
        <w:rPr>
          <w:spacing w:val="-8"/>
          <w:sz w:val="24"/>
        </w:rPr>
        <w:t> </w:t>
      </w:r>
      <w:r>
        <w:rPr>
          <w:sz w:val="24"/>
        </w:rPr>
        <w:t>sector</w:t>
      </w:r>
      <w:r>
        <w:rPr>
          <w:spacing w:val="-6"/>
          <w:sz w:val="24"/>
        </w:rPr>
        <w:t> </w:t>
      </w:r>
      <w:r>
        <w:rPr>
          <w:sz w:val="24"/>
        </w:rPr>
        <w:t>obtenía</w:t>
      </w:r>
      <w:r>
        <w:rPr>
          <w:spacing w:val="-8"/>
          <w:sz w:val="24"/>
        </w:rPr>
        <w:t> </w:t>
      </w:r>
      <w:r>
        <w:rPr>
          <w:sz w:val="24"/>
        </w:rPr>
        <w:t>los</w:t>
      </w:r>
      <w:r>
        <w:rPr>
          <w:spacing w:val="-6"/>
          <w:sz w:val="24"/>
        </w:rPr>
        <w:t> </w:t>
      </w:r>
      <w:r>
        <w:rPr>
          <w:sz w:val="24"/>
        </w:rPr>
        <w:t>recursos</w:t>
      </w:r>
      <w:r>
        <w:rPr>
          <w:spacing w:val="-6"/>
          <w:sz w:val="24"/>
        </w:rPr>
        <w:t> </w:t>
      </w:r>
      <w:r>
        <w:rPr>
          <w:sz w:val="24"/>
        </w:rPr>
        <w:t>que</w:t>
      </w:r>
      <w:r>
        <w:rPr>
          <w:spacing w:val="-8"/>
          <w:sz w:val="24"/>
        </w:rPr>
        <w:t> </w:t>
      </w:r>
      <w:r>
        <w:rPr>
          <w:sz w:val="24"/>
        </w:rPr>
        <w:t>se</w:t>
      </w:r>
      <w:r>
        <w:rPr>
          <w:spacing w:val="-8"/>
          <w:sz w:val="24"/>
        </w:rPr>
        <w:t> </w:t>
      </w:r>
      <w:r>
        <w:rPr>
          <w:sz w:val="24"/>
        </w:rPr>
        <w:t>necesitaban</w:t>
      </w:r>
      <w:r>
        <w:rPr>
          <w:spacing w:val="-8"/>
          <w:sz w:val="24"/>
        </w:rPr>
        <w:t> </w:t>
      </w:r>
      <w:r>
        <w:rPr>
          <w:sz w:val="24"/>
        </w:rPr>
        <w:t>para hacer</w:t>
      </w:r>
      <w:r>
        <w:rPr>
          <w:spacing w:val="-14"/>
          <w:sz w:val="24"/>
        </w:rPr>
        <w:t> </w:t>
      </w:r>
      <w:r>
        <w:rPr>
          <w:sz w:val="24"/>
        </w:rPr>
        <w:t>frente</w:t>
      </w:r>
      <w:r>
        <w:rPr>
          <w:spacing w:val="-16"/>
          <w:sz w:val="24"/>
        </w:rPr>
        <w:t> </w:t>
      </w:r>
      <w:r>
        <w:rPr>
          <w:sz w:val="24"/>
        </w:rPr>
        <w:t>a</w:t>
      </w:r>
      <w:r>
        <w:rPr>
          <w:spacing w:val="-13"/>
          <w:sz w:val="24"/>
        </w:rPr>
        <w:t> </w:t>
      </w:r>
      <w:r>
        <w:rPr>
          <w:sz w:val="24"/>
        </w:rPr>
        <w:t>las</w:t>
      </w:r>
      <w:r>
        <w:rPr>
          <w:spacing w:val="-14"/>
          <w:sz w:val="24"/>
        </w:rPr>
        <w:t> </w:t>
      </w:r>
      <w:r>
        <w:rPr>
          <w:sz w:val="24"/>
        </w:rPr>
        <w:t>cargas</w:t>
      </w:r>
      <w:r>
        <w:rPr>
          <w:spacing w:val="-11"/>
          <w:sz w:val="24"/>
        </w:rPr>
        <w:t> </w:t>
      </w:r>
      <w:r>
        <w:rPr>
          <w:sz w:val="24"/>
        </w:rPr>
        <w:t>del</w:t>
      </w:r>
      <w:r>
        <w:rPr>
          <w:spacing w:val="-15"/>
          <w:sz w:val="24"/>
        </w:rPr>
        <w:t> </w:t>
      </w:r>
      <w:r>
        <w:rPr>
          <w:sz w:val="24"/>
        </w:rPr>
        <w:t>reino.</w:t>
      </w:r>
      <w:r>
        <w:rPr>
          <w:spacing w:val="-14"/>
          <w:sz w:val="24"/>
        </w:rPr>
        <w:t> </w:t>
      </w:r>
      <w:r>
        <w:rPr>
          <w:sz w:val="24"/>
        </w:rPr>
        <w:t>Los</w:t>
      </w:r>
      <w:r>
        <w:rPr>
          <w:spacing w:val="-11"/>
          <w:sz w:val="24"/>
        </w:rPr>
        <w:t> </w:t>
      </w:r>
      <w:r>
        <w:rPr>
          <w:sz w:val="24"/>
        </w:rPr>
        <w:t>ingresos</w:t>
      </w:r>
      <w:r>
        <w:rPr>
          <w:spacing w:val="-14"/>
          <w:sz w:val="24"/>
        </w:rPr>
        <w:t> </w:t>
      </w:r>
      <w:r>
        <w:rPr>
          <w:sz w:val="24"/>
        </w:rPr>
        <w:t>provenían</w:t>
      </w:r>
      <w:r>
        <w:rPr>
          <w:spacing w:val="-16"/>
          <w:sz w:val="24"/>
        </w:rPr>
        <w:t> </w:t>
      </w:r>
      <w:r>
        <w:rPr>
          <w:sz w:val="24"/>
        </w:rPr>
        <w:t>fundamentalmente de los indios, de los derechos de oro y plata, el quinto real, la alcabala, y el almojarifazgo. En este sector se hallaban las empresas del Estado, tanto las que explotaba directamente como las que daba en concesión o arrendamiento.</w:t>
      </w:r>
    </w:p>
    <w:p>
      <w:pPr>
        <w:pStyle w:val="ListParagraph"/>
        <w:numPr>
          <w:ilvl w:val="1"/>
          <w:numId w:val="42"/>
        </w:numPr>
        <w:tabs>
          <w:tab w:pos="821" w:val="left" w:leader="none"/>
        </w:tabs>
        <w:spacing w:line="360" w:lineRule="auto" w:before="2" w:after="0"/>
        <w:ind w:left="821" w:right="102" w:hanging="361"/>
        <w:jc w:val="both"/>
        <w:rPr>
          <w:sz w:val="24"/>
        </w:rPr>
      </w:pPr>
      <w:r>
        <w:rPr>
          <w:sz w:val="24"/>
        </w:rPr>
        <w:t>Sector de particulares: sus productos se destinaban a obras piadosas, mantenimiento de misiones religiosas, pagos de sueldos a escribanos, letrados y en general gastos de justicia y divulgación de la fe. Sus recursos provenían de los impuestos como los diezmos eclesiásticos que pertenecían al</w:t>
      </w:r>
      <w:r>
        <w:rPr>
          <w:spacing w:val="-5"/>
          <w:sz w:val="24"/>
        </w:rPr>
        <w:t> </w:t>
      </w:r>
      <w:r>
        <w:rPr>
          <w:sz w:val="24"/>
        </w:rPr>
        <w:t>rey</w:t>
      </w:r>
      <w:r>
        <w:rPr>
          <w:spacing w:val="-8"/>
          <w:sz w:val="24"/>
        </w:rPr>
        <w:t> </w:t>
      </w:r>
      <w:r>
        <w:rPr>
          <w:sz w:val="24"/>
        </w:rPr>
        <w:t>por</w:t>
      </w:r>
      <w:r>
        <w:rPr>
          <w:spacing w:val="-3"/>
          <w:sz w:val="24"/>
        </w:rPr>
        <w:t> </w:t>
      </w:r>
      <w:r>
        <w:rPr>
          <w:sz w:val="24"/>
        </w:rPr>
        <w:t>disposición</w:t>
      </w:r>
      <w:r>
        <w:rPr>
          <w:spacing w:val="-5"/>
          <w:sz w:val="24"/>
        </w:rPr>
        <w:t> </w:t>
      </w:r>
      <w:r>
        <w:rPr>
          <w:sz w:val="24"/>
        </w:rPr>
        <w:t>oficial</w:t>
      </w:r>
      <w:r>
        <w:rPr>
          <w:spacing w:val="-5"/>
          <w:sz w:val="24"/>
        </w:rPr>
        <w:t> </w:t>
      </w:r>
      <w:r>
        <w:rPr>
          <w:sz w:val="24"/>
        </w:rPr>
        <w:t>y</w:t>
      </w:r>
      <w:r>
        <w:rPr>
          <w:spacing w:val="-8"/>
          <w:sz w:val="24"/>
        </w:rPr>
        <w:t> </w:t>
      </w:r>
      <w:r>
        <w:rPr>
          <w:sz w:val="24"/>
        </w:rPr>
        <w:t>la</w:t>
      </w:r>
      <w:r>
        <w:rPr>
          <w:spacing w:val="-1"/>
          <w:sz w:val="24"/>
        </w:rPr>
        <w:t> </w:t>
      </w:r>
      <w:r>
        <w:rPr>
          <w:i/>
          <w:sz w:val="24"/>
        </w:rPr>
        <w:t>media</w:t>
      </w:r>
      <w:r>
        <w:rPr>
          <w:i/>
          <w:spacing w:val="-1"/>
          <w:sz w:val="24"/>
        </w:rPr>
        <w:t> </w:t>
      </w:r>
      <w:r>
        <w:rPr>
          <w:i/>
          <w:sz w:val="24"/>
        </w:rPr>
        <w:t>annata</w:t>
      </w:r>
      <w:r>
        <w:rPr>
          <w:i/>
          <w:spacing w:val="-5"/>
          <w:sz w:val="24"/>
        </w:rPr>
        <w:t> </w:t>
      </w:r>
      <w:r>
        <w:rPr>
          <w:i/>
          <w:sz w:val="24"/>
        </w:rPr>
        <w:t>eclesiástica</w:t>
      </w:r>
      <w:r>
        <w:rPr>
          <w:i/>
          <w:spacing w:val="-5"/>
          <w:sz w:val="24"/>
        </w:rPr>
        <w:t> </w:t>
      </w:r>
      <w:r>
        <w:rPr>
          <w:i/>
          <w:sz w:val="24"/>
        </w:rPr>
        <w:t>(</w:t>
      </w:r>
      <w:r>
        <w:rPr>
          <w:sz w:val="24"/>
        </w:rPr>
        <w:t>suma</w:t>
      </w:r>
      <w:r>
        <w:rPr>
          <w:spacing w:val="-5"/>
          <w:sz w:val="24"/>
        </w:rPr>
        <w:t> </w:t>
      </w:r>
      <w:r>
        <w:rPr>
          <w:sz w:val="24"/>
        </w:rPr>
        <w:t>equivalente a un año de ingresos que pagaban a la santa sede los que habían percibido un beneficio) además de multas por delitos o faltas. A este sector </w:t>
      </w:r>
      <w:r>
        <w:rPr>
          <w:spacing w:val="-3"/>
          <w:sz w:val="24"/>
        </w:rPr>
        <w:t>se </w:t>
      </w:r>
      <w:r>
        <w:rPr>
          <w:sz w:val="24"/>
        </w:rPr>
        <w:t>incorporaban el subsidio eclesiástico, las vacantes (sueldos de obispos que no ejercían el cargo) y las bulas de la santa cruzada (el ingreso por la </w:t>
      </w:r>
      <w:r>
        <w:rPr>
          <w:spacing w:val="55"/>
          <w:sz w:val="24"/>
        </w:rPr>
        <w:t> </w:t>
      </w:r>
      <w:r>
        <w:rPr>
          <w:sz w:val="24"/>
        </w:rPr>
        <w:t>venta</w:t>
      </w:r>
    </w:p>
    <w:p>
      <w:pPr>
        <w:spacing w:after="0" w:line="360" w:lineRule="auto"/>
        <w:jc w:val="both"/>
        <w:rPr>
          <w:sz w:val="24"/>
        </w:rPr>
        <w:sectPr>
          <w:pgSz w:w="12240" w:h="15840"/>
          <w:pgMar w:header="0" w:footer="998" w:top="1360" w:bottom="1180" w:left="1600" w:right="1500"/>
        </w:sectPr>
      </w:pPr>
    </w:p>
    <w:p>
      <w:pPr>
        <w:pStyle w:val="BodyText"/>
        <w:spacing w:line="362" w:lineRule="auto" w:before="55"/>
        <w:ind w:left="841" w:right="37"/>
      </w:pPr>
      <w:r>
        <w:rPr/>
        <w:t>de</w:t>
      </w:r>
      <w:r>
        <w:rPr>
          <w:spacing w:val="-17"/>
        </w:rPr>
        <w:t> </w:t>
      </w:r>
      <w:r>
        <w:rPr/>
        <w:t>indulgencias).</w:t>
      </w:r>
      <w:r>
        <w:rPr>
          <w:spacing w:val="-14"/>
        </w:rPr>
        <w:t> </w:t>
      </w:r>
      <w:r>
        <w:rPr/>
        <w:t>Tanto</w:t>
      </w:r>
      <w:r>
        <w:rPr>
          <w:spacing w:val="-17"/>
        </w:rPr>
        <w:t> </w:t>
      </w:r>
      <w:r>
        <w:rPr/>
        <w:t>los</w:t>
      </w:r>
      <w:r>
        <w:rPr>
          <w:spacing w:val="-15"/>
        </w:rPr>
        <w:t> </w:t>
      </w:r>
      <w:r>
        <w:rPr/>
        <w:t>ingresos</w:t>
      </w:r>
      <w:r>
        <w:rPr>
          <w:spacing w:val="-15"/>
        </w:rPr>
        <w:t> </w:t>
      </w:r>
      <w:r>
        <w:rPr/>
        <w:t>por</w:t>
      </w:r>
      <w:r>
        <w:rPr>
          <w:spacing w:val="-15"/>
        </w:rPr>
        <w:t> </w:t>
      </w:r>
      <w:r>
        <w:rPr/>
        <w:t>subsidios</w:t>
      </w:r>
      <w:r>
        <w:rPr>
          <w:spacing w:val="-15"/>
        </w:rPr>
        <w:t> </w:t>
      </w:r>
      <w:r>
        <w:rPr/>
        <w:t>como</w:t>
      </w:r>
      <w:r>
        <w:rPr>
          <w:spacing w:val="-17"/>
        </w:rPr>
        <w:t> </w:t>
      </w:r>
      <w:r>
        <w:rPr/>
        <w:t>por</w:t>
      </w:r>
      <w:r>
        <w:rPr>
          <w:spacing w:val="-15"/>
        </w:rPr>
        <w:t> </w:t>
      </w:r>
      <w:r>
        <w:rPr/>
        <w:t>las</w:t>
      </w:r>
      <w:r>
        <w:rPr>
          <w:spacing w:val="-15"/>
        </w:rPr>
        <w:t> </w:t>
      </w:r>
      <w:r>
        <w:rPr/>
        <w:t>bulas</w:t>
      </w:r>
      <w:r>
        <w:rPr>
          <w:spacing w:val="-15"/>
        </w:rPr>
        <w:t> </w:t>
      </w:r>
      <w:r>
        <w:rPr/>
        <w:t>pasaron a la esfera real con autorización del</w:t>
      </w:r>
      <w:r>
        <w:rPr>
          <w:spacing w:val="-27"/>
        </w:rPr>
        <w:t> </w:t>
      </w:r>
      <w:r>
        <w:rPr/>
        <w:t>Papa.</w:t>
      </w:r>
    </w:p>
    <w:p>
      <w:pPr>
        <w:pStyle w:val="ListParagraph"/>
        <w:numPr>
          <w:ilvl w:val="1"/>
          <w:numId w:val="42"/>
        </w:numPr>
        <w:tabs>
          <w:tab w:pos="841" w:val="left" w:leader="none"/>
        </w:tabs>
        <w:spacing w:line="360" w:lineRule="auto" w:before="0" w:after="0"/>
        <w:ind w:left="841" w:right="109" w:hanging="361"/>
        <w:jc w:val="both"/>
        <w:rPr>
          <w:sz w:val="24"/>
        </w:rPr>
      </w:pPr>
      <w:r>
        <w:rPr>
          <w:sz w:val="24"/>
        </w:rPr>
        <w:t>Sector de ajenos: ingresos que provenían de los montepíos (inválidos, militares, oficinistas, pilotos y maestranza), el medio real de ministros, los derechos de señoreaje y de </w:t>
      </w:r>
      <w:r>
        <w:rPr>
          <w:i/>
          <w:sz w:val="24"/>
        </w:rPr>
        <w:t>sisa </w:t>
      </w:r>
      <w:r>
        <w:rPr>
          <w:sz w:val="24"/>
        </w:rPr>
        <w:t>(parte defraudada o hurtada en la compra diaria de comestibles). Los productos del sector eran utilizados para pagar pensiones y sueldos, gastos municipales, gastos del tribunal de minería y otros relativos a diversas corporaciones y de la administración</w:t>
      </w:r>
      <w:r>
        <w:rPr>
          <w:spacing w:val="-40"/>
          <w:sz w:val="24"/>
        </w:rPr>
        <w:t> </w:t>
      </w:r>
      <w:r>
        <w:rPr>
          <w:sz w:val="24"/>
        </w:rPr>
        <w:t>pública.</w:t>
      </w:r>
    </w:p>
    <w:p>
      <w:pPr>
        <w:pStyle w:val="ListParagraph"/>
        <w:numPr>
          <w:ilvl w:val="1"/>
          <w:numId w:val="42"/>
        </w:numPr>
        <w:tabs>
          <w:tab w:pos="841" w:val="left" w:leader="none"/>
        </w:tabs>
        <w:spacing w:line="360" w:lineRule="auto" w:before="2" w:after="0"/>
        <w:ind w:left="841" w:right="107" w:hanging="361"/>
        <w:jc w:val="both"/>
        <w:rPr>
          <w:sz w:val="24"/>
        </w:rPr>
      </w:pPr>
      <w:r>
        <w:rPr>
          <w:sz w:val="24"/>
        </w:rPr>
        <w:t>El sector de estancos especiales: lo constituían el tabaco, naipes y azogues. Los tres ramos eran un monopolio del Estado. Sus productos eran comercializados por los monopolios y estaba a la disposición del “real ánimo del</w:t>
      </w:r>
      <w:r>
        <w:rPr>
          <w:spacing w:val="-10"/>
          <w:sz w:val="24"/>
        </w:rPr>
        <w:t> </w:t>
      </w:r>
      <w:r>
        <w:rPr>
          <w:sz w:val="24"/>
        </w:rPr>
        <w:t>monarca”.</w:t>
      </w:r>
    </w:p>
    <w:p>
      <w:pPr>
        <w:pStyle w:val="BodyText"/>
      </w:pPr>
    </w:p>
    <w:p>
      <w:pPr>
        <w:pStyle w:val="BodyText"/>
        <w:spacing w:before="4"/>
        <w:rPr>
          <w:sz w:val="29"/>
        </w:rPr>
      </w:pPr>
    </w:p>
    <w:p>
      <w:pPr>
        <w:pStyle w:val="Heading3"/>
        <w:numPr>
          <w:ilvl w:val="2"/>
          <w:numId w:val="41"/>
        </w:numPr>
        <w:tabs>
          <w:tab w:pos="720" w:val="left" w:leader="none"/>
        </w:tabs>
        <w:spacing w:line="240" w:lineRule="auto" w:before="0" w:after="0"/>
        <w:ind w:left="719" w:right="0" w:hanging="599"/>
        <w:jc w:val="both"/>
      </w:pPr>
      <w:bookmarkStart w:name="_bookmark45" w:id="60"/>
      <w:bookmarkEnd w:id="60"/>
      <w:r>
        <w:rPr>
          <w:b w:val="0"/>
        </w:rPr>
      </w:r>
      <w:bookmarkStart w:name="_bookmark45" w:id="61"/>
      <w:bookmarkEnd w:id="61"/>
      <w:r>
        <w:rPr/>
        <w:t>L</w:t>
      </w:r>
      <w:r>
        <w:rPr/>
        <w:t>as instituciones europeas en la Nueva</w:t>
      </w:r>
      <w:r>
        <w:rPr>
          <w:spacing w:val="-24"/>
        </w:rPr>
        <w:t> </w:t>
      </w:r>
      <w:r>
        <w:rPr/>
        <w:t>España</w:t>
      </w:r>
    </w:p>
    <w:p>
      <w:pPr>
        <w:pStyle w:val="BodyText"/>
        <w:rPr>
          <w:b/>
        </w:rPr>
      </w:pPr>
    </w:p>
    <w:p>
      <w:pPr>
        <w:pStyle w:val="BodyText"/>
        <w:spacing w:before="4"/>
        <w:rPr>
          <w:b/>
        </w:rPr>
      </w:pPr>
    </w:p>
    <w:p>
      <w:pPr>
        <w:pStyle w:val="BodyText"/>
        <w:spacing w:line="357" w:lineRule="auto"/>
        <w:ind w:left="120" w:right="199"/>
        <w:jc w:val="both"/>
        <w:rPr>
          <w:sz w:val="16"/>
        </w:rPr>
      </w:pPr>
      <w:r>
        <w:rPr/>
        <w:t>Con</w:t>
      </w:r>
      <w:r>
        <w:rPr>
          <w:spacing w:val="-20"/>
        </w:rPr>
        <w:t> </w:t>
      </w:r>
      <w:r>
        <w:rPr/>
        <w:t>la</w:t>
      </w:r>
      <w:r>
        <w:rPr>
          <w:spacing w:val="-20"/>
        </w:rPr>
        <w:t> </w:t>
      </w:r>
      <w:r>
        <w:rPr/>
        <w:t>rendición</w:t>
      </w:r>
      <w:r>
        <w:rPr>
          <w:spacing w:val="-20"/>
        </w:rPr>
        <w:t> </w:t>
      </w:r>
      <w:r>
        <w:rPr/>
        <w:t>de</w:t>
      </w:r>
      <w:r>
        <w:rPr>
          <w:spacing w:val="-20"/>
        </w:rPr>
        <w:t> </w:t>
      </w:r>
      <w:r>
        <w:rPr/>
        <w:t>los</w:t>
      </w:r>
      <w:r>
        <w:rPr>
          <w:spacing w:val="-14"/>
        </w:rPr>
        <w:t> </w:t>
      </w:r>
      <w:r>
        <w:rPr/>
        <w:t>mexicas</w:t>
      </w:r>
      <w:r>
        <w:rPr>
          <w:spacing w:val="-18"/>
        </w:rPr>
        <w:t> </w:t>
      </w:r>
      <w:r>
        <w:rPr/>
        <w:t>el</w:t>
      </w:r>
      <w:r>
        <w:rPr>
          <w:spacing w:val="-15"/>
        </w:rPr>
        <w:t> </w:t>
      </w:r>
      <w:r>
        <w:rPr/>
        <w:t>13</w:t>
      </w:r>
      <w:r>
        <w:rPr>
          <w:spacing w:val="-20"/>
        </w:rPr>
        <w:t> </w:t>
      </w:r>
      <w:r>
        <w:rPr/>
        <w:t>de</w:t>
      </w:r>
      <w:r>
        <w:rPr>
          <w:spacing w:val="-20"/>
        </w:rPr>
        <w:t> </w:t>
      </w:r>
      <w:r>
        <w:rPr/>
        <w:t>agosto</w:t>
      </w:r>
      <w:r>
        <w:rPr>
          <w:spacing w:val="-16"/>
        </w:rPr>
        <w:t> </w:t>
      </w:r>
      <w:r>
        <w:rPr/>
        <w:t>de</w:t>
      </w:r>
      <w:r>
        <w:rPr>
          <w:spacing w:val="-20"/>
        </w:rPr>
        <w:t> </w:t>
      </w:r>
      <w:r>
        <w:rPr/>
        <w:t>1521,</w:t>
      </w:r>
      <w:r>
        <w:rPr>
          <w:spacing w:val="-17"/>
        </w:rPr>
        <w:t> </w:t>
      </w:r>
      <w:r>
        <w:rPr/>
        <w:t>se</w:t>
      </w:r>
      <w:r>
        <w:rPr>
          <w:spacing w:val="-20"/>
        </w:rPr>
        <w:t> </w:t>
      </w:r>
      <w:r>
        <w:rPr/>
        <w:t>dio</w:t>
      </w:r>
      <w:r>
        <w:rPr>
          <w:spacing w:val="-20"/>
        </w:rPr>
        <w:t> </w:t>
      </w:r>
      <w:r>
        <w:rPr/>
        <w:t>fin</w:t>
      </w:r>
      <w:r>
        <w:rPr>
          <w:spacing w:val="-20"/>
        </w:rPr>
        <w:t> </w:t>
      </w:r>
      <w:r>
        <w:rPr/>
        <w:t>al</w:t>
      </w:r>
      <w:r>
        <w:rPr>
          <w:spacing w:val="-19"/>
        </w:rPr>
        <w:t> </w:t>
      </w:r>
      <w:r>
        <w:rPr/>
        <w:t>sistema</w:t>
      </w:r>
      <w:r>
        <w:rPr>
          <w:spacing w:val="-16"/>
        </w:rPr>
        <w:t> </w:t>
      </w:r>
      <w:r>
        <w:rPr/>
        <w:t>político mexica</w:t>
      </w:r>
      <w:r>
        <w:rPr>
          <w:spacing w:val="-8"/>
        </w:rPr>
        <w:t> </w:t>
      </w:r>
      <w:r>
        <w:rPr/>
        <w:t>y</w:t>
      </w:r>
      <w:r>
        <w:rPr>
          <w:spacing w:val="-13"/>
        </w:rPr>
        <w:t> </w:t>
      </w:r>
      <w:r>
        <w:rPr/>
        <w:t>empezó</w:t>
      </w:r>
      <w:r>
        <w:rPr>
          <w:spacing w:val="-11"/>
        </w:rPr>
        <w:t> </w:t>
      </w:r>
      <w:r>
        <w:rPr/>
        <w:t>la</w:t>
      </w:r>
      <w:r>
        <w:rPr>
          <w:spacing w:val="-11"/>
        </w:rPr>
        <w:t> </w:t>
      </w:r>
      <w:r>
        <w:rPr/>
        <w:t>vida</w:t>
      </w:r>
      <w:r>
        <w:rPr>
          <w:spacing w:val="-11"/>
        </w:rPr>
        <w:t> </w:t>
      </w:r>
      <w:r>
        <w:rPr/>
        <w:t>de</w:t>
      </w:r>
      <w:r>
        <w:rPr>
          <w:spacing w:val="-11"/>
        </w:rPr>
        <w:t> </w:t>
      </w:r>
      <w:r>
        <w:rPr/>
        <w:t>la</w:t>
      </w:r>
      <w:r>
        <w:rPr>
          <w:spacing w:val="-11"/>
        </w:rPr>
        <w:t> </w:t>
      </w:r>
      <w:r>
        <w:rPr/>
        <w:t>Nueva</w:t>
      </w:r>
      <w:r>
        <w:rPr>
          <w:spacing w:val="-11"/>
        </w:rPr>
        <w:t> </w:t>
      </w:r>
      <w:r>
        <w:rPr/>
        <w:t>España</w:t>
      </w:r>
      <w:r>
        <w:rPr>
          <w:spacing w:val="-8"/>
        </w:rPr>
        <w:t> </w:t>
      </w:r>
      <w:r>
        <w:rPr/>
        <w:t>que</w:t>
      </w:r>
      <w:r>
        <w:rPr>
          <w:spacing w:val="-11"/>
        </w:rPr>
        <w:t> </w:t>
      </w:r>
      <w:r>
        <w:rPr/>
        <w:t>se</w:t>
      </w:r>
      <w:r>
        <w:rPr>
          <w:spacing w:val="-11"/>
        </w:rPr>
        <w:t> </w:t>
      </w:r>
      <w:r>
        <w:rPr/>
        <w:t>prolongó</w:t>
      </w:r>
      <w:r>
        <w:rPr>
          <w:spacing w:val="-11"/>
        </w:rPr>
        <w:t> </w:t>
      </w:r>
      <w:r>
        <w:rPr/>
        <w:t>tres</w:t>
      </w:r>
      <w:r>
        <w:rPr>
          <w:spacing w:val="-6"/>
        </w:rPr>
        <w:t> </w:t>
      </w:r>
      <w:r>
        <w:rPr/>
        <w:t>siglos.</w:t>
      </w:r>
      <w:r>
        <w:rPr>
          <w:spacing w:val="-9"/>
        </w:rPr>
        <w:t> </w:t>
      </w:r>
      <w:r>
        <w:rPr/>
        <w:t>El</w:t>
      </w:r>
      <w:r>
        <w:rPr>
          <w:spacing w:val="-8"/>
        </w:rPr>
        <w:t> </w:t>
      </w:r>
      <w:r>
        <w:rPr/>
        <w:t>Estado monárquico de los españoles tenía una estrecha relación con la iglesia, modelo político-religioso implantado en la Nueva</w:t>
      </w:r>
      <w:r>
        <w:rPr>
          <w:spacing w:val="-26"/>
        </w:rPr>
        <w:t> </w:t>
      </w:r>
      <w:r>
        <w:rPr/>
        <w:t>España.</w:t>
      </w:r>
      <w:r>
        <w:rPr>
          <w:position w:val="8"/>
          <w:sz w:val="16"/>
        </w:rPr>
        <w:t>41</w:t>
      </w:r>
    </w:p>
    <w:p>
      <w:pPr>
        <w:pStyle w:val="BodyText"/>
        <w:spacing w:line="357" w:lineRule="auto" w:before="5"/>
        <w:ind w:left="120" w:right="203" w:firstLine="427"/>
        <w:jc w:val="both"/>
        <w:rPr>
          <w:sz w:val="16"/>
        </w:rPr>
      </w:pPr>
      <w:r>
        <w:rPr/>
        <w:t>En</w:t>
      </w:r>
      <w:r>
        <w:rPr>
          <w:spacing w:val="-15"/>
        </w:rPr>
        <w:t> </w:t>
      </w:r>
      <w:r>
        <w:rPr/>
        <w:t>el</w:t>
      </w:r>
      <w:r>
        <w:rPr>
          <w:spacing w:val="-14"/>
        </w:rPr>
        <w:t> </w:t>
      </w:r>
      <w:r>
        <w:rPr/>
        <w:t>Estado</w:t>
      </w:r>
      <w:r>
        <w:rPr>
          <w:spacing w:val="-15"/>
        </w:rPr>
        <w:t> </w:t>
      </w:r>
      <w:r>
        <w:rPr/>
        <w:t>español</w:t>
      </w:r>
      <w:r>
        <w:rPr>
          <w:spacing w:val="-14"/>
        </w:rPr>
        <w:t> </w:t>
      </w:r>
      <w:r>
        <w:rPr/>
        <w:t>un</w:t>
      </w:r>
      <w:r>
        <w:rPr>
          <w:spacing w:val="-15"/>
        </w:rPr>
        <w:t> </w:t>
      </w:r>
      <w:r>
        <w:rPr/>
        <w:t>rey</w:t>
      </w:r>
      <w:r>
        <w:rPr>
          <w:spacing w:val="-17"/>
        </w:rPr>
        <w:t> </w:t>
      </w:r>
      <w:r>
        <w:rPr/>
        <w:t>era</w:t>
      </w:r>
      <w:r>
        <w:rPr>
          <w:spacing w:val="-15"/>
        </w:rPr>
        <w:t> </w:t>
      </w:r>
      <w:r>
        <w:rPr/>
        <w:t>soberano</w:t>
      </w:r>
      <w:r>
        <w:rPr>
          <w:spacing w:val="-15"/>
        </w:rPr>
        <w:t> </w:t>
      </w:r>
      <w:r>
        <w:rPr/>
        <w:t>sobre</w:t>
      </w:r>
      <w:r>
        <w:rPr>
          <w:spacing w:val="-15"/>
        </w:rPr>
        <w:t> </w:t>
      </w:r>
      <w:r>
        <w:rPr/>
        <w:t>la</w:t>
      </w:r>
      <w:r>
        <w:rPr>
          <w:spacing w:val="-15"/>
        </w:rPr>
        <w:t> </w:t>
      </w:r>
      <w:r>
        <w:rPr/>
        <w:t>sociedad</w:t>
      </w:r>
      <w:r>
        <w:rPr>
          <w:spacing w:val="-15"/>
        </w:rPr>
        <w:t> </w:t>
      </w:r>
      <w:r>
        <w:rPr/>
        <w:t>civil</w:t>
      </w:r>
      <w:r>
        <w:rPr>
          <w:spacing w:val="-10"/>
        </w:rPr>
        <w:t> </w:t>
      </w:r>
      <w:r>
        <w:rPr/>
        <w:t>y</w:t>
      </w:r>
      <w:r>
        <w:rPr>
          <w:spacing w:val="-17"/>
        </w:rPr>
        <w:t> </w:t>
      </w:r>
      <w:r>
        <w:rPr/>
        <w:t>la</w:t>
      </w:r>
      <w:r>
        <w:rPr>
          <w:spacing w:val="-15"/>
        </w:rPr>
        <w:t> </w:t>
      </w:r>
      <w:r>
        <w:rPr/>
        <w:t>comunidad eclesiástica. En 1519 se instituyó en América la religión católica y fue la institución ideológica </w:t>
      </w:r>
      <w:r>
        <w:rPr>
          <w:spacing w:val="-2"/>
        </w:rPr>
        <w:t>más </w:t>
      </w:r>
      <w:r>
        <w:rPr/>
        <w:t>poderosa e influyente en la cultura</w:t>
      </w:r>
      <w:r>
        <w:rPr>
          <w:spacing w:val="-21"/>
        </w:rPr>
        <w:t> </w:t>
      </w:r>
      <w:r>
        <w:rPr/>
        <w:t>mexicana.</w:t>
      </w:r>
      <w:r>
        <w:rPr>
          <w:position w:val="8"/>
          <w:sz w:val="16"/>
        </w:rPr>
        <w:t>42</w:t>
      </w:r>
    </w:p>
    <w:p>
      <w:pPr>
        <w:pStyle w:val="BodyText"/>
        <w:spacing w:line="360" w:lineRule="auto" w:before="1"/>
        <w:ind w:left="120" w:right="198" w:firstLine="427"/>
        <w:jc w:val="both"/>
      </w:pPr>
      <w:r>
        <w:rPr/>
        <w:t>Algunos historiadores sostienen que en el periodo de la Nueva España (1521- 1821) existieron dos tipos bien definidos de Estado, de acuerdo con las dos casas reinantes en España durante esa época: los Habsburgo (1521 a 1700) y los Borbones (1763 a 1810).</w:t>
      </w: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6088;mso-wrap-distance-left:0;mso-wrap-distance-right:0" from="85.025002pt,16.45681pt" to="229.075002pt,16.45681pt" stroked="true" strokeweight=".80005pt" strokecolor="#000000">
            <w10:wrap type="topAndBottom"/>
          </v:line>
        </w:pict>
      </w:r>
    </w:p>
    <w:p>
      <w:pPr>
        <w:spacing w:before="62"/>
        <w:ind w:left="120" w:right="137" w:firstLine="0"/>
        <w:jc w:val="left"/>
        <w:rPr>
          <w:sz w:val="16"/>
        </w:rPr>
      </w:pPr>
      <w:r>
        <w:rPr>
          <w:position w:val="6"/>
          <w:sz w:val="10"/>
        </w:rPr>
        <w:t>41</w:t>
      </w:r>
      <w:r>
        <w:rPr>
          <w:spacing w:val="6"/>
          <w:position w:val="6"/>
          <w:sz w:val="10"/>
        </w:rPr>
        <w:t> </w:t>
      </w:r>
      <w:r>
        <w:rPr>
          <w:sz w:val="16"/>
        </w:rPr>
        <w:t>La</w:t>
      </w:r>
      <w:r>
        <w:rPr>
          <w:spacing w:val="-11"/>
          <w:sz w:val="16"/>
        </w:rPr>
        <w:t> </w:t>
      </w:r>
      <w:r>
        <w:rPr>
          <w:sz w:val="16"/>
        </w:rPr>
        <w:t>Nueva</w:t>
      </w:r>
      <w:r>
        <w:rPr>
          <w:spacing w:val="-8"/>
          <w:sz w:val="16"/>
        </w:rPr>
        <w:t> </w:t>
      </w:r>
      <w:r>
        <w:rPr>
          <w:sz w:val="16"/>
        </w:rPr>
        <w:t>España</w:t>
      </w:r>
      <w:r>
        <w:rPr>
          <w:spacing w:val="-8"/>
          <w:sz w:val="16"/>
        </w:rPr>
        <w:t> </w:t>
      </w:r>
      <w:r>
        <w:rPr>
          <w:sz w:val="16"/>
        </w:rPr>
        <w:t>era</w:t>
      </w:r>
      <w:r>
        <w:rPr>
          <w:spacing w:val="-8"/>
          <w:sz w:val="16"/>
        </w:rPr>
        <w:t> </w:t>
      </w:r>
      <w:r>
        <w:rPr>
          <w:sz w:val="16"/>
        </w:rPr>
        <w:t>una</w:t>
      </w:r>
      <w:r>
        <w:rPr>
          <w:spacing w:val="-8"/>
          <w:sz w:val="16"/>
        </w:rPr>
        <w:t> </w:t>
      </w:r>
      <w:r>
        <w:rPr>
          <w:sz w:val="16"/>
        </w:rPr>
        <w:t>de</w:t>
      </w:r>
      <w:r>
        <w:rPr>
          <w:spacing w:val="-8"/>
          <w:sz w:val="16"/>
        </w:rPr>
        <w:t> </w:t>
      </w:r>
      <w:r>
        <w:rPr>
          <w:sz w:val="16"/>
        </w:rPr>
        <w:t>las</w:t>
      </w:r>
      <w:r>
        <w:rPr>
          <w:spacing w:val="-10"/>
          <w:sz w:val="16"/>
        </w:rPr>
        <w:t> </w:t>
      </w:r>
      <w:r>
        <w:rPr>
          <w:sz w:val="16"/>
        </w:rPr>
        <w:t>4</w:t>
      </w:r>
      <w:r>
        <w:rPr>
          <w:spacing w:val="-8"/>
          <w:sz w:val="16"/>
        </w:rPr>
        <w:t> </w:t>
      </w:r>
      <w:r>
        <w:rPr>
          <w:sz w:val="16"/>
        </w:rPr>
        <w:t>provincias</w:t>
      </w:r>
      <w:r>
        <w:rPr>
          <w:spacing w:val="-14"/>
          <w:sz w:val="16"/>
        </w:rPr>
        <w:t> </w:t>
      </w:r>
      <w:r>
        <w:rPr>
          <w:sz w:val="16"/>
        </w:rPr>
        <w:t>españolas</w:t>
      </w:r>
      <w:r>
        <w:rPr>
          <w:spacing w:val="-10"/>
          <w:sz w:val="16"/>
        </w:rPr>
        <w:t> </w:t>
      </w:r>
      <w:r>
        <w:rPr>
          <w:sz w:val="16"/>
        </w:rPr>
        <w:t>en</w:t>
      </w:r>
      <w:r>
        <w:rPr>
          <w:spacing w:val="-11"/>
          <w:sz w:val="16"/>
        </w:rPr>
        <w:t> </w:t>
      </w:r>
      <w:r>
        <w:rPr>
          <w:sz w:val="16"/>
        </w:rPr>
        <w:t>el</w:t>
      </w:r>
      <w:r>
        <w:rPr>
          <w:spacing w:val="-10"/>
          <w:sz w:val="16"/>
        </w:rPr>
        <w:t> </w:t>
      </w:r>
      <w:r>
        <w:rPr>
          <w:sz w:val="16"/>
        </w:rPr>
        <w:t>Continente</w:t>
      </w:r>
      <w:r>
        <w:rPr>
          <w:spacing w:val="-9"/>
          <w:sz w:val="16"/>
        </w:rPr>
        <w:t> </w:t>
      </w:r>
      <w:r>
        <w:rPr>
          <w:sz w:val="16"/>
        </w:rPr>
        <w:t>Americano</w:t>
      </w:r>
      <w:r>
        <w:rPr>
          <w:spacing w:val="-8"/>
          <w:sz w:val="16"/>
        </w:rPr>
        <w:t> </w:t>
      </w:r>
      <w:r>
        <w:rPr>
          <w:sz w:val="16"/>
        </w:rPr>
        <w:t>(Nueva</w:t>
      </w:r>
      <w:r>
        <w:rPr>
          <w:spacing w:val="-8"/>
          <w:sz w:val="16"/>
        </w:rPr>
        <w:t> </w:t>
      </w:r>
      <w:r>
        <w:rPr>
          <w:sz w:val="16"/>
        </w:rPr>
        <w:t>España,</w:t>
      </w:r>
      <w:r>
        <w:rPr>
          <w:spacing w:val="-8"/>
          <w:sz w:val="16"/>
        </w:rPr>
        <w:t> </w:t>
      </w:r>
      <w:r>
        <w:rPr>
          <w:sz w:val="16"/>
        </w:rPr>
        <w:t>Nueva</w:t>
      </w:r>
      <w:r>
        <w:rPr>
          <w:spacing w:val="-11"/>
          <w:sz w:val="16"/>
        </w:rPr>
        <w:t> </w:t>
      </w:r>
      <w:r>
        <w:rPr>
          <w:sz w:val="16"/>
        </w:rPr>
        <w:t>Galicia,</w:t>
      </w:r>
      <w:r>
        <w:rPr>
          <w:spacing w:val="-10"/>
          <w:sz w:val="16"/>
        </w:rPr>
        <w:t> </w:t>
      </w:r>
      <w:r>
        <w:rPr>
          <w:sz w:val="16"/>
        </w:rPr>
        <w:t>Nueva Vizcaya y</w:t>
      </w:r>
      <w:r>
        <w:rPr>
          <w:spacing w:val="-6"/>
          <w:sz w:val="16"/>
        </w:rPr>
        <w:t> </w:t>
      </w:r>
      <w:r>
        <w:rPr>
          <w:sz w:val="16"/>
        </w:rPr>
        <w:t>Nuevo</w:t>
      </w:r>
      <w:r>
        <w:rPr>
          <w:spacing w:val="-3"/>
          <w:sz w:val="16"/>
        </w:rPr>
        <w:t> </w:t>
      </w:r>
      <w:r>
        <w:rPr>
          <w:sz w:val="16"/>
        </w:rPr>
        <w:t>León),</w:t>
      </w:r>
      <w:r>
        <w:rPr>
          <w:spacing w:val="1"/>
          <w:sz w:val="16"/>
        </w:rPr>
        <w:t> </w:t>
      </w:r>
      <w:r>
        <w:rPr>
          <w:sz w:val="16"/>
        </w:rPr>
        <w:t>que agrupaban</w:t>
      </w:r>
      <w:r>
        <w:rPr>
          <w:spacing w:val="-3"/>
          <w:sz w:val="16"/>
        </w:rPr>
        <w:t> </w:t>
      </w:r>
      <w:r>
        <w:rPr>
          <w:sz w:val="16"/>
        </w:rPr>
        <w:t>a</w:t>
      </w:r>
      <w:r>
        <w:rPr>
          <w:spacing w:val="-1"/>
          <w:sz w:val="16"/>
        </w:rPr>
        <w:t> </w:t>
      </w:r>
      <w:r>
        <w:rPr>
          <w:sz w:val="16"/>
        </w:rPr>
        <w:t>los</w:t>
      </w:r>
      <w:r>
        <w:rPr>
          <w:spacing w:val="-6"/>
          <w:sz w:val="16"/>
        </w:rPr>
        <w:t> </w:t>
      </w:r>
      <w:r>
        <w:rPr>
          <w:sz w:val="16"/>
        </w:rPr>
        <w:t>más</w:t>
      </w:r>
      <w:r>
        <w:rPr>
          <w:spacing w:val="-6"/>
          <w:sz w:val="16"/>
        </w:rPr>
        <w:t> </w:t>
      </w:r>
      <w:r>
        <w:rPr>
          <w:sz w:val="16"/>
        </w:rPr>
        <w:t>de</w:t>
      </w:r>
      <w:r>
        <w:rPr>
          <w:spacing w:val="-3"/>
          <w:sz w:val="16"/>
        </w:rPr>
        <w:t> </w:t>
      </w:r>
      <w:r>
        <w:rPr>
          <w:sz w:val="16"/>
        </w:rPr>
        <w:t>12 municipios</w:t>
      </w:r>
      <w:r>
        <w:rPr>
          <w:spacing w:val="-6"/>
          <w:sz w:val="16"/>
        </w:rPr>
        <w:t> </w:t>
      </w:r>
      <w:r>
        <w:rPr>
          <w:sz w:val="16"/>
        </w:rPr>
        <w:t>creados</w:t>
      </w:r>
      <w:r>
        <w:rPr>
          <w:spacing w:val="-3"/>
          <w:sz w:val="16"/>
        </w:rPr>
        <w:t> </w:t>
      </w:r>
      <w:r>
        <w:rPr>
          <w:sz w:val="16"/>
        </w:rPr>
        <w:t>tras</w:t>
      </w:r>
      <w:r>
        <w:rPr>
          <w:spacing w:val="-3"/>
          <w:sz w:val="16"/>
        </w:rPr>
        <w:t> </w:t>
      </w:r>
      <w:r>
        <w:rPr>
          <w:sz w:val="16"/>
        </w:rPr>
        <w:t>la caída del</w:t>
      </w:r>
      <w:r>
        <w:rPr>
          <w:spacing w:val="-3"/>
          <w:sz w:val="16"/>
        </w:rPr>
        <w:t> </w:t>
      </w:r>
      <w:r>
        <w:rPr>
          <w:sz w:val="16"/>
        </w:rPr>
        <w:t>imperio</w:t>
      </w:r>
      <w:r>
        <w:rPr>
          <w:spacing w:val="-3"/>
          <w:sz w:val="16"/>
        </w:rPr>
        <w:t> </w:t>
      </w:r>
      <w:r>
        <w:rPr>
          <w:sz w:val="16"/>
        </w:rPr>
        <w:t>mexica.</w:t>
      </w:r>
    </w:p>
    <w:p>
      <w:pPr>
        <w:spacing w:line="182" w:lineRule="exact" w:before="0"/>
        <w:ind w:left="120" w:right="137" w:firstLine="0"/>
        <w:jc w:val="left"/>
        <w:rPr>
          <w:sz w:val="16"/>
        </w:rPr>
      </w:pPr>
      <w:r>
        <w:rPr>
          <w:sz w:val="16"/>
        </w:rPr>
        <w:t>Disponible en: </w:t>
      </w:r>
      <w:hyperlink r:id="rId95">
        <w:r>
          <w:rPr>
            <w:color w:val="0000FF"/>
            <w:sz w:val="16"/>
            <w:u w:val="single" w:color="0000FF"/>
          </w:rPr>
          <w:t>http://biblioteca.itam.mx/estudios/estudio/estudio02/sec_29.htm</w:t>
        </w:r>
        <w:r>
          <w:rPr>
            <w:color w:val="0000FF"/>
            <w:sz w:val="16"/>
          </w:rPr>
          <w:t>l</w:t>
        </w:r>
      </w:hyperlink>
      <w:r>
        <w:rPr>
          <w:color w:val="0000FF"/>
          <w:sz w:val="16"/>
        </w:rPr>
        <w:t> </w:t>
      </w:r>
      <w:r>
        <w:rPr>
          <w:sz w:val="16"/>
        </w:rPr>
        <w:t>[Fecha de consulta: 17 de septiembre, 2015]</w:t>
      </w:r>
    </w:p>
    <w:p>
      <w:pPr>
        <w:spacing w:line="186" w:lineRule="exact" w:before="0"/>
        <w:ind w:left="120" w:right="137" w:firstLine="0"/>
        <w:jc w:val="left"/>
        <w:rPr>
          <w:i/>
          <w:sz w:val="16"/>
        </w:rPr>
      </w:pPr>
      <w:r>
        <w:rPr>
          <w:position w:val="6"/>
          <w:sz w:val="10"/>
        </w:rPr>
        <w:t>42</w:t>
      </w:r>
      <w:r>
        <w:rPr>
          <w:sz w:val="16"/>
        </w:rPr>
        <w:t>PhíoVirve, </w:t>
      </w:r>
      <w:r>
        <w:rPr>
          <w:i/>
          <w:sz w:val="16"/>
        </w:rPr>
        <w:t>La organización eclesiástica en la Nueva España.</w:t>
      </w:r>
    </w:p>
    <w:p>
      <w:pPr>
        <w:spacing w:before="0"/>
        <w:ind w:left="120" w:right="137" w:firstLine="0"/>
        <w:jc w:val="left"/>
        <w:rPr>
          <w:sz w:val="16"/>
        </w:rPr>
      </w:pPr>
      <w:r>
        <w:rPr>
          <w:sz w:val="16"/>
        </w:rPr>
        <w:t>Disponible en: </w:t>
      </w:r>
      <w:hyperlink r:id="rId96">
        <w:r>
          <w:rPr>
            <w:color w:val="0000FF"/>
            <w:sz w:val="16"/>
            <w:u w:val="single" w:color="0000FF"/>
          </w:rPr>
          <w:t>http://www.ejournal.unam.mx/ehn/ehn10/EHN01002.pdf </w:t>
        </w:r>
      </w:hyperlink>
      <w:r>
        <w:rPr>
          <w:sz w:val="16"/>
        </w:rPr>
        <w:t>[Fecha de consulta: 17 de septiembre 2015)]</w:t>
      </w:r>
    </w:p>
    <w:p>
      <w:pPr>
        <w:spacing w:after="0"/>
        <w:jc w:val="left"/>
        <w:rPr>
          <w:sz w:val="16"/>
        </w:rPr>
        <w:sectPr>
          <w:pgSz w:w="12240" w:h="15840"/>
          <w:pgMar w:header="0" w:footer="998" w:top="1360" w:bottom="1180" w:left="1580" w:right="1500"/>
        </w:sectPr>
      </w:pPr>
    </w:p>
    <w:p>
      <w:pPr>
        <w:pStyle w:val="BodyText"/>
        <w:spacing w:line="360" w:lineRule="auto" w:before="55"/>
        <w:ind w:left="100" w:right="199" w:firstLine="427"/>
        <w:jc w:val="both"/>
      </w:pPr>
      <w:r>
        <w:rPr/>
        <w:t>Al igual que en España, en México se organizaron provincias con grupos sociales desiguales (indios, mestizos y castas). Sólo hasta el momento en que se delimitó el territorio de la Nueva España (1545), México pasó a tener la categoría de Colonia en todos sentidos: jurídico, económico y político.</w:t>
      </w:r>
    </w:p>
    <w:p>
      <w:pPr>
        <w:pStyle w:val="BodyText"/>
        <w:spacing w:line="362" w:lineRule="auto" w:before="2"/>
        <w:ind w:left="100" w:right="198" w:firstLine="427"/>
        <w:jc w:val="both"/>
      </w:pPr>
      <w:r>
        <w:rPr/>
        <w:t>La</w:t>
      </w:r>
      <w:r>
        <w:rPr>
          <w:spacing w:val="-8"/>
        </w:rPr>
        <w:t> </w:t>
      </w:r>
      <w:r>
        <w:rPr/>
        <w:t>monarquía</w:t>
      </w:r>
      <w:r>
        <w:rPr>
          <w:spacing w:val="-8"/>
        </w:rPr>
        <w:t> </w:t>
      </w:r>
      <w:r>
        <w:rPr/>
        <w:t>española</w:t>
      </w:r>
      <w:r>
        <w:rPr>
          <w:spacing w:val="-8"/>
        </w:rPr>
        <w:t> </w:t>
      </w:r>
      <w:r>
        <w:rPr/>
        <w:t>buscaba</w:t>
      </w:r>
      <w:r>
        <w:rPr>
          <w:spacing w:val="-8"/>
        </w:rPr>
        <w:t> </w:t>
      </w:r>
      <w:r>
        <w:rPr/>
        <w:t>acrecentar</w:t>
      </w:r>
      <w:r>
        <w:rPr>
          <w:spacing w:val="-6"/>
        </w:rPr>
        <w:t> </w:t>
      </w:r>
      <w:r>
        <w:rPr/>
        <w:t>su</w:t>
      </w:r>
      <w:r>
        <w:rPr>
          <w:spacing w:val="-8"/>
        </w:rPr>
        <w:t> </w:t>
      </w:r>
      <w:r>
        <w:rPr/>
        <w:t>poder</w:t>
      </w:r>
      <w:r>
        <w:rPr>
          <w:spacing w:val="-6"/>
        </w:rPr>
        <w:t> </w:t>
      </w:r>
      <w:r>
        <w:rPr/>
        <w:t>tanto</w:t>
      </w:r>
      <w:r>
        <w:rPr>
          <w:spacing w:val="-8"/>
        </w:rPr>
        <w:t> </w:t>
      </w:r>
      <w:r>
        <w:rPr/>
        <w:t>en</w:t>
      </w:r>
      <w:r>
        <w:rPr>
          <w:spacing w:val="-8"/>
        </w:rPr>
        <w:t> </w:t>
      </w:r>
      <w:r>
        <w:rPr/>
        <w:t>Europa</w:t>
      </w:r>
      <w:r>
        <w:rPr>
          <w:spacing w:val="-8"/>
        </w:rPr>
        <w:t> </w:t>
      </w:r>
      <w:r>
        <w:rPr/>
        <w:t>como</w:t>
      </w:r>
      <w:r>
        <w:rPr>
          <w:spacing w:val="-5"/>
        </w:rPr>
        <w:t> </w:t>
      </w:r>
      <w:r>
        <w:rPr/>
        <w:t>en la Nueva España mediante la</w:t>
      </w:r>
      <w:r>
        <w:rPr>
          <w:spacing w:val="-18"/>
        </w:rPr>
        <w:t> </w:t>
      </w:r>
      <w:r>
        <w:rPr/>
        <w:t>religión.</w:t>
      </w:r>
    </w:p>
    <w:p>
      <w:pPr>
        <w:pStyle w:val="BodyText"/>
        <w:spacing w:line="360" w:lineRule="auto"/>
        <w:ind w:left="100" w:right="201" w:firstLine="427"/>
        <w:jc w:val="both"/>
      </w:pPr>
      <w:r>
        <w:rPr/>
        <w:t>Las</w:t>
      </w:r>
      <w:r>
        <w:rPr>
          <w:spacing w:val="-11"/>
        </w:rPr>
        <w:t> </w:t>
      </w:r>
      <w:r>
        <w:rPr/>
        <w:t>repúblicas</w:t>
      </w:r>
      <w:r>
        <w:rPr>
          <w:spacing w:val="-11"/>
        </w:rPr>
        <w:t> </w:t>
      </w:r>
      <w:r>
        <w:rPr/>
        <w:t>de</w:t>
      </w:r>
      <w:r>
        <w:rPr>
          <w:spacing w:val="-12"/>
        </w:rPr>
        <w:t> </w:t>
      </w:r>
      <w:r>
        <w:rPr/>
        <w:t>los</w:t>
      </w:r>
      <w:r>
        <w:rPr>
          <w:spacing w:val="-11"/>
        </w:rPr>
        <w:t> </w:t>
      </w:r>
      <w:r>
        <w:rPr/>
        <w:t>indios</w:t>
      </w:r>
      <w:r>
        <w:rPr>
          <w:spacing w:val="-11"/>
        </w:rPr>
        <w:t> </w:t>
      </w:r>
      <w:r>
        <w:rPr/>
        <w:t>se</w:t>
      </w:r>
      <w:r>
        <w:rPr>
          <w:spacing w:val="-12"/>
        </w:rPr>
        <w:t> </w:t>
      </w:r>
      <w:r>
        <w:rPr/>
        <w:t>establecieron</w:t>
      </w:r>
      <w:r>
        <w:rPr>
          <w:spacing w:val="-9"/>
        </w:rPr>
        <w:t> </w:t>
      </w:r>
      <w:r>
        <w:rPr/>
        <w:t>de</w:t>
      </w:r>
      <w:r>
        <w:rPr>
          <w:spacing w:val="-12"/>
        </w:rPr>
        <w:t> </w:t>
      </w:r>
      <w:r>
        <w:rPr/>
        <w:t>acuerdo</w:t>
      </w:r>
      <w:r>
        <w:rPr>
          <w:spacing w:val="-12"/>
        </w:rPr>
        <w:t> </w:t>
      </w:r>
      <w:r>
        <w:rPr/>
        <w:t>con</w:t>
      </w:r>
      <w:r>
        <w:rPr>
          <w:spacing w:val="-9"/>
        </w:rPr>
        <w:t> </w:t>
      </w:r>
      <w:r>
        <w:rPr/>
        <w:t>un</w:t>
      </w:r>
      <w:r>
        <w:rPr>
          <w:spacing w:val="-9"/>
        </w:rPr>
        <w:t> </w:t>
      </w:r>
      <w:r>
        <w:rPr/>
        <w:t>modelo</w:t>
      </w:r>
      <w:r>
        <w:rPr>
          <w:spacing w:val="-12"/>
        </w:rPr>
        <w:t> </w:t>
      </w:r>
      <w:r>
        <w:rPr/>
        <w:t>político de democracia participativa, con un cabildo o consejo presidido por ancianos, con una estructura de cargos estratificados, religiosos o de servicios a la comunidad (sistema de mayordomías). Tenían un sacerdote como</w:t>
      </w:r>
      <w:r>
        <w:rPr>
          <w:spacing w:val="-28"/>
        </w:rPr>
        <w:t> </w:t>
      </w:r>
      <w:r>
        <w:rPr/>
        <w:t>rector.</w:t>
      </w:r>
    </w:p>
    <w:p>
      <w:pPr>
        <w:pStyle w:val="BodyText"/>
        <w:spacing w:line="360" w:lineRule="auto" w:before="2"/>
        <w:ind w:left="100" w:right="206" w:firstLine="427"/>
        <w:jc w:val="both"/>
      </w:pPr>
      <w:r>
        <w:rPr/>
        <w:t>El papel del Estado Habsburgo frente a los indios fue fundamentalmente jurídico-legal, y su presencia fue indirecta a través de las órdenes religiosas y más tarde</w:t>
      </w:r>
      <w:r>
        <w:rPr>
          <w:spacing w:val="-9"/>
        </w:rPr>
        <w:t> </w:t>
      </w:r>
      <w:r>
        <w:rPr/>
        <w:t>del</w:t>
      </w:r>
      <w:r>
        <w:rPr>
          <w:spacing w:val="-8"/>
        </w:rPr>
        <w:t> </w:t>
      </w:r>
      <w:r>
        <w:rPr/>
        <w:t>clero</w:t>
      </w:r>
      <w:r>
        <w:rPr>
          <w:spacing w:val="-9"/>
        </w:rPr>
        <w:t> </w:t>
      </w:r>
      <w:r>
        <w:rPr/>
        <w:t>secular.</w:t>
      </w:r>
      <w:r>
        <w:rPr>
          <w:spacing w:val="-6"/>
        </w:rPr>
        <w:t> </w:t>
      </w:r>
      <w:r>
        <w:rPr/>
        <w:t>Legalmente</w:t>
      </w:r>
      <w:r>
        <w:rPr>
          <w:spacing w:val="-9"/>
        </w:rPr>
        <w:t> </w:t>
      </w:r>
      <w:r>
        <w:rPr/>
        <w:t>se</w:t>
      </w:r>
      <w:r>
        <w:rPr>
          <w:spacing w:val="-9"/>
        </w:rPr>
        <w:t> </w:t>
      </w:r>
      <w:r>
        <w:rPr/>
        <w:t>reglamentó</w:t>
      </w:r>
      <w:r>
        <w:rPr>
          <w:spacing w:val="-9"/>
        </w:rPr>
        <w:t> </w:t>
      </w:r>
      <w:r>
        <w:rPr/>
        <w:t>el</w:t>
      </w:r>
      <w:r>
        <w:rPr>
          <w:spacing w:val="-8"/>
        </w:rPr>
        <w:t> </w:t>
      </w:r>
      <w:r>
        <w:rPr/>
        <w:t>trabajo</w:t>
      </w:r>
      <w:r>
        <w:rPr>
          <w:spacing w:val="-9"/>
        </w:rPr>
        <w:t> </w:t>
      </w:r>
      <w:r>
        <w:rPr/>
        <w:t>y</w:t>
      </w:r>
      <w:r>
        <w:rPr>
          <w:spacing w:val="-11"/>
        </w:rPr>
        <w:t> </w:t>
      </w:r>
      <w:r>
        <w:rPr/>
        <w:t>la</w:t>
      </w:r>
      <w:r>
        <w:rPr>
          <w:spacing w:val="-9"/>
        </w:rPr>
        <w:t> </w:t>
      </w:r>
      <w:r>
        <w:rPr/>
        <w:t>tenencia</w:t>
      </w:r>
      <w:r>
        <w:rPr>
          <w:spacing w:val="-9"/>
        </w:rPr>
        <w:t> </w:t>
      </w:r>
      <w:r>
        <w:rPr/>
        <w:t>del</w:t>
      </w:r>
      <w:r>
        <w:rPr>
          <w:spacing w:val="-5"/>
        </w:rPr>
        <w:t> </w:t>
      </w:r>
      <w:r>
        <w:rPr/>
        <w:t>suelo; administrativamente se nombraron funcionarios que vigilaran y aconsejaran sobre los aspectos conflictivos y jurídicos, y políticamente se evitó el surgimiento de grupos o individuos que opacaran el poder del</w:t>
      </w:r>
      <w:r>
        <w:rPr>
          <w:spacing w:val="-26"/>
        </w:rPr>
        <w:t> </w:t>
      </w:r>
      <w:r>
        <w:rPr/>
        <w:t>Estado.</w:t>
      </w:r>
    </w:p>
    <w:p>
      <w:pPr>
        <w:pStyle w:val="BodyText"/>
        <w:spacing w:line="360" w:lineRule="auto" w:before="2"/>
        <w:ind w:left="100" w:right="196" w:firstLine="427"/>
        <w:jc w:val="both"/>
      </w:pPr>
      <w:r>
        <w:rPr/>
        <w:t>La</w:t>
      </w:r>
      <w:r>
        <w:rPr>
          <w:spacing w:val="-13"/>
        </w:rPr>
        <w:t> </w:t>
      </w:r>
      <w:r>
        <w:rPr/>
        <w:t>Corona</w:t>
      </w:r>
      <w:r>
        <w:rPr>
          <w:spacing w:val="-13"/>
        </w:rPr>
        <w:t> </w:t>
      </w:r>
      <w:r>
        <w:rPr/>
        <w:t>prestó</w:t>
      </w:r>
      <w:r>
        <w:rPr>
          <w:spacing w:val="-13"/>
        </w:rPr>
        <w:t> </w:t>
      </w:r>
      <w:r>
        <w:rPr/>
        <w:t>atención</w:t>
      </w:r>
      <w:r>
        <w:rPr>
          <w:spacing w:val="-13"/>
        </w:rPr>
        <w:t> </w:t>
      </w:r>
      <w:r>
        <w:rPr/>
        <w:t>especial</w:t>
      </w:r>
      <w:r>
        <w:rPr>
          <w:spacing w:val="-11"/>
        </w:rPr>
        <w:t> </w:t>
      </w:r>
      <w:r>
        <w:rPr/>
        <w:t>en</w:t>
      </w:r>
      <w:r>
        <w:rPr>
          <w:spacing w:val="-10"/>
        </w:rPr>
        <w:t> </w:t>
      </w:r>
      <w:r>
        <w:rPr/>
        <w:t>reglamentar</w:t>
      </w:r>
      <w:r>
        <w:rPr>
          <w:spacing w:val="-12"/>
        </w:rPr>
        <w:t> </w:t>
      </w:r>
      <w:r>
        <w:rPr/>
        <w:t>el</w:t>
      </w:r>
      <w:r>
        <w:rPr>
          <w:spacing w:val="-12"/>
        </w:rPr>
        <w:t> </w:t>
      </w:r>
      <w:r>
        <w:rPr/>
        <w:t>trabajo,</w:t>
      </w:r>
      <w:r>
        <w:rPr>
          <w:spacing w:val="-11"/>
        </w:rPr>
        <w:t> </w:t>
      </w:r>
      <w:r>
        <w:rPr/>
        <w:t>porque</w:t>
      </w:r>
      <w:r>
        <w:rPr>
          <w:spacing w:val="-13"/>
        </w:rPr>
        <w:t> </w:t>
      </w:r>
      <w:r>
        <w:rPr/>
        <w:t>consideró que sus intereses políticos podían verse afectados: por una parte, porque podían originar la creación de Estados dentro del suyo </w:t>
      </w:r>
      <w:r>
        <w:rPr>
          <w:spacing w:val="-3"/>
        </w:rPr>
        <w:t>y, </w:t>
      </w:r>
      <w:r>
        <w:rPr/>
        <w:t>por otra parte, por la obligación jurídica de velar por el bien común de sus</w:t>
      </w:r>
      <w:r>
        <w:rPr>
          <w:spacing w:val="-25"/>
        </w:rPr>
        <w:t> </w:t>
      </w:r>
      <w:r>
        <w:rPr/>
        <w:t>súbditos.</w:t>
      </w:r>
    </w:p>
    <w:p>
      <w:pPr>
        <w:pStyle w:val="BodyText"/>
        <w:spacing w:line="360" w:lineRule="auto" w:before="1"/>
        <w:ind w:left="100" w:right="106" w:firstLine="427"/>
        <w:jc w:val="both"/>
      </w:pPr>
      <w:r>
        <w:rPr/>
        <w:t>El trabajo libre y asalariado y la esclavitud fueron permitidos por el Estado español en la Nueva España. Aunque legisló el trabajo, se llegaron a desarrollar mecanismos de retención de los trabajadores en empresas, como la tienda de raya y</w:t>
      </w:r>
      <w:r>
        <w:rPr>
          <w:spacing w:val="-10"/>
        </w:rPr>
        <w:t> </w:t>
      </w:r>
      <w:r>
        <w:rPr/>
        <w:t>los</w:t>
      </w:r>
      <w:r>
        <w:rPr>
          <w:spacing w:val="-6"/>
        </w:rPr>
        <w:t> </w:t>
      </w:r>
      <w:r>
        <w:rPr/>
        <w:t>servicios</w:t>
      </w:r>
      <w:r>
        <w:rPr>
          <w:spacing w:val="-6"/>
        </w:rPr>
        <w:t> </w:t>
      </w:r>
      <w:r>
        <w:rPr/>
        <w:t>por</w:t>
      </w:r>
      <w:r>
        <w:rPr>
          <w:spacing w:val="-3"/>
        </w:rPr>
        <w:t> </w:t>
      </w:r>
      <w:r>
        <w:rPr/>
        <w:t>deudas,</w:t>
      </w:r>
      <w:r>
        <w:rPr>
          <w:spacing w:val="-6"/>
        </w:rPr>
        <w:t> </w:t>
      </w:r>
      <w:r>
        <w:rPr/>
        <w:t>a</w:t>
      </w:r>
      <w:r>
        <w:rPr>
          <w:spacing w:val="-8"/>
        </w:rPr>
        <w:t> </w:t>
      </w:r>
      <w:r>
        <w:rPr/>
        <w:t>tal</w:t>
      </w:r>
      <w:r>
        <w:rPr>
          <w:spacing w:val="-5"/>
        </w:rPr>
        <w:t> </w:t>
      </w:r>
      <w:r>
        <w:rPr/>
        <w:t>grado</w:t>
      </w:r>
      <w:r>
        <w:rPr>
          <w:spacing w:val="-3"/>
        </w:rPr>
        <w:t> </w:t>
      </w:r>
      <w:r>
        <w:rPr/>
        <w:t>que,</w:t>
      </w:r>
      <w:r>
        <w:rPr>
          <w:spacing w:val="-6"/>
        </w:rPr>
        <w:t> </w:t>
      </w:r>
      <w:r>
        <w:rPr/>
        <w:t>a</w:t>
      </w:r>
      <w:r>
        <w:rPr>
          <w:spacing w:val="-8"/>
        </w:rPr>
        <w:t> </w:t>
      </w:r>
      <w:r>
        <w:rPr/>
        <w:t>finales</w:t>
      </w:r>
      <w:r>
        <w:rPr>
          <w:spacing w:val="-3"/>
        </w:rPr>
        <w:t> </w:t>
      </w:r>
      <w:r>
        <w:rPr/>
        <w:t>del</w:t>
      </w:r>
      <w:r>
        <w:rPr>
          <w:spacing w:val="-5"/>
        </w:rPr>
        <w:t> </w:t>
      </w:r>
      <w:r>
        <w:rPr/>
        <w:t>periodo</w:t>
      </w:r>
      <w:r>
        <w:rPr>
          <w:spacing w:val="-5"/>
        </w:rPr>
        <w:t> </w:t>
      </w:r>
      <w:r>
        <w:rPr/>
        <w:t>de</w:t>
      </w:r>
      <w:r>
        <w:rPr>
          <w:spacing w:val="-8"/>
        </w:rPr>
        <w:t> </w:t>
      </w:r>
      <w:r>
        <w:rPr/>
        <w:t>los</w:t>
      </w:r>
      <w:r>
        <w:rPr>
          <w:spacing w:val="-6"/>
        </w:rPr>
        <w:t> </w:t>
      </w:r>
      <w:r>
        <w:rPr/>
        <w:t>Habsburgo,</w:t>
      </w:r>
      <w:r>
        <w:rPr>
          <w:spacing w:val="-3"/>
        </w:rPr>
        <w:t> </w:t>
      </w:r>
      <w:r>
        <w:rPr/>
        <w:t>y sobre todo bajo el gobierno Borbónico, se dio origen a un nuevo tipo de</w:t>
      </w:r>
      <w:r>
        <w:rPr>
          <w:spacing w:val="-45"/>
        </w:rPr>
        <w:t> </w:t>
      </w:r>
      <w:r>
        <w:rPr/>
        <w:t>esclavitud.</w:t>
      </w:r>
    </w:p>
    <w:p>
      <w:pPr>
        <w:pStyle w:val="BodyText"/>
        <w:spacing w:line="360" w:lineRule="auto" w:before="6"/>
        <w:ind w:left="100" w:right="106" w:firstLine="427"/>
        <w:jc w:val="both"/>
      </w:pPr>
      <w:r>
        <w:rPr/>
        <w:t>El virrey que gobernaba al Estado Habsburgo en el territorio actual de México, como representante del rey, tenía nominalmente el poder absoluto, pero estaba rodeado por funcionarios importantes también designados por el monarca.</w:t>
      </w:r>
    </w:p>
    <w:p>
      <w:pPr>
        <w:pStyle w:val="BodyText"/>
      </w:pPr>
    </w:p>
    <w:p>
      <w:pPr>
        <w:pStyle w:val="BodyText"/>
        <w:spacing w:line="362" w:lineRule="auto" w:before="138"/>
        <w:ind w:left="100" w:right="108" w:firstLine="427"/>
        <w:jc w:val="both"/>
      </w:pPr>
      <w:r>
        <w:rPr/>
        <w:t>El</w:t>
      </w:r>
      <w:r>
        <w:rPr>
          <w:spacing w:val="-16"/>
        </w:rPr>
        <w:t> </w:t>
      </w:r>
      <w:r>
        <w:rPr/>
        <w:t>virrey</w:t>
      </w:r>
      <w:r>
        <w:rPr>
          <w:spacing w:val="-18"/>
        </w:rPr>
        <w:t> </w:t>
      </w:r>
      <w:r>
        <w:rPr/>
        <w:t>era</w:t>
      </w:r>
      <w:r>
        <w:rPr>
          <w:spacing w:val="-16"/>
        </w:rPr>
        <w:t> </w:t>
      </w:r>
      <w:r>
        <w:rPr/>
        <w:t>el</w:t>
      </w:r>
      <w:r>
        <w:rPr>
          <w:spacing w:val="-15"/>
        </w:rPr>
        <w:t> </w:t>
      </w:r>
      <w:r>
        <w:rPr/>
        <w:t>jefe</w:t>
      </w:r>
      <w:r>
        <w:rPr>
          <w:spacing w:val="-16"/>
        </w:rPr>
        <w:t> </w:t>
      </w:r>
      <w:r>
        <w:rPr/>
        <w:t>del</w:t>
      </w:r>
      <w:r>
        <w:rPr>
          <w:spacing w:val="-15"/>
        </w:rPr>
        <w:t> </w:t>
      </w:r>
      <w:r>
        <w:rPr/>
        <w:t>Ejecutivo,</w:t>
      </w:r>
      <w:r>
        <w:rPr>
          <w:spacing w:val="-13"/>
        </w:rPr>
        <w:t> </w:t>
      </w:r>
      <w:r>
        <w:rPr/>
        <w:t>el</w:t>
      </w:r>
      <w:r>
        <w:rPr>
          <w:spacing w:val="-15"/>
        </w:rPr>
        <w:t> </w:t>
      </w:r>
      <w:r>
        <w:rPr/>
        <w:t>principal</w:t>
      </w:r>
      <w:r>
        <w:rPr>
          <w:spacing w:val="-15"/>
        </w:rPr>
        <w:t> </w:t>
      </w:r>
      <w:r>
        <w:rPr/>
        <w:t>legislador,</w:t>
      </w:r>
      <w:r>
        <w:rPr>
          <w:spacing w:val="-13"/>
        </w:rPr>
        <w:t> </w:t>
      </w:r>
      <w:r>
        <w:rPr/>
        <w:t>jefe</w:t>
      </w:r>
      <w:r>
        <w:rPr>
          <w:spacing w:val="-16"/>
        </w:rPr>
        <w:t> </w:t>
      </w:r>
      <w:r>
        <w:rPr/>
        <w:t>del</w:t>
      </w:r>
      <w:r>
        <w:rPr>
          <w:spacing w:val="-15"/>
        </w:rPr>
        <w:t> </w:t>
      </w:r>
      <w:r>
        <w:rPr/>
        <w:t>ejército</w:t>
      </w:r>
      <w:r>
        <w:rPr>
          <w:spacing w:val="-12"/>
        </w:rPr>
        <w:t> </w:t>
      </w:r>
      <w:r>
        <w:rPr/>
        <w:t>y</w:t>
      </w:r>
      <w:r>
        <w:rPr>
          <w:spacing w:val="-18"/>
        </w:rPr>
        <w:t> </w:t>
      </w:r>
      <w:r>
        <w:rPr/>
        <w:t>vigilante de hacienda pública; sin embargo, sus disposiciones tenían que ser discutidas   </w:t>
      </w:r>
      <w:r>
        <w:rPr>
          <w:spacing w:val="14"/>
        </w:rPr>
        <w:t> </w:t>
      </w:r>
      <w:r>
        <w:rPr/>
        <w:t>en</w:t>
      </w:r>
    </w:p>
    <w:p>
      <w:pPr>
        <w:spacing w:after="0" w:line="362" w:lineRule="auto"/>
        <w:jc w:val="both"/>
        <w:sectPr>
          <w:pgSz w:w="12240" w:h="15840"/>
          <w:pgMar w:header="0" w:footer="998" w:top="1360" w:bottom="1180" w:left="1600" w:right="1500"/>
        </w:sectPr>
      </w:pPr>
    </w:p>
    <w:p>
      <w:pPr>
        <w:pStyle w:val="BodyText"/>
        <w:spacing w:line="360" w:lineRule="auto" w:before="55"/>
        <w:ind w:left="100" w:right="109"/>
        <w:jc w:val="both"/>
      </w:pPr>
      <w:r>
        <w:rPr/>
        <w:t>"acuerdos" con los altos consejeros de la Colonia (oidores de la Real Audiencia), personajes nacidos y educados en España, letrados ilustres que fungían como consejeros del rey o como jueces, con largos años de servicio.</w:t>
      </w:r>
    </w:p>
    <w:p>
      <w:pPr>
        <w:pStyle w:val="BodyText"/>
        <w:spacing w:line="360" w:lineRule="auto" w:before="6"/>
        <w:ind w:left="100" w:right="106" w:firstLine="427"/>
        <w:jc w:val="both"/>
      </w:pPr>
      <w:r>
        <w:rPr/>
        <w:t>Durante</w:t>
      </w:r>
      <w:r>
        <w:rPr>
          <w:spacing w:val="-9"/>
        </w:rPr>
        <w:t> </w:t>
      </w:r>
      <w:r>
        <w:rPr/>
        <w:t>esa</w:t>
      </w:r>
      <w:r>
        <w:rPr>
          <w:spacing w:val="-9"/>
        </w:rPr>
        <w:t> </w:t>
      </w:r>
      <w:r>
        <w:rPr/>
        <w:t>época,</w:t>
      </w:r>
      <w:r>
        <w:rPr>
          <w:spacing w:val="-7"/>
        </w:rPr>
        <w:t> </w:t>
      </w:r>
      <w:r>
        <w:rPr/>
        <w:t>la</w:t>
      </w:r>
      <w:r>
        <w:rPr>
          <w:spacing w:val="-9"/>
        </w:rPr>
        <w:t> </w:t>
      </w:r>
      <w:r>
        <w:rPr/>
        <w:t>iglesia</w:t>
      </w:r>
      <w:r>
        <w:rPr>
          <w:spacing w:val="-9"/>
        </w:rPr>
        <w:t> </w:t>
      </w:r>
      <w:r>
        <w:rPr/>
        <w:t>conservó</w:t>
      </w:r>
      <w:r>
        <w:rPr>
          <w:spacing w:val="-9"/>
        </w:rPr>
        <w:t> </w:t>
      </w:r>
      <w:r>
        <w:rPr/>
        <w:t>la</w:t>
      </w:r>
      <w:r>
        <w:rPr>
          <w:spacing w:val="-9"/>
        </w:rPr>
        <w:t> </w:t>
      </w:r>
      <w:r>
        <w:rPr/>
        <w:t>paz</w:t>
      </w:r>
      <w:r>
        <w:rPr>
          <w:spacing w:val="-11"/>
        </w:rPr>
        <w:t> </w:t>
      </w:r>
      <w:r>
        <w:rPr/>
        <w:t>en</w:t>
      </w:r>
      <w:r>
        <w:rPr>
          <w:spacing w:val="-9"/>
        </w:rPr>
        <w:t> </w:t>
      </w:r>
      <w:r>
        <w:rPr/>
        <w:t>la</w:t>
      </w:r>
      <w:r>
        <w:rPr>
          <w:spacing w:val="-9"/>
        </w:rPr>
        <w:t> </w:t>
      </w:r>
      <w:r>
        <w:rPr/>
        <w:t>Nueva</w:t>
      </w:r>
      <w:r>
        <w:rPr>
          <w:spacing w:val="-9"/>
        </w:rPr>
        <w:t> </w:t>
      </w:r>
      <w:r>
        <w:rPr/>
        <w:t>España,</w:t>
      </w:r>
      <w:r>
        <w:rPr>
          <w:spacing w:val="-7"/>
        </w:rPr>
        <w:t> </w:t>
      </w:r>
      <w:r>
        <w:rPr/>
        <w:t>por</w:t>
      </w:r>
      <w:r>
        <w:rPr>
          <w:spacing w:val="-8"/>
        </w:rPr>
        <w:t> </w:t>
      </w:r>
      <w:r>
        <w:rPr/>
        <w:t>unir</w:t>
      </w:r>
      <w:r>
        <w:rPr>
          <w:spacing w:val="-8"/>
        </w:rPr>
        <w:t> </w:t>
      </w:r>
      <w:r>
        <w:rPr/>
        <w:t>a</w:t>
      </w:r>
      <w:r>
        <w:rPr>
          <w:spacing w:val="-9"/>
        </w:rPr>
        <w:t> </w:t>
      </w:r>
      <w:r>
        <w:rPr/>
        <w:t>las diversas razas en un solo grupo. La iglesia, a través de sus instituciones (salud, asistencia social y educación), proporcionó los servicios a la población, que posteriormente fueron adjudicados al Estado. Por ser la institución que contaba con mayor</w:t>
      </w:r>
      <w:r>
        <w:rPr>
          <w:spacing w:val="-16"/>
        </w:rPr>
        <w:t> </w:t>
      </w:r>
      <w:r>
        <w:rPr/>
        <w:t>capital</w:t>
      </w:r>
      <w:r>
        <w:rPr>
          <w:spacing w:val="-17"/>
        </w:rPr>
        <w:t> </w:t>
      </w:r>
      <w:r>
        <w:rPr/>
        <w:t>líquido,</w:t>
      </w:r>
      <w:r>
        <w:rPr>
          <w:spacing w:val="-15"/>
        </w:rPr>
        <w:t> </w:t>
      </w:r>
      <w:r>
        <w:rPr/>
        <w:t>la</w:t>
      </w:r>
      <w:r>
        <w:rPr>
          <w:spacing w:val="-18"/>
        </w:rPr>
        <w:t> </w:t>
      </w:r>
      <w:r>
        <w:rPr/>
        <w:t>iglesia</w:t>
      </w:r>
      <w:r>
        <w:rPr>
          <w:spacing w:val="-18"/>
        </w:rPr>
        <w:t> </w:t>
      </w:r>
      <w:r>
        <w:rPr/>
        <w:t>llegó</w:t>
      </w:r>
      <w:r>
        <w:rPr>
          <w:spacing w:val="-18"/>
        </w:rPr>
        <w:t> </w:t>
      </w:r>
      <w:r>
        <w:rPr/>
        <w:t>a</w:t>
      </w:r>
      <w:r>
        <w:rPr>
          <w:spacing w:val="-18"/>
        </w:rPr>
        <w:t> </w:t>
      </w:r>
      <w:r>
        <w:rPr/>
        <w:t>constituirse</w:t>
      </w:r>
      <w:r>
        <w:rPr>
          <w:spacing w:val="-18"/>
        </w:rPr>
        <w:t> </w:t>
      </w:r>
      <w:r>
        <w:rPr/>
        <w:t>como</w:t>
      </w:r>
      <w:r>
        <w:rPr>
          <w:spacing w:val="-18"/>
        </w:rPr>
        <w:t> </w:t>
      </w:r>
      <w:r>
        <w:rPr/>
        <w:t>la</w:t>
      </w:r>
      <w:r>
        <w:rPr>
          <w:spacing w:val="-18"/>
        </w:rPr>
        <w:t> </w:t>
      </w:r>
      <w:r>
        <w:rPr/>
        <w:t>banca</w:t>
      </w:r>
      <w:r>
        <w:rPr>
          <w:spacing w:val="-18"/>
        </w:rPr>
        <w:t> </w:t>
      </w:r>
      <w:r>
        <w:rPr/>
        <w:t>del</w:t>
      </w:r>
      <w:r>
        <w:rPr>
          <w:spacing w:val="-17"/>
        </w:rPr>
        <w:t> </w:t>
      </w:r>
      <w:r>
        <w:rPr/>
        <w:t>país.</w:t>
      </w:r>
      <w:r>
        <w:rPr>
          <w:spacing w:val="-10"/>
        </w:rPr>
        <w:t> </w:t>
      </w:r>
      <w:r>
        <w:rPr/>
        <w:t>En</w:t>
      </w:r>
      <w:r>
        <w:rPr>
          <w:spacing w:val="-18"/>
        </w:rPr>
        <w:t> </w:t>
      </w:r>
      <w:r>
        <w:rPr/>
        <w:t>el</w:t>
      </w:r>
      <w:r>
        <w:rPr>
          <w:spacing w:val="-17"/>
        </w:rPr>
        <w:t> </w:t>
      </w:r>
      <w:r>
        <w:rPr/>
        <w:t>Siglo XVIII</w:t>
      </w:r>
      <w:r>
        <w:rPr>
          <w:spacing w:val="-10"/>
        </w:rPr>
        <w:t> </w:t>
      </w:r>
      <w:r>
        <w:rPr/>
        <w:t>la</w:t>
      </w:r>
      <w:r>
        <w:rPr>
          <w:spacing w:val="-9"/>
        </w:rPr>
        <w:t> </w:t>
      </w:r>
      <w:r>
        <w:rPr/>
        <w:t>dinastía</w:t>
      </w:r>
      <w:r>
        <w:rPr>
          <w:spacing w:val="-9"/>
        </w:rPr>
        <w:t> </w:t>
      </w:r>
      <w:r>
        <w:rPr/>
        <w:t>Habsburgo</w:t>
      </w:r>
      <w:r>
        <w:rPr>
          <w:spacing w:val="-9"/>
        </w:rPr>
        <w:t> </w:t>
      </w:r>
      <w:r>
        <w:rPr/>
        <w:t>contó</w:t>
      </w:r>
      <w:r>
        <w:rPr>
          <w:spacing w:val="-9"/>
        </w:rPr>
        <w:t> </w:t>
      </w:r>
      <w:r>
        <w:rPr/>
        <w:t>con</w:t>
      </w:r>
      <w:r>
        <w:rPr>
          <w:spacing w:val="-5"/>
        </w:rPr>
        <w:t> </w:t>
      </w:r>
      <w:r>
        <w:rPr/>
        <w:t>una</w:t>
      </w:r>
      <w:r>
        <w:rPr>
          <w:spacing w:val="-9"/>
        </w:rPr>
        <w:t> </w:t>
      </w:r>
      <w:r>
        <w:rPr/>
        <w:t>serie</w:t>
      </w:r>
      <w:r>
        <w:rPr>
          <w:spacing w:val="-9"/>
        </w:rPr>
        <w:t> </w:t>
      </w:r>
      <w:r>
        <w:rPr/>
        <w:t>de</w:t>
      </w:r>
      <w:r>
        <w:rPr>
          <w:spacing w:val="-9"/>
        </w:rPr>
        <w:t> </w:t>
      </w:r>
      <w:r>
        <w:rPr/>
        <w:t>monarcas</w:t>
      </w:r>
      <w:r>
        <w:rPr>
          <w:spacing w:val="-7"/>
        </w:rPr>
        <w:t> </w:t>
      </w:r>
      <w:r>
        <w:rPr/>
        <w:t>que</w:t>
      </w:r>
      <w:r>
        <w:rPr>
          <w:spacing w:val="-9"/>
        </w:rPr>
        <w:t> </w:t>
      </w:r>
      <w:r>
        <w:rPr/>
        <w:t>se</w:t>
      </w:r>
      <w:r>
        <w:rPr>
          <w:spacing w:val="-9"/>
        </w:rPr>
        <w:t> </w:t>
      </w:r>
      <w:r>
        <w:rPr/>
        <w:t>enfrascaron</w:t>
      </w:r>
      <w:r>
        <w:rPr>
          <w:spacing w:val="-9"/>
        </w:rPr>
        <w:t> </w:t>
      </w:r>
      <w:r>
        <w:rPr/>
        <w:t>en largas luchas por el poder y predominio europeos, con lo cual llevaron a la quiebra al gobierno español y al pueblo de la Nueva España. La bancarrota del gobierno español</w:t>
      </w:r>
      <w:r>
        <w:rPr>
          <w:spacing w:val="-15"/>
        </w:rPr>
        <w:t> </w:t>
      </w:r>
      <w:r>
        <w:rPr/>
        <w:t>los</w:t>
      </w:r>
      <w:r>
        <w:rPr>
          <w:spacing w:val="-14"/>
        </w:rPr>
        <w:t> </w:t>
      </w:r>
      <w:r>
        <w:rPr/>
        <w:t>llevó</w:t>
      </w:r>
      <w:r>
        <w:rPr>
          <w:spacing w:val="-16"/>
        </w:rPr>
        <w:t> </w:t>
      </w:r>
      <w:r>
        <w:rPr/>
        <w:t>a</w:t>
      </w:r>
      <w:r>
        <w:rPr>
          <w:spacing w:val="-16"/>
        </w:rPr>
        <w:t> </w:t>
      </w:r>
      <w:r>
        <w:rPr/>
        <w:t>perder</w:t>
      </w:r>
      <w:r>
        <w:rPr>
          <w:spacing w:val="-11"/>
        </w:rPr>
        <w:t> </w:t>
      </w:r>
      <w:r>
        <w:rPr/>
        <w:t>el</w:t>
      </w:r>
      <w:r>
        <w:rPr>
          <w:spacing w:val="-15"/>
        </w:rPr>
        <w:t> </w:t>
      </w:r>
      <w:r>
        <w:rPr/>
        <w:t>poder.</w:t>
      </w:r>
      <w:r>
        <w:rPr>
          <w:spacing w:val="-13"/>
        </w:rPr>
        <w:t> </w:t>
      </w:r>
      <w:r>
        <w:rPr/>
        <w:t>En</w:t>
      </w:r>
      <w:r>
        <w:rPr>
          <w:spacing w:val="-12"/>
        </w:rPr>
        <w:t> </w:t>
      </w:r>
      <w:r>
        <w:rPr/>
        <w:t>la</w:t>
      </w:r>
      <w:r>
        <w:rPr>
          <w:spacing w:val="-16"/>
        </w:rPr>
        <w:t> </w:t>
      </w:r>
      <w:r>
        <w:rPr/>
        <w:t>Nueva</w:t>
      </w:r>
      <w:r>
        <w:rPr>
          <w:spacing w:val="-16"/>
        </w:rPr>
        <w:t> </w:t>
      </w:r>
      <w:r>
        <w:rPr/>
        <w:t>España,</w:t>
      </w:r>
      <w:r>
        <w:rPr>
          <w:spacing w:val="-13"/>
        </w:rPr>
        <w:t> </w:t>
      </w:r>
      <w:r>
        <w:rPr/>
        <w:t>la</w:t>
      </w:r>
      <w:r>
        <w:rPr>
          <w:spacing w:val="-12"/>
        </w:rPr>
        <w:t> </w:t>
      </w:r>
      <w:r>
        <w:rPr/>
        <w:t>decadencia</w:t>
      </w:r>
      <w:r>
        <w:rPr>
          <w:spacing w:val="-16"/>
        </w:rPr>
        <w:t> </w:t>
      </w:r>
      <w:r>
        <w:rPr/>
        <w:t>de</w:t>
      </w:r>
      <w:r>
        <w:rPr>
          <w:spacing w:val="-16"/>
        </w:rPr>
        <w:t> </w:t>
      </w:r>
      <w:r>
        <w:rPr/>
        <w:t>la</w:t>
      </w:r>
      <w:r>
        <w:rPr>
          <w:spacing w:val="-12"/>
        </w:rPr>
        <w:t> </w:t>
      </w:r>
      <w:r>
        <w:rPr/>
        <w:t>dinastía se evidenció con la venta de cargos</w:t>
      </w:r>
      <w:r>
        <w:rPr>
          <w:spacing w:val="-24"/>
        </w:rPr>
        <w:t> </w:t>
      </w:r>
      <w:r>
        <w:rPr/>
        <w:t>públicos.</w:t>
      </w:r>
    </w:p>
    <w:p>
      <w:pPr>
        <w:pStyle w:val="BodyText"/>
        <w:spacing w:line="360" w:lineRule="auto" w:before="5"/>
        <w:ind w:left="100" w:right="112" w:firstLine="427"/>
        <w:jc w:val="both"/>
      </w:pPr>
      <w:r>
        <w:rPr/>
        <w:t>La escasa atención que el Estado español prestó a la Nueva España hizo que ésta se volviera más independiente, ya que los asuntos políticos se tuvieron que arreglar internamente.</w:t>
      </w:r>
    </w:p>
    <w:p>
      <w:pPr>
        <w:pStyle w:val="BodyText"/>
        <w:spacing w:line="360" w:lineRule="auto" w:before="2"/>
        <w:ind w:left="100" w:right="199" w:firstLine="427"/>
        <w:jc w:val="both"/>
      </w:pPr>
      <w:r>
        <w:rPr/>
        <w:t>En 1804 la Real Cédula, institución jurídica española en territorio americano, reformó</w:t>
      </w:r>
      <w:r>
        <w:rPr>
          <w:spacing w:val="-7"/>
        </w:rPr>
        <w:t> </w:t>
      </w:r>
      <w:r>
        <w:rPr/>
        <w:t>la</w:t>
      </w:r>
      <w:r>
        <w:rPr>
          <w:spacing w:val="-8"/>
        </w:rPr>
        <w:t> </w:t>
      </w:r>
      <w:r>
        <w:rPr/>
        <w:t>disposición</w:t>
      </w:r>
      <w:r>
        <w:rPr>
          <w:spacing w:val="-8"/>
        </w:rPr>
        <w:t> </w:t>
      </w:r>
      <w:r>
        <w:rPr/>
        <w:t>sobre</w:t>
      </w:r>
      <w:r>
        <w:rPr>
          <w:spacing w:val="-8"/>
        </w:rPr>
        <w:t> </w:t>
      </w:r>
      <w:r>
        <w:rPr/>
        <w:t>la</w:t>
      </w:r>
      <w:r>
        <w:rPr>
          <w:spacing w:val="-8"/>
        </w:rPr>
        <w:t> </w:t>
      </w:r>
      <w:r>
        <w:rPr/>
        <w:t>enajenación</w:t>
      </w:r>
      <w:r>
        <w:rPr>
          <w:spacing w:val="-8"/>
        </w:rPr>
        <w:t> </w:t>
      </w:r>
      <w:r>
        <w:rPr/>
        <w:t>de</w:t>
      </w:r>
      <w:r>
        <w:rPr>
          <w:spacing w:val="-8"/>
        </w:rPr>
        <w:t> </w:t>
      </w:r>
      <w:r>
        <w:rPr/>
        <w:t>bienes</w:t>
      </w:r>
      <w:r>
        <w:rPr>
          <w:spacing w:val="-6"/>
        </w:rPr>
        <w:t> </w:t>
      </w:r>
      <w:r>
        <w:rPr/>
        <w:t>raíces</w:t>
      </w:r>
      <w:r>
        <w:rPr>
          <w:spacing w:val="-6"/>
        </w:rPr>
        <w:t> </w:t>
      </w:r>
      <w:r>
        <w:rPr/>
        <w:t>y</w:t>
      </w:r>
      <w:r>
        <w:rPr>
          <w:spacing w:val="-10"/>
        </w:rPr>
        <w:t> </w:t>
      </w:r>
      <w:r>
        <w:rPr/>
        <w:t>el</w:t>
      </w:r>
      <w:r>
        <w:rPr>
          <w:spacing w:val="-7"/>
        </w:rPr>
        <w:t> </w:t>
      </w:r>
      <w:r>
        <w:rPr/>
        <w:t>cobro</w:t>
      </w:r>
      <w:r>
        <w:rPr>
          <w:spacing w:val="-8"/>
        </w:rPr>
        <w:t> </w:t>
      </w:r>
      <w:r>
        <w:rPr/>
        <w:t>de</w:t>
      </w:r>
      <w:r>
        <w:rPr>
          <w:spacing w:val="-8"/>
        </w:rPr>
        <w:t> </w:t>
      </w:r>
      <w:r>
        <w:rPr/>
        <w:t>capitales de capellanías y obras pías para la consolidación de vales reales. Las reformas causaron el descontento y serios desajustes sociales y</w:t>
      </w:r>
      <w:r>
        <w:rPr>
          <w:spacing w:val="-26"/>
        </w:rPr>
        <w:t> </w:t>
      </w:r>
      <w:r>
        <w:rPr/>
        <w:t>económicos.</w:t>
      </w:r>
    </w:p>
    <w:p>
      <w:pPr>
        <w:pStyle w:val="BodyText"/>
        <w:spacing w:line="360" w:lineRule="auto" w:before="1"/>
        <w:ind w:left="100" w:right="111" w:firstLine="427"/>
        <w:jc w:val="both"/>
      </w:pPr>
      <w:r>
        <w:rPr/>
        <w:t>Los Borbones (1763-1810) crearon un auge económico de la colonia, pero sus reformas políticas, orientadas hacia reducir el poder de la iglesia, hicieron salir a los jesuitas hacia España, lo que les trajo el descontento popular. Para que la iglesia pudiera pagar al Estado lo que éste pedía, se vio en la necesidad de cobrar sus préstamos e hipotecas, lo que alteró toda la estructura productiva del virreinato.</w:t>
      </w:r>
    </w:p>
    <w:p>
      <w:pPr>
        <w:pStyle w:val="BodyText"/>
        <w:spacing w:line="360" w:lineRule="auto" w:before="6"/>
        <w:ind w:left="100" w:right="110" w:firstLine="427"/>
        <w:jc w:val="both"/>
      </w:pPr>
      <w:r>
        <w:rPr/>
        <w:t>Se consideró que la figura del virrey en América era peligrosa, ya que implicaba que una sola persona concentrara el poder; para evitar esto se utilizó el sistema de intendencias (copiado de los franceses y adoptado con antelación en España). A la cabeza de las intendencias se ejercían las funciones de justicia, guerra, hacienda, fomento de la economía y obras públicas. En 1810 se crearon en México tres secretarías  de Estado:  Secretaría de Gracia  y Justicia,  Secretaría de  Guerra   </w:t>
      </w:r>
      <w:r>
        <w:rPr>
          <w:spacing w:val="54"/>
        </w:rPr>
        <w:t> </w:t>
      </w:r>
      <w:r>
        <w:rPr/>
        <w:t>y</w:t>
      </w:r>
    </w:p>
    <w:p>
      <w:pPr>
        <w:spacing w:after="0" w:line="360" w:lineRule="auto"/>
        <w:jc w:val="both"/>
        <w:sectPr>
          <w:pgSz w:w="12240" w:h="15840"/>
          <w:pgMar w:header="0" w:footer="998" w:top="1360" w:bottom="1180" w:left="1600" w:right="1500"/>
        </w:sectPr>
      </w:pPr>
    </w:p>
    <w:p>
      <w:pPr>
        <w:pStyle w:val="BodyText"/>
        <w:spacing w:line="360" w:lineRule="auto" w:before="50"/>
        <w:ind w:left="120" w:right="110"/>
        <w:jc w:val="both"/>
      </w:pPr>
      <w:r>
        <w:rPr/>
        <w:t>Secretaría de Estado y Despacho.</w:t>
      </w:r>
      <w:r>
        <w:rPr>
          <w:position w:val="8"/>
          <w:sz w:val="16"/>
        </w:rPr>
        <w:t>43</w:t>
      </w:r>
      <w:r>
        <w:rPr/>
        <w:t>A finales del siglo XVIII las ideas independentistas difundidas por documentos políticos franceses y norteamericanos dieron</w:t>
      </w:r>
      <w:r>
        <w:rPr>
          <w:spacing w:val="-16"/>
        </w:rPr>
        <w:t> </w:t>
      </w:r>
      <w:r>
        <w:rPr/>
        <w:t>como</w:t>
      </w:r>
      <w:r>
        <w:rPr>
          <w:spacing w:val="-16"/>
        </w:rPr>
        <w:t> </w:t>
      </w:r>
      <w:r>
        <w:rPr/>
        <w:t>resultado</w:t>
      </w:r>
      <w:r>
        <w:rPr>
          <w:spacing w:val="-16"/>
        </w:rPr>
        <w:t> </w:t>
      </w:r>
      <w:r>
        <w:rPr/>
        <w:t>la</w:t>
      </w:r>
      <w:r>
        <w:rPr>
          <w:spacing w:val="-16"/>
        </w:rPr>
        <w:t> </w:t>
      </w:r>
      <w:r>
        <w:rPr/>
        <w:t>idea</w:t>
      </w:r>
      <w:r>
        <w:rPr>
          <w:spacing w:val="-16"/>
        </w:rPr>
        <w:t> </w:t>
      </w:r>
      <w:r>
        <w:rPr/>
        <w:t>de</w:t>
      </w:r>
      <w:r>
        <w:rPr>
          <w:spacing w:val="-16"/>
        </w:rPr>
        <w:t> </w:t>
      </w:r>
      <w:r>
        <w:rPr/>
        <w:t>libertad,</w:t>
      </w:r>
      <w:r>
        <w:rPr>
          <w:spacing w:val="-13"/>
        </w:rPr>
        <w:t> </w:t>
      </w:r>
      <w:r>
        <w:rPr/>
        <w:t>que</w:t>
      </w:r>
      <w:r>
        <w:rPr>
          <w:spacing w:val="-16"/>
        </w:rPr>
        <w:t> </w:t>
      </w:r>
      <w:r>
        <w:rPr/>
        <w:t>culminó</w:t>
      </w:r>
      <w:r>
        <w:rPr>
          <w:spacing w:val="-16"/>
        </w:rPr>
        <w:t> </w:t>
      </w:r>
      <w:r>
        <w:rPr/>
        <w:t>en</w:t>
      </w:r>
      <w:r>
        <w:rPr>
          <w:spacing w:val="-16"/>
        </w:rPr>
        <w:t> </w:t>
      </w:r>
      <w:r>
        <w:rPr/>
        <w:t>la</w:t>
      </w:r>
      <w:r>
        <w:rPr>
          <w:spacing w:val="-12"/>
        </w:rPr>
        <w:t> </w:t>
      </w:r>
      <w:r>
        <w:rPr/>
        <w:t>guerra</w:t>
      </w:r>
      <w:r>
        <w:rPr>
          <w:spacing w:val="-16"/>
        </w:rPr>
        <w:t> </w:t>
      </w:r>
      <w:r>
        <w:rPr/>
        <w:t>de</w:t>
      </w:r>
      <w:r>
        <w:rPr>
          <w:spacing w:val="-12"/>
        </w:rPr>
        <w:t> </w:t>
      </w:r>
      <w:r>
        <w:rPr/>
        <w:t>independencia de</w:t>
      </w:r>
      <w:r>
        <w:rPr>
          <w:spacing w:val="-8"/>
        </w:rPr>
        <w:t> </w:t>
      </w:r>
      <w:r>
        <w:rPr/>
        <w:t>1810.</w:t>
      </w:r>
    </w:p>
    <w:p>
      <w:pPr>
        <w:pStyle w:val="BodyText"/>
        <w:spacing w:line="360" w:lineRule="auto" w:before="2"/>
        <w:ind w:left="120" w:right="203" w:firstLine="427"/>
        <w:jc w:val="both"/>
      </w:pPr>
      <w:r>
        <w:rPr/>
        <w:t>José María Morelos y Pavón delimitó la guerra de independencia en el documento </w:t>
      </w:r>
      <w:r>
        <w:rPr>
          <w:i/>
        </w:rPr>
        <w:t>Sentimientos de la nación </w:t>
      </w:r>
      <w:r>
        <w:rPr/>
        <w:t>publicado en 1813</w:t>
      </w:r>
      <w:r>
        <w:rPr>
          <w:b/>
        </w:rPr>
        <w:t>. </w:t>
      </w:r>
      <w:r>
        <w:rPr/>
        <w:t>El escrito es</w:t>
      </w:r>
      <w:r>
        <w:rPr>
          <w:spacing w:val="-40"/>
        </w:rPr>
        <w:t> </w:t>
      </w:r>
      <w:r>
        <w:rPr/>
        <w:t>considerado uno</w:t>
      </w:r>
      <w:r>
        <w:rPr>
          <w:spacing w:val="-17"/>
        </w:rPr>
        <w:t> </w:t>
      </w:r>
      <w:r>
        <w:rPr/>
        <w:t>de</w:t>
      </w:r>
      <w:r>
        <w:rPr>
          <w:spacing w:val="-17"/>
        </w:rPr>
        <w:t> </w:t>
      </w:r>
      <w:r>
        <w:rPr/>
        <w:t>los</w:t>
      </w:r>
      <w:r>
        <w:rPr>
          <w:spacing w:val="-15"/>
        </w:rPr>
        <w:t> </w:t>
      </w:r>
      <w:r>
        <w:rPr/>
        <w:t>textos</w:t>
      </w:r>
      <w:r>
        <w:rPr>
          <w:spacing w:val="-15"/>
        </w:rPr>
        <w:t> </w:t>
      </w:r>
      <w:r>
        <w:rPr/>
        <w:t>políticos</w:t>
      </w:r>
      <w:r>
        <w:rPr>
          <w:spacing w:val="-15"/>
        </w:rPr>
        <w:t> </w:t>
      </w:r>
      <w:r>
        <w:rPr>
          <w:spacing w:val="-2"/>
        </w:rPr>
        <w:t>más</w:t>
      </w:r>
      <w:r>
        <w:rPr>
          <w:spacing w:val="-15"/>
        </w:rPr>
        <w:t> </w:t>
      </w:r>
      <w:r>
        <w:rPr/>
        <w:t>importantes,</w:t>
      </w:r>
      <w:r>
        <w:rPr>
          <w:spacing w:val="-14"/>
        </w:rPr>
        <w:t> </w:t>
      </w:r>
      <w:r>
        <w:rPr/>
        <w:t>en</w:t>
      </w:r>
      <w:r>
        <w:rPr>
          <w:spacing w:val="-17"/>
        </w:rPr>
        <w:t> </w:t>
      </w:r>
      <w:r>
        <w:rPr/>
        <w:t>el</w:t>
      </w:r>
      <w:r>
        <w:rPr>
          <w:spacing w:val="-16"/>
        </w:rPr>
        <w:t> </w:t>
      </w:r>
      <w:r>
        <w:rPr/>
        <w:t>cual</w:t>
      </w:r>
      <w:r>
        <w:rPr>
          <w:spacing w:val="-16"/>
        </w:rPr>
        <w:t> </w:t>
      </w:r>
      <w:r>
        <w:rPr/>
        <w:t>Morelos</w:t>
      </w:r>
      <w:r>
        <w:rPr>
          <w:spacing w:val="-15"/>
        </w:rPr>
        <w:t> </w:t>
      </w:r>
      <w:r>
        <w:rPr/>
        <w:t>expresó</w:t>
      </w:r>
      <w:r>
        <w:rPr>
          <w:spacing w:val="-17"/>
        </w:rPr>
        <w:t> </w:t>
      </w:r>
      <w:r>
        <w:rPr/>
        <w:t>las</w:t>
      </w:r>
      <w:r>
        <w:rPr>
          <w:spacing w:val="-15"/>
        </w:rPr>
        <w:t> </w:t>
      </w:r>
      <w:r>
        <w:rPr/>
        <w:t>23</w:t>
      </w:r>
      <w:r>
        <w:rPr>
          <w:spacing w:val="-13"/>
        </w:rPr>
        <w:t> </w:t>
      </w:r>
      <w:r>
        <w:rPr/>
        <w:t>líneas de política que consideraron la independencia, la soberanía del pueblo y la división de poderes, entre otras</w:t>
      </w:r>
      <w:r>
        <w:rPr>
          <w:spacing w:val="-19"/>
        </w:rPr>
        <w:t> </w:t>
      </w:r>
      <w:r>
        <w:rPr/>
        <w:t>medidas.</w:t>
      </w:r>
    </w:p>
    <w:p>
      <w:pPr>
        <w:pStyle w:val="BodyText"/>
        <w:spacing w:line="360" w:lineRule="auto" w:before="6"/>
        <w:ind w:left="120" w:right="201" w:firstLine="427"/>
        <w:jc w:val="both"/>
      </w:pPr>
      <w:r>
        <w:rPr/>
        <w:t>A partir de los movimientos independentistas, los españoles denominaron “caudillos” a las personas que, como Morelos, se sublevaron ante el régimen monárquico</w:t>
      </w:r>
      <w:r>
        <w:rPr>
          <w:spacing w:val="-7"/>
        </w:rPr>
        <w:t> </w:t>
      </w:r>
      <w:r>
        <w:rPr/>
        <w:t>español.</w:t>
      </w:r>
      <w:r>
        <w:rPr>
          <w:spacing w:val="-3"/>
        </w:rPr>
        <w:t> </w:t>
      </w:r>
      <w:r>
        <w:rPr/>
        <w:t>En</w:t>
      </w:r>
      <w:r>
        <w:rPr>
          <w:spacing w:val="-7"/>
        </w:rPr>
        <w:t> </w:t>
      </w:r>
      <w:r>
        <w:rPr/>
        <w:t>1820</w:t>
      </w:r>
      <w:r>
        <w:rPr>
          <w:spacing w:val="-7"/>
        </w:rPr>
        <w:t> </w:t>
      </w:r>
      <w:r>
        <w:rPr/>
        <w:t>El</w:t>
      </w:r>
      <w:r>
        <w:rPr>
          <w:spacing w:val="-6"/>
        </w:rPr>
        <w:t> </w:t>
      </w:r>
      <w:r>
        <w:rPr/>
        <w:t>Virrey</w:t>
      </w:r>
      <w:r>
        <w:rPr>
          <w:spacing w:val="-9"/>
        </w:rPr>
        <w:t> </w:t>
      </w:r>
      <w:r>
        <w:rPr/>
        <w:t>Juan</w:t>
      </w:r>
      <w:r>
        <w:rPr>
          <w:spacing w:val="-7"/>
        </w:rPr>
        <w:t> </w:t>
      </w:r>
      <w:r>
        <w:rPr/>
        <w:t>Ruiz</w:t>
      </w:r>
      <w:r>
        <w:rPr>
          <w:spacing w:val="-9"/>
        </w:rPr>
        <w:t> </w:t>
      </w:r>
      <w:r>
        <w:rPr/>
        <w:t>de</w:t>
      </w:r>
      <w:r>
        <w:rPr>
          <w:spacing w:val="-7"/>
        </w:rPr>
        <w:t> </w:t>
      </w:r>
      <w:r>
        <w:rPr/>
        <w:t>Apodaca</w:t>
      </w:r>
      <w:r>
        <w:rPr>
          <w:spacing w:val="-7"/>
        </w:rPr>
        <w:t> </w:t>
      </w:r>
      <w:r>
        <w:rPr/>
        <w:t>inició</w:t>
      </w:r>
      <w:r>
        <w:rPr>
          <w:spacing w:val="-7"/>
        </w:rPr>
        <w:t> </w:t>
      </w:r>
      <w:r>
        <w:rPr/>
        <w:t>una</w:t>
      </w:r>
      <w:r>
        <w:rPr>
          <w:spacing w:val="-7"/>
        </w:rPr>
        <w:t> </w:t>
      </w:r>
      <w:r>
        <w:rPr/>
        <w:t>política</w:t>
      </w:r>
      <w:r>
        <w:rPr>
          <w:spacing w:val="-7"/>
        </w:rPr>
        <w:t> </w:t>
      </w:r>
      <w:r>
        <w:rPr/>
        <w:t>de conciliación</w:t>
      </w:r>
      <w:r>
        <w:rPr>
          <w:spacing w:val="-4"/>
        </w:rPr>
        <w:t> </w:t>
      </w:r>
      <w:r>
        <w:rPr/>
        <w:t>y</w:t>
      </w:r>
      <w:r>
        <w:rPr>
          <w:spacing w:val="-10"/>
        </w:rPr>
        <w:t> </w:t>
      </w:r>
      <w:r>
        <w:rPr/>
        <w:t>proclamó</w:t>
      </w:r>
      <w:r>
        <w:rPr>
          <w:spacing w:val="-4"/>
        </w:rPr>
        <w:t> </w:t>
      </w:r>
      <w:r>
        <w:rPr/>
        <w:t>el</w:t>
      </w:r>
      <w:r>
        <w:rPr>
          <w:spacing w:val="-7"/>
        </w:rPr>
        <w:t> </w:t>
      </w:r>
      <w:r>
        <w:rPr/>
        <w:t>Plan</w:t>
      </w:r>
      <w:r>
        <w:rPr>
          <w:spacing w:val="-8"/>
        </w:rPr>
        <w:t> </w:t>
      </w:r>
      <w:r>
        <w:rPr/>
        <w:t>de</w:t>
      </w:r>
      <w:r>
        <w:rPr>
          <w:spacing w:val="-8"/>
        </w:rPr>
        <w:t> </w:t>
      </w:r>
      <w:r>
        <w:rPr/>
        <w:t>la</w:t>
      </w:r>
      <w:r>
        <w:rPr>
          <w:spacing w:val="-8"/>
        </w:rPr>
        <w:t> </w:t>
      </w:r>
      <w:r>
        <w:rPr/>
        <w:t>Profesa,</w:t>
      </w:r>
      <w:r>
        <w:rPr>
          <w:spacing w:val="-5"/>
        </w:rPr>
        <w:t> </w:t>
      </w:r>
      <w:r>
        <w:rPr/>
        <w:t>que</w:t>
      </w:r>
      <w:r>
        <w:rPr>
          <w:spacing w:val="-8"/>
        </w:rPr>
        <w:t> </w:t>
      </w:r>
      <w:r>
        <w:rPr/>
        <w:t>declaraba</w:t>
      </w:r>
      <w:r>
        <w:rPr>
          <w:spacing w:val="-3"/>
        </w:rPr>
        <w:t> </w:t>
      </w:r>
      <w:r>
        <w:rPr/>
        <w:t>la</w:t>
      </w:r>
      <w:r>
        <w:rPr>
          <w:spacing w:val="-8"/>
        </w:rPr>
        <w:t> </w:t>
      </w:r>
      <w:r>
        <w:rPr/>
        <w:t>independencia</w:t>
      </w:r>
      <w:r>
        <w:rPr>
          <w:spacing w:val="-8"/>
        </w:rPr>
        <w:t> </w:t>
      </w:r>
      <w:r>
        <w:rPr/>
        <w:t>de</w:t>
      </w:r>
      <w:r>
        <w:rPr>
          <w:spacing w:val="-8"/>
        </w:rPr>
        <w:t> </w:t>
      </w:r>
      <w:r>
        <w:rPr/>
        <w:t>la colonia con un régimen de monarquía absoluta y la conservación de los privilegios eclesiásticos.</w:t>
      </w:r>
    </w:p>
    <w:p>
      <w:pPr>
        <w:pStyle w:val="BodyText"/>
      </w:pPr>
    </w:p>
    <w:p>
      <w:pPr>
        <w:pStyle w:val="BodyText"/>
        <w:spacing w:before="3"/>
        <w:rPr>
          <w:sz w:val="32"/>
        </w:rPr>
      </w:pPr>
    </w:p>
    <w:p>
      <w:pPr>
        <w:pStyle w:val="Heading2"/>
        <w:numPr>
          <w:ilvl w:val="1"/>
          <w:numId w:val="41"/>
        </w:numPr>
        <w:tabs>
          <w:tab w:pos="553" w:val="left" w:leader="none"/>
        </w:tabs>
        <w:spacing w:line="240" w:lineRule="auto" w:before="0" w:after="0"/>
        <w:ind w:left="552" w:right="0" w:hanging="432"/>
        <w:jc w:val="both"/>
      </w:pPr>
      <w:bookmarkStart w:name="_bookmark46" w:id="62"/>
      <w:bookmarkEnd w:id="62"/>
      <w:r>
        <w:rPr>
          <w:b w:val="0"/>
        </w:rPr>
      </w:r>
      <w:bookmarkStart w:name="_bookmark46" w:id="63"/>
      <w:bookmarkEnd w:id="63"/>
      <w:r>
        <w:rPr/>
        <w:t>S</w:t>
      </w:r>
      <w:r>
        <w:rPr/>
        <w:t>iglos XIX y</w:t>
      </w:r>
      <w:r>
        <w:rPr>
          <w:spacing w:val="-8"/>
        </w:rPr>
        <w:t> </w:t>
      </w:r>
      <w:r>
        <w:rPr/>
        <w:t>XX</w:t>
      </w:r>
    </w:p>
    <w:p>
      <w:pPr>
        <w:pStyle w:val="BodyText"/>
        <w:spacing w:before="6"/>
        <w:rPr>
          <w:b/>
          <w:sz w:val="30"/>
        </w:rPr>
      </w:pPr>
    </w:p>
    <w:p>
      <w:pPr>
        <w:pStyle w:val="Heading3"/>
        <w:numPr>
          <w:ilvl w:val="2"/>
          <w:numId w:val="41"/>
        </w:numPr>
        <w:tabs>
          <w:tab w:pos="720" w:val="left" w:leader="none"/>
        </w:tabs>
        <w:spacing w:line="240" w:lineRule="auto" w:before="1" w:after="0"/>
        <w:ind w:left="719" w:right="0" w:hanging="599"/>
        <w:jc w:val="both"/>
      </w:pPr>
      <w:bookmarkStart w:name="_bookmark47" w:id="64"/>
      <w:bookmarkEnd w:id="64"/>
      <w:r>
        <w:rPr>
          <w:b w:val="0"/>
        </w:rPr>
      </w:r>
      <w:bookmarkStart w:name="_bookmark47" w:id="65"/>
      <w:bookmarkEnd w:id="65"/>
      <w:r>
        <w:rPr/>
        <w:t>E</w:t>
      </w:r>
      <w:r>
        <w:rPr/>
        <w:t>stado y</w:t>
      </w:r>
      <w:r>
        <w:rPr>
          <w:spacing w:val="-5"/>
        </w:rPr>
        <w:t> </w:t>
      </w:r>
      <w:r>
        <w:rPr/>
        <w:t>política</w:t>
      </w:r>
    </w:p>
    <w:p>
      <w:pPr>
        <w:pStyle w:val="BodyText"/>
        <w:rPr>
          <w:b/>
        </w:rPr>
      </w:pPr>
    </w:p>
    <w:p>
      <w:pPr>
        <w:pStyle w:val="BodyText"/>
        <w:spacing w:before="4"/>
        <w:rPr>
          <w:b/>
        </w:rPr>
      </w:pPr>
    </w:p>
    <w:p>
      <w:pPr>
        <w:pStyle w:val="BodyText"/>
        <w:spacing w:line="360" w:lineRule="auto"/>
        <w:ind w:left="120" w:right="198"/>
        <w:jc w:val="both"/>
      </w:pPr>
      <w:r>
        <w:rPr/>
        <w:t>Las</w:t>
      </w:r>
      <w:r>
        <w:rPr>
          <w:spacing w:val="-4"/>
        </w:rPr>
        <w:t> </w:t>
      </w:r>
      <w:r>
        <w:rPr/>
        <w:t>guerras,</w:t>
      </w:r>
      <w:r>
        <w:rPr>
          <w:spacing w:val="-4"/>
        </w:rPr>
        <w:t> </w:t>
      </w:r>
      <w:r>
        <w:rPr/>
        <w:t>las</w:t>
      </w:r>
      <w:r>
        <w:rPr>
          <w:spacing w:val="-4"/>
        </w:rPr>
        <w:t> </w:t>
      </w:r>
      <w:r>
        <w:rPr/>
        <w:t>invasiones,</w:t>
      </w:r>
      <w:r>
        <w:rPr>
          <w:spacing w:val="-4"/>
        </w:rPr>
        <w:t> </w:t>
      </w:r>
      <w:r>
        <w:rPr/>
        <w:t>los</w:t>
      </w:r>
      <w:r>
        <w:rPr>
          <w:spacing w:val="-4"/>
        </w:rPr>
        <w:t> </w:t>
      </w:r>
      <w:r>
        <w:rPr/>
        <w:t>conflictos</w:t>
      </w:r>
      <w:r>
        <w:rPr>
          <w:spacing w:val="-4"/>
        </w:rPr>
        <w:t> </w:t>
      </w:r>
      <w:r>
        <w:rPr/>
        <w:t>internos</w:t>
      </w:r>
      <w:r>
        <w:rPr>
          <w:spacing w:val="-4"/>
        </w:rPr>
        <w:t> </w:t>
      </w:r>
      <w:r>
        <w:rPr/>
        <w:t>de</w:t>
      </w:r>
      <w:r>
        <w:rPr>
          <w:spacing w:val="-6"/>
        </w:rPr>
        <w:t> </w:t>
      </w:r>
      <w:r>
        <w:rPr/>
        <w:t>carácter</w:t>
      </w:r>
      <w:r>
        <w:rPr>
          <w:spacing w:val="-4"/>
        </w:rPr>
        <w:t> </w:t>
      </w:r>
      <w:r>
        <w:rPr/>
        <w:t>social</w:t>
      </w:r>
      <w:r>
        <w:rPr>
          <w:spacing w:val="-6"/>
        </w:rPr>
        <w:t> </w:t>
      </w:r>
      <w:r>
        <w:rPr/>
        <w:t>y</w:t>
      </w:r>
      <w:r>
        <w:rPr>
          <w:spacing w:val="-9"/>
        </w:rPr>
        <w:t> </w:t>
      </w:r>
      <w:r>
        <w:rPr/>
        <w:t>político</w:t>
      </w:r>
      <w:r>
        <w:rPr>
          <w:spacing w:val="-6"/>
        </w:rPr>
        <w:t> </w:t>
      </w:r>
      <w:r>
        <w:rPr/>
        <w:t>y</w:t>
      </w:r>
      <w:r>
        <w:rPr>
          <w:spacing w:val="-9"/>
        </w:rPr>
        <w:t> </w:t>
      </w:r>
      <w:r>
        <w:rPr/>
        <w:t>las luchas</w:t>
      </w:r>
      <w:r>
        <w:rPr>
          <w:spacing w:val="-5"/>
        </w:rPr>
        <w:t> </w:t>
      </w:r>
      <w:r>
        <w:rPr/>
        <w:t>por</w:t>
      </w:r>
      <w:r>
        <w:rPr>
          <w:spacing w:val="-5"/>
        </w:rPr>
        <w:t> </w:t>
      </w:r>
      <w:r>
        <w:rPr/>
        <w:t>el</w:t>
      </w:r>
      <w:r>
        <w:rPr>
          <w:spacing w:val="-7"/>
        </w:rPr>
        <w:t> </w:t>
      </w:r>
      <w:r>
        <w:rPr/>
        <w:t>poder</w:t>
      </w:r>
      <w:r>
        <w:rPr>
          <w:spacing w:val="-5"/>
        </w:rPr>
        <w:t> </w:t>
      </w:r>
      <w:r>
        <w:rPr/>
        <w:t>hicieron</w:t>
      </w:r>
      <w:r>
        <w:rPr>
          <w:spacing w:val="-7"/>
        </w:rPr>
        <w:t> </w:t>
      </w:r>
      <w:r>
        <w:rPr/>
        <w:t>de</w:t>
      </w:r>
      <w:r>
        <w:rPr>
          <w:spacing w:val="-3"/>
        </w:rPr>
        <w:t> </w:t>
      </w:r>
      <w:r>
        <w:rPr/>
        <w:t>México</w:t>
      </w:r>
      <w:r>
        <w:rPr>
          <w:spacing w:val="-7"/>
        </w:rPr>
        <w:t> </w:t>
      </w:r>
      <w:r>
        <w:rPr/>
        <w:t>un</w:t>
      </w:r>
      <w:r>
        <w:rPr>
          <w:spacing w:val="-7"/>
        </w:rPr>
        <w:t> </w:t>
      </w:r>
      <w:r>
        <w:rPr/>
        <w:t>país</w:t>
      </w:r>
      <w:r>
        <w:rPr>
          <w:spacing w:val="-5"/>
        </w:rPr>
        <w:t> </w:t>
      </w:r>
      <w:r>
        <w:rPr/>
        <w:t>con</w:t>
      </w:r>
      <w:r>
        <w:rPr>
          <w:spacing w:val="-7"/>
        </w:rPr>
        <w:t> </w:t>
      </w:r>
      <w:r>
        <w:rPr/>
        <w:t>grandes</w:t>
      </w:r>
      <w:r>
        <w:rPr>
          <w:spacing w:val="-5"/>
        </w:rPr>
        <w:t> </w:t>
      </w:r>
      <w:r>
        <w:rPr/>
        <w:t>carencias</w:t>
      </w:r>
      <w:r>
        <w:rPr>
          <w:spacing w:val="-5"/>
        </w:rPr>
        <w:t> </w:t>
      </w:r>
      <w:r>
        <w:rPr/>
        <w:t>económicas. Las numerosas transformaciones de México en el siglo XIX hasta el siglo XX explican en gran parte los estados actuales de la política y del Estado mexicano. A lo largo de ambos siglos, la injerencia del país del norte, la inseguridad de los dirigentes y su inexperiencia en la política, entre otros factores, reflejaron la inestabilidad política del país por los golpes de Estado, las intervenciones externas y la lucha por el</w:t>
      </w:r>
      <w:r>
        <w:rPr>
          <w:spacing w:val="-15"/>
        </w:rPr>
        <w:t> </w:t>
      </w:r>
      <w:r>
        <w:rPr/>
        <w:t>poder.</w:t>
      </w: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6112;mso-wrap-distance-left:0;mso-wrap-distance-right:0" from="85.025002pt,10.081811pt" to="229.075002pt,10.081811pt" stroked="true" strokeweight=".80005pt" strokecolor="#000000">
            <w10:wrap type="topAndBottom"/>
          </v:line>
        </w:pict>
      </w:r>
    </w:p>
    <w:p>
      <w:pPr>
        <w:spacing w:before="61"/>
        <w:ind w:left="120" w:right="137" w:firstLine="0"/>
        <w:jc w:val="left"/>
        <w:rPr>
          <w:sz w:val="16"/>
        </w:rPr>
      </w:pPr>
      <w:r>
        <w:rPr>
          <w:position w:val="6"/>
          <w:sz w:val="10"/>
        </w:rPr>
        <w:t>43 </w:t>
      </w:r>
      <w:r>
        <w:rPr>
          <w:sz w:val="16"/>
        </w:rPr>
        <w:t>La Secretaría de Estado y Despacho tuvo modificaciones tanto en sus funciones como en denominación y en 1814 se denominó como Secretaría de Hacienda.</w:t>
      </w:r>
    </w:p>
    <w:p>
      <w:pPr>
        <w:spacing w:after="0"/>
        <w:jc w:val="left"/>
        <w:rPr>
          <w:sz w:val="16"/>
        </w:rPr>
        <w:sectPr>
          <w:pgSz w:w="12240" w:h="15840"/>
          <w:pgMar w:header="0" w:footer="998" w:top="1360" w:bottom="1180" w:left="1580" w:right="1500"/>
        </w:sectPr>
      </w:pPr>
    </w:p>
    <w:p>
      <w:pPr>
        <w:pStyle w:val="BodyText"/>
        <w:spacing w:line="360" w:lineRule="auto" w:before="55"/>
        <w:ind w:left="140" w:right="241" w:firstLine="427"/>
        <w:jc w:val="both"/>
      </w:pPr>
      <w:r>
        <w:rPr/>
        <w:t>La</w:t>
      </w:r>
      <w:r>
        <w:rPr>
          <w:spacing w:val="-16"/>
        </w:rPr>
        <w:t> </w:t>
      </w:r>
      <w:r>
        <w:rPr/>
        <w:t>conformación</w:t>
      </w:r>
      <w:r>
        <w:rPr>
          <w:spacing w:val="-12"/>
        </w:rPr>
        <w:t> </w:t>
      </w:r>
      <w:r>
        <w:rPr/>
        <w:t>del</w:t>
      </w:r>
      <w:r>
        <w:rPr>
          <w:spacing w:val="-15"/>
        </w:rPr>
        <w:t> </w:t>
      </w:r>
      <w:r>
        <w:rPr/>
        <w:t>Estado</w:t>
      </w:r>
      <w:r>
        <w:rPr>
          <w:spacing w:val="-12"/>
        </w:rPr>
        <w:t> </w:t>
      </w:r>
      <w:r>
        <w:rPr/>
        <w:t>durante</w:t>
      </w:r>
      <w:r>
        <w:rPr>
          <w:spacing w:val="-16"/>
        </w:rPr>
        <w:t> </w:t>
      </w:r>
      <w:r>
        <w:rPr/>
        <w:t>los</w:t>
      </w:r>
      <w:r>
        <w:rPr>
          <w:spacing w:val="-14"/>
        </w:rPr>
        <w:t> </w:t>
      </w:r>
      <w:r>
        <w:rPr/>
        <w:t>dos</w:t>
      </w:r>
      <w:r>
        <w:rPr>
          <w:spacing w:val="-14"/>
        </w:rPr>
        <w:t> </w:t>
      </w:r>
      <w:r>
        <w:rPr/>
        <w:t>siglos</w:t>
      </w:r>
      <w:r>
        <w:rPr>
          <w:spacing w:val="-10"/>
        </w:rPr>
        <w:t> </w:t>
      </w:r>
      <w:r>
        <w:rPr/>
        <w:t>estuvo</w:t>
      </w:r>
      <w:r>
        <w:rPr>
          <w:spacing w:val="-16"/>
        </w:rPr>
        <w:t> </w:t>
      </w:r>
      <w:r>
        <w:rPr/>
        <w:t>caracterizada</w:t>
      </w:r>
      <w:r>
        <w:rPr>
          <w:spacing w:val="-16"/>
        </w:rPr>
        <w:t> </w:t>
      </w:r>
      <w:r>
        <w:rPr/>
        <w:t>por</w:t>
      </w:r>
      <w:r>
        <w:rPr>
          <w:spacing w:val="-14"/>
        </w:rPr>
        <w:t> </w:t>
      </w:r>
      <w:r>
        <w:rPr/>
        <w:t>tres tipos</w:t>
      </w:r>
      <w:r>
        <w:rPr>
          <w:spacing w:val="-11"/>
        </w:rPr>
        <w:t> </w:t>
      </w:r>
      <w:r>
        <w:rPr/>
        <w:t>de</w:t>
      </w:r>
      <w:r>
        <w:rPr>
          <w:spacing w:val="-13"/>
        </w:rPr>
        <w:t> </w:t>
      </w:r>
      <w:r>
        <w:rPr/>
        <w:t>poder</w:t>
      </w:r>
      <w:r>
        <w:rPr>
          <w:spacing w:val="-7"/>
        </w:rPr>
        <w:t> </w:t>
      </w:r>
      <w:r>
        <w:rPr/>
        <w:t>político</w:t>
      </w:r>
      <w:r>
        <w:rPr>
          <w:spacing w:val="-9"/>
        </w:rPr>
        <w:t> </w:t>
      </w:r>
      <w:r>
        <w:rPr/>
        <w:t>(los</w:t>
      </w:r>
      <w:r>
        <w:rPr>
          <w:spacing w:val="-11"/>
        </w:rPr>
        <w:t> </w:t>
      </w:r>
      <w:r>
        <w:rPr/>
        <w:t>caudillos,</w:t>
      </w:r>
      <w:r>
        <w:rPr>
          <w:spacing w:val="-10"/>
        </w:rPr>
        <w:t> </w:t>
      </w:r>
      <w:r>
        <w:rPr/>
        <w:t>la</w:t>
      </w:r>
      <w:r>
        <w:rPr>
          <w:spacing w:val="-9"/>
        </w:rPr>
        <w:t> </w:t>
      </w:r>
      <w:r>
        <w:rPr/>
        <w:t>institucionalista</w:t>
      </w:r>
      <w:r>
        <w:rPr>
          <w:spacing w:val="-13"/>
        </w:rPr>
        <w:t> </w:t>
      </w:r>
      <w:r>
        <w:rPr/>
        <w:t>que</w:t>
      </w:r>
      <w:r>
        <w:rPr>
          <w:spacing w:val="-13"/>
        </w:rPr>
        <w:t> </w:t>
      </w:r>
      <w:r>
        <w:rPr/>
        <w:t>fue</w:t>
      </w:r>
      <w:r>
        <w:rPr>
          <w:spacing w:val="-13"/>
        </w:rPr>
        <w:t> </w:t>
      </w:r>
      <w:r>
        <w:rPr/>
        <w:t>representada</w:t>
      </w:r>
      <w:r>
        <w:rPr>
          <w:spacing w:val="-5"/>
        </w:rPr>
        <w:t> </w:t>
      </w:r>
      <w:r>
        <w:rPr/>
        <w:t>por</w:t>
      </w:r>
      <w:r>
        <w:rPr>
          <w:spacing w:val="-11"/>
        </w:rPr>
        <w:t> </w:t>
      </w:r>
      <w:r>
        <w:rPr/>
        <w:t>un partido</w:t>
      </w:r>
      <w:r>
        <w:rPr>
          <w:spacing w:val="-9"/>
        </w:rPr>
        <w:t> </w:t>
      </w:r>
      <w:r>
        <w:rPr/>
        <w:t>político</w:t>
      </w:r>
      <w:r>
        <w:rPr>
          <w:spacing w:val="-9"/>
        </w:rPr>
        <w:t> </w:t>
      </w:r>
      <w:r>
        <w:rPr/>
        <w:t>y</w:t>
      </w:r>
      <w:r>
        <w:rPr>
          <w:spacing w:val="-15"/>
        </w:rPr>
        <w:t> </w:t>
      </w:r>
      <w:r>
        <w:rPr/>
        <w:t>por</w:t>
      </w:r>
      <w:r>
        <w:rPr>
          <w:spacing w:val="-11"/>
        </w:rPr>
        <w:t> </w:t>
      </w:r>
      <w:r>
        <w:rPr/>
        <w:t>el</w:t>
      </w:r>
      <w:r>
        <w:rPr>
          <w:spacing w:val="-12"/>
        </w:rPr>
        <w:t> </w:t>
      </w:r>
      <w:r>
        <w:rPr/>
        <w:t>presidencialismo)</w:t>
      </w:r>
      <w:r>
        <w:rPr>
          <w:spacing w:val="-7"/>
        </w:rPr>
        <w:t> </w:t>
      </w:r>
      <w:r>
        <w:rPr/>
        <w:t>y</w:t>
      </w:r>
      <w:r>
        <w:rPr>
          <w:spacing w:val="-15"/>
        </w:rPr>
        <w:t> </w:t>
      </w:r>
      <w:r>
        <w:rPr/>
        <w:t>por</w:t>
      </w:r>
      <w:r>
        <w:rPr>
          <w:spacing w:val="-11"/>
        </w:rPr>
        <w:t> </w:t>
      </w:r>
      <w:r>
        <w:rPr/>
        <w:t>tres</w:t>
      </w:r>
      <w:r>
        <w:rPr>
          <w:spacing w:val="-11"/>
        </w:rPr>
        <w:t> </w:t>
      </w:r>
      <w:r>
        <w:rPr/>
        <w:t>ciclos</w:t>
      </w:r>
      <w:r>
        <w:rPr>
          <w:spacing w:val="-11"/>
        </w:rPr>
        <w:t> </w:t>
      </w:r>
      <w:r>
        <w:rPr/>
        <w:t>de</w:t>
      </w:r>
      <w:r>
        <w:rPr>
          <w:spacing w:val="-13"/>
        </w:rPr>
        <w:t> </w:t>
      </w:r>
      <w:r>
        <w:rPr/>
        <w:t>poder</w:t>
      </w:r>
      <w:r>
        <w:rPr>
          <w:spacing w:val="-11"/>
        </w:rPr>
        <w:t> </w:t>
      </w:r>
      <w:r>
        <w:rPr/>
        <w:t>(relacionada</w:t>
      </w:r>
      <w:r>
        <w:rPr>
          <w:spacing w:val="-8"/>
        </w:rPr>
        <w:t> </w:t>
      </w:r>
      <w:r>
        <w:rPr/>
        <w:t>con las épocas de los generales, la denominada era de los políticos o licenciados y los tecnócratas).</w:t>
      </w:r>
    </w:p>
    <w:p>
      <w:pPr>
        <w:pStyle w:val="BodyText"/>
      </w:pPr>
    </w:p>
    <w:p>
      <w:pPr>
        <w:spacing w:line="451" w:lineRule="auto" w:before="139"/>
        <w:ind w:left="3793" w:right="1525" w:hanging="1781"/>
        <w:jc w:val="left"/>
        <w:rPr>
          <w:sz w:val="20"/>
        </w:rPr>
      </w:pPr>
      <w:bookmarkStart w:name="_bookmark48" w:id="66"/>
      <w:bookmarkEnd w:id="66"/>
      <w:r>
        <w:rPr/>
      </w:r>
      <w:r>
        <w:rPr>
          <w:sz w:val="20"/>
        </w:rPr>
        <w:t>Esquema 2. 2. Poder político y ciclos de poder en México (Siglos XIX y XX)</w:t>
      </w:r>
    </w:p>
    <w:p>
      <w:pPr>
        <w:pStyle w:val="BodyText"/>
        <w:spacing w:before="10"/>
        <w:rPr>
          <w:sz w:val="26"/>
        </w:rPr>
      </w:pPr>
      <w:r>
        <w:rPr/>
        <w:pict>
          <v:group style="position:absolute;margin-left:83.199997pt;margin-top:17.399633pt;width:450.2pt;height:194pt;mso-position-horizontal-relative:page;mso-position-vertical-relative:paragraph;z-index:6568;mso-wrap-distance-left:0;mso-wrap-distance-right:0" coordorigin="1664,348" coordsize="9004,3880">
            <v:shape style="position:absolute;left:1664;top:348;width:9004;height:3880" type="#_x0000_t75" stroked="false">
              <v:imagedata r:id="rId97" o:title=""/>
            </v:shape>
            <v:rect style="position:absolute;left:1791;top:378;width:8836;height:3727" filled="true" fillcolor="#edebe0" stroked="false">
              <v:fill type="solid"/>
            </v:rect>
            <v:shape style="position:absolute;left:1824;top:2427;width:8418;height:438" coordorigin="1824,2427" coordsize="8418,438" path="m10023,2427l10023,2536,1824,2536,1824,2755,10023,2755,10023,2864,10242,2646,10023,2427xe" filled="true" fillcolor="#4f81bc" stroked="false">
              <v:path arrowok="t"/>
              <v:fill type="solid"/>
            </v:shape>
            <v:shape style="position:absolute;left:1810;top:2392;width:8452;height:507" coordorigin="1810,2392" coordsize="8452,507" path="m10008,2755l10008,2899,10043,2864,10037,2864,10013,2854,10037,2830,10037,2769,10023,2769,10008,2755xm10037,2830l10013,2854,10037,2864,10037,2830xm10221,2646l10037,2830,10037,2864,10043,2864,10252,2656,10232,2656,10221,2646xm10008,2522l1810,2522,1810,2769,10008,2769,10008,2755,1839,2755,1824,2741,1839,2741,1839,2550,1824,2550,1839,2536,10008,2536,10008,2522xm10037,2741l1839,2741,1839,2755,10008,2755,10023,2769,10037,2769,10037,2741xm1839,2741l1824,2741,1839,2755,1839,2741xm10232,2635l10221,2646,10232,2656,10232,2635xm10252,2635l10232,2635,10232,2656,10252,2656,10262,2646,10252,2635xm10043,2427l10037,2427,10037,2461,10221,2646,10232,2635,10252,2635,10043,2427xm1839,2536l1824,2550,1839,2550,1839,2536xm10037,2522l10023,2522,10008,2536,1839,2536,1839,2550,10037,2550,10037,2522xm10008,2392l10008,2536,10023,2522,10037,2522,10037,2461,10013,2437,10037,2427,10043,2427,10008,2392xm10037,2427l10013,2437,10037,2461,10037,2427xe" filled="true" fillcolor="#385d89" stroked="false">
              <v:path arrowok="t"/>
              <v:fill type="solid"/>
            </v:shape>
            <v:rect style="position:absolute;left:1891;top:421;width:2019;height:922" filled="true" fillcolor="#ffffff" stroked="false">
              <v:fill type="solid"/>
            </v:rect>
            <v:rect style="position:absolute;left:1891;top:421;width:2019;height:922" filled="false" stroked="true" strokeweight="1.42648pt" strokecolor="#000000"/>
            <v:shape style="position:absolute;left:3905;top:3069;width:1800;height:362" coordorigin="3905,3069" coordsize="1800,362" path="m5704,3069l5702,3139,5696,3196,5686,3235,5674,3249,4835,3249,4823,3263,4813,3302,4807,3360,4805,3430,4802,3360,4796,3302,4786,3263,4775,3249,3935,3249,3923,3235,3914,3196,3907,3139,3905,3069e" filled="false" stroked="true" strokeweight="1.901585pt" strokecolor="#000000">
              <v:path arrowok="t"/>
            </v:shape>
            <v:shape style="position:absolute;left:7580;top:3069;width:1800;height:362" coordorigin="7580,3069" coordsize="1800,362" path="m9380,3069l9378,3139,9371,3196,9362,3235,9350,3249,8510,3249,8499,3263,8489,3302,8482,3360,8480,3430,8478,3360,8471,3302,8462,3263,8450,3249,7610,3249,7599,3235,7589,3196,7583,3139,7580,3069e" filled="false" stroked="true" strokeweight="1.901585pt" strokecolor="#000000">
              <v:path arrowok="t"/>
            </v:shape>
            <v:shape style="position:absolute;left:5781;top:3069;width:1800;height:362" coordorigin="5781,3069" coordsize="1800,362" path="m7580,3069l7578,3139,7571,3196,7562,3235,7550,3249,6711,3249,6699,3263,6689,3302,6683,3360,6680,3430,6678,3360,6672,3302,6662,3263,6650,3249,5811,3249,5799,3235,5789,3196,5783,3139,5781,3069e" filled="false" stroked="true" strokeweight="1.901585pt" strokecolor="#000000">
              <v:path arrowok="t"/>
            </v:shape>
            <v:shape style="position:absolute;left:3038;top:1928;width:2448;height:352" coordorigin="3038,1928" coordsize="2448,352" path="m3038,2279l3041,2211,3047,2155,3056,2117,3068,2104,4233,2104,4244,2090,4253,2052,4260,1996,4262,1928,4264,1996,4271,2052,4280,2090,4291,2104,5456,2104,5468,2117,5477,2155,5483,2211,5485,2279e" filled="false" stroked="true" strokeweight="1.901532pt" strokecolor="#000000">
              <v:path arrowok="t"/>
            </v:shape>
            <v:shape style="position:absolute;left:5133;top:1129;width:4171;height:295" coordorigin="5133,1129" coordsize="4171,295" path="m5133,1424l5135,1366,5140,1320,5148,1288,5158,1276,7194,1276,7203,1265,7211,1233,7217,1186,7218,1129,7220,1186,7226,1233,7234,1265,7243,1276,9279,1276,9289,1288,9297,1320,9302,1366,9304,1424e" filled="false" stroked="true" strokeweight="1.901487pt" strokecolor="#000000">
              <v:path arrowok="t"/>
            </v:shape>
            <v:shape style="position:absolute;left:5485;top:1928;width:5114;height:352" coordorigin="5485,1928" coordsize="5114,352" path="m5485,2279l5488,2211,5494,2155,5503,2117,5515,2104,8013,2104,8024,2090,8034,2052,8040,1996,8042,1928,8044,1996,8051,2052,8060,2090,8071,2104,10569,2104,10581,2117,10590,2155,10596,2211,10599,2279e" filled="false" stroked="true" strokeweight="1.901487pt" strokecolor="#000000">
              <v:path arrowok="t"/>
            </v:shape>
            <v:shape style="position:absolute;left:1820;top:1928;width:1219;height:352" coordorigin="1820,1928" coordsize="1219,352" path="m1820,2279l1822,2211,1828,2155,1837,2117,1849,2104,2400,2104,2411,2090,2420,2052,2427,1996,2429,1928,2431,1996,2438,2052,2447,2090,2458,2104,3009,2104,3020,2117,3030,2155,3036,2211,3038,2279e" filled="false" stroked="true" strokeweight="1.901696pt" strokecolor="#938953">
              <v:path arrowok="t"/>
            </v:shape>
            <v:shape style="position:absolute;left:9380;top:3069;width:1000;height:295" coordorigin="9380,3069" coordsize="1000,295" path="m10380,3069l10378,3126,10372,3173,10365,3204,10355,3216,9904,3216,9895,3228,9887,3259,9882,3306,9880,3363,9878,3306,9873,3259,9865,3228,9855,3216,9405,3216,9395,3204,9387,3173,9382,3126,9380,3069e" filled="false" stroked="true" strokeweight="1.901704pt" strokecolor="#938953">
              <v:path arrowok="t"/>
            </v:shape>
            <v:shape style="position:absolute;left:1891;top:378;width:2019;height:966" type="#_x0000_t202" filled="false" stroked="false">
              <v:textbox inset="0,0,0,0">
                <w:txbxContent>
                  <w:p>
                    <w:pPr>
                      <w:spacing w:line="252" w:lineRule="auto" w:before="85"/>
                      <w:ind w:left="160" w:right="179" w:firstLine="0"/>
                      <w:jc w:val="center"/>
                      <w:rPr>
                        <w:b/>
                        <w:sz w:val="23"/>
                      </w:rPr>
                    </w:pPr>
                    <w:r>
                      <w:rPr>
                        <w:b/>
                        <w:w w:val="95"/>
                        <w:sz w:val="23"/>
                      </w:rPr>
                      <w:t>Representación </w:t>
                    </w:r>
                    <w:r>
                      <w:rPr>
                        <w:b/>
                        <w:sz w:val="23"/>
                      </w:rPr>
                      <w:t>del poder político</w:t>
                    </w:r>
                  </w:p>
                </w:txbxContent>
              </v:textbox>
              <w10:wrap type="none"/>
            </v:shape>
            <v:shape style="position:absolute;left:5901;top:845;width:2346;height:182" type="#_x0000_t202" filled="false" stroked="false">
              <v:textbox inset="0,0,0,0">
                <w:txbxContent>
                  <w:p>
                    <w:pPr>
                      <w:spacing w:line="181" w:lineRule="exact" w:before="0"/>
                      <w:ind w:left="0" w:right="-17" w:firstLine="0"/>
                      <w:jc w:val="left"/>
                      <w:rPr>
                        <w:b/>
                        <w:sz w:val="18"/>
                      </w:rPr>
                    </w:pPr>
                    <w:r>
                      <w:rPr>
                        <w:b/>
                        <w:spacing w:val="-1"/>
                        <w:sz w:val="18"/>
                      </w:rPr>
                      <w:t>Institucionalismo </w:t>
                    </w:r>
                    <w:r>
                      <w:rPr>
                        <w:b/>
                        <w:sz w:val="18"/>
                      </w:rPr>
                      <w:t>partidario</w:t>
                    </w:r>
                  </w:p>
                </w:txbxContent>
              </v:textbox>
              <w10:wrap type="none"/>
            </v:shape>
            <v:shape style="position:absolute;left:2215;top:1709;width:510;height:181" type="#_x0000_t202" filled="false" stroked="false">
              <v:textbox inset="0,0,0,0">
                <w:txbxContent>
                  <w:p>
                    <w:pPr>
                      <w:spacing w:line="181" w:lineRule="exact" w:before="0"/>
                      <w:ind w:left="0" w:right="-15" w:firstLine="0"/>
                      <w:jc w:val="left"/>
                      <w:rPr>
                        <w:b/>
                        <w:sz w:val="18"/>
                      </w:rPr>
                    </w:pPr>
                    <w:r>
                      <w:rPr>
                        <w:b/>
                        <w:color w:val="938953"/>
                        <w:spacing w:val="-1"/>
                        <w:sz w:val="18"/>
                      </w:rPr>
                      <w:t>Virrey</w:t>
                    </w:r>
                  </w:p>
                </w:txbxContent>
              </v:textbox>
              <w10:wrap type="none"/>
            </v:shape>
            <v:shape style="position:absolute;left:3821;top:1709;width:1034;height:181" type="#_x0000_t202" filled="false" stroked="false">
              <v:textbox inset="0,0,0,0">
                <w:txbxContent>
                  <w:p>
                    <w:pPr>
                      <w:spacing w:line="181" w:lineRule="exact" w:before="0"/>
                      <w:ind w:left="0" w:right="-7" w:firstLine="0"/>
                      <w:jc w:val="left"/>
                      <w:rPr>
                        <w:b/>
                        <w:sz w:val="18"/>
                      </w:rPr>
                    </w:pPr>
                    <w:r>
                      <w:rPr>
                        <w:b/>
                        <w:sz w:val="18"/>
                      </w:rPr>
                      <w:t>Caudillismo</w:t>
                    </w:r>
                  </w:p>
                </w:txbxContent>
              </v:textbox>
              <w10:wrap type="none"/>
            </v:shape>
            <v:shape style="position:absolute;left:6977;top:1421;width:1712;height:470" type="#_x0000_t202" filled="false" stroked="false">
              <v:textbox inset="0,0,0,0">
                <w:txbxContent>
                  <w:p>
                    <w:pPr>
                      <w:spacing w:line="185" w:lineRule="exact" w:before="0"/>
                      <w:ind w:left="0" w:right="-3" w:firstLine="0"/>
                      <w:jc w:val="left"/>
                      <w:rPr>
                        <w:b/>
                        <w:sz w:val="18"/>
                      </w:rPr>
                    </w:pPr>
                    <w:r>
                      <w:rPr>
                        <w:b/>
                        <w:sz w:val="18"/>
                      </w:rPr>
                      <w:t>1929- 2000</w:t>
                    </w:r>
                  </w:p>
                  <w:p>
                    <w:pPr>
                      <w:spacing w:line="203" w:lineRule="exact" w:before="81"/>
                      <w:ind w:left="216" w:right="-5" w:firstLine="0"/>
                      <w:jc w:val="left"/>
                      <w:rPr>
                        <w:b/>
                        <w:sz w:val="18"/>
                      </w:rPr>
                    </w:pPr>
                    <w:r>
                      <w:rPr>
                        <w:b/>
                        <w:sz w:val="18"/>
                      </w:rPr>
                      <w:t>Presidencialismo</w:t>
                    </w:r>
                  </w:p>
                </w:txbxContent>
              </v:textbox>
              <w10:wrap type="none"/>
            </v:shape>
            <v:shape style="position:absolute;left:1958;top:2214;width:874;height:181" type="#_x0000_t202" filled="false" stroked="false">
              <v:textbox inset="0,0,0,0">
                <w:txbxContent>
                  <w:p>
                    <w:pPr>
                      <w:spacing w:line="181" w:lineRule="exact" w:before="0"/>
                      <w:ind w:left="0" w:right="-7" w:firstLine="0"/>
                      <w:jc w:val="left"/>
                      <w:rPr>
                        <w:b/>
                        <w:sz w:val="18"/>
                      </w:rPr>
                    </w:pPr>
                    <w:r>
                      <w:rPr>
                        <w:b/>
                        <w:color w:val="938953"/>
                        <w:sz w:val="18"/>
                      </w:rPr>
                      <w:t>1510-1810</w:t>
                    </w:r>
                  </w:p>
                </w:txbxContent>
              </v:textbox>
              <w10:wrap type="none"/>
            </v:shape>
            <v:shape style="position:absolute;left:3878;top:2214;width:925;height:181" type="#_x0000_t202" filled="false" stroked="false">
              <v:textbox inset="0,0,0,0">
                <w:txbxContent>
                  <w:p>
                    <w:pPr>
                      <w:spacing w:line="181" w:lineRule="exact" w:before="0"/>
                      <w:ind w:left="0" w:right="-6" w:firstLine="0"/>
                      <w:jc w:val="left"/>
                      <w:rPr>
                        <w:b/>
                        <w:sz w:val="18"/>
                      </w:rPr>
                    </w:pPr>
                    <w:r>
                      <w:rPr>
                        <w:b/>
                        <w:sz w:val="18"/>
                      </w:rPr>
                      <w:t>1810- 1934</w:t>
                    </w:r>
                  </w:p>
                </w:txbxContent>
              </v:textbox>
              <w10:wrap type="none"/>
            </v:shape>
            <v:shape style="position:absolute;left:7058;top:2214;width:1406;height:181" type="#_x0000_t202" filled="false" stroked="false">
              <v:textbox inset="0,0,0,0">
                <w:txbxContent>
                  <w:p>
                    <w:pPr>
                      <w:spacing w:line="181" w:lineRule="exact" w:before="0"/>
                      <w:ind w:left="0" w:right="-15" w:firstLine="0"/>
                      <w:jc w:val="left"/>
                      <w:rPr>
                        <w:b/>
                        <w:sz w:val="18"/>
                      </w:rPr>
                    </w:pPr>
                    <w:r>
                      <w:rPr>
                        <w:b/>
                        <w:sz w:val="18"/>
                      </w:rPr>
                      <w:t>1934- actualidad</w:t>
                    </w:r>
                  </w:p>
                </w:txbxContent>
              </v:textbox>
              <w10:wrap type="none"/>
            </v:shape>
            <v:shape style="position:absolute;left:5152;top:2554;width:1404;height:181" type="#_x0000_t202" filled="false" stroked="false">
              <v:textbox inset="0,0,0,0">
                <w:txbxContent>
                  <w:p>
                    <w:pPr>
                      <w:spacing w:line="181" w:lineRule="exact" w:before="0"/>
                      <w:ind w:left="0" w:right="-14" w:firstLine="0"/>
                      <w:jc w:val="left"/>
                      <w:rPr>
                        <w:b/>
                        <w:sz w:val="18"/>
                      </w:rPr>
                    </w:pPr>
                    <w:r>
                      <w:rPr>
                        <w:b/>
                        <w:color w:val="FFFFFF"/>
                        <w:sz w:val="18"/>
                      </w:rPr>
                      <w:t>Línea del</w:t>
                    </w:r>
                    <w:r>
                      <w:rPr>
                        <w:b/>
                        <w:color w:val="FFFFFF"/>
                        <w:spacing w:val="-23"/>
                        <w:sz w:val="18"/>
                      </w:rPr>
                      <w:t> </w:t>
                    </w:r>
                    <w:r>
                      <w:rPr>
                        <w:b/>
                        <w:color w:val="FFFFFF"/>
                        <w:sz w:val="18"/>
                      </w:rPr>
                      <w:t>tiempo</w:t>
                    </w:r>
                  </w:p>
                </w:txbxContent>
              </v:textbox>
              <w10:wrap type="none"/>
            </v:shape>
            <v:shape style="position:absolute;left:4311;top:2934;width:926;height:182" type="#_x0000_t202" filled="false" stroked="false">
              <v:textbox inset="0,0,0,0">
                <w:txbxContent>
                  <w:p>
                    <w:pPr>
                      <w:spacing w:line="181" w:lineRule="exact" w:before="0"/>
                      <w:ind w:left="0" w:right="-5" w:firstLine="0"/>
                      <w:jc w:val="left"/>
                      <w:rPr>
                        <w:b/>
                        <w:sz w:val="18"/>
                      </w:rPr>
                    </w:pPr>
                    <w:r>
                      <w:rPr>
                        <w:b/>
                        <w:sz w:val="18"/>
                      </w:rPr>
                      <w:t>1913- 1946</w:t>
                    </w:r>
                  </w:p>
                </w:txbxContent>
              </v:textbox>
              <w10:wrap type="none"/>
            </v:shape>
            <v:shape style="position:absolute;left:6060;top:2934;width:874;height:182" type="#_x0000_t202" filled="false" stroked="false">
              <v:textbox inset="0,0,0,0">
                <w:txbxContent>
                  <w:p>
                    <w:pPr>
                      <w:spacing w:line="181" w:lineRule="exact" w:before="0"/>
                      <w:ind w:left="0" w:right="-7" w:firstLine="0"/>
                      <w:jc w:val="left"/>
                      <w:rPr>
                        <w:b/>
                        <w:sz w:val="18"/>
                      </w:rPr>
                    </w:pPr>
                    <w:r>
                      <w:rPr>
                        <w:b/>
                        <w:sz w:val="18"/>
                      </w:rPr>
                      <w:t>1946-1982</w:t>
                    </w:r>
                  </w:p>
                </w:txbxContent>
              </v:textbox>
              <w10:wrap type="none"/>
            </v:shape>
            <v:shape style="position:absolute;left:8005;top:2934;width:874;height:182" type="#_x0000_t202" filled="false" stroked="false">
              <v:textbox inset="0,0,0,0">
                <w:txbxContent>
                  <w:p>
                    <w:pPr>
                      <w:spacing w:line="181" w:lineRule="exact" w:before="0"/>
                      <w:ind w:left="0" w:right="-7" w:firstLine="0"/>
                      <w:jc w:val="left"/>
                      <w:rPr>
                        <w:b/>
                        <w:sz w:val="18"/>
                      </w:rPr>
                    </w:pPr>
                    <w:r>
                      <w:rPr>
                        <w:b/>
                        <w:sz w:val="18"/>
                      </w:rPr>
                      <w:t>1982-2000</w:t>
                    </w:r>
                  </w:p>
                </w:txbxContent>
              </v:textbox>
              <w10:wrap type="none"/>
            </v:shape>
            <v:shape style="position:absolute;left:9423;top:2934;width:926;height:182" type="#_x0000_t202" filled="false" stroked="false">
              <v:textbox inset="0,0,0,0">
                <w:txbxContent>
                  <w:p>
                    <w:pPr>
                      <w:spacing w:line="181" w:lineRule="exact" w:before="0"/>
                      <w:ind w:left="0" w:right="-5" w:firstLine="0"/>
                      <w:jc w:val="left"/>
                      <w:rPr>
                        <w:b/>
                        <w:sz w:val="18"/>
                      </w:rPr>
                    </w:pPr>
                    <w:r>
                      <w:rPr>
                        <w:b/>
                        <w:color w:val="938953"/>
                        <w:sz w:val="18"/>
                      </w:rPr>
                      <w:t>2000- 2008</w:t>
                    </w:r>
                  </w:p>
                </w:txbxContent>
              </v:textbox>
              <w10:wrap type="none"/>
            </v:shape>
            <v:shape style="position:absolute;left:4402;top:3655;width:893;height:181" type="#_x0000_t202" filled="false" stroked="false">
              <v:textbox inset="0,0,0,0">
                <w:txbxContent>
                  <w:p>
                    <w:pPr>
                      <w:spacing w:line="181" w:lineRule="exact" w:before="0"/>
                      <w:ind w:left="0" w:right="0" w:firstLine="0"/>
                      <w:jc w:val="left"/>
                      <w:rPr>
                        <w:b/>
                        <w:sz w:val="18"/>
                      </w:rPr>
                    </w:pPr>
                    <w:r>
                      <w:rPr>
                        <w:b/>
                        <w:sz w:val="18"/>
                      </w:rPr>
                      <w:t>Generales</w:t>
                    </w:r>
                  </w:p>
                </w:txbxContent>
              </v:textbox>
              <w10:wrap type="none"/>
            </v:shape>
            <v:shape style="position:absolute;left:6190;top:3655;width:1055;height:401" type="#_x0000_t202" filled="false" stroked="false">
              <v:textbox inset="0,0,0,0">
                <w:txbxContent>
                  <w:p>
                    <w:pPr>
                      <w:spacing w:line="185" w:lineRule="exact" w:before="0"/>
                      <w:ind w:left="76" w:right="-5" w:hanging="77"/>
                      <w:jc w:val="left"/>
                      <w:rPr>
                        <w:b/>
                        <w:sz w:val="18"/>
                      </w:rPr>
                    </w:pPr>
                    <w:r>
                      <w:rPr>
                        <w:b/>
                        <w:sz w:val="18"/>
                      </w:rPr>
                      <w:t>Licenciados</w:t>
                    </w:r>
                  </w:p>
                  <w:p>
                    <w:pPr>
                      <w:spacing w:line="203" w:lineRule="exact" w:before="12"/>
                      <w:ind w:left="76" w:right="-5" w:firstLine="0"/>
                      <w:jc w:val="left"/>
                      <w:rPr>
                        <w:b/>
                        <w:sz w:val="18"/>
                      </w:rPr>
                    </w:pPr>
                    <w:r>
                      <w:rPr>
                        <w:b/>
                        <w:sz w:val="18"/>
                      </w:rPr>
                      <w:t>o políticos</w:t>
                    </w:r>
                  </w:p>
                </w:txbxContent>
              </v:textbox>
              <w10:wrap type="none"/>
            </v:shape>
            <v:shape style="position:absolute;left:7919;top:3655;width:1066;height:181" type="#_x0000_t202" filled="false" stroked="false">
              <v:textbox inset="0,0,0,0">
                <w:txbxContent>
                  <w:p>
                    <w:pPr>
                      <w:spacing w:line="181" w:lineRule="exact" w:before="0"/>
                      <w:ind w:left="0" w:right="-15" w:firstLine="0"/>
                      <w:jc w:val="left"/>
                      <w:rPr>
                        <w:b/>
                        <w:sz w:val="18"/>
                      </w:rPr>
                    </w:pPr>
                    <w:r>
                      <w:rPr>
                        <w:b/>
                        <w:sz w:val="18"/>
                      </w:rPr>
                      <w:t>Tecnócratas</w:t>
                    </w:r>
                  </w:p>
                </w:txbxContent>
              </v:textbox>
              <w10:wrap type="none"/>
            </v:shape>
            <v:shape style="position:absolute;left:9404;top:3583;width:1110;height:181" type="#_x0000_t202" filled="false" stroked="false">
              <v:textbox inset="0,0,0,0">
                <w:txbxContent>
                  <w:p>
                    <w:pPr>
                      <w:spacing w:line="181" w:lineRule="exact" w:before="0"/>
                      <w:ind w:left="0" w:right="-1" w:firstLine="0"/>
                      <w:jc w:val="left"/>
                      <w:rPr>
                        <w:b/>
                        <w:sz w:val="18"/>
                      </w:rPr>
                    </w:pPr>
                    <w:r>
                      <w:rPr>
                        <w:b/>
                        <w:color w:val="938953"/>
                        <w:sz w:val="18"/>
                      </w:rPr>
                      <w:t>Empresarios</w:t>
                    </w:r>
                  </w:p>
                </w:txbxContent>
              </v:textbox>
              <w10:wrap type="none"/>
            </v:shape>
            <v:shape style="position:absolute;left:2253;top:3149;width:1438;height:647" type="#_x0000_t202" filled="true" fillcolor="#ffffff" stroked="true" strokeweight="1.426471pt" strokecolor="#000000">
              <v:textbox inset="0,0,0,0">
                <w:txbxContent>
                  <w:p>
                    <w:pPr>
                      <w:spacing w:line="252" w:lineRule="auto" w:before="37"/>
                      <w:ind w:left="380" w:right="171" w:hanging="220"/>
                      <w:jc w:val="left"/>
                      <w:rPr>
                        <w:b/>
                        <w:sz w:val="23"/>
                      </w:rPr>
                    </w:pPr>
                    <w:r>
                      <w:rPr>
                        <w:b/>
                        <w:sz w:val="23"/>
                      </w:rPr>
                      <w:t>Ciclos del poder</w:t>
                    </w:r>
                  </w:p>
                </w:txbxContent>
              </v:textbox>
              <v:fill type="solid"/>
              <w10:wrap type="none"/>
            </v:shape>
            <w10:wrap type="topAndBottom"/>
          </v:group>
        </w:pict>
      </w:r>
    </w:p>
    <w:p>
      <w:pPr>
        <w:spacing w:before="128"/>
        <w:ind w:left="140" w:right="1525" w:firstLine="0"/>
        <w:jc w:val="left"/>
        <w:rPr>
          <w:sz w:val="12"/>
        </w:rPr>
      </w:pPr>
      <w:r>
        <w:rPr>
          <w:sz w:val="12"/>
        </w:rPr>
        <w:t>FUENTE:      Servolov (2000) y Olivares (2011)</w:t>
      </w:r>
    </w:p>
    <w:p>
      <w:pPr>
        <w:pStyle w:val="BodyText"/>
        <w:rPr>
          <w:sz w:val="12"/>
        </w:rPr>
      </w:pPr>
    </w:p>
    <w:p>
      <w:pPr>
        <w:pStyle w:val="BodyText"/>
        <w:spacing w:before="8"/>
        <w:rPr>
          <w:sz w:val="17"/>
        </w:rPr>
      </w:pPr>
    </w:p>
    <w:p>
      <w:pPr>
        <w:pStyle w:val="BodyText"/>
        <w:spacing w:line="360" w:lineRule="auto"/>
        <w:ind w:left="140" w:right="236" w:firstLine="427"/>
        <w:jc w:val="both"/>
      </w:pPr>
      <w:r>
        <w:rPr/>
        <w:t>El</w:t>
      </w:r>
      <w:r>
        <w:rPr>
          <w:spacing w:val="-11"/>
        </w:rPr>
        <w:t> </w:t>
      </w:r>
      <w:r>
        <w:rPr/>
        <w:t>siglo</w:t>
      </w:r>
      <w:r>
        <w:rPr>
          <w:spacing w:val="-7"/>
        </w:rPr>
        <w:t> </w:t>
      </w:r>
      <w:r>
        <w:rPr/>
        <w:t>XIX</w:t>
      </w:r>
      <w:r>
        <w:rPr>
          <w:spacing w:val="-9"/>
        </w:rPr>
        <w:t> </w:t>
      </w:r>
      <w:r>
        <w:rPr/>
        <w:t>y</w:t>
      </w:r>
      <w:r>
        <w:rPr>
          <w:spacing w:val="-13"/>
        </w:rPr>
        <w:t> </w:t>
      </w:r>
      <w:r>
        <w:rPr/>
        <w:t>parte</w:t>
      </w:r>
      <w:r>
        <w:rPr>
          <w:spacing w:val="-11"/>
        </w:rPr>
        <w:t> </w:t>
      </w:r>
      <w:r>
        <w:rPr/>
        <w:t>del</w:t>
      </w:r>
      <w:r>
        <w:rPr>
          <w:spacing w:val="-6"/>
        </w:rPr>
        <w:t> </w:t>
      </w:r>
      <w:r>
        <w:rPr/>
        <w:t>XX</w:t>
      </w:r>
      <w:r>
        <w:rPr>
          <w:spacing w:val="-13"/>
        </w:rPr>
        <w:t> </w:t>
      </w:r>
      <w:r>
        <w:rPr/>
        <w:t>se</w:t>
      </w:r>
      <w:r>
        <w:rPr>
          <w:spacing w:val="-11"/>
        </w:rPr>
        <w:t> </w:t>
      </w:r>
      <w:r>
        <w:rPr/>
        <w:t>considera</w:t>
      </w:r>
      <w:r>
        <w:rPr>
          <w:spacing w:val="-8"/>
        </w:rPr>
        <w:t> </w:t>
      </w:r>
      <w:r>
        <w:rPr/>
        <w:t>el</w:t>
      </w:r>
      <w:r>
        <w:rPr>
          <w:spacing w:val="-6"/>
        </w:rPr>
        <w:t> </w:t>
      </w:r>
      <w:r>
        <w:rPr/>
        <w:t>periodo</w:t>
      </w:r>
      <w:r>
        <w:rPr>
          <w:spacing w:val="-6"/>
        </w:rPr>
        <w:t> </w:t>
      </w:r>
      <w:r>
        <w:rPr/>
        <w:t>de</w:t>
      </w:r>
      <w:r>
        <w:rPr>
          <w:spacing w:val="-7"/>
        </w:rPr>
        <w:t> </w:t>
      </w:r>
      <w:r>
        <w:rPr/>
        <w:t>los</w:t>
      </w:r>
      <w:r>
        <w:rPr>
          <w:spacing w:val="-9"/>
        </w:rPr>
        <w:t> </w:t>
      </w:r>
      <w:r>
        <w:rPr/>
        <w:t>caudillos</w:t>
      </w:r>
      <w:r>
        <w:rPr>
          <w:spacing w:val="-9"/>
        </w:rPr>
        <w:t> </w:t>
      </w:r>
      <w:r>
        <w:rPr/>
        <w:t>(1810-1934). El término caudillo, inicialmente (en la independencia) era utilizado para designar a los</w:t>
      </w:r>
      <w:r>
        <w:rPr>
          <w:spacing w:val="-10"/>
        </w:rPr>
        <w:t> </w:t>
      </w:r>
      <w:r>
        <w:rPr/>
        <w:t>personajes</w:t>
      </w:r>
      <w:r>
        <w:rPr>
          <w:spacing w:val="-6"/>
        </w:rPr>
        <w:t> </w:t>
      </w:r>
      <w:r>
        <w:rPr/>
        <w:t>de</w:t>
      </w:r>
      <w:r>
        <w:rPr>
          <w:spacing w:val="-8"/>
        </w:rPr>
        <w:t> </w:t>
      </w:r>
      <w:r>
        <w:rPr/>
        <w:t>la</w:t>
      </w:r>
      <w:r>
        <w:rPr>
          <w:spacing w:val="-12"/>
        </w:rPr>
        <w:t> </w:t>
      </w:r>
      <w:r>
        <w:rPr/>
        <w:t>Nueva</w:t>
      </w:r>
      <w:r>
        <w:rPr>
          <w:spacing w:val="-12"/>
        </w:rPr>
        <w:t> </w:t>
      </w:r>
      <w:r>
        <w:rPr/>
        <w:t>España</w:t>
      </w:r>
      <w:r>
        <w:rPr>
          <w:spacing w:val="-12"/>
        </w:rPr>
        <w:t> </w:t>
      </w:r>
      <w:r>
        <w:rPr/>
        <w:t>sublevados</w:t>
      </w:r>
      <w:r>
        <w:rPr>
          <w:spacing w:val="-10"/>
        </w:rPr>
        <w:t> </w:t>
      </w:r>
      <w:r>
        <w:rPr/>
        <w:t>contra</w:t>
      </w:r>
      <w:r>
        <w:rPr>
          <w:spacing w:val="-8"/>
        </w:rPr>
        <w:t> </w:t>
      </w:r>
      <w:r>
        <w:rPr/>
        <w:t>la</w:t>
      </w:r>
      <w:r>
        <w:rPr>
          <w:spacing w:val="-12"/>
        </w:rPr>
        <w:t> </w:t>
      </w:r>
      <w:r>
        <w:rPr/>
        <w:t>Corona</w:t>
      </w:r>
      <w:r>
        <w:rPr>
          <w:spacing w:val="-12"/>
        </w:rPr>
        <w:t> </w:t>
      </w:r>
      <w:r>
        <w:rPr/>
        <w:t>Española,</w:t>
      </w:r>
      <w:r>
        <w:rPr>
          <w:spacing w:val="-5"/>
        </w:rPr>
        <w:t> </w:t>
      </w:r>
      <w:r>
        <w:rPr/>
        <w:t>pero</w:t>
      </w:r>
      <w:r>
        <w:rPr>
          <w:spacing w:val="-8"/>
        </w:rPr>
        <w:t> </w:t>
      </w:r>
      <w:r>
        <w:rPr/>
        <w:t>en el transcurso de los siglos XIX y XX el término fue utilizado para designar a los tiranos</w:t>
      </w:r>
      <w:r>
        <w:rPr>
          <w:spacing w:val="-8"/>
        </w:rPr>
        <w:t> </w:t>
      </w:r>
      <w:r>
        <w:rPr/>
        <w:t>políticos</w:t>
      </w:r>
      <w:r>
        <w:rPr>
          <w:spacing w:val="-8"/>
        </w:rPr>
        <w:t> </w:t>
      </w:r>
      <w:r>
        <w:rPr/>
        <w:t>que</w:t>
      </w:r>
      <w:r>
        <w:rPr>
          <w:spacing w:val="-10"/>
        </w:rPr>
        <w:t> </w:t>
      </w:r>
      <w:r>
        <w:rPr/>
        <w:t>surgieron</w:t>
      </w:r>
      <w:r>
        <w:rPr>
          <w:spacing w:val="-10"/>
        </w:rPr>
        <w:t> </w:t>
      </w:r>
      <w:r>
        <w:rPr/>
        <w:t>en</w:t>
      </w:r>
      <w:r>
        <w:rPr>
          <w:spacing w:val="-10"/>
        </w:rPr>
        <w:t> </w:t>
      </w:r>
      <w:r>
        <w:rPr/>
        <w:t>situaciones</w:t>
      </w:r>
      <w:r>
        <w:rPr>
          <w:spacing w:val="-8"/>
        </w:rPr>
        <w:t> </w:t>
      </w:r>
      <w:r>
        <w:rPr/>
        <w:t>de</w:t>
      </w:r>
      <w:r>
        <w:rPr>
          <w:spacing w:val="-10"/>
        </w:rPr>
        <w:t> </w:t>
      </w:r>
      <w:r>
        <w:rPr/>
        <w:t>emergencia</w:t>
      </w:r>
      <w:r>
        <w:rPr>
          <w:spacing w:val="-10"/>
        </w:rPr>
        <w:t> </w:t>
      </w:r>
      <w:r>
        <w:rPr/>
        <w:t>o</w:t>
      </w:r>
      <w:r>
        <w:rPr>
          <w:spacing w:val="-10"/>
        </w:rPr>
        <w:t> </w:t>
      </w:r>
      <w:r>
        <w:rPr/>
        <w:t>inestabilidad</w:t>
      </w:r>
      <w:r>
        <w:rPr>
          <w:spacing w:val="-10"/>
        </w:rPr>
        <w:t> </w:t>
      </w:r>
      <w:r>
        <w:rPr/>
        <w:t>política y que arribaron al poder mediante mecanismos informales o por el manejo de las masas. (Olivares, 2011:</w:t>
      </w:r>
      <w:r>
        <w:rPr>
          <w:spacing w:val="-17"/>
        </w:rPr>
        <w:t> </w:t>
      </w:r>
      <w:r>
        <w:rPr/>
        <w:t>39)</w:t>
      </w:r>
    </w:p>
    <w:p>
      <w:pPr>
        <w:pStyle w:val="BodyText"/>
        <w:spacing w:line="360" w:lineRule="auto" w:before="2"/>
        <w:ind w:left="140" w:right="149" w:firstLine="427"/>
        <w:jc w:val="both"/>
      </w:pPr>
      <w:r>
        <w:rPr/>
        <w:t>Para 1821 las condiciones políticas requirieron el tránsito de una sociedad colonial y eclesiástica a una sociedad civil, mediante la construcción de un Estado propio que reuniera y conservara los intereses más representativos.</w:t>
      </w:r>
    </w:p>
    <w:p>
      <w:pPr>
        <w:spacing w:after="0" w:line="360" w:lineRule="auto"/>
        <w:jc w:val="both"/>
        <w:sectPr>
          <w:pgSz w:w="12240" w:h="15840"/>
          <w:pgMar w:header="0" w:footer="998" w:top="1360" w:bottom="1180" w:left="1560" w:right="1460"/>
        </w:sectPr>
      </w:pPr>
    </w:p>
    <w:p>
      <w:pPr>
        <w:pStyle w:val="BodyText"/>
        <w:spacing w:line="360" w:lineRule="auto" w:before="55"/>
        <w:ind w:left="120" w:right="108" w:firstLine="427"/>
        <w:jc w:val="both"/>
      </w:pPr>
      <w:r>
        <w:rPr/>
        <w:t>El vínculo con España se rompió con la declaración formal de independencia el 28 de septiembre de 1821 y, a partir de ese año, la hacienda del Estado mexicano quedó establecida en el Reglamento Provisional Político del Imperio Mexicano, promulgado el 18 de diciembre de 1822.</w:t>
      </w:r>
    </w:p>
    <w:p>
      <w:pPr>
        <w:pStyle w:val="BodyText"/>
        <w:spacing w:line="360" w:lineRule="auto" w:before="2"/>
        <w:ind w:left="120" w:right="106" w:firstLine="427"/>
        <w:jc w:val="both"/>
      </w:pPr>
      <w:r>
        <w:rPr/>
        <w:t>En 1823 el Congreso declaró nulo el imperio de Agustín de Iturbide y el 31 de enero de1824 el Congreso Constituyente</w:t>
      </w:r>
      <w:r>
        <w:rPr>
          <w:position w:val="8"/>
          <w:sz w:val="16"/>
        </w:rPr>
        <w:t>44 </w:t>
      </w:r>
      <w:r>
        <w:rPr/>
        <w:t>emitió el Acta Constitutiva de la Federación</w:t>
      </w:r>
      <w:r>
        <w:rPr>
          <w:spacing w:val="-13"/>
        </w:rPr>
        <w:t> </w:t>
      </w:r>
      <w:r>
        <w:rPr/>
        <w:t>y</w:t>
      </w:r>
      <w:r>
        <w:rPr>
          <w:spacing w:val="-18"/>
        </w:rPr>
        <w:t> </w:t>
      </w:r>
      <w:r>
        <w:rPr/>
        <w:t>el</w:t>
      </w:r>
      <w:r>
        <w:rPr>
          <w:spacing w:val="-15"/>
        </w:rPr>
        <w:t> </w:t>
      </w:r>
      <w:r>
        <w:rPr/>
        <w:t>5</w:t>
      </w:r>
      <w:r>
        <w:rPr>
          <w:spacing w:val="-16"/>
        </w:rPr>
        <w:t> </w:t>
      </w:r>
      <w:r>
        <w:rPr/>
        <w:t>de</w:t>
      </w:r>
      <w:r>
        <w:rPr>
          <w:spacing w:val="-16"/>
        </w:rPr>
        <w:t> </w:t>
      </w:r>
      <w:r>
        <w:rPr/>
        <w:t>octubre</w:t>
      </w:r>
      <w:r>
        <w:rPr>
          <w:spacing w:val="-16"/>
        </w:rPr>
        <w:t> </w:t>
      </w:r>
      <w:r>
        <w:rPr/>
        <w:t>promulgó</w:t>
      </w:r>
      <w:r>
        <w:rPr>
          <w:spacing w:val="-13"/>
        </w:rPr>
        <w:t> </w:t>
      </w:r>
      <w:r>
        <w:rPr/>
        <w:t>la</w:t>
      </w:r>
      <w:r>
        <w:rPr>
          <w:spacing w:val="-16"/>
        </w:rPr>
        <w:t> </w:t>
      </w:r>
      <w:r>
        <w:rPr/>
        <w:t>Constitución</w:t>
      </w:r>
      <w:r>
        <w:rPr>
          <w:spacing w:val="-16"/>
        </w:rPr>
        <w:t> </w:t>
      </w:r>
      <w:r>
        <w:rPr/>
        <w:t>Federal</w:t>
      </w:r>
      <w:r>
        <w:rPr>
          <w:spacing w:val="-15"/>
        </w:rPr>
        <w:t> </w:t>
      </w:r>
      <w:r>
        <w:rPr/>
        <w:t>de</w:t>
      </w:r>
      <w:r>
        <w:rPr>
          <w:spacing w:val="-16"/>
        </w:rPr>
        <w:t> </w:t>
      </w:r>
      <w:r>
        <w:rPr/>
        <w:t>los</w:t>
      </w:r>
      <w:r>
        <w:rPr>
          <w:spacing w:val="-15"/>
        </w:rPr>
        <w:t> </w:t>
      </w:r>
      <w:r>
        <w:rPr/>
        <w:t>Estados</w:t>
      </w:r>
      <w:r>
        <w:rPr>
          <w:spacing w:val="-11"/>
        </w:rPr>
        <w:t> </w:t>
      </w:r>
      <w:r>
        <w:rPr/>
        <w:t>Unidos Mexicanos, con base en la constitución estadounidense y francesa </w:t>
      </w:r>
      <w:r>
        <w:rPr>
          <w:position w:val="8"/>
          <w:sz w:val="16"/>
        </w:rPr>
        <w:t>45</w:t>
      </w:r>
      <w:r>
        <w:rPr/>
        <w:t>(Fraga, 1996: 121). La Constitución del 4 de octubre de 1824 instauró el Estado mexicano como República Federal, estableció la autonomía de los Estados y la división de los poderes. Se estableció la función del Poder Legislativo como emisor de leyes y decretos</w:t>
      </w:r>
      <w:r>
        <w:rPr>
          <w:spacing w:val="-9"/>
        </w:rPr>
        <w:t> </w:t>
      </w:r>
      <w:r>
        <w:rPr/>
        <w:t>para</w:t>
      </w:r>
      <w:r>
        <w:rPr>
          <w:spacing w:val="-10"/>
        </w:rPr>
        <w:t> </w:t>
      </w:r>
      <w:r>
        <w:rPr/>
        <w:t>preservar</w:t>
      </w:r>
      <w:r>
        <w:rPr>
          <w:spacing w:val="-9"/>
        </w:rPr>
        <w:t> </w:t>
      </w:r>
      <w:r>
        <w:rPr/>
        <w:t>la</w:t>
      </w:r>
      <w:r>
        <w:rPr>
          <w:spacing w:val="-10"/>
        </w:rPr>
        <w:t> </w:t>
      </w:r>
      <w:r>
        <w:rPr/>
        <w:t>independencia</w:t>
      </w:r>
      <w:r>
        <w:rPr>
          <w:spacing w:val="-10"/>
        </w:rPr>
        <w:t> </w:t>
      </w:r>
      <w:r>
        <w:rPr/>
        <w:t>y</w:t>
      </w:r>
      <w:r>
        <w:rPr>
          <w:spacing w:val="-12"/>
        </w:rPr>
        <w:t> </w:t>
      </w:r>
      <w:r>
        <w:rPr/>
        <w:t>la</w:t>
      </w:r>
      <w:r>
        <w:rPr>
          <w:spacing w:val="-10"/>
        </w:rPr>
        <w:t> </w:t>
      </w:r>
      <w:r>
        <w:rPr/>
        <w:t>seguridad</w:t>
      </w:r>
      <w:r>
        <w:rPr>
          <w:spacing w:val="-10"/>
        </w:rPr>
        <w:t> </w:t>
      </w:r>
      <w:r>
        <w:rPr/>
        <w:t>nacional,</w:t>
      </w:r>
      <w:r>
        <w:rPr>
          <w:spacing w:val="-8"/>
        </w:rPr>
        <w:t> </w:t>
      </w:r>
      <w:r>
        <w:rPr/>
        <w:t>fortalecer</w:t>
      </w:r>
      <w:r>
        <w:rPr>
          <w:spacing w:val="-5"/>
        </w:rPr>
        <w:t> </w:t>
      </w:r>
      <w:r>
        <w:rPr/>
        <w:t>la</w:t>
      </w:r>
      <w:r>
        <w:rPr>
          <w:spacing w:val="-10"/>
        </w:rPr>
        <w:t> </w:t>
      </w:r>
      <w:r>
        <w:rPr/>
        <w:t>unión de los Estados, autorizar el presupuesto y revisar sus</w:t>
      </w:r>
      <w:r>
        <w:rPr>
          <w:spacing w:val="-34"/>
        </w:rPr>
        <w:t> </w:t>
      </w:r>
      <w:r>
        <w:rPr/>
        <w:t>cuentas.</w:t>
      </w:r>
    </w:p>
    <w:p>
      <w:pPr>
        <w:pStyle w:val="BodyText"/>
        <w:spacing w:line="360" w:lineRule="auto"/>
        <w:ind w:left="120" w:right="102" w:firstLine="427"/>
        <w:jc w:val="both"/>
      </w:pPr>
      <w:r>
        <w:rPr/>
        <w:t>La constitución de 1857</w:t>
      </w:r>
      <w:r>
        <w:rPr>
          <w:position w:val="8"/>
          <w:sz w:val="16"/>
        </w:rPr>
        <w:t>46 </w:t>
      </w:r>
      <w:r>
        <w:rPr/>
        <w:t>dio origen a la Guerra de Reforma (1857-1860). En 1861 las Leyes de Reforma consideraron la separación de la iglesia y el Estado, la nacionalización de los bienes eclesiásticos, tolerancia de cultos, libertad de expresión y de imprenta y el registro civil, entre otras políticas.</w:t>
      </w:r>
    </w:p>
    <w:p>
      <w:pPr>
        <w:pStyle w:val="BodyText"/>
        <w:spacing w:line="357" w:lineRule="auto" w:before="6"/>
        <w:ind w:left="120" w:right="106" w:firstLine="427"/>
        <w:jc w:val="both"/>
      </w:pPr>
      <w:r>
        <w:rPr/>
        <w:t>En</w:t>
      </w:r>
      <w:r>
        <w:rPr>
          <w:spacing w:val="-13"/>
        </w:rPr>
        <w:t> </w:t>
      </w:r>
      <w:r>
        <w:rPr/>
        <w:t>1867</w:t>
      </w:r>
      <w:r>
        <w:rPr>
          <w:spacing w:val="-13"/>
        </w:rPr>
        <w:t> </w:t>
      </w:r>
      <w:r>
        <w:rPr/>
        <w:t>el</w:t>
      </w:r>
      <w:r>
        <w:rPr>
          <w:spacing w:val="-12"/>
        </w:rPr>
        <w:t> </w:t>
      </w:r>
      <w:r>
        <w:rPr/>
        <w:t>gobierno</w:t>
      </w:r>
      <w:r>
        <w:rPr>
          <w:spacing w:val="-13"/>
        </w:rPr>
        <w:t> </w:t>
      </w:r>
      <w:r>
        <w:rPr/>
        <w:t>consolidó</w:t>
      </w:r>
      <w:r>
        <w:rPr>
          <w:spacing w:val="-13"/>
        </w:rPr>
        <w:t> </w:t>
      </w:r>
      <w:r>
        <w:rPr/>
        <w:t>el</w:t>
      </w:r>
      <w:r>
        <w:rPr>
          <w:spacing w:val="-12"/>
        </w:rPr>
        <w:t> </w:t>
      </w:r>
      <w:r>
        <w:rPr/>
        <w:t>Estado</w:t>
      </w:r>
      <w:r>
        <w:rPr>
          <w:spacing w:val="-13"/>
        </w:rPr>
        <w:t> </w:t>
      </w:r>
      <w:r>
        <w:rPr/>
        <w:t>en</w:t>
      </w:r>
      <w:r>
        <w:rPr>
          <w:spacing w:val="-13"/>
        </w:rPr>
        <w:t> </w:t>
      </w:r>
      <w:r>
        <w:rPr/>
        <w:t>una</w:t>
      </w:r>
      <w:r>
        <w:rPr>
          <w:spacing w:val="-13"/>
        </w:rPr>
        <w:t> </w:t>
      </w:r>
      <w:r>
        <w:rPr/>
        <w:t>república</w:t>
      </w:r>
      <w:r>
        <w:rPr>
          <w:spacing w:val="-13"/>
        </w:rPr>
        <w:t> </w:t>
      </w:r>
      <w:r>
        <w:rPr/>
        <w:t>y</w:t>
      </w:r>
      <w:r>
        <w:rPr>
          <w:spacing w:val="-15"/>
        </w:rPr>
        <w:t> </w:t>
      </w:r>
      <w:r>
        <w:rPr/>
        <w:t>comenzó</w:t>
      </w:r>
      <w:r>
        <w:rPr>
          <w:spacing w:val="-13"/>
        </w:rPr>
        <w:t> </w:t>
      </w:r>
      <w:r>
        <w:rPr/>
        <w:t>a</w:t>
      </w:r>
      <w:r>
        <w:rPr>
          <w:spacing w:val="-13"/>
        </w:rPr>
        <w:t> </w:t>
      </w:r>
      <w:r>
        <w:rPr/>
        <w:t>fortalecer al Poder Ejecutivo (Olivares, 2011: 42). En 1874 el Presidente reestableció el Senado,</w:t>
      </w:r>
      <w:r>
        <w:rPr>
          <w:position w:val="8"/>
          <w:sz w:val="16"/>
        </w:rPr>
        <w:t>47</w:t>
      </w:r>
      <w:r>
        <w:rPr>
          <w:spacing w:val="7"/>
          <w:position w:val="8"/>
          <w:sz w:val="16"/>
        </w:rPr>
        <w:t> </w:t>
      </w:r>
      <w:r>
        <w:rPr/>
        <w:t>lo</w:t>
      </w:r>
      <w:r>
        <w:rPr>
          <w:spacing w:val="-16"/>
        </w:rPr>
        <w:t> </w:t>
      </w:r>
      <w:r>
        <w:rPr/>
        <w:t>que,</w:t>
      </w:r>
      <w:r>
        <w:rPr>
          <w:spacing w:val="-13"/>
        </w:rPr>
        <w:t> </w:t>
      </w:r>
      <w:r>
        <w:rPr/>
        <w:t>para</w:t>
      </w:r>
      <w:r>
        <w:rPr>
          <w:spacing w:val="-16"/>
        </w:rPr>
        <w:t> </w:t>
      </w:r>
      <w:r>
        <w:rPr/>
        <w:t>algunos</w:t>
      </w:r>
      <w:r>
        <w:rPr>
          <w:spacing w:val="-14"/>
        </w:rPr>
        <w:t> </w:t>
      </w:r>
      <w:r>
        <w:rPr/>
        <w:t>historiadores,</w:t>
      </w:r>
      <w:r>
        <w:rPr>
          <w:spacing w:val="-13"/>
        </w:rPr>
        <w:t> </w:t>
      </w:r>
      <w:r>
        <w:rPr/>
        <w:t>presentó</w:t>
      </w:r>
      <w:r>
        <w:rPr>
          <w:spacing w:val="-16"/>
        </w:rPr>
        <w:t> </w:t>
      </w:r>
      <w:r>
        <w:rPr/>
        <w:t>un</w:t>
      </w:r>
      <w:r>
        <w:rPr>
          <w:spacing w:val="-16"/>
        </w:rPr>
        <w:t> </w:t>
      </w:r>
      <w:r>
        <w:rPr/>
        <w:t>equilibrio</w:t>
      </w:r>
      <w:r>
        <w:rPr>
          <w:spacing w:val="-16"/>
        </w:rPr>
        <w:t> </w:t>
      </w:r>
      <w:r>
        <w:rPr/>
        <w:t>del</w:t>
      </w:r>
      <w:r>
        <w:rPr>
          <w:spacing w:val="-15"/>
        </w:rPr>
        <w:t> </w:t>
      </w:r>
      <w:r>
        <w:rPr/>
        <w:t>poder</w:t>
      </w:r>
      <w:r>
        <w:rPr>
          <w:spacing w:val="-14"/>
        </w:rPr>
        <w:t> </w:t>
      </w:r>
      <w:r>
        <w:rPr/>
        <w:t>interno del Legislativo y del sistema</w:t>
      </w:r>
      <w:r>
        <w:rPr>
          <w:spacing w:val="-24"/>
        </w:rPr>
        <w:t> </w:t>
      </w:r>
      <w:r>
        <w:rPr/>
        <w:t>político.</w:t>
      </w:r>
    </w:p>
    <w:p>
      <w:pPr>
        <w:pStyle w:val="BodyText"/>
        <w:spacing w:line="357" w:lineRule="auto" w:before="8"/>
        <w:ind w:left="120" w:right="200" w:firstLine="427"/>
        <w:jc w:val="both"/>
      </w:pPr>
      <w:r>
        <w:rPr/>
        <w:t>Tras otro golpe de Estado en 1876, la presidencia fue ocupada por una sola persona durante 34 años (exceptuando el periodo 1880 a 1884). En ese periodo</w:t>
      </w:r>
    </w:p>
    <w:p>
      <w:pPr>
        <w:pStyle w:val="BodyText"/>
        <w:rPr>
          <w:sz w:val="20"/>
        </w:rPr>
      </w:pPr>
    </w:p>
    <w:p>
      <w:pPr>
        <w:pStyle w:val="BodyText"/>
        <w:spacing w:before="2"/>
        <w:rPr>
          <w:sz w:val="18"/>
        </w:rPr>
      </w:pPr>
      <w:r>
        <w:rPr/>
        <w:pict>
          <v:line style="position:absolute;mso-position-horizontal-relative:page;mso-position-vertical-relative:paragraph;z-index:6592;mso-wrap-distance-left:0;mso-wrap-distance-right:0" from="85.025002pt,12.798946pt" to="229.075002pt,12.798946pt" stroked="true" strokeweight=".79999pt" strokecolor="#000000">
            <w10:wrap type="topAndBottom"/>
          </v:line>
        </w:pict>
      </w:r>
    </w:p>
    <w:p>
      <w:pPr>
        <w:spacing w:before="60"/>
        <w:ind w:left="120" w:right="0" w:firstLine="0"/>
        <w:jc w:val="both"/>
        <w:rPr>
          <w:sz w:val="16"/>
        </w:rPr>
      </w:pPr>
      <w:r>
        <w:rPr>
          <w:rFonts w:ascii="Times New Roman"/>
          <w:position w:val="7"/>
          <w:sz w:val="13"/>
        </w:rPr>
        <w:t>44</w:t>
      </w:r>
      <w:r>
        <w:rPr>
          <w:sz w:val="16"/>
        </w:rPr>
        <w:t>Instalado el 7 de noviembre de 1823.</w:t>
      </w:r>
    </w:p>
    <w:p>
      <w:pPr>
        <w:spacing w:line="244" w:lineRule="auto" w:before="6"/>
        <w:ind w:left="120" w:right="198" w:firstLine="0"/>
        <w:jc w:val="both"/>
        <w:rPr>
          <w:sz w:val="16"/>
        </w:rPr>
      </w:pPr>
      <w:r>
        <w:rPr>
          <w:rFonts w:ascii="Times New Roman" w:hAnsi="Times New Roman"/>
          <w:position w:val="7"/>
          <w:sz w:val="13"/>
        </w:rPr>
        <w:t>45</w:t>
      </w:r>
      <w:r>
        <w:rPr>
          <w:sz w:val="16"/>
        </w:rPr>
        <w:t>Con</w:t>
      </w:r>
      <w:r>
        <w:rPr>
          <w:spacing w:val="-8"/>
          <w:sz w:val="16"/>
        </w:rPr>
        <w:t> </w:t>
      </w:r>
      <w:r>
        <w:rPr>
          <w:sz w:val="16"/>
        </w:rPr>
        <w:t>la</w:t>
      </w:r>
      <w:r>
        <w:rPr>
          <w:spacing w:val="-8"/>
          <w:sz w:val="16"/>
        </w:rPr>
        <w:t> </w:t>
      </w:r>
      <w:r>
        <w:rPr>
          <w:sz w:val="16"/>
        </w:rPr>
        <w:t>promulgación</w:t>
      </w:r>
      <w:r>
        <w:rPr>
          <w:spacing w:val="-12"/>
          <w:sz w:val="16"/>
        </w:rPr>
        <w:t> </w:t>
      </w:r>
      <w:r>
        <w:rPr>
          <w:sz w:val="16"/>
        </w:rPr>
        <w:t>de</w:t>
      </w:r>
      <w:r>
        <w:rPr>
          <w:spacing w:val="-8"/>
          <w:sz w:val="16"/>
        </w:rPr>
        <w:t> </w:t>
      </w:r>
      <w:r>
        <w:rPr>
          <w:sz w:val="16"/>
        </w:rPr>
        <w:t>la</w:t>
      </w:r>
      <w:r>
        <w:rPr>
          <w:spacing w:val="-12"/>
          <w:sz w:val="16"/>
        </w:rPr>
        <w:t> </w:t>
      </w:r>
      <w:r>
        <w:rPr>
          <w:sz w:val="16"/>
        </w:rPr>
        <w:t>propia</w:t>
      </w:r>
      <w:r>
        <w:rPr>
          <w:spacing w:val="-6"/>
          <w:sz w:val="16"/>
        </w:rPr>
        <w:t> </w:t>
      </w:r>
      <w:r>
        <w:rPr>
          <w:sz w:val="16"/>
        </w:rPr>
        <w:t>Constitución</w:t>
      </w:r>
      <w:r>
        <w:rPr>
          <w:spacing w:val="-12"/>
          <w:sz w:val="16"/>
        </w:rPr>
        <w:t> </w:t>
      </w:r>
      <w:r>
        <w:rPr>
          <w:sz w:val="16"/>
        </w:rPr>
        <w:t>de</w:t>
      </w:r>
      <w:r>
        <w:rPr>
          <w:spacing w:val="-8"/>
          <w:sz w:val="16"/>
        </w:rPr>
        <w:t> </w:t>
      </w:r>
      <w:r>
        <w:rPr>
          <w:sz w:val="16"/>
        </w:rPr>
        <w:t>México,</w:t>
      </w:r>
      <w:r>
        <w:rPr>
          <w:spacing w:val="-4"/>
          <w:sz w:val="16"/>
        </w:rPr>
        <w:t> </w:t>
      </w:r>
      <w:r>
        <w:rPr>
          <w:sz w:val="16"/>
        </w:rPr>
        <w:t>se</w:t>
      </w:r>
      <w:r>
        <w:rPr>
          <w:spacing w:val="-8"/>
          <w:sz w:val="16"/>
        </w:rPr>
        <w:t> </w:t>
      </w:r>
      <w:r>
        <w:rPr>
          <w:sz w:val="16"/>
        </w:rPr>
        <w:t>dio</w:t>
      </w:r>
      <w:r>
        <w:rPr>
          <w:spacing w:val="-4"/>
          <w:sz w:val="16"/>
        </w:rPr>
        <w:t> </w:t>
      </w:r>
      <w:r>
        <w:rPr>
          <w:sz w:val="16"/>
        </w:rPr>
        <w:t>inicio</w:t>
      </w:r>
      <w:r>
        <w:rPr>
          <w:spacing w:val="-8"/>
          <w:sz w:val="16"/>
        </w:rPr>
        <w:t> </w:t>
      </w:r>
      <w:r>
        <w:rPr>
          <w:sz w:val="16"/>
        </w:rPr>
        <w:t>al</w:t>
      </w:r>
      <w:r>
        <w:rPr>
          <w:spacing w:val="-14"/>
          <w:sz w:val="16"/>
        </w:rPr>
        <w:t> </w:t>
      </w:r>
      <w:r>
        <w:rPr>
          <w:sz w:val="16"/>
        </w:rPr>
        <w:t>Estado</w:t>
      </w:r>
      <w:r>
        <w:rPr>
          <w:spacing w:val="-12"/>
          <w:sz w:val="16"/>
        </w:rPr>
        <w:t> </w:t>
      </w:r>
      <w:r>
        <w:rPr>
          <w:sz w:val="16"/>
        </w:rPr>
        <w:t>mexicano</w:t>
      </w:r>
      <w:r>
        <w:rPr>
          <w:spacing w:val="-8"/>
          <w:sz w:val="16"/>
        </w:rPr>
        <w:t> </w:t>
      </w:r>
      <w:r>
        <w:rPr>
          <w:sz w:val="16"/>
        </w:rPr>
        <w:t>federal</w:t>
      </w:r>
      <w:r>
        <w:rPr>
          <w:spacing w:val="-11"/>
          <w:sz w:val="16"/>
        </w:rPr>
        <w:t> </w:t>
      </w:r>
      <w:r>
        <w:rPr>
          <w:sz w:val="16"/>
        </w:rPr>
        <w:t>al</w:t>
      </w:r>
      <w:r>
        <w:rPr>
          <w:spacing w:val="-11"/>
          <w:sz w:val="16"/>
        </w:rPr>
        <w:t> </w:t>
      </w:r>
      <w:r>
        <w:rPr>
          <w:sz w:val="16"/>
        </w:rPr>
        <w:t>reconocer</w:t>
      </w:r>
      <w:r>
        <w:rPr>
          <w:spacing w:val="-8"/>
          <w:sz w:val="16"/>
        </w:rPr>
        <w:t> </w:t>
      </w:r>
      <w:r>
        <w:rPr>
          <w:sz w:val="16"/>
        </w:rPr>
        <w:t>a</w:t>
      </w:r>
      <w:r>
        <w:rPr>
          <w:spacing w:val="-8"/>
          <w:sz w:val="16"/>
        </w:rPr>
        <w:t> </w:t>
      </w:r>
      <w:r>
        <w:rPr>
          <w:sz w:val="16"/>
        </w:rPr>
        <w:t>19</w:t>
      </w:r>
      <w:r>
        <w:rPr>
          <w:spacing w:val="-4"/>
          <w:sz w:val="16"/>
        </w:rPr>
        <w:t> </w:t>
      </w:r>
      <w:r>
        <w:rPr>
          <w:sz w:val="16"/>
        </w:rPr>
        <w:t>estados como miembros de la federación mexicana, con el tiempo el Estado pasó a ser centralista con la promulgación de las Siete Leyes Constitucionales de 1836 que cambió los estados por</w:t>
      </w:r>
      <w:r>
        <w:rPr>
          <w:spacing w:val="-21"/>
          <w:sz w:val="16"/>
        </w:rPr>
        <w:t> </w:t>
      </w:r>
      <w:r>
        <w:rPr>
          <w:sz w:val="16"/>
        </w:rPr>
        <w:t>departamentos.</w:t>
      </w:r>
    </w:p>
    <w:p>
      <w:pPr>
        <w:spacing w:line="216" w:lineRule="exact" w:before="0"/>
        <w:ind w:left="120" w:right="0" w:firstLine="0"/>
        <w:jc w:val="both"/>
        <w:rPr>
          <w:sz w:val="16"/>
        </w:rPr>
      </w:pPr>
      <w:r>
        <w:rPr>
          <w:rFonts w:ascii="Times New Roman" w:hAnsi="Times New Roman"/>
          <w:position w:val="7"/>
          <w:sz w:val="13"/>
        </w:rPr>
        <w:t>46</w:t>
      </w:r>
      <w:r>
        <w:rPr>
          <w:sz w:val="16"/>
        </w:rPr>
        <w:t>El federalismo fue asentado en el artículo 20 de la Constitución de 1857, que estableció una república federal  compuesta</w:t>
      </w:r>
    </w:p>
    <w:p>
      <w:pPr>
        <w:spacing w:before="12"/>
        <w:ind w:left="120" w:right="197" w:firstLine="0"/>
        <w:jc w:val="both"/>
        <w:rPr>
          <w:sz w:val="16"/>
        </w:rPr>
      </w:pPr>
      <w:r>
        <w:rPr>
          <w:sz w:val="16"/>
        </w:rPr>
        <w:t>de estados libres y soberanos. </w:t>
      </w:r>
      <w:r>
        <w:rPr>
          <w:spacing w:val="2"/>
          <w:sz w:val="16"/>
        </w:rPr>
        <w:t>En </w:t>
      </w:r>
      <w:r>
        <w:rPr>
          <w:sz w:val="16"/>
        </w:rPr>
        <w:t>la práctica, se considera que el sistema político fue centralizado durante los 71 años del régimen del partido único, ya que las entidades federativas tenían escaso poder de decisión en asuntos nacionales y debían seguir</w:t>
      </w:r>
      <w:r>
        <w:rPr>
          <w:spacing w:val="-12"/>
          <w:sz w:val="16"/>
        </w:rPr>
        <w:t> </w:t>
      </w:r>
      <w:r>
        <w:rPr>
          <w:sz w:val="16"/>
        </w:rPr>
        <w:t>la</w:t>
      </w:r>
      <w:r>
        <w:rPr>
          <w:spacing w:val="-9"/>
          <w:sz w:val="16"/>
        </w:rPr>
        <w:t> </w:t>
      </w:r>
      <w:r>
        <w:rPr>
          <w:sz w:val="16"/>
        </w:rPr>
        <w:t>línea</w:t>
      </w:r>
      <w:r>
        <w:rPr>
          <w:spacing w:val="-16"/>
          <w:sz w:val="16"/>
        </w:rPr>
        <w:t> </w:t>
      </w:r>
      <w:r>
        <w:rPr>
          <w:sz w:val="16"/>
        </w:rPr>
        <w:t>del</w:t>
      </w:r>
      <w:r>
        <w:rPr>
          <w:spacing w:val="-15"/>
          <w:sz w:val="16"/>
        </w:rPr>
        <w:t> </w:t>
      </w:r>
      <w:r>
        <w:rPr>
          <w:sz w:val="16"/>
        </w:rPr>
        <w:t>Ejecutivo</w:t>
      </w:r>
      <w:r>
        <w:rPr>
          <w:spacing w:val="-12"/>
          <w:sz w:val="16"/>
        </w:rPr>
        <w:t> </w:t>
      </w:r>
      <w:r>
        <w:rPr>
          <w:sz w:val="16"/>
        </w:rPr>
        <w:t>Federal.</w:t>
      </w:r>
      <w:r>
        <w:rPr>
          <w:spacing w:val="-12"/>
          <w:sz w:val="16"/>
        </w:rPr>
        <w:t> </w:t>
      </w:r>
      <w:r>
        <w:rPr>
          <w:sz w:val="16"/>
        </w:rPr>
        <w:t>El</w:t>
      </w:r>
      <w:r>
        <w:rPr>
          <w:spacing w:val="-15"/>
          <w:sz w:val="16"/>
        </w:rPr>
        <w:t> </w:t>
      </w:r>
      <w:r>
        <w:rPr>
          <w:sz w:val="16"/>
        </w:rPr>
        <w:t>control</w:t>
      </w:r>
      <w:r>
        <w:rPr>
          <w:spacing w:val="-18"/>
          <w:sz w:val="16"/>
        </w:rPr>
        <w:t> </w:t>
      </w:r>
      <w:r>
        <w:rPr>
          <w:sz w:val="16"/>
        </w:rPr>
        <w:t>presidencial</w:t>
      </w:r>
      <w:r>
        <w:rPr>
          <w:spacing w:val="-14"/>
          <w:sz w:val="16"/>
        </w:rPr>
        <w:t> </w:t>
      </w:r>
      <w:r>
        <w:rPr>
          <w:sz w:val="16"/>
        </w:rPr>
        <w:t>se</w:t>
      </w:r>
      <w:r>
        <w:rPr>
          <w:spacing w:val="-16"/>
          <w:sz w:val="16"/>
        </w:rPr>
        <w:t> </w:t>
      </w:r>
      <w:r>
        <w:rPr>
          <w:sz w:val="16"/>
        </w:rPr>
        <w:t>realizó</w:t>
      </w:r>
      <w:r>
        <w:rPr>
          <w:spacing w:val="-16"/>
          <w:sz w:val="16"/>
        </w:rPr>
        <w:t> </w:t>
      </w:r>
      <w:r>
        <w:rPr>
          <w:sz w:val="16"/>
        </w:rPr>
        <w:t>mediante</w:t>
      </w:r>
      <w:r>
        <w:rPr>
          <w:spacing w:val="-16"/>
          <w:sz w:val="16"/>
        </w:rPr>
        <w:t> </w:t>
      </w:r>
      <w:r>
        <w:rPr>
          <w:sz w:val="16"/>
        </w:rPr>
        <w:t>el</w:t>
      </w:r>
      <w:r>
        <w:rPr>
          <w:spacing w:val="-15"/>
          <w:sz w:val="16"/>
        </w:rPr>
        <w:t> </w:t>
      </w:r>
      <w:r>
        <w:rPr>
          <w:sz w:val="16"/>
        </w:rPr>
        <w:t>control</w:t>
      </w:r>
      <w:r>
        <w:rPr>
          <w:spacing w:val="-18"/>
          <w:sz w:val="16"/>
        </w:rPr>
        <w:t> </w:t>
      </w:r>
      <w:r>
        <w:rPr>
          <w:sz w:val="16"/>
        </w:rPr>
        <w:t>político,</w:t>
      </w:r>
      <w:r>
        <w:rPr>
          <w:spacing w:val="-11"/>
          <w:sz w:val="16"/>
        </w:rPr>
        <w:t> </w:t>
      </w:r>
      <w:r>
        <w:rPr>
          <w:sz w:val="16"/>
        </w:rPr>
        <w:t>el</w:t>
      </w:r>
      <w:r>
        <w:rPr>
          <w:spacing w:val="-15"/>
          <w:sz w:val="16"/>
        </w:rPr>
        <w:t> </w:t>
      </w:r>
      <w:r>
        <w:rPr>
          <w:sz w:val="16"/>
        </w:rPr>
        <w:t>orden</w:t>
      </w:r>
      <w:r>
        <w:rPr>
          <w:spacing w:val="-8"/>
          <w:sz w:val="16"/>
        </w:rPr>
        <w:t> </w:t>
      </w:r>
      <w:r>
        <w:rPr>
          <w:sz w:val="16"/>
        </w:rPr>
        <w:t>jurídico,</w:t>
      </w:r>
      <w:r>
        <w:rPr>
          <w:spacing w:val="-11"/>
          <w:sz w:val="16"/>
        </w:rPr>
        <w:t> </w:t>
      </w:r>
      <w:r>
        <w:rPr>
          <w:sz w:val="16"/>
        </w:rPr>
        <w:t>la</w:t>
      </w:r>
      <w:r>
        <w:rPr>
          <w:spacing w:val="-12"/>
          <w:sz w:val="16"/>
        </w:rPr>
        <w:t> </w:t>
      </w:r>
      <w:r>
        <w:rPr>
          <w:sz w:val="16"/>
        </w:rPr>
        <w:t>presencia de</w:t>
      </w:r>
      <w:r>
        <w:rPr>
          <w:spacing w:val="-2"/>
          <w:sz w:val="16"/>
        </w:rPr>
        <w:t> </w:t>
      </w:r>
      <w:r>
        <w:rPr>
          <w:sz w:val="16"/>
        </w:rPr>
        <w:t>entidades</w:t>
      </w:r>
      <w:r>
        <w:rPr>
          <w:spacing w:val="-5"/>
          <w:sz w:val="16"/>
        </w:rPr>
        <w:t> </w:t>
      </w:r>
      <w:r>
        <w:rPr>
          <w:sz w:val="16"/>
        </w:rPr>
        <w:t>federales</w:t>
      </w:r>
      <w:r>
        <w:rPr>
          <w:spacing w:val="-5"/>
          <w:sz w:val="16"/>
        </w:rPr>
        <w:t> </w:t>
      </w:r>
      <w:r>
        <w:rPr>
          <w:sz w:val="16"/>
        </w:rPr>
        <w:t>en</w:t>
      </w:r>
      <w:r>
        <w:rPr>
          <w:spacing w:val="-3"/>
          <w:sz w:val="16"/>
        </w:rPr>
        <w:t> </w:t>
      </w:r>
      <w:r>
        <w:rPr>
          <w:sz w:val="16"/>
        </w:rPr>
        <w:t>las</w:t>
      </w:r>
      <w:r>
        <w:rPr>
          <w:spacing w:val="-2"/>
          <w:sz w:val="16"/>
        </w:rPr>
        <w:t> </w:t>
      </w:r>
      <w:r>
        <w:rPr>
          <w:sz w:val="16"/>
        </w:rPr>
        <w:t>localidades</w:t>
      </w:r>
      <w:r>
        <w:rPr>
          <w:spacing w:val="-2"/>
          <w:sz w:val="16"/>
        </w:rPr>
        <w:t> </w:t>
      </w:r>
      <w:r>
        <w:rPr>
          <w:sz w:val="16"/>
        </w:rPr>
        <w:t>y</w:t>
      </w:r>
      <w:r>
        <w:rPr>
          <w:spacing w:val="-5"/>
          <w:sz w:val="16"/>
        </w:rPr>
        <w:t> </w:t>
      </w:r>
      <w:r>
        <w:rPr>
          <w:sz w:val="16"/>
        </w:rPr>
        <w:t>mediante</w:t>
      </w:r>
      <w:r>
        <w:rPr>
          <w:spacing w:val="-2"/>
          <w:sz w:val="16"/>
        </w:rPr>
        <w:t> </w:t>
      </w:r>
      <w:r>
        <w:rPr>
          <w:sz w:val="16"/>
        </w:rPr>
        <w:t>el</w:t>
      </w:r>
      <w:r>
        <w:rPr>
          <w:spacing w:val="-5"/>
          <w:sz w:val="16"/>
        </w:rPr>
        <w:t> </w:t>
      </w:r>
      <w:r>
        <w:rPr>
          <w:sz w:val="16"/>
        </w:rPr>
        <w:t>control</w:t>
      </w:r>
      <w:r>
        <w:rPr>
          <w:spacing w:val="-5"/>
          <w:sz w:val="16"/>
        </w:rPr>
        <w:t> </w:t>
      </w:r>
      <w:r>
        <w:rPr>
          <w:sz w:val="16"/>
        </w:rPr>
        <w:t>de los</w:t>
      </w:r>
      <w:r>
        <w:rPr>
          <w:spacing w:val="-5"/>
          <w:sz w:val="16"/>
        </w:rPr>
        <w:t> </w:t>
      </w:r>
      <w:r>
        <w:rPr>
          <w:sz w:val="16"/>
        </w:rPr>
        <w:t>recursos</w:t>
      </w:r>
      <w:r>
        <w:rPr>
          <w:spacing w:val="-2"/>
          <w:sz w:val="16"/>
        </w:rPr>
        <w:t> </w:t>
      </w:r>
      <w:r>
        <w:rPr>
          <w:sz w:val="16"/>
        </w:rPr>
        <w:t>presupuestarios.</w:t>
      </w:r>
    </w:p>
    <w:p>
      <w:pPr>
        <w:spacing w:before="0"/>
        <w:ind w:left="120" w:right="137" w:firstLine="0"/>
        <w:jc w:val="left"/>
        <w:rPr>
          <w:sz w:val="16"/>
        </w:rPr>
      </w:pPr>
      <w:r>
        <w:rPr>
          <w:sz w:val="16"/>
        </w:rPr>
        <w:t>Disponible en: 1349000689/**http://codex.colmex.mx:8991/exlibris/aleph/a18_1/apache_media/Y6GNJ6I57H9ISVA2UJRIBTHNPY6GJ2.pd f</w:t>
      </w:r>
      <w:hyperlink r:id="rId98">
        <w:r>
          <w:rPr>
            <w:sz w:val="16"/>
          </w:rPr>
          <w:t>http://www.bibliojuridica.org/libros/1/348/5.pdf</w:t>
        </w:r>
      </w:hyperlink>
    </w:p>
    <w:p>
      <w:pPr>
        <w:spacing w:line="182" w:lineRule="exact" w:before="0"/>
        <w:ind w:left="120" w:right="0" w:firstLine="0"/>
        <w:jc w:val="both"/>
        <w:rPr>
          <w:sz w:val="16"/>
        </w:rPr>
      </w:pPr>
      <w:r>
        <w:rPr>
          <w:sz w:val="16"/>
        </w:rPr>
        <w:t>[Fecha de consulta: 17 de septiembre, 2015]</w:t>
      </w:r>
    </w:p>
    <w:p>
      <w:pPr>
        <w:spacing w:before="0"/>
        <w:ind w:left="120" w:right="200" w:firstLine="0"/>
        <w:jc w:val="both"/>
        <w:rPr>
          <w:sz w:val="16"/>
        </w:rPr>
      </w:pPr>
      <w:r>
        <w:rPr>
          <w:position w:val="6"/>
          <w:sz w:val="10"/>
        </w:rPr>
        <w:t>47 </w:t>
      </w:r>
      <w:r>
        <w:rPr>
          <w:sz w:val="16"/>
        </w:rPr>
        <w:t>Disponible en: </w:t>
      </w:r>
      <w:hyperlink r:id="rId99">
        <w:r>
          <w:rPr>
            <w:sz w:val="16"/>
          </w:rPr>
          <w:t>http://www.memoriapoliticademexico.org/Efemerides/11/13111874.html</w:t>
        </w:r>
      </w:hyperlink>
      <w:r>
        <w:rPr>
          <w:sz w:val="16"/>
        </w:rPr>
        <w:t> [Fecha de consulta: 17 de septiembre, 2015]</w:t>
      </w:r>
    </w:p>
    <w:p>
      <w:pPr>
        <w:spacing w:after="0"/>
        <w:jc w:val="both"/>
        <w:rPr>
          <w:sz w:val="16"/>
        </w:rPr>
        <w:sectPr>
          <w:pgSz w:w="12240" w:h="15840"/>
          <w:pgMar w:header="0" w:footer="998" w:top="1360" w:bottom="1180" w:left="1580" w:right="1500"/>
        </w:sectPr>
      </w:pPr>
    </w:p>
    <w:p>
      <w:pPr>
        <w:pStyle w:val="BodyText"/>
        <w:spacing w:line="362" w:lineRule="auto" w:before="55"/>
        <w:ind w:left="120" w:right="132"/>
      </w:pPr>
      <w:r>
        <w:rPr/>
        <w:t>hubo una paz política impuesta por el Estado (gobernabilidad). Este periodo presidencial mostró sus preferencias a los capitalistas nacionales y extranjeros.</w:t>
      </w:r>
    </w:p>
    <w:p>
      <w:pPr>
        <w:pStyle w:val="BodyText"/>
        <w:spacing w:line="360" w:lineRule="auto"/>
        <w:ind w:left="120" w:right="104" w:firstLine="427"/>
        <w:jc w:val="both"/>
        <w:rPr>
          <w:sz w:val="16"/>
        </w:rPr>
      </w:pPr>
      <w:r>
        <w:rPr/>
        <w:t>El movimiento revolucionario de 1910 no resolvió las demandas de justicia, igualdad y democracia, que existían desde aquella época. Al concluir la revolución, la clase política siguió concentrando el poder y reforzó las tendencias oligárquicas (Olivares, 2011:47-49). El periodo de 1913 a 1934 es considerado como de paz y la creación de las instituciones. El ciclo del poder de los políticos (o licenciados) prevaleció de 1934 hasta 1982.</w:t>
      </w:r>
      <w:r>
        <w:rPr>
          <w:position w:val="8"/>
          <w:sz w:val="16"/>
        </w:rPr>
        <w:t>48</w:t>
      </w:r>
    </w:p>
    <w:p>
      <w:pPr>
        <w:pStyle w:val="BodyText"/>
        <w:spacing w:line="360" w:lineRule="auto"/>
        <w:ind w:left="120" w:right="99" w:firstLine="427"/>
        <w:jc w:val="both"/>
      </w:pPr>
      <w:r>
        <w:rPr/>
        <w:t>La Constitución de 1917 incluyó modificaciones radicales importantes, </w:t>
      </w:r>
      <w:r>
        <w:rPr>
          <w:spacing w:val="-3"/>
        </w:rPr>
        <w:t>ya </w:t>
      </w:r>
      <w:r>
        <w:rPr/>
        <w:t>que permitió la reglamentación del trabajo, prohibió la reelección presidencial, expropió los</w:t>
      </w:r>
      <w:r>
        <w:rPr>
          <w:spacing w:val="-17"/>
        </w:rPr>
        <w:t> </w:t>
      </w:r>
      <w:r>
        <w:rPr/>
        <w:t>bienes</w:t>
      </w:r>
      <w:r>
        <w:rPr>
          <w:spacing w:val="-17"/>
        </w:rPr>
        <w:t> </w:t>
      </w:r>
      <w:r>
        <w:rPr/>
        <w:t>de</w:t>
      </w:r>
      <w:r>
        <w:rPr>
          <w:spacing w:val="-19"/>
        </w:rPr>
        <w:t> </w:t>
      </w:r>
      <w:r>
        <w:rPr/>
        <w:t>la</w:t>
      </w:r>
      <w:r>
        <w:rPr>
          <w:spacing w:val="-19"/>
        </w:rPr>
        <w:t> </w:t>
      </w:r>
      <w:r>
        <w:rPr/>
        <w:t>iglesia,</w:t>
      </w:r>
      <w:r>
        <w:rPr>
          <w:spacing w:val="-16"/>
        </w:rPr>
        <w:t> </w:t>
      </w:r>
      <w:r>
        <w:rPr/>
        <w:t>restableció</w:t>
      </w:r>
      <w:r>
        <w:rPr>
          <w:spacing w:val="-19"/>
        </w:rPr>
        <w:t> </w:t>
      </w:r>
      <w:r>
        <w:rPr/>
        <w:t>los</w:t>
      </w:r>
      <w:r>
        <w:rPr>
          <w:spacing w:val="-17"/>
        </w:rPr>
        <w:t> </w:t>
      </w:r>
      <w:r>
        <w:rPr/>
        <w:t>terrenos</w:t>
      </w:r>
      <w:r>
        <w:rPr>
          <w:spacing w:val="-17"/>
        </w:rPr>
        <w:t> </w:t>
      </w:r>
      <w:r>
        <w:rPr/>
        <w:t>comunales</w:t>
      </w:r>
      <w:r>
        <w:rPr>
          <w:spacing w:val="-17"/>
        </w:rPr>
        <w:t> </w:t>
      </w:r>
      <w:r>
        <w:rPr/>
        <w:t>a</w:t>
      </w:r>
      <w:r>
        <w:rPr>
          <w:spacing w:val="-19"/>
        </w:rPr>
        <w:t> </w:t>
      </w:r>
      <w:r>
        <w:rPr/>
        <w:t>los</w:t>
      </w:r>
      <w:r>
        <w:rPr>
          <w:spacing w:val="-17"/>
        </w:rPr>
        <w:t> </w:t>
      </w:r>
      <w:r>
        <w:rPr/>
        <w:t>indígenas</w:t>
      </w:r>
      <w:r>
        <w:rPr>
          <w:spacing w:val="-13"/>
        </w:rPr>
        <w:t> </w:t>
      </w:r>
      <w:r>
        <w:rPr/>
        <w:t>y</w:t>
      </w:r>
      <w:r>
        <w:rPr>
          <w:spacing w:val="-20"/>
        </w:rPr>
        <w:t> </w:t>
      </w:r>
      <w:r>
        <w:rPr/>
        <w:t>dispuso una reglamentación sobre el petróleo, que lo consideró un recurso nacional inalienable.</w:t>
      </w:r>
    </w:p>
    <w:p>
      <w:pPr>
        <w:pStyle w:val="BodyText"/>
        <w:spacing w:line="360" w:lineRule="auto"/>
        <w:ind w:left="120" w:right="102" w:firstLine="708"/>
        <w:jc w:val="both"/>
      </w:pPr>
      <w:r>
        <w:rPr/>
        <w:t>En</w:t>
      </w:r>
      <w:r>
        <w:rPr>
          <w:spacing w:val="-18"/>
        </w:rPr>
        <w:t> </w:t>
      </w:r>
      <w:r>
        <w:rPr/>
        <w:t>1929</w:t>
      </w:r>
      <w:r>
        <w:rPr>
          <w:spacing w:val="-18"/>
        </w:rPr>
        <w:t> </w:t>
      </w:r>
      <w:r>
        <w:rPr/>
        <w:t>se</w:t>
      </w:r>
      <w:r>
        <w:rPr>
          <w:spacing w:val="-18"/>
        </w:rPr>
        <w:t> </w:t>
      </w:r>
      <w:r>
        <w:rPr/>
        <w:t>fundó</w:t>
      </w:r>
      <w:r>
        <w:rPr>
          <w:spacing w:val="-18"/>
        </w:rPr>
        <w:t> </w:t>
      </w:r>
      <w:r>
        <w:rPr/>
        <w:t>el</w:t>
      </w:r>
      <w:r>
        <w:rPr>
          <w:spacing w:val="-17"/>
        </w:rPr>
        <w:t> </w:t>
      </w:r>
      <w:r>
        <w:rPr/>
        <w:t>Partido</w:t>
      </w:r>
      <w:r>
        <w:rPr>
          <w:spacing w:val="-18"/>
        </w:rPr>
        <w:t> </w:t>
      </w:r>
      <w:r>
        <w:rPr/>
        <w:t>Nacional</w:t>
      </w:r>
      <w:r>
        <w:rPr>
          <w:spacing w:val="-17"/>
        </w:rPr>
        <w:t> </w:t>
      </w:r>
      <w:r>
        <w:rPr/>
        <w:t>Revolucionario,</w:t>
      </w:r>
      <w:r>
        <w:rPr>
          <w:position w:val="8"/>
          <w:sz w:val="16"/>
        </w:rPr>
        <w:t>49</w:t>
      </w:r>
      <w:r>
        <w:rPr>
          <w:spacing w:val="5"/>
          <w:position w:val="8"/>
          <w:sz w:val="16"/>
        </w:rPr>
        <w:t> </w:t>
      </w:r>
      <w:r>
        <w:rPr/>
        <w:t>principal</w:t>
      </w:r>
      <w:r>
        <w:rPr>
          <w:spacing w:val="-17"/>
        </w:rPr>
        <w:t> </w:t>
      </w:r>
      <w:r>
        <w:rPr/>
        <w:t>organización política que mantuvo el poder durante 71 años (1929-2000). En 1932 el partido propuso un programa de 6 años denominado “Sistema Económico Cooperativo Tendente hacia el Socialismo” que fue puesto en práctica en 1934. En 1938 el partido cambió de denominación a Partido de la Revolución</w:t>
      </w:r>
      <w:r>
        <w:rPr>
          <w:spacing w:val="-39"/>
        </w:rPr>
        <w:t> </w:t>
      </w:r>
      <w:r>
        <w:rPr/>
        <w:t>Mexicana.</w:t>
      </w:r>
    </w:p>
    <w:p>
      <w:pPr>
        <w:pStyle w:val="BodyText"/>
        <w:spacing w:line="360" w:lineRule="auto"/>
        <w:ind w:left="120" w:right="99" w:firstLine="427"/>
        <w:jc w:val="both"/>
        <w:rPr>
          <w:sz w:val="16"/>
        </w:rPr>
      </w:pPr>
      <w:r>
        <w:rPr/>
        <w:t>Desde la crisis financiera de 1929 de </w:t>
      </w:r>
      <w:r>
        <w:rPr>
          <w:i/>
        </w:rPr>
        <w:t>Wall Street</w:t>
      </w:r>
      <w:r>
        <w:rPr/>
        <w:t>, que repercutió en los principales centros financieros internacionales, en la academia se planteó la necesidad de revisar el papel del Estado </w:t>
      </w:r>
      <w:r>
        <w:rPr>
          <w:spacing w:val="3"/>
        </w:rPr>
        <w:t>en </w:t>
      </w:r>
      <w:r>
        <w:rPr/>
        <w:t>la economía;</w:t>
      </w:r>
      <w:r>
        <w:rPr>
          <w:position w:val="8"/>
          <w:sz w:val="16"/>
        </w:rPr>
        <w:t>50 </w:t>
      </w:r>
      <w:r>
        <w:rPr/>
        <w:t>sin embargo, aunque desde</w:t>
      </w:r>
      <w:r>
        <w:rPr>
          <w:spacing w:val="-9"/>
        </w:rPr>
        <w:t> </w:t>
      </w:r>
      <w:r>
        <w:rPr/>
        <w:t>la</w:t>
      </w:r>
      <w:r>
        <w:rPr>
          <w:spacing w:val="-9"/>
        </w:rPr>
        <w:t> </w:t>
      </w:r>
      <w:r>
        <w:rPr/>
        <w:t>década</w:t>
      </w:r>
      <w:r>
        <w:rPr>
          <w:spacing w:val="-9"/>
        </w:rPr>
        <w:t> </w:t>
      </w:r>
      <w:r>
        <w:rPr/>
        <w:t>de</w:t>
      </w:r>
      <w:r>
        <w:rPr>
          <w:spacing w:val="-9"/>
        </w:rPr>
        <w:t> </w:t>
      </w:r>
      <w:r>
        <w:rPr/>
        <w:t>1930</w:t>
      </w:r>
      <w:r>
        <w:rPr>
          <w:spacing w:val="-9"/>
        </w:rPr>
        <w:t> </w:t>
      </w:r>
      <w:r>
        <w:rPr/>
        <w:t>se</w:t>
      </w:r>
      <w:r>
        <w:rPr>
          <w:spacing w:val="-9"/>
        </w:rPr>
        <w:t> </w:t>
      </w:r>
      <w:r>
        <w:rPr/>
        <w:t>consideró</w:t>
      </w:r>
      <w:r>
        <w:rPr>
          <w:spacing w:val="-9"/>
        </w:rPr>
        <w:t> </w:t>
      </w:r>
      <w:r>
        <w:rPr/>
        <w:t>que</w:t>
      </w:r>
      <w:r>
        <w:rPr>
          <w:spacing w:val="-9"/>
        </w:rPr>
        <w:t> </w:t>
      </w:r>
      <w:r>
        <w:rPr/>
        <w:t>el</w:t>
      </w:r>
      <w:r>
        <w:rPr>
          <w:spacing w:val="-5"/>
        </w:rPr>
        <w:t> </w:t>
      </w:r>
      <w:r>
        <w:rPr/>
        <w:t>mercado</w:t>
      </w:r>
      <w:r>
        <w:rPr>
          <w:spacing w:val="-9"/>
        </w:rPr>
        <w:t> </w:t>
      </w:r>
      <w:r>
        <w:rPr/>
        <w:t>no</w:t>
      </w:r>
      <w:r>
        <w:rPr>
          <w:spacing w:val="-9"/>
        </w:rPr>
        <w:t> </w:t>
      </w:r>
      <w:r>
        <w:rPr/>
        <w:t>garantiza</w:t>
      </w:r>
      <w:r>
        <w:rPr>
          <w:spacing w:val="-9"/>
        </w:rPr>
        <w:t> </w:t>
      </w:r>
      <w:r>
        <w:rPr/>
        <w:t>condiciones</w:t>
      </w:r>
      <w:r>
        <w:rPr>
          <w:spacing w:val="-7"/>
        </w:rPr>
        <w:t> </w:t>
      </w:r>
      <w:r>
        <w:rPr/>
        <w:t>de equidad, igualdad ni disminución de la pobreza, y que </w:t>
      </w:r>
      <w:r>
        <w:rPr>
          <w:color w:val="00AF50"/>
        </w:rPr>
        <w:t>sólo </w:t>
      </w:r>
      <w:r>
        <w:rPr/>
        <w:t>el Estado puede definir el tipo de modelo desarrollo nacional. Por recomendaciones de la Comisión Económica</w:t>
      </w:r>
      <w:r>
        <w:rPr>
          <w:spacing w:val="-16"/>
        </w:rPr>
        <w:t> </w:t>
      </w:r>
      <w:r>
        <w:rPr/>
        <w:t>para</w:t>
      </w:r>
      <w:r>
        <w:rPr>
          <w:spacing w:val="-16"/>
        </w:rPr>
        <w:t> </w:t>
      </w:r>
      <w:r>
        <w:rPr/>
        <w:t>América</w:t>
      </w:r>
      <w:r>
        <w:rPr>
          <w:spacing w:val="-12"/>
        </w:rPr>
        <w:t> </w:t>
      </w:r>
      <w:r>
        <w:rPr/>
        <w:t>Latina</w:t>
      </w:r>
      <w:r>
        <w:rPr>
          <w:spacing w:val="-16"/>
        </w:rPr>
        <w:t> </w:t>
      </w:r>
      <w:r>
        <w:rPr/>
        <w:t>y</w:t>
      </w:r>
      <w:r>
        <w:rPr>
          <w:spacing w:val="-14"/>
        </w:rPr>
        <w:t> </w:t>
      </w:r>
      <w:r>
        <w:rPr/>
        <w:t>el</w:t>
      </w:r>
      <w:r>
        <w:rPr>
          <w:spacing w:val="-15"/>
        </w:rPr>
        <w:t> </w:t>
      </w:r>
      <w:r>
        <w:rPr/>
        <w:t>Caribe</w:t>
      </w:r>
      <w:r>
        <w:rPr>
          <w:spacing w:val="-16"/>
        </w:rPr>
        <w:t> </w:t>
      </w:r>
      <w:r>
        <w:rPr/>
        <w:t>(CEPAL),</w:t>
      </w:r>
      <w:r>
        <w:rPr>
          <w:spacing w:val="-13"/>
        </w:rPr>
        <w:t> </w:t>
      </w:r>
      <w:r>
        <w:rPr/>
        <w:t>el</w:t>
      </w:r>
      <w:r>
        <w:rPr>
          <w:spacing w:val="-15"/>
        </w:rPr>
        <w:t> </w:t>
      </w:r>
      <w:r>
        <w:rPr/>
        <w:t>Estado</w:t>
      </w:r>
      <w:r>
        <w:rPr>
          <w:spacing w:val="-16"/>
        </w:rPr>
        <w:t> </w:t>
      </w:r>
      <w:r>
        <w:rPr/>
        <w:t>mexicano</w:t>
      </w:r>
      <w:r>
        <w:rPr>
          <w:spacing w:val="-16"/>
        </w:rPr>
        <w:t> </w:t>
      </w:r>
      <w:r>
        <w:rPr/>
        <w:t>se</w:t>
      </w:r>
      <w:r>
        <w:rPr>
          <w:spacing w:val="-12"/>
        </w:rPr>
        <w:t> </w:t>
      </w:r>
      <w:r>
        <w:rPr/>
        <w:t>orientó a fomentar el crecimiento de la</w:t>
      </w:r>
      <w:r>
        <w:rPr>
          <w:spacing w:val="-17"/>
        </w:rPr>
        <w:t> </w:t>
      </w:r>
      <w:r>
        <w:rPr/>
        <w:t>economía.</w:t>
      </w:r>
      <w:r>
        <w:rPr>
          <w:position w:val="8"/>
          <w:sz w:val="16"/>
        </w:rPr>
        <w:t>51</w:t>
      </w:r>
    </w:p>
    <w:p>
      <w:pPr>
        <w:pStyle w:val="BodyText"/>
        <w:rPr>
          <w:sz w:val="20"/>
        </w:rPr>
      </w:pPr>
    </w:p>
    <w:p>
      <w:pPr>
        <w:pStyle w:val="BodyText"/>
        <w:spacing w:before="4"/>
        <w:rPr>
          <w:sz w:val="13"/>
        </w:rPr>
      </w:pPr>
      <w:r>
        <w:rPr/>
        <w:pict>
          <v:line style="position:absolute;mso-position-horizontal-relative:page;mso-position-vertical-relative:paragraph;z-index:6616;mso-wrap-distance-left:0;mso-wrap-distance-right:0" from="85.025002pt,10.065434pt" to="229.075002pt,10.065434pt" stroked="true" strokeweight=".79999pt" strokecolor="#000000">
            <w10:wrap type="topAndBottom"/>
          </v:line>
        </w:pict>
      </w:r>
    </w:p>
    <w:p>
      <w:pPr>
        <w:spacing w:line="184" w:lineRule="exact" w:before="68"/>
        <w:ind w:left="120" w:right="97" w:firstLine="0"/>
        <w:jc w:val="left"/>
        <w:rPr>
          <w:sz w:val="16"/>
        </w:rPr>
      </w:pPr>
      <w:r>
        <w:rPr>
          <w:position w:val="6"/>
          <w:sz w:val="10"/>
        </w:rPr>
        <w:t>48  </w:t>
      </w:r>
      <w:r>
        <w:rPr>
          <w:sz w:val="16"/>
        </w:rPr>
        <w:t>Disponible en: </w:t>
      </w:r>
      <w:hyperlink r:id="rId100">
        <w:r>
          <w:rPr>
            <w:sz w:val="16"/>
          </w:rPr>
          <w:t>http://nuevamayoria.com/analisis/serbolov/serbolov3011.htm</w:t>
        </w:r>
      </w:hyperlink>
      <w:r>
        <w:rPr>
          <w:sz w:val="16"/>
        </w:rPr>
        <w:t> [Fecha de consulta: 17 de septiembre, 2015] </w:t>
      </w:r>
      <w:r>
        <w:rPr>
          <w:position w:val="6"/>
          <w:sz w:val="10"/>
        </w:rPr>
        <w:t>49 </w:t>
      </w:r>
      <w:r>
        <w:rPr>
          <w:sz w:val="16"/>
        </w:rPr>
        <w:t>Obregón inició las actividades para la formación del partido que gobernaría durante 71 años, sin embargo, fue Elías Calles quien continuó con esa labor tras el asesinato de Obregón. Se le reconoce a Calles con la frase de que se debía transitar de “la etapa de los caudillos a la de las instituciones”.</w:t>
      </w:r>
    </w:p>
    <w:p>
      <w:pPr>
        <w:spacing w:line="179" w:lineRule="exact" w:before="0"/>
        <w:ind w:left="120" w:right="132" w:firstLine="0"/>
        <w:jc w:val="left"/>
        <w:rPr>
          <w:sz w:val="16"/>
        </w:rPr>
      </w:pPr>
      <w:r>
        <w:rPr>
          <w:sz w:val="16"/>
        </w:rPr>
        <w:t>Disponible en: </w:t>
      </w:r>
      <w:hyperlink r:id="rId100">
        <w:r>
          <w:rPr>
            <w:sz w:val="16"/>
          </w:rPr>
          <w:t>http://nuevamayoria.com/analisis/serbolov/serbolov3011.htm</w:t>
        </w:r>
      </w:hyperlink>
      <w:r>
        <w:rPr>
          <w:sz w:val="16"/>
        </w:rPr>
        <w:t> [Fecha de consulta: 17 de septiembre, 2015]</w:t>
      </w:r>
    </w:p>
    <w:p>
      <w:pPr>
        <w:spacing w:line="223" w:lineRule="exact" w:before="0"/>
        <w:ind w:left="120" w:right="132" w:firstLine="0"/>
        <w:jc w:val="left"/>
        <w:rPr>
          <w:sz w:val="16"/>
        </w:rPr>
      </w:pPr>
      <w:r>
        <w:rPr>
          <w:rFonts w:ascii="Times New Roman" w:hAnsi="Times New Roman"/>
          <w:position w:val="7"/>
          <w:sz w:val="13"/>
        </w:rPr>
        <w:t>50</w:t>
      </w:r>
      <w:r>
        <w:rPr>
          <w:sz w:val="16"/>
        </w:rPr>
        <w:t>Hasta el momento no hay un consenso sobre el grado de intervención que debe tener el Estado en el mercado.</w:t>
      </w:r>
    </w:p>
    <w:p>
      <w:pPr>
        <w:spacing w:before="8"/>
        <w:ind w:left="120" w:right="99" w:firstLine="0"/>
        <w:jc w:val="both"/>
        <w:rPr>
          <w:sz w:val="16"/>
        </w:rPr>
      </w:pPr>
      <w:r>
        <w:rPr>
          <w:position w:val="6"/>
          <w:sz w:val="10"/>
        </w:rPr>
        <w:t>51 </w:t>
      </w:r>
      <w:r>
        <w:rPr>
          <w:sz w:val="16"/>
        </w:rPr>
        <w:t>La SHCP considera que la política económica es primeramente política y su carácter es económico, es el ejercicio de la política</w:t>
      </w:r>
      <w:r>
        <w:rPr>
          <w:spacing w:val="-9"/>
          <w:sz w:val="16"/>
        </w:rPr>
        <w:t> </w:t>
      </w:r>
      <w:r>
        <w:rPr>
          <w:sz w:val="16"/>
        </w:rPr>
        <w:t>entendida</w:t>
      </w:r>
      <w:r>
        <w:rPr>
          <w:spacing w:val="-9"/>
          <w:sz w:val="16"/>
        </w:rPr>
        <w:t> </w:t>
      </w:r>
      <w:r>
        <w:rPr>
          <w:sz w:val="16"/>
        </w:rPr>
        <w:t>ésta</w:t>
      </w:r>
      <w:r>
        <w:rPr>
          <w:spacing w:val="-9"/>
          <w:sz w:val="16"/>
        </w:rPr>
        <w:t> </w:t>
      </w:r>
      <w:r>
        <w:rPr>
          <w:sz w:val="16"/>
        </w:rPr>
        <w:t>como</w:t>
      </w:r>
      <w:r>
        <w:rPr>
          <w:spacing w:val="-9"/>
          <w:sz w:val="16"/>
        </w:rPr>
        <w:t> </w:t>
      </w:r>
      <w:r>
        <w:rPr>
          <w:sz w:val="16"/>
        </w:rPr>
        <w:t>esa</w:t>
      </w:r>
      <w:r>
        <w:rPr>
          <w:spacing w:val="-4"/>
          <w:sz w:val="16"/>
        </w:rPr>
        <w:t> </w:t>
      </w:r>
      <w:r>
        <w:rPr>
          <w:sz w:val="16"/>
        </w:rPr>
        <w:t>lucha</w:t>
      </w:r>
      <w:r>
        <w:rPr>
          <w:spacing w:val="-9"/>
          <w:sz w:val="16"/>
        </w:rPr>
        <w:t> </w:t>
      </w:r>
      <w:r>
        <w:rPr>
          <w:sz w:val="16"/>
        </w:rPr>
        <w:t>entre</w:t>
      </w:r>
      <w:r>
        <w:rPr>
          <w:spacing w:val="-9"/>
          <w:sz w:val="16"/>
        </w:rPr>
        <w:t> </w:t>
      </w:r>
      <w:r>
        <w:rPr>
          <w:sz w:val="16"/>
        </w:rPr>
        <w:t>diferentes</w:t>
      </w:r>
      <w:r>
        <w:rPr>
          <w:spacing w:val="-11"/>
          <w:sz w:val="16"/>
        </w:rPr>
        <w:t> </w:t>
      </w:r>
      <w:r>
        <w:rPr>
          <w:sz w:val="16"/>
        </w:rPr>
        <w:t>grupos</w:t>
      </w:r>
      <w:r>
        <w:rPr>
          <w:spacing w:val="-11"/>
          <w:sz w:val="16"/>
        </w:rPr>
        <w:t> </w:t>
      </w:r>
      <w:r>
        <w:rPr>
          <w:sz w:val="16"/>
        </w:rPr>
        <w:t>de</w:t>
      </w:r>
      <w:r>
        <w:rPr>
          <w:spacing w:val="-4"/>
          <w:sz w:val="16"/>
        </w:rPr>
        <w:t> </w:t>
      </w:r>
      <w:r>
        <w:rPr>
          <w:sz w:val="16"/>
        </w:rPr>
        <w:t>la</w:t>
      </w:r>
      <w:r>
        <w:rPr>
          <w:spacing w:val="-4"/>
          <w:sz w:val="16"/>
        </w:rPr>
        <w:t> </w:t>
      </w:r>
      <w:r>
        <w:rPr>
          <w:sz w:val="16"/>
        </w:rPr>
        <w:t>sociedad</w:t>
      </w:r>
      <w:r>
        <w:rPr>
          <w:spacing w:val="-9"/>
          <w:sz w:val="16"/>
        </w:rPr>
        <w:t> </w:t>
      </w:r>
      <w:r>
        <w:rPr>
          <w:sz w:val="16"/>
        </w:rPr>
        <w:t>por</w:t>
      </w:r>
      <w:r>
        <w:rPr>
          <w:spacing w:val="-9"/>
          <w:sz w:val="16"/>
        </w:rPr>
        <w:t> </w:t>
      </w:r>
      <w:r>
        <w:rPr>
          <w:sz w:val="16"/>
        </w:rPr>
        <w:t>el</w:t>
      </w:r>
      <w:r>
        <w:rPr>
          <w:spacing w:val="-10"/>
          <w:sz w:val="16"/>
        </w:rPr>
        <w:t> </w:t>
      </w:r>
      <w:r>
        <w:rPr>
          <w:sz w:val="16"/>
        </w:rPr>
        <w:t>poder,</w:t>
      </w:r>
      <w:r>
        <w:rPr>
          <w:spacing w:val="-8"/>
          <w:sz w:val="16"/>
        </w:rPr>
        <w:t> </w:t>
      </w:r>
      <w:r>
        <w:rPr>
          <w:sz w:val="16"/>
        </w:rPr>
        <w:t>por</w:t>
      </w:r>
      <w:r>
        <w:rPr>
          <w:spacing w:val="-9"/>
          <w:sz w:val="16"/>
        </w:rPr>
        <w:t> </w:t>
      </w:r>
      <w:r>
        <w:rPr>
          <w:sz w:val="16"/>
        </w:rPr>
        <w:t>tener</w:t>
      </w:r>
      <w:r>
        <w:rPr>
          <w:spacing w:val="-9"/>
          <w:sz w:val="16"/>
        </w:rPr>
        <w:t> </w:t>
      </w:r>
      <w:r>
        <w:rPr>
          <w:sz w:val="16"/>
        </w:rPr>
        <w:t>la</w:t>
      </w:r>
      <w:r>
        <w:rPr>
          <w:spacing w:val="-9"/>
          <w:sz w:val="16"/>
        </w:rPr>
        <w:t> </w:t>
      </w:r>
      <w:r>
        <w:rPr>
          <w:sz w:val="16"/>
        </w:rPr>
        <w:t>capacidad</w:t>
      </w:r>
      <w:r>
        <w:rPr>
          <w:spacing w:val="-9"/>
          <w:sz w:val="16"/>
        </w:rPr>
        <w:t> </w:t>
      </w:r>
      <w:r>
        <w:rPr>
          <w:spacing w:val="4"/>
          <w:sz w:val="16"/>
        </w:rPr>
        <w:t>de</w:t>
      </w:r>
      <w:r>
        <w:rPr>
          <w:spacing w:val="-9"/>
          <w:sz w:val="16"/>
        </w:rPr>
        <w:t> </w:t>
      </w:r>
      <w:r>
        <w:rPr>
          <w:sz w:val="16"/>
        </w:rPr>
        <w:t>imponer su punto de vista, sus intereses a los</w:t>
      </w:r>
      <w:r>
        <w:rPr>
          <w:spacing w:val="-19"/>
          <w:sz w:val="16"/>
        </w:rPr>
        <w:t> </w:t>
      </w:r>
      <w:r>
        <w:rPr>
          <w:sz w:val="16"/>
        </w:rPr>
        <w:t>demás.</w:t>
      </w:r>
    </w:p>
    <w:p>
      <w:pPr>
        <w:spacing w:after="0"/>
        <w:jc w:val="both"/>
        <w:rPr>
          <w:sz w:val="16"/>
        </w:rPr>
        <w:sectPr>
          <w:pgSz w:w="12240" w:h="15840"/>
          <w:pgMar w:header="0" w:footer="998" w:top="1360" w:bottom="1180" w:left="1580" w:right="1600"/>
        </w:sectPr>
      </w:pPr>
    </w:p>
    <w:p>
      <w:pPr>
        <w:pStyle w:val="BodyText"/>
        <w:spacing w:line="360" w:lineRule="auto" w:before="50"/>
        <w:ind w:left="120" w:right="120" w:firstLine="427"/>
        <w:jc w:val="both"/>
      </w:pPr>
      <w:r>
        <w:rPr/>
        <w:t>El cambio de la representación del poder de caudillismo a presidencialismo</w:t>
      </w:r>
      <w:r>
        <w:rPr>
          <w:position w:val="8"/>
          <w:sz w:val="16"/>
        </w:rPr>
        <w:t>52 </w:t>
      </w:r>
      <w:r>
        <w:rPr/>
        <w:t>inició en 1940. El </w:t>
      </w:r>
      <w:r>
        <w:rPr>
          <w:color w:val="00AF50"/>
        </w:rPr>
        <w:t>término</w:t>
      </w:r>
      <w:r>
        <w:rPr/>
        <w:t>“presidencialismo” con el tiempo fue usado para designar el fuerte papel del representante del Poder Ejecutivo sobre los otros dos poderes, lo</w:t>
      </w:r>
      <w:r>
        <w:rPr>
          <w:spacing w:val="-8"/>
        </w:rPr>
        <w:t> </w:t>
      </w:r>
      <w:r>
        <w:rPr/>
        <w:t>que</w:t>
      </w:r>
      <w:r>
        <w:rPr>
          <w:spacing w:val="-8"/>
        </w:rPr>
        <w:t> </w:t>
      </w:r>
      <w:r>
        <w:rPr/>
        <w:t>implicó</w:t>
      </w:r>
      <w:r>
        <w:rPr>
          <w:spacing w:val="-8"/>
        </w:rPr>
        <w:t> </w:t>
      </w:r>
      <w:r>
        <w:rPr/>
        <w:t>que</w:t>
      </w:r>
      <w:r>
        <w:rPr>
          <w:spacing w:val="-8"/>
        </w:rPr>
        <w:t> </w:t>
      </w:r>
      <w:r>
        <w:rPr/>
        <w:t>el</w:t>
      </w:r>
      <w:r>
        <w:rPr>
          <w:spacing w:val="-8"/>
        </w:rPr>
        <w:t> </w:t>
      </w:r>
      <w:r>
        <w:rPr/>
        <w:t>presidente</w:t>
      </w:r>
      <w:r>
        <w:rPr>
          <w:spacing w:val="-8"/>
        </w:rPr>
        <w:t> </w:t>
      </w:r>
      <w:r>
        <w:rPr/>
        <w:t>desempeñara</w:t>
      </w:r>
      <w:r>
        <w:rPr>
          <w:spacing w:val="-8"/>
        </w:rPr>
        <w:t> </w:t>
      </w:r>
      <w:r>
        <w:rPr/>
        <w:t>un</w:t>
      </w:r>
      <w:r>
        <w:rPr>
          <w:spacing w:val="-8"/>
        </w:rPr>
        <w:t> </w:t>
      </w:r>
      <w:r>
        <w:rPr/>
        <w:t>cargo</w:t>
      </w:r>
      <w:r>
        <w:rPr>
          <w:spacing w:val="-8"/>
        </w:rPr>
        <w:t> </w:t>
      </w:r>
      <w:r>
        <w:rPr/>
        <w:t>sin</w:t>
      </w:r>
      <w:r>
        <w:rPr>
          <w:spacing w:val="-8"/>
        </w:rPr>
        <w:t> </w:t>
      </w:r>
      <w:r>
        <w:rPr/>
        <w:t>contrapesos</w:t>
      </w:r>
      <w:r>
        <w:rPr>
          <w:spacing w:val="-3"/>
        </w:rPr>
        <w:t> </w:t>
      </w:r>
      <w:r>
        <w:rPr/>
        <w:t>y</w:t>
      </w:r>
      <w:r>
        <w:rPr>
          <w:spacing w:val="-10"/>
        </w:rPr>
        <w:t> </w:t>
      </w:r>
      <w:r>
        <w:rPr/>
        <w:t>sin</w:t>
      </w:r>
      <w:r>
        <w:rPr>
          <w:spacing w:val="-8"/>
        </w:rPr>
        <w:t> </w:t>
      </w:r>
      <w:r>
        <w:rPr/>
        <w:t>rendir cuentas a la</w:t>
      </w:r>
      <w:r>
        <w:rPr>
          <w:spacing w:val="-16"/>
        </w:rPr>
        <w:t> </w:t>
      </w:r>
      <w:r>
        <w:rPr/>
        <w:t>sociedad.</w:t>
      </w:r>
    </w:p>
    <w:p>
      <w:pPr>
        <w:pStyle w:val="BodyText"/>
        <w:spacing w:line="357" w:lineRule="auto" w:before="6"/>
        <w:ind w:left="120" w:right="119" w:firstLine="427"/>
        <w:jc w:val="both"/>
        <w:rPr>
          <w:sz w:val="16"/>
        </w:rPr>
      </w:pPr>
      <w:r>
        <w:rPr/>
        <w:t>En el periodo 1929-2000 una misma persona (presidente) representó las características del poder político mexicano institucional partidario y presidencialismo, por lo que el poder se identificó con un hombre y no </w:t>
      </w:r>
      <w:r>
        <w:rPr>
          <w:color w:val="00AF50"/>
        </w:rPr>
        <w:t>con </w:t>
      </w:r>
      <w:r>
        <w:rPr/>
        <w:t>un sistema político o el Estado.</w:t>
      </w:r>
      <w:r>
        <w:rPr>
          <w:position w:val="8"/>
          <w:sz w:val="16"/>
        </w:rPr>
        <w:t>53</w:t>
      </w:r>
    </w:p>
    <w:p>
      <w:pPr>
        <w:pStyle w:val="BodyText"/>
        <w:spacing w:line="360" w:lineRule="auto" w:before="5"/>
        <w:ind w:left="120" w:right="122" w:firstLine="427"/>
        <w:jc w:val="both"/>
      </w:pPr>
      <w:r>
        <w:rPr/>
        <w:t>En 1945 el Estado mexicano se adhirió a la Organización de las Naciones Unidas y el año siguiente llevó a cabo un programa político orientado a lograr una distribución más equitativa del ingreso y un mayor impulso a la industrialización.</w:t>
      </w:r>
    </w:p>
    <w:p>
      <w:pPr>
        <w:pStyle w:val="BodyText"/>
        <w:spacing w:line="360" w:lineRule="auto" w:before="2"/>
        <w:ind w:left="120" w:right="120" w:firstLine="427"/>
        <w:jc w:val="both"/>
      </w:pPr>
      <w:r>
        <w:rPr/>
        <w:t>En 1952 el gobierno de Estados Unidos emitió </w:t>
      </w:r>
      <w:r>
        <w:rPr>
          <w:spacing w:val="2"/>
        </w:rPr>
        <w:t>una </w:t>
      </w:r>
      <w:r>
        <w:rPr/>
        <w:t>legislación que penalizaba a aquellos estadounidenses que dieran empleo </w:t>
      </w:r>
      <w:r>
        <w:rPr>
          <w:color w:val="00AF50"/>
        </w:rPr>
        <w:t>a </w:t>
      </w:r>
      <w:r>
        <w:rPr/>
        <w:t>personas extranjeras ilegales. La política exterior mexicana se orientó a los derechos laborales de los mexicanos en el</w:t>
      </w:r>
      <w:r>
        <w:rPr>
          <w:spacing w:val="-17"/>
        </w:rPr>
        <w:t> </w:t>
      </w:r>
      <w:r>
        <w:rPr/>
        <w:t>territorio</w:t>
      </w:r>
      <w:r>
        <w:rPr>
          <w:spacing w:val="-18"/>
        </w:rPr>
        <w:t> </w:t>
      </w:r>
      <w:r>
        <w:rPr/>
        <w:t>estadounidense.</w:t>
      </w:r>
      <w:r>
        <w:rPr>
          <w:spacing w:val="-15"/>
        </w:rPr>
        <w:t> </w:t>
      </w:r>
      <w:r>
        <w:rPr/>
        <w:t>En</w:t>
      </w:r>
      <w:r>
        <w:rPr>
          <w:spacing w:val="-18"/>
        </w:rPr>
        <w:t> </w:t>
      </w:r>
      <w:r>
        <w:rPr/>
        <w:t>ese</w:t>
      </w:r>
      <w:r>
        <w:rPr>
          <w:spacing w:val="-18"/>
        </w:rPr>
        <w:t> </w:t>
      </w:r>
      <w:r>
        <w:rPr/>
        <w:t>mismo</w:t>
      </w:r>
      <w:r>
        <w:rPr>
          <w:spacing w:val="-18"/>
        </w:rPr>
        <w:t> </w:t>
      </w:r>
      <w:r>
        <w:rPr/>
        <w:t>año</w:t>
      </w:r>
      <w:r>
        <w:rPr>
          <w:spacing w:val="-18"/>
        </w:rPr>
        <w:t> </w:t>
      </w:r>
      <w:r>
        <w:rPr/>
        <w:t>se</w:t>
      </w:r>
      <w:r>
        <w:rPr>
          <w:spacing w:val="-18"/>
        </w:rPr>
        <w:t> </w:t>
      </w:r>
      <w:r>
        <w:rPr/>
        <w:t>realizó</w:t>
      </w:r>
      <w:r>
        <w:rPr>
          <w:spacing w:val="-18"/>
        </w:rPr>
        <w:t> </w:t>
      </w:r>
      <w:r>
        <w:rPr/>
        <w:t>una</w:t>
      </w:r>
      <w:r>
        <w:rPr>
          <w:spacing w:val="-18"/>
        </w:rPr>
        <w:t> </w:t>
      </w:r>
      <w:r>
        <w:rPr/>
        <w:t>reforma</w:t>
      </w:r>
      <w:r>
        <w:rPr>
          <w:spacing w:val="-18"/>
        </w:rPr>
        <w:t> </w:t>
      </w:r>
      <w:r>
        <w:rPr/>
        <w:t>constitucional en la cual el derecho al voto fue extensivo a la</w:t>
      </w:r>
      <w:r>
        <w:rPr>
          <w:spacing w:val="-30"/>
        </w:rPr>
        <w:t> </w:t>
      </w:r>
      <w:r>
        <w:rPr/>
        <w:t>mujer.</w:t>
      </w:r>
    </w:p>
    <w:p>
      <w:pPr>
        <w:pStyle w:val="BodyText"/>
        <w:spacing w:line="360" w:lineRule="auto" w:before="1"/>
        <w:ind w:left="120" w:right="120" w:firstLine="427"/>
        <w:jc w:val="both"/>
      </w:pPr>
      <w:r>
        <w:rPr/>
        <w:t>La</w:t>
      </w:r>
      <w:r>
        <w:rPr>
          <w:spacing w:val="-13"/>
        </w:rPr>
        <w:t> </w:t>
      </w:r>
      <w:r>
        <w:rPr/>
        <w:t>década</w:t>
      </w:r>
      <w:r>
        <w:rPr>
          <w:spacing w:val="-13"/>
        </w:rPr>
        <w:t> </w:t>
      </w:r>
      <w:r>
        <w:rPr/>
        <w:t>de</w:t>
      </w:r>
      <w:r>
        <w:rPr>
          <w:spacing w:val="-13"/>
        </w:rPr>
        <w:t> </w:t>
      </w:r>
      <w:r>
        <w:rPr/>
        <w:t>1970</w:t>
      </w:r>
      <w:r>
        <w:rPr>
          <w:spacing w:val="-13"/>
        </w:rPr>
        <w:t> </w:t>
      </w:r>
      <w:r>
        <w:rPr/>
        <w:t>se</w:t>
      </w:r>
      <w:r>
        <w:rPr>
          <w:spacing w:val="-13"/>
        </w:rPr>
        <w:t> </w:t>
      </w:r>
      <w:r>
        <w:rPr/>
        <w:t>caracterizó</w:t>
      </w:r>
      <w:r>
        <w:rPr>
          <w:spacing w:val="-13"/>
        </w:rPr>
        <w:t> </w:t>
      </w:r>
      <w:r>
        <w:rPr/>
        <w:t>por</w:t>
      </w:r>
      <w:r>
        <w:rPr>
          <w:spacing w:val="-12"/>
        </w:rPr>
        <w:t> </w:t>
      </w:r>
      <w:r>
        <w:rPr/>
        <w:t>una</w:t>
      </w:r>
      <w:r>
        <w:rPr>
          <w:spacing w:val="-13"/>
        </w:rPr>
        <w:t> </w:t>
      </w:r>
      <w:r>
        <w:rPr/>
        <w:t>política</w:t>
      </w:r>
      <w:r>
        <w:rPr>
          <w:spacing w:val="-13"/>
        </w:rPr>
        <w:t> </w:t>
      </w:r>
      <w:r>
        <w:rPr/>
        <w:t>de</w:t>
      </w:r>
      <w:r>
        <w:rPr>
          <w:spacing w:val="-13"/>
        </w:rPr>
        <w:t> </w:t>
      </w:r>
      <w:r>
        <w:rPr/>
        <w:t>Estado</w:t>
      </w:r>
      <w:r>
        <w:rPr>
          <w:spacing w:val="-13"/>
        </w:rPr>
        <w:t> </w:t>
      </w:r>
      <w:r>
        <w:rPr/>
        <w:t>altamente</w:t>
      </w:r>
      <w:r>
        <w:rPr>
          <w:spacing w:val="-13"/>
        </w:rPr>
        <w:t> </w:t>
      </w:r>
      <w:r>
        <w:rPr/>
        <w:t>activa:</w:t>
      </w:r>
      <w:r>
        <w:rPr>
          <w:position w:val="8"/>
          <w:sz w:val="16"/>
        </w:rPr>
        <w:t>54 </w:t>
      </w:r>
      <w:r>
        <w:rPr/>
        <w:t>fue una época proclive a la nacionalización de activos, el aumento de empresas públicas,</w:t>
      </w:r>
      <w:r>
        <w:rPr>
          <w:spacing w:val="-4"/>
        </w:rPr>
        <w:t> </w:t>
      </w:r>
      <w:r>
        <w:rPr/>
        <w:t>los</w:t>
      </w:r>
      <w:r>
        <w:rPr>
          <w:spacing w:val="-4"/>
        </w:rPr>
        <w:t> </w:t>
      </w:r>
      <w:r>
        <w:rPr/>
        <w:t>mayores</w:t>
      </w:r>
      <w:r>
        <w:rPr>
          <w:spacing w:val="-4"/>
        </w:rPr>
        <w:t> </w:t>
      </w:r>
      <w:r>
        <w:rPr/>
        <w:t>problemas</w:t>
      </w:r>
      <w:r>
        <w:rPr>
          <w:spacing w:val="-4"/>
        </w:rPr>
        <w:t> </w:t>
      </w:r>
      <w:r>
        <w:rPr/>
        <w:t>fiscales</w:t>
      </w:r>
      <w:r>
        <w:rPr>
          <w:spacing w:val="-4"/>
        </w:rPr>
        <w:t> </w:t>
      </w:r>
      <w:r>
        <w:rPr/>
        <w:t>y</w:t>
      </w:r>
      <w:r>
        <w:rPr>
          <w:spacing w:val="-9"/>
        </w:rPr>
        <w:t> </w:t>
      </w:r>
      <w:r>
        <w:rPr/>
        <w:t>deuda</w:t>
      </w:r>
      <w:r>
        <w:rPr>
          <w:spacing w:val="-6"/>
        </w:rPr>
        <w:t> </w:t>
      </w:r>
      <w:r>
        <w:rPr/>
        <w:t>externa.</w:t>
      </w:r>
      <w:r>
        <w:rPr>
          <w:spacing w:val="-4"/>
        </w:rPr>
        <w:t> </w:t>
      </w:r>
      <w:r>
        <w:rPr/>
        <w:t>De</w:t>
      </w:r>
      <w:r>
        <w:rPr>
          <w:spacing w:val="-6"/>
        </w:rPr>
        <w:t> </w:t>
      </w:r>
      <w:r>
        <w:rPr/>
        <w:t>ahí</w:t>
      </w:r>
      <w:r>
        <w:rPr>
          <w:spacing w:val="-4"/>
        </w:rPr>
        <w:t> </w:t>
      </w:r>
      <w:r>
        <w:rPr/>
        <w:t>se</w:t>
      </w:r>
      <w:r>
        <w:rPr>
          <w:spacing w:val="-6"/>
        </w:rPr>
        <w:t> </w:t>
      </w:r>
      <w:r>
        <w:rPr/>
        <w:t>consolidó</w:t>
      </w:r>
      <w:r>
        <w:rPr>
          <w:spacing w:val="-6"/>
        </w:rPr>
        <w:t> </w:t>
      </w:r>
      <w:r>
        <w:rPr/>
        <w:t>una clase política que, además de ejercer el poder de forma discrecional, aumentó la desigualdad social y la</w:t>
      </w:r>
      <w:r>
        <w:rPr>
          <w:spacing w:val="-19"/>
        </w:rPr>
        <w:t> </w:t>
      </w:r>
      <w:r>
        <w:rPr/>
        <w:t>corrupción.</w:t>
      </w:r>
    </w:p>
    <w:p>
      <w:pPr>
        <w:pStyle w:val="BodyText"/>
        <w:spacing w:line="360" w:lineRule="auto" w:before="2"/>
        <w:ind w:left="120" w:right="115" w:firstLine="427"/>
        <w:jc w:val="both"/>
      </w:pPr>
      <w:r>
        <w:rPr/>
        <w:t>En 1977 se reformaron los artículos sexto y octavo de la Constitución Federal, que reconocen el derecho a la obtención de la información gubernamental y el “derecho a petición”, que faculta a la sociedad mexicana a realizar consultas relativas a las actividades gubernamentales. Este fue el primer paso para abrir los espacios hacia la transparencia en México.</w:t>
      </w:r>
    </w:p>
    <w:p>
      <w:pPr>
        <w:pStyle w:val="BodyText"/>
        <w:spacing w:before="10"/>
        <w:rPr>
          <w:sz w:val="13"/>
        </w:rPr>
      </w:pPr>
      <w:r>
        <w:rPr/>
        <w:pict>
          <v:line style="position:absolute;mso-position-horizontal-relative:page;mso-position-vertical-relative:paragraph;z-index:6640;mso-wrap-distance-left:0;mso-wrap-distance-right:0" from="85.025002pt,10.353875pt" to="229.075002pt,10.353875pt" stroked="true" strokeweight=".80005pt" strokecolor="#000000">
            <w10:wrap type="topAndBottom"/>
          </v:line>
        </w:pict>
      </w:r>
    </w:p>
    <w:p>
      <w:pPr>
        <w:spacing w:line="256" w:lineRule="auto" w:before="59"/>
        <w:ind w:left="120" w:right="0" w:firstLine="0"/>
        <w:jc w:val="left"/>
        <w:rPr>
          <w:sz w:val="16"/>
        </w:rPr>
      </w:pPr>
      <w:r>
        <w:rPr>
          <w:rFonts w:ascii="Times New Roman" w:hAnsi="Times New Roman"/>
          <w:position w:val="7"/>
          <w:sz w:val="13"/>
        </w:rPr>
        <w:t>52</w:t>
      </w:r>
      <w:r>
        <w:rPr>
          <w:sz w:val="16"/>
        </w:rPr>
        <w:t>El jefe del Ejecutivo priísta decidía quienes debían ser los siguientes mandatarios, para lo cual se requería que éste fuera una persona con reconocimiento local y con experiencia política para garantizar la estabilidad del Estado.</w:t>
      </w:r>
    </w:p>
    <w:p>
      <w:pPr>
        <w:spacing w:line="171" w:lineRule="exact" w:before="0"/>
        <w:ind w:left="120" w:right="0" w:firstLine="0"/>
        <w:jc w:val="both"/>
        <w:rPr>
          <w:sz w:val="16"/>
        </w:rPr>
      </w:pPr>
      <w:r>
        <w:rPr>
          <w:sz w:val="16"/>
        </w:rPr>
        <w:t>Disponible en: </w:t>
      </w:r>
      <w:hyperlink r:id="rId102">
        <w:r>
          <w:rPr>
            <w:sz w:val="16"/>
          </w:rPr>
          <w:t>http://dialnet.unirioja.es/servlet/articulo?codigo=2670330</w:t>
        </w:r>
      </w:hyperlink>
    </w:p>
    <w:p>
      <w:pPr>
        <w:spacing w:line="182" w:lineRule="exact" w:before="0"/>
        <w:ind w:left="120" w:right="0" w:firstLine="0"/>
        <w:jc w:val="both"/>
        <w:rPr>
          <w:sz w:val="16"/>
        </w:rPr>
      </w:pPr>
      <w:r>
        <w:rPr>
          <w:sz w:val="16"/>
        </w:rPr>
        <w:t>[Fecha de consulta: 17 de septiembre, 2015]</w:t>
      </w:r>
    </w:p>
    <w:p>
      <w:pPr>
        <w:spacing w:before="0"/>
        <w:ind w:left="120" w:right="122" w:firstLine="0"/>
        <w:jc w:val="both"/>
        <w:rPr>
          <w:sz w:val="16"/>
        </w:rPr>
      </w:pPr>
      <w:r>
        <w:rPr>
          <w:position w:val="6"/>
          <w:sz w:val="10"/>
        </w:rPr>
        <w:t>53</w:t>
      </w:r>
      <w:r>
        <w:rPr>
          <w:sz w:val="16"/>
        </w:rPr>
        <w:t>Enrique</w:t>
      </w:r>
      <w:r>
        <w:rPr>
          <w:spacing w:val="-3"/>
          <w:sz w:val="16"/>
        </w:rPr>
        <w:t> </w:t>
      </w:r>
      <w:r>
        <w:rPr>
          <w:sz w:val="16"/>
        </w:rPr>
        <w:t>Olivares</w:t>
      </w:r>
      <w:r>
        <w:rPr>
          <w:spacing w:val="-7"/>
          <w:sz w:val="16"/>
        </w:rPr>
        <w:t> </w:t>
      </w:r>
      <w:r>
        <w:rPr>
          <w:sz w:val="16"/>
        </w:rPr>
        <w:t>mencionó</w:t>
      </w:r>
      <w:r>
        <w:rPr>
          <w:spacing w:val="-4"/>
          <w:sz w:val="16"/>
        </w:rPr>
        <w:t> </w:t>
      </w:r>
      <w:r>
        <w:rPr>
          <w:sz w:val="16"/>
        </w:rPr>
        <w:t>que</w:t>
      </w:r>
      <w:r>
        <w:rPr>
          <w:spacing w:val="-8"/>
          <w:sz w:val="16"/>
        </w:rPr>
        <w:t> </w:t>
      </w:r>
      <w:r>
        <w:rPr>
          <w:sz w:val="16"/>
        </w:rPr>
        <w:t>“[…]</w:t>
      </w:r>
      <w:r>
        <w:rPr>
          <w:spacing w:val="-7"/>
          <w:sz w:val="16"/>
        </w:rPr>
        <w:t> </w:t>
      </w:r>
      <w:r>
        <w:rPr>
          <w:sz w:val="16"/>
        </w:rPr>
        <w:t>el</w:t>
      </w:r>
      <w:r>
        <w:rPr>
          <w:spacing w:val="-7"/>
          <w:sz w:val="16"/>
        </w:rPr>
        <w:t> </w:t>
      </w:r>
      <w:r>
        <w:rPr>
          <w:sz w:val="16"/>
        </w:rPr>
        <w:t>presidencialismo</w:t>
      </w:r>
      <w:r>
        <w:rPr>
          <w:spacing w:val="-3"/>
          <w:sz w:val="16"/>
        </w:rPr>
        <w:t> </w:t>
      </w:r>
      <w:r>
        <w:rPr>
          <w:sz w:val="16"/>
        </w:rPr>
        <w:t>devino</w:t>
      </w:r>
      <w:r>
        <w:rPr>
          <w:spacing w:val="-3"/>
          <w:sz w:val="16"/>
        </w:rPr>
        <w:t> </w:t>
      </w:r>
      <w:r>
        <w:rPr>
          <w:sz w:val="16"/>
        </w:rPr>
        <w:t>en</w:t>
      </w:r>
      <w:r>
        <w:rPr>
          <w:spacing w:val="-8"/>
          <w:sz w:val="16"/>
        </w:rPr>
        <w:t> </w:t>
      </w:r>
      <w:r>
        <w:rPr>
          <w:sz w:val="16"/>
        </w:rPr>
        <w:t>el</w:t>
      </w:r>
      <w:r>
        <w:rPr>
          <w:spacing w:val="-10"/>
          <w:sz w:val="16"/>
        </w:rPr>
        <w:t> </w:t>
      </w:r>
      <w:r>
        <w:rPr>
          <w:sz w:val="16"/>
        </w:rPr>
        <w:t>poder</w:t>
      </w:r>
      <w:r>
        <w:rPr>
          <w:spacing w:val="-4"/>
          <w:sz w:val="16"/>
        </w:rPr>
        <w:t> </w:t>
      </w:r>
      <w:r>
        <w:rPr>
          <w:sz w:val="16"/>
        </w:rPr>
        <w:t>sin</w:t>
      </w:r>
      <w:r>
        <w:rPr>
          <w:spacing w:val="-3"/>
          <w:sz w:val="16"/>
        </w:rPr>
        <w:t> </w:t>
      </w:r>
      <w:r>
        <w:rPr>
          <w:sz w:val="16"/>
        </w:rPr>
        <w:t>límites</w:t>
      </w:r>
      <w:r>
        <w:rPr>
          <w:spacing w:val="-3"/>
          <w:sz w:val="16"/>
        </w:rPr>
        <w:t> </w:t>
      </w:r>
      <w:r>
        <w:rPr>
          <w:sz w:val="16"/>
        </w:rPr>
        <w:t>y</w:t>
      </w:r>
      <w:r>
        <w:rPr>
          <w:spacing w:val="-3"/>
          <w:sz w:val="16"/>
        </w:rPr>
        <w:t> </w:t>
      </w:r>
      <w:r>
        <w:rPr>
          <w:sz w:val="16"/>
        </w:rPr>
        <w:t>sin</w:t>
      </w:r>
      <w:r>
        <w:rPr>
          <w:spacing w:val="-8"/>
          <w:sz w:val="16"/>
        </w:rPr>
        <w:t> </w:t>
      </w:r>
      <w:r>
        <w:rPr>
          <w:sz w:val="16"/>
        </w:rPr>
        <w:t>control</w:t>
      </w:r>
      <w:r>
        <w:rPr>
          <w:spacing w:val="-7"/>
          <w:sz w:val="16"/>
        </w:rPr>
        <w:t> </w:t>
      </w:r>
      <w:r>
        <w:rPr>
          <w:sz w:val="16"/>
        </w:rPr>
        <w:t>de</w:t>
      </w:r>
      <w:r>
        <w:rPr>
          <w:spacing w:val="5"/>
          <w:sz w:val="16"/>
        </w:rPr>
        <w:t> </w:t>
      </w:r>
      <w:r>
        <w:rPr>
          <w:sz w:val="16"/>
        </w:rPr>
        <w:t>una</w:t>
      </w:r>
      <w:r>
        <w:rPr>
          <w:spacing w:val="-3"/>
          <w:sz w:val="16"/>
        </w:rPr>
        <w:t> </w:t>
      </w:r>
      <w:r>
        <w:rPr>
          <w:sz w:val="16"/>
        </w:rPr>
        <w:t>sola</w:t>
      </w:r>
      <w:r>
        <w:rPr>
          <w:spacing w:val="-3"/>
          <w:sz w:val="16"/>
        </w:rPr>
        <w:t> </w:t>
      </w:r>
      <w:r>
        <w:rPr>
          <w:sz w:val="16"/>
        </w:rPr>
        <w:t>persona</w:t>
      </w:r>
      <w:r>
        <w:rPr>
          <w:spacing w:val="-3"/>
          <w:sz w:val="16"/>
        </w:rPr>
        <w:t> </w:t>
      </w:r>
      <w:r>
        <w:rPr>
          <w:sz w:val="16"/>
        </w:rPr>
        <w:t>por el hecho de que el país está fracturado, fragmentado, desarticulado, des institucionalizado, o en el peor de los casos </w:t>
      </w:r>
      <w:r>
        <w:rPr>
          <w:spacing w:val="-3"/>
          <w:sz w:val="16"/>
        </w:rPr>
        <w:t>no </w:t>
      </w:r>
      <w:r>
        <w:rPr>
          <w:sz w:val="16"/>
        </w:rPr>
        <w:t>institucionalizado”.(Olivares, 2011:</w:t>
      </w:r>
      <w:r>
        <w:rPr>
          <w:spacing w:val="-17"/>
          <w:sz w:val="16"/>
        </w:rPr>
        <w:t> </w:t>
      </w:r>
      <w:r>
        <w:rPr>
          <w:sz w:val="16"/>
        </w:rPr>
        <w:t>77)</w:t>
      </w:r>
    </w:p>
    <w:p>
      <w:pPr>
        <w:spacing w:line="184" w:lineRule="exact" w:before="0"/>
        <w:ind w:left="120" w:right="0" w:firstLine="0"/>
        <w:jc w:val="both"/>
        <w:rPr>
          <w:sz w:val="16"/>
        </w:rPr>
      </w:pPr>
      <w:r>
        <w:rPr>
          <w:position w:val="6"/>
          <w:sz w:val="10"/>
        </w:rPr>
        <w:t>54 </w:t>
      </w:r>
      <w:r>
        <w:rPr>
          <w:sz w:val="16"/>
        </w:rPr>
        <w:t>Por antonomasia, el Estado se autoriza a incidir en la economía.</w:t>
      </w:r>
    </w:p>
    <w:p>
      <w:pPr>
        <w:spacing w:after="0" w:line="184" w:lineRule="exact"/>
        <w:jc w:val="both"/>
        <w:rPr>
          <w:sz w:val="16"/>
        </w:rPr>
        <w:sectPr>
          <w:footerReference w:type="default" r:id="rId101"/>
          <w:pgSz w:w="12240" w:h="15840"/>
          <w:pgMar w:footer="998" w:header="0" w:top="1360" w:bottom="1180" w:left="1580" w:right="1580"/>
        </w:sectPr>
      </w:pPr>
    </w:p>
    <w:p>
      <w:pPr>
        <w:pStyle w:val="BodyText"/>
        <w:spacing w:line="360" w:lineRule="auto" w:before="55"/>
        <w:ind w:left="100" w:right="118" w:firstLine="427"/>
        <w:jc w:val="both"/>
      </w:pPr>
      <w:r>
        <w:rPr/>
        <w:t>En esa década 1980 se consideró al mercado (no al Estado) como elemento central</w:t>
      </w:r>
      <w:r>
        <w:rPr>
          <w:spacing w:val="-6"/>
        </w:rPr>
        <w:t> </w:t>
      </w:r>
      <w:r>
        <w:rPr/>
        <w:t>para</w:t>
      </w:r>
      <w:r>
        <w:rPr>
          <w:spacing w:val="-6"/>
        </w:rPr>
        <w:t> </w:t>
      </w:r>
      <w:r>
        <w:rPr/>
        <w:t>incentivar</w:t>
      </w:r>
      <w:r>
        <w:rPr>
          <w:spacing w:val="-4"/>
        </w:rPr>
        <w:t> </w:t>
      </w:r>
      <w:r>
        <w:rPr/>
        <w:t>el</w:t>
      </w:r>
      <w:r>
        <w:rPr>
          <w:spacing w:val="-6"/>
        </w:rPr>
        <w:t> </w:t>
      </w:r>
      <w:r>
        <w:rPr/>
        <w:t>crecimiento</w:t>
      </w:r>
      <w:r>
        <w:rPr>
          <w:spacing w:val="-6"/>
        </w:rPr>
        <w:t> </w:t>
      </w:r>
      <w:r>
        <w:rPr/>
        <w:t>económico</w:t>
      </w:r>
      <w:r>
        <w:rPr>
          <w:spacing w:val="-6"/>
        </w:rPr>
        <w:t> </w:t>
      </w:r>
      <w:r>
        <w:rPr/>
        <w:t>(mayor</w:t>
      </w:r>
      <w:r>
        <w:rPr>
          <w:spacing w:val="-4"/>
        </w:rPr>
        <w:t> </w:t>
      </w:r>
      <w:r>
        <w:rPr/>
        <w:t>producción),</w:t>
      </w:r>
      <w:r>
        <w:rPr>
          <w:spacing w:val="-3"/>
        </w:rPr>
        <w:t> </w:t>
      </w:r>
      <w:r>
        <w:rPr/>
        <w:t>por</w:t>
      </w:r>
      <w:r>
        <w:rPr>
          <w:spacing w:val="-4"/>
        </w:rPr>
        <w:t> </w:t>
      </w:r>
      <w:r>
        <w:rPr/>
        <w:t>lo</w:t>
      </w:r>
      <w:r>
        <w:rPr>
          <w:spacing w:val="-6"/>
        </w:rPr>
        <w:t> </w:t>
      </w:r>
      <w:r>
        <w:rPr/>
        <w:t>que</w:t>
      </w:r>
      <w:r>
        <w:rPr>
          <w:spacing w:val="-6"/>
        </w:rPr>
        <w:t> </w:t>
      </w:r>
      <w:r>
        <w:rPr/>
        <w:t>las políticas del Estado se orientaron hacia incentivar a la iniciativa privada y la reducción del tamaño del Estado mediante la venta de empresas paraestatales y recortes de personal del sector</w:t>
      </w:r>
      <w:r>
        <w:rPr>
          <w:spacing w:val="-20"/>
        </w:rPr>
        <w:t> </w:t>
      </w:r>
      <w:r>
        <w:rPr/>
        <w:t>público.</w:t>
      </w:r>
    </w:p>
    <w:p>
      <w:pPr>
        <w:pStyle w:val="BodyText"/>
        <w:spacing w:line="360" w:lineRule="auto" w:before="6"/>
        <w:ind w:left="100" w:right="119" w:firstLine="427"/>
        <w:jc w:val="both"/>
      </w:pPr>
      <w:r>
        <w:rPr/>
        <w:t>La política monetaria devaluatoria de 1948 se realizó como respuesta a</w:t>
      </w:r>
      <w:r>
        <w:rPr>
          <w:spacing w:val="-41"/>
        </w:rPr>
        <w:t> </w:t>
      </w:r>
      <w:r>
        <w:rPr/>
        <w:t>revertir el balance desfavorable del comercio y se restringieron las importaciones no esenciales.</w:t>
      </w:r>
      <w:r>
        <w:rPr>
          <w:spacing w:val="-9"/>
        </w:rPr>
        <w:t> </w:t>
      </w:r>
      <w:r>
        <w:rPr/>
        <w:t>En</w:t>
      </w:r>
      <w:r>
        <w:rPr>
          <w:spacing w:val="-12"/>
        </w:rPr>
        <w:t> </w:t>
      </w:r>
      <w:r>
        <w:rPr/>
        <w:t>1949</w:t>
      </w:r>
      <w:r>
        <w:rPr>
          <w:spacing w:val="-12"/>
        </w:rPr>
        <w:t> </w:t>
      </w:r>
      <w:r>
        <w:rPr/>
        <w:t>debido</w:t>
      </w:r>
      <w:r>
        <w:rPr>
          <w:spacing w:val="-8"/>
        </w:rPr>
        <w:t> </w:t>
      </w:r>
      <w:r>
        <w:rPr/>
        <w:t>al</w:t>
      </w:r>
      <w:r>
        <w:rPr>
          <w:spacing w:val="-11"/>
        </w:rPr>
        <w:t> </w:t>
      </w:r>
      <w:r>
        <w:rPr/>
        <w:t>préstamo</w:t>
      </w:r>
      <w:r>
        <w:rPr>
          <w:spacing w:val="-12"/>
        </w:rPr>
        <w:t> </w:t>
      </w:r>
      <w:r>
        <w:rPr/>
        <w:t>solicitado</w:t>
      </w:r>
      <w:r>
        <w:rPr>
          <w:spacing w:val="-8"/>
        </w:rPr>
        <w:t> </w:t>
      </w:r>
      <w:r>
        <w:rPr/>
        <w:t>al</w:t>
      </w:r>
      <w:r>
        <w:rPr>
          <w:spacing w:val="-11"/>
        </w:rPr>
        <w:t> </w:t>
      </w:r>
      <w:r>
        <w:rPr/>
        <w:t>Tesoro</w:t>
      </w:r>
      <w:r>
        <w:rPr>
          <w:spacing w:val="-12"/>
        </w:rPr>
        <w:t> </w:t>
      </w:r>
      <w:r>
        <w:rPr/>
        <w:t>de</w:t>
      </w:r>
      <w:r>
        <w:rPr>
          <w:spacing w:val="-12"/>
        </w:rPr>
        <w:t> </w:t>
      </w:r>
      <w:r>
        <w:rPr/>
        <w:t>Estados</w:t>
      </w:r>
      <w:r>
        <w:rPr>
          <w:spacing w:val="-6"/>
        </w:rPr>
        <w:t> </w:t>
      </w:r>
      <w:r>
        <w:rPr/>
        <w:t>Unidos</w:t>
      </w:r>
      <w:r>
        <w:rPr>
          <w:spacing w:val="-6"/>
        </w:rPr>
        <w:t> </w:t>
      </w:r>
      <w:r>
        <w:rPr/>
        <w:t>y</w:t>
      </w:r>
      <w:r>
        <w:rPr>
          <w:spacing w:val="-14"/>
        </w:rPr>
        <w:t> </w:t>
      </w:r>
      <w:r>
        <w:rPr/>
        <w:t>al FMI, México hizo frente a sus compromisos financieros. En ese mismo año, el PRI ganó la mayoría absoluta en la cámara de</w:t>
      </w:r>
      <w:r>
        <w:rPr>
          <w:spacing w:val="-28"/>
        </w:rPr>
        <w:t> </w:t>
      </w:r>
      <w:r>
        <w:rPr/>
        <w:t>diputados.</w:t>
      </w:r>
    </w:p>
    <w:p>
      <w:pPr>
        <w:pStyle w:val="BodyText"/>
        <w:spacing w:line="360" w:lineRule="auto" w:before="2"/>
        <w:ind w:left="100" w:right="118" w:firstLine="427"/>
        <w:jc w:val="both"/>
      </w:pPr>
      <w:r>
        <w:rPr/>
        <w:t>El intento de que el Estado actuara como árbitro del mercado hizo que el presupuesto se ejerciera de forma desordenada. La modificación de la política cambiaria</w:t>
      </w:r>
      <w:r>
        <w:rPr>
          <w:spacing w:val="-8"/>
        </w:rPr>
        <w:t> </w:t>
      </w:r>
      <w:r>
        <w:rPr/>
        <w:t>de</w:t>
      </w:r>
      <w:r>
        <w:rPr>
          <w:spacing w:val="-12"/>
        </w:rPr>
        <w:t> </w:t>
      </w:r>
      <w:r>
        <w:rPr/>
        <w:t>fija</w:t>
      </w:r>
      <w:r>
        <w:rPr>
          <w:spacing w:val="-12"/>
        </w:rPr>
        <w:t> </w:t>
      </w:r>
      <w:r>
        <w:rPr/>
        <w:t>a</w:t>
      </w:r>
      <w:r>
        <w:rPr>
          <w:spacing w:val="-12"/>
        </w:rPr>
        <w:t> </w:t>
      </w:r>
      <w:r>
        <w:rPr/>
        <w:t>flotante</w:t>
      </w:r>
      <w:r>
        <w:rPr>
          <w:spacing w:val="-8"/>
        </w:rPr>
        <w:t> </w:t>
      </w:r>
      <w:r>
        <w:rPr/>
        <w:t>en</w:t>
      </w:r>
      <w:r>
        <w:rPr>
          <w:spacing w:val="-8"/>
        </w:rPr>
        <w:t> </w:t>
      </w:r>
      <w:r>
        <w:rPr/>
        <w:t>1976</w:t>
      </w:r>
      <w:r>
        <w:rPr>
          <w:spacing w:val="-12"/>
        </w:rPr>
        <w:t> </w:t>
      </w:r>
      <w:r>
        <w:rPr/>
        <w:t>se</w:t>
      </w:r>
      <w:r>
        <w:rPr>
          <w:spacing w:val="-8"/>
        </w:rPr>
        <w:t> </w:t>
      </w:r>
      <w:r>
        <w:rPr/>
        <w:t>realizó</w:t>
      </w:r>
      <w:r>
        <w:rPr>
          <w:spacing w:val="-12"/>
        </w:rPr>
        <w:t> </w:t>
      </w:r>
      <w:r>
        <w:rPr/>
        <w:t>como</w:t>
      </w:r>
      <w:r>
        <w:rPr>
          <w:spacing w:val="-12"/>
        </w:rPr>
        <w:t> </w:t>
      </w:r>
      <w:r>
        <w:rPr/>
        <w:t>respuesta</w:t>
      </w:r>
      <w:r>
        <w:rPr>
          <w:spacing w:val="-8"/>
        </w:rPr>
        <w:t> </w:t>
      </w:r>
      <w:r>
        <w:rPr/>
        <w:t>al</w:t>
      </w:r>
      <w:r>
        <w:rPr>
          <w:spacing w:val="-11"/>
        </w:rPr>
        <w:t> </w:t>
      </w:r>
      <w:r>
        <w:rPr/>
        <w:t>creciente</w:t>
      </w:r>
      <w:r>
        <w:rPr>
          <w:spacing w:val="-12"/>
        </w:rPr>
        <w:t> </w:t>
      </w:r>
      <w:r>
        <w:rPr/>
        <w:t>déficit</w:t>
      </w:r>
      <w:r>
        <w:rPr>
          <w:spacing w:val="-9"/>
        </w:rPr>
        <w:t> </w:t>
      </w:r>
      <w:r>
        <w:rPr/>
        <w:t>de cuenta corriente, que originó una devaluación del 50% de la moneda. Con una política fiscal restrictiva llevada a cabo mediante un pacto de mantener estables el precio</w:t>
      </w:r>
      <w:r>
        <w:rPr>
          <w:spacing w:val="-12"/>
        </w:rPr>
        <w:t> </w:t>
      </w:r>
      <w:r>
        <w:rPr/>
        <w:t>del</w:t>
      </w:r>
      <w:r>
        <w:rPr>
          <w:spacing w:val="-11"/>
        </w:rPr>
        <w:t> </w:t>
      </w:r>
      <w:r>
        <w:rPr/>
        <w:t>salario</w:t>
      </w:r>
      <w:r>
        <w:rPr>
          <w:spacing w:val="-9"/>
        </w:rPr>
        <w:t> </w:t>
      </w:r>
      <w:r>
        <w:rPr/>
        <w:t>y</w:t>
      </w:r>
      <w:r>
        <w:rPr>
          <w:spacing w:val="-14"/>
        </w:rPr>
        <w:t> </w:t>
      </w:r>
      <w:r>
        <w:rPr/>
        <w:t>de</w:t>
      </w:r>
      <w:r>
        <w:rPr>
          <w:spacing w:val="-12"/>
        </w:rPr>
        <w:t> </w:t>
      </w:r>
      <w:r>
        <w:rPr/>
        <w:t>productos,</w:t>
      </w:r>
      <w:r>
        <w:rPr>
          <w:spacing w:val="-10"/>
        </w:rPr>
        <w:t> </w:t>
      </w:r>
      <w:r>
        <w:rPr/>
        <w:t>combinado</w:t>
      </w:r>
      <w:r>
        <w:rPr>
          <w:spacing w:val="-12"/>
        </w:rPr>
        <w:t> </w:t>
      </w:r>
      <w:r>
        <w:rPr/>
        <w:t>con</w:t>
      </w:r>
      <w:r>
        <w:rPr>
          <w:spacing w:val="-12"/>
        </w:rPr>
        <w:t> </w:t>
      </w:r>
      <w:r>
        <w:rPr/>
        <w:t>un</w:t>
      </w:r>
      <w:r>
        <w:rPr>
          <w:spacing w:val="-12"/>
        </w:rPr>
        <w:t> </w:t>
      </w:r>
      <w:r>
        <w:rPr/>
        <w:t>aumento</w:t>
      </w:r>
      <w:r>
        <w:rPr>
          <w:spacing w:val="-12"/>
        </w:rPr>
        <w:t> </w:t>
      </w:r>
      <w:r>
        <w:rPr/>
        <w:t>del</w:t>
      </w:r>
      <w:r>
        <w:rPr>
          <w:spacing w:val="-11"/>
        </w:rPr>
        <w:t> </w:t>
      </w:r>
      <w:r>
        <w:rPr/>
        <w:t>gasto</w:t>
      </w:r>
      <w:r>
        <w:rPr>
          <w:spacing w:val="-12"/>
        </w:rPr>
        <w:t> </w:t>
      </w:r>
      <w:r>
        <w:rPr/>
        <w:t>de</w:t>
      </w:r>
      <w:r>
        <w:rPr>
          <w:spacing w:val="-12"/>
        </w:rPr>
        <w:t> </w:t>
      </w:r>
      <w:r>
        <w:rPr/>
        <w:t>inversión pública, la producción se incrementó,  aun con el aumento constante de</w:t>
      </w:r>
      <w:r>
        <w:rPr>
          <w:spacing w:val="-40"/>
        </w:rPr>
        <w:t> </w:t>
      </w:r>
      <w:r>
        <w:rPr/>
        <w:t>precios.</w:t>
      </w:r>
    </w:p>
    <w:p>
      <w:pPr>
        <w:pStyle w:val="BodyText"/>
        <w:spacing w:line="360" w:lineRule="auto" w:before="6"/>
        <w:ind w:left="100" w:right="119" w:firstLine="427"/>
        <w:jc w:val="both"/>
      </w:pPr>
      <w:r>
        <w:rPr/>
        <w:t>La reducción del tamaño del Estado fue una tendencia internacional neoliberal llevada a cabo inicialmente en Inglaterra y Estados Unidos. En México la privatización de varias empresas del Estado en 1989 y las modificaciones a las regulaciones del comercio e inversión incrementaron la inversión extranjera; sin embargo,</w:t>
      </w:r>
      <w:r>
        <w:rPr>
          <w:spacing w:val="-10"/>
        </w:rPr>
        <w:t> </w:t>
      </w:r>
      <w:r>
        <w:rPr/>
        <w:t>el</w:t>
      </w:r>
      <w:r>
        <w:rPr>
          <w:spacing w:val="-12"/>
        </w:rPr>
        <w:t> </w:t>
      </w:r>
      <w:r>
        <w:rPr/>
        <w:t>Estado</w:t>
      </w:r>
      <w:r>
        <w:rPr>
          <w:spacing w:val="-9"/>
        </w:rPr>
        <w:t> </w:t>
      </w:r>
      <w:r>
        <w:rPr/>
        <w:t>mantuviera</w:t>
      </w:r>
      <w:r>
        <w:rPr>
          <w:spacing w:val="-13"/>
        </w:rPr>
        <w:t> </w:t>
      </w:r>
      <w:r>
        <w:rPr/>
        <w:t>aquellas</w:t>
      </w:r>
      <w:r>
        <w:rPr>
          <w:spacing w:val="-11"/>
        </w:rPr>
        <w:t> </w:t>
      </w:r>
      <w:r>
        <w:rPr/>
        <w:t>empresas</w:t>
      </w:r>
      <w:r>
        <w:rPr>
          <w:spacing w:val="-11"/>
        </w:rPr>
        <w:t> </w:t>
      </w:r>
      <w:r>
        <w:rPr/>
        <w:t>que</w:t>
      </w:r>
      <w:r>
        <w:rPr>
          <w:spacing w:val="-13"/>
        </w:rPr>
        <w:t> </w:t>
      </w:r>
      <w:r>
        <w:rPr/>
        <w:t>consideró</w:t>
      </w:r>
      <w:r>
        <w:rPr>
          <w:spacing w:val="-13"/>
        </w:rPr>
        <w:t> </w:t>
      </w:r>
      <w:r>
        <w:rPr/>
        <w:t>estratégicas</w:t>
      </w:r>
      <w:r>
        <w:rPr>
          <w:spacing w:val="-11"/>
        </w:rPr>
        <w:t> </w:t>
      </w:r>
      <w:r>
        <w:rPr/>
        <w:t>para el desarrollo</w:t>
      </w:r>
      <w:r>
        <w:rPr>
          <w:spacing w:val="-17"/>
        </w:rPr>
        <w:t> </w:t>
      </w:r>
      <w:r>
        <w:rPr/>
        <w:t>nacional.</w:t>
      </w:r>
    </w:p>
    <w:p>
      <w:pPr>
        <w:pStyle w:val="BodyText"/>
        <w:spacing w:line="360" w:lineRule="auto" w:before="6"/>
        <w:ind w:left="100" w:right="117" w:firstLine="427"/>
        <w:jc w:val="both"/>
      </w:pPr>
      <w:r>
        <w:rPr/>
        <w:t>En el periodo 1988-1994 se gestionó la peor crisis económica de la historia de México. La alta incidencia del capital extranjero en inversiones especulativas hiso que el mercado de dinero y de capitales fueran altamente sensibles tanto a los movimientos del mercado internacional (</w:t>
      </w:r>
      <w:r>
        <w:rPr>
          <w:i/>
        </w:rPr>
        <w:t>Wall Street</w:t>
      </w:r>
      <w:r>
        <w:rPr/>
        <w:t>, principalmente) como a los acontecimientos internos.</w:t>
      </w:r>
    </w:p>
    <w:p>
      <w:pPr>
        <w:pStyle w:val="BodyText"/>
      </w:pPr>
    </w:p>
    <w:p>
      <w:pPr>
        <w:pStyle w:val="BodyText"/>
        <w:spacing w:line="362" w:lineRule="auto" w:before="138"/>
        <w:ind w:left="100" w:right="117" w:firstLine="427"/>
        <w:jc w:val="both"/>
      </w:pPr>
      <w:r>
        <w:rPr/>
        <w:t>Tanto</w:t>
      </w:r>
      <w:r>
        <w:rPr>
          <w:spacing w:val="-19"/>
        </w:rPr>
        <w:t> </w:t>
      </w:r>
      <w:r>
        <w:rPr/>
        <w:t>la</w:t>
      </w:r>
      <w:r>
        <w:rPr>
          <w:spacing w:val="-21"/>
        </w:rPr>
        <w:t> </w:t>
      </w:r>
      <w:r>
        <w:rPr/>
        <w:t>fuga</w:t>
      </w:r>
      <w:r>
        <w:rPr>
          <w:spacing w:val="-21"/>
        </w:rPr>
        <w:t> </w:t>
      </w:r>
      <w:r>
        <w:rPr/>
        <w:t>masiva</w:t>
      </w:r>
      <w:r>
        <w:rPr>
          <w:spacing w:val="-21"/>
        </w:rPr>
        <w:t> </w:t>
      </w:r>
      <w:r>
        <w:rPr/>
        <w:t>de</w:t>
      </w:r>
      <w:r>
        <w:rPr>
          <w:spacing w:val="-21"/>
        </w:rPr>
        <w:t> </w:t>
      </w:r>
      <w:r>
        <w:rPr/>
        <w:t>capitales</w:t>
      </w:r>
      <w:r>
        <w:rPr>
          <w:spacing w:val="-19"/>
        </w:rPr>
        <w:t> </w:t>
      </w:r>
      <w:r>
        <w:rPr/>
        <w:t>por</w:t>
      </w:r>
      <w:r>
        <w:rPr>
          <w:spacing w:val="-19"/>
        </w:rPr>
        <w:t> </w:t>
      </w:r>
      <w:r>
        <w:rPr/>
        <w:t>la</w:t>
      </w:r>
      <w:r>
        <w:rPr>
          <w:spacing w:val="-21"/>
        </w:rPr>
        <w:t> </w:t>
      </w:r>
      <w:r>
        <w:rPr/>
        <w:t>inestabilidad</w:t>
      </w:r>
      <w:r>
        <w:rPr>
          <w:spacing w:val="-21"/>
        </w:rPr>
        <w:t> </w:t>
      </w:r>
      <w:r>
        <w:rPr/>
        <w:t>económica</w:t>
      </w:r>
      <w:r>
        <w:rPr>
          <w:spacing w:val="-17"/>
        </w:rPr>
        <w:t> </w:t>
      </w:r>
      <w:r>
        <w:rPr/>
        <w:t>y</w:t>
      </w:r>
      <w:r>
        <w:rPr>
          <w:spacing w:val="-23"/>
        </w:rPr>
        <w:t> </w:t>
      </w:r>
      <w:r>
        <w:rPr/>
        <w:t>política,</w:t>
      </w:r>
      <w:r>
        <w:rPr>
          <w:spacing w:val="-14"/>
        </w:rPr>
        <w:t> </w:t>
      </w:r>
      <w:r>
        <w:rPr/>
        <w:t>como la política  monetaria de  mantener el  tipo de cambio en una estrecha  banda   </w:t>
      </w:r>
      <w:r>
        <w:rPr>
          <w:spacing w:val="30"/>
        </w:rPr>
        <w:t> </w:t>
      </w:r>
      <w:r>
        <w:rPr/>
        <w:t>de</w:t>
      </w:r>
    </w:p>
    <w:p>
      <w:pPr>
        <w:spacing w:after="0" w:line="362" w:lineRule="auto"/>
        <w:jc w:val="both"/>
        <w:sectPr>
          <w:footerReference w:type="default" r:id="rId103"/>
          <w:pgSz w:w="12240" w:h="15840"/>
          <w:pgMar w:footer="998" w:header="0" w:top="1360" w:bottom="1180" w:left="1600" w:right="1580"/>
          <w:pgNumType w:start="81"/>
        </w:sectPr>
      </w:pPr>
    </w:p>
    <w:p>
      <w:pPr>
        <w:pStyle w:val="BodyText"/>
        <w:spacing w:line="360" w:lineRule="auto" w:before="55"/>
        <w:ind w:left="120" w:right="123"/>
        <w:jc w:val="both"/>
      </w:pPr>
      <w:r>
        <w:rPr/>
        <w:t>flotación,</w:t>
      </w:r>
      <w:r>
        <w:rPr>
          <w:spacing w:val="-10"/>
        </w:rPr>
        <w:t> </w:t>
      </w:r>
      <w:r>
        <w:rPr/>
        <w:t>causaron</w:t>
      </w:r>
      <w:r>
        <w:rPr>
          <w:spacing w:val="-12"/>
        </w:rPr>
        <w:t> </w:t>
      </w:r>
      <w:r>
        <w:rPr/>
        <w:t>una</w:t>
      </w:r>
      <w:r>
        <w:rPr>
          <w:spacing w:val="-12"/>
        </w:rPr>
        <w:t> </w:t>
      </w:r>
      <w:r>
        <w:rPr/>
        <w:t>reducción</w:t>
      </w:r>
      <w:r>
        <w:rPr>
          <w:spacing w:val="-12"/>
        </w:rPr>
        <w:t> </w:t>
      </w:r>
      <w:r>
        <w:rPr/>
        <w:t>de</w:t>
      </w:r>
      <w:r>
        <w:rPr>
          <w:spacing w:val="-12"/>
        </w:rPr>
        <w:t> </w:t>
      </w:r>
      <w:r>
        <w:rPr/>
        <w:t>las</w:t>
      </w:r>
      <w:r>
        <w:rPr>
          <w:spacing w:val="-10"/>
        </w:rPr>
        <w:t> </w:t>
      </w:r>
      <w:r>
        <w:rPr/>
        <w:t>reservas</w:t>
      </w:r>
      <w:r>
        <w:rPr>
          <w:spacing w:val="-10"/>
        </w:rPr>
        <w:t> </w:t>
      </w:r>
      <w:r>
        <w:rPr/>
        <w:t>internacionales.</w:t>
      </w:r>
      <w:r>
        <w:rPr>
          <w:spacing w:val="-10"/>
        </w:rPr>
        <w:t> </w:t>
      </w:r>
      <w:r>
        <w:rPr/>
        <w:t>Su</w:t>
      </w:r>
      <w:r>
        <w:rPr>
          <w:spacing w:val="-12"/>
        </w:rPr>
        <w:t> </w:t>
      </w:r>
      <w:r>
        <w:rPr/>
        <w:t>magnitud</w:t>
      </w:r>
      <w:r>
        <w:rPr>
          <w:spacing w:val="-12"/>
        </w:rPr>
        <w:t> </w:t>
      </w:r>
      <w:r>
        <w:rPr/>
        <w:t>real se ocultó a la sociedad y al sector privado, </w:t>
      </w:r>
      <w:r>
        <w:rPr>
          <w:spacing w:val="-3"/>
        </w:rPr>
        <w:t>ya </w:t>
      </w:r>
      <w:r>
        <w:rPr/>
        <w:t>que el costo de la crisis fue remitido a ellos mediante el Fondo Bancario de Protección al Ahorro</w:t>
      </w:r>
      <w:r>
        <w:rPr>
          <w:spacing w:val="-28"/>
        </w:rPr>
        <w:t> </w:t>
      </w:r>
      <w:r>
        <w:rPr/>
        <w:t>(FOBAPROA).</w:t>
      </w:r>
    </w:p>
    <w:p>
      <w:pPr>
        <w:pStyle w:val="BodyText"/>
        <w:spacing w:line="360" w:lineRule="auto" w:before="6"/>
        <w:ind w:left="120" w:right="113" w:firstLine="427"/>
        <w:jc w:val="both"/>
        <w:rPr>
          <w:sz w:val="16"/>
        </w:rPr>
      </w:pPr>
      <w:r>
        <w:rPr/>
        <w:t>La inevitable intervención del Estado puso en mayor evidencia su deficiente desempeño</w:t>
      </w:r>
      <w:r>
        <w:rPr>
          <w:spacing w:val="-13"/>
        </w:rPr>
        <w:t> </w:t>
      </w:r>
      <w:r>
        <w:rPr/>
        <w:t>y</w:t>
      </w:r>
      <w:r>
        <w:rPr>
          <w:spacing w:val="-15"/>
        </w:rPr>
        <w:t> </w:t>
      </w:r>
      <w:r>
        <w:rPr/>
        <w:t>aumento</w:t>
      </w:r>
      <w:r>
        <w:rPr>
          <w:spacing w:val="-9"/>
        </w:rPr>
        <w:t> </w:t>
      </w:r>
      <w:r>
        <w:rPr/>
        <w:t>en</w:t>
      </w:r>
      <w:r>
        <w:rPr>
          <w:spacing w:val="-13"/>
        </w:rPr>
        <w:t> </w:t>
      </w:r>
      <w:r>
        <w:rPr/>
        <w:t>la</w:t>
      </w:r>
      <w:r>
        <w:rPr>
          <w:spacing w:val="-13"/>
        </w:rPr>
        <w:t> </w:t>
      </w:r>
      <w:r>
        <w:rPr/>
        <w:t>corrupción,</w:t>
      </w:r>
      <w:r>
        <w:rPr>
          <w:spacing w:val="-10"/>
        </w:rPr>
        <w:t> </w:t>
      </w:r>
      <w:r>
        <w:rPr/>
        <w:t>lo</w:t>
      </w:r>
      <w:r>
        <w:rPr>
          <w:spacing w:val="-13"/>
        </w:rPr>
        <w:t> </w:t>
      </w:r>
      <w:r>
        <w:rPr/>
        <w:t>que</w:t>
      </w:r>
      <w:r>
        <w:rPr>
          <w:spacing w:val="-13"/>
        </w:rPr>
        <w:t> </w:t>
      </w:r>
      <w:r>
        <w:rPr/>
        <w:t>le</w:t>
      </w:r>
      <w:r>
        <w:rPr>
          <w:spacing w:val="-13"/>
        </w:rPr>
        <w:t> </w:t>
      </w:r>
      <w:r>
        <w:rPr/>
        <w:t>requirió</w:t>
      </w:r>
      <w:r>
        <w:rPr>
          <w:spacing w:val="-13"/>
        </w:rPr>
        <w:t> </w:t>
      </w:r>
      <w:r>
        <w:rPr/>
        <w:t>implementar</w:t>
      </w:r>
      <w:r>
        <w:rPr>
          <w:spacing w:val="-7"/>
        </w:rPr>
        <w:t> </w:t>
      </w:r>
      <w:r>
        <w:rPr/>
        <w:t>mecanismos de control presupuestal mediante el Programa de Modernización de la Administración Pública Federal, en el periodo 1994-2000. Con ello se trató de impulsar la simplificación administrativa, mejorar el uso de los recursos públicos, la implementación de tecnologías de la información para las licitaciones públicas y la reestructuración del sector paraestatal, principalmente.</w:t>
      </w:r>
      <w:r>
        <w:rPr>
          <w:spacing w:val="-23"/>
        </w:rPr>
        <w:t> </w:t>
      </w:r>
      <w:r>
        <w:rPr>
          <w:position w:val="8"/>
          <w:sz w:val="16"/>
        </w:rPr>
        <w:t>55</w:t>
      </w:r>
    </w:p>
    <w:p>
      <w:pPr>
        <w:pStyle w:val="BodyText"/>
        <w:spacing w:line="357" w:lineRule="auto"/>
        <w:ind w:left="120" w:right="115" w:firstLine="427"/>
        <w:jc w:val="right"/>
      </w:pPr>
      <w:r>
        <w:rPr/>
        <w:t>Con</w:t>
      </w:r>
      <w:r>
        <w:rPr>
          <w:spacing w:val="-11"/>
        </w:rPr>
        <w:t> </w:t>
      </w:r>
      <w:r>
        <w:rPr/>
        <w:t>una</w:t>
      </w:r>
      <w:r>
        <w:rPr>
          <w:spacing w:val="-8"/>
        </w:rPr>
        <w:t> </w:t>
      </w:r>
      <w:r>
        <w:rPr/>
        <w:t>de</w:t>
      </w:r>
      <w:r>
        <w:rPr>
          <w:spacing w:val="-11"/>
        </w:rPr>
        <w:t> </w:t>
      </w:r>
      <w:r>
        <w:rPr/>
        <w:t>las</w:t>
      </w:r>
      <w:r>
        <w:rPr>
          <w:spacing w:val="-10"/>
        </w:rPr>
        <w:t> </w:t>
      </w:r>
      <w:r>
        <w:rPr/>
        <w:t>peores</w:t>
      </w:r>
      <w:r>
        <w:rPr>
          <w:spacing w:val="-10"/>
        </w:rPr>
        <w:t> </w:t>
      </w:r>
      <w:r>
        <w:rPr/>
        <w:t>crisis</w:t>
      </w:r>
      <w:r>
        <w:rPr>
          <w:spacing w:val="-10"/>
        </w:rPr>
        <w:t> </w:t>
      </w:r>
      <w:r>
        <w:rPr/>
        <w:t>financieras</w:t>
      </w:r>
      <w:r>
        <w:rPr>
          <w:spacing w:val="-10"/>
        </w:rPr>
        <w:t> </w:t>
      </w:r>
      <w:r>
        <w:rPr/>
        <w:t>nacionales</w:t>
      </w:r>
      <w:r>
        <w:rPr>
          <w:spacing w:val="-6"/>
        </w:rPr>
        <w:t> </w:t>
      </w:r>
      <w:r>
        <w:rPr/>
        <w:t>por</w:t>
      </w:r>
      <w:r>
        <w:rPr>
          <w:spacing w:val="-10"/>
        </w:rPr>
        <w:t> </w:t>
      </w:r>
      <w:r>
        <w:rPr/>
        <w:t>el</w:t>
      </w:r>
      <w:r>
        <w:rPr>
          <w:spacing w:val="-10"/>
        </w:rPr>
        <w:t> </w:t>
      </w:r>
      <w:r>
        <w:rPr/>
        <w:t>gran</w:t>
      </w:r>
      <w:r>
        <w:rPr>
          <w:spacing w:val="-11"/>
        </w:rPr>
        <w:t> </w:t>
      </w:r>
      <w:r>
        <w:rPr/>
        <w:t>déficit</w:t>
      </w:r>
      <w:r>
        <w:rPr>
          <w:spacing w:val="-9"/>
        </w:rPr>
        <w:t> </w:t>
      </w:r>
      <w:r>
        <w:rPr/>
        <w:t>de</w:t>
      </w:r>
      <w:r>
        <w:rPr>
          <w:spacing w:val="-11"/>
        </w:rPr>
        <w:t> </w:t>
      </w:r>
      <w:r>
        <w:rPr/>
        <w:t>cuenta</w:t>
      </w:r>
      <w:r>
        <w:rPr>
          <w:w w:val="99"/>
        </w:rPr>
        <w:t> </w:t>
      </w:r>
      <w:r>
        <w:rPr/>
        <w:t>corriente</w:t>
      </w:r>
      <w:r>
        <w:rPr>
          <w:position w:val="8"/>
          <w:sz w:val="16"/>
        </w:rPr>
        <w:t>56 </w:t>
      </w:r>
      <w:r>
        <w:rPr/>
        <w:t>en 1994 el Jefe del Ejecutivo emprendió una política de austeridad</w:t>
      </w:r>
      <w:r>
        <w:rPr>
          <w:spacing w:val="-13"/>
        </w:rPr>
        <w:t> </w:t>
      </w:r>
      <w:r>
        <w:rPr/>
        <w:t>y</w:t>
      </w:r>
      <w:r>
        <w:rPr>
          <w:spacing w:val="-2"/>
        </w:rPr>
        <w:t> </w:t>
      </w:r>
      <w:r>
        <w:rPr/>
        <w:t>de</w:t>
      </w:r>
      <w:r>
        <w:rPr>
          <w:w w:val="99"/>
        </w:rPr>
        <w:t> </w:t>
      </w:r>
      <w:r>
        <w:rPr/>
        <w:t>privatización</w:t>
      </w:r>
      <w:r>
        <w:rPr>
          <w:spacing w:val="-14"/>
        </w:rPr>
        <w:t> </w:t>
      </w:r>
      <w:r>
        <w:rPr/>
        <w:t>de</w:t>
      </w:r>
      <w:r>
        <w:rPr>
          <w:spacing w:val="-18"/>
        </w:rPr>
        <w:t> </w:t>
      </w:r>
      <w:r>
        <w:rPr/>
        <w:t>los</w:t>
      </w:r>
      <w:r>
        <w:rPr>
          <w:spacing w:val="-12"/>
        </w:rPr>
        <w:t> </w:t>
      </w:r>
      <w:r>
        <w:rPr/>
        <w:t>bienes</w:t>
      </w:r>
      <w:r>
        <w:rPr>
          <w:spacing w:val="-16"/>
        </w:rPr>
        <w:t> </w:t>
      </w:r>
      <w:r>
        <w:rPr/>
        <w:t>del</w:t>
      </w:r>
      <w:r>
        <w:rPr>
          <w:spacing w:val="-17"/>
        </w:rPr>
        <w:t> </w:t>
      </w:r>
      <w:r>
        <w:rPr/>
        <w:t>Estado.</w:t>
      </w:r>
      <w:r>
        <w:rPr>
          <w:spacing w:val="-11"/>
        </w:rPr>
        <w:t> </w:t>
      </w:r>
      <w:r>
        <w:rPr/>
        <w:t>En</w:t>
      </w:r>
      <w:r>
        <w:rPr>
          <w:spacing w:val="-18"/>
        </w:rPr>
        <w:t> </w:t>
      </w:r>
      <w:r>
        <w:rPr/>
        <w:t>1996</w:t>
      </w:r>
      <w:r>
        <w:rPr>
          <w:spacing w:val="-18"/>
        </w:rPr>
        <w:t> </w:t>
      </w:r>
      <w:r>
        <w:rPr/>
        <w:t>comenzó</w:t>
      </w:r>
      <w:r>
        <w:rPr>
          <w:spacing w:val="-18"/>
        </w:rPr>
        <w:t> </w:t>
      </w:r>
      <w:r>
        <w:rPr/>
        <w:t>la</w:t>
      </w:r>
      <w:r>
        <w:rPr>
          <w:spacing w:val="-18"/>
        </w:rPr>
        <w:t> </w:t>
      </w:r>
      <w:r>
        <w:rPr/>
        <w:t>recuperación</w:t>
      </w:r>
      <w:r>
        <w:rPr>
          <w:spacing w:val="-18"/>
        </w:rPr>
        <w:t> </w:t>
      </w:r>
      <w:r>
        <w:rPr/>
        <w:t>financiera.</w:t>
      </w:r>
    </w:p>
    <w:p>
      <w:pPr>
        <w:pStyle w:val="BodyText"/>
        <w:spacing w:line="360" w:lineRule="auto" w:before="3"/>
        <w:ind w:left="120" w:right="117" w:firstLine="427"/>
        <w:jc w:val="both"/>
      </w:pPr>
      <w:r>
        <w:rPr/>
        <w:t>El modelo neoliberal mexicano </w:t>
      </w:r>
      <w:r>
        <w:rPr>
          <w:position w:val="8"/>
          <w:sz w:val="16"/>
        </w:rPr>
        <w:t>57 </w:t>
      </w:r>
      <w:r>
        <w:rPr/>
        <w:t>implementado a fines del Siglo XX incentivó la participación del mercado sin poner en marcha las políticas necesarias para moderar</w:t>
      </w:r>
      <w:r>
        <w:rPr>
          <w:spacing w:val="-6"/>
        </w:rPr>
        <w:t> </w:t>
      </w:r>
      <w:r>
        <w:rPr/>
        <w:t>sus</w:t>
      </w:r>
      <w:r>
        <w:rPr>
          <w:spacing w:val="-6"/>
        </w:rPr>
        <w:t> </w:t>
      </w:r>
      <w:r>
        <w:rPr/>
        <w:t>excesos,</w:t>
      </w:r>
      <w:r>
        <w:rPr>
          <w:spacing w:val="-5"/>
        </w:rPr>
        <w:t> </w:t>
      </w:r>
      <w:r>
        <w:rPr/>
        <w:t>lo</w:t>
      </w:r>
      <w:r>
        <w:rPr>
          <w:spacing w:val="-8"/>
        </w:rPr>
        <w:t> </w:t>
      </w:r>
      <w:r>
        <w:rPr/>
        <w:t>que</w:t>
      </w:r>
      <w:r>
        <w:rPr>
          <w:spacing w:val="-8"/>
        </w:rPr>
        <w:t> </w:t>
      </w:r>
      <w:r>
        <w:rPr/>
        <w:t>causó</w:t>
      </w:r>
      <w:r>
        <w:rPr>
          <w:spacing w:val="-8"/>
        </w:rPr>
        <w:t> </w:t>
      </w:r>
      <w:r>
        <w:rPr/>
        <w:t>una</w:t>
      </w:r>
      <w:r>
        <w:rPr>
          <w:spacing w:val="-8"/>
        </w:rPr>
        <w:t> </w:t>
      </w:r>
      <w:r>
        <w:rPr/>
        <w:t>reducción</w:t>
      </w:r>
      <w:r>
        <w:rPr>
          <w:spacing w:val="-8"/>
        </w:rPr>
        <w:t> </w:t>
      </w:r>
      <w:r>
        <w:rPr/>
        <w:t>de</w:t>
      </w:r>
      <w:r>
        <w:rPr>
          <w:spacing w:val="-8"/>
        </w:rPr>
        <w:t> </w:t>
      </w:r>
      <w:r>
        <w:rPr/>
        <w:t>la</w:t>
      </w:r>
      <w:r>
        <w:rPr>
          <w:spacing w:val="-8"/>
        </w:rPr>
        <w:t> </w:t>
      </w:r>
      <w:r>
        <w:rPr/>
        <w:t>participación</w:t>
      </w:r>
      <w:r>
        <w:rPr>
          <w:spacing w:val="-8"/>
        </w:rPr>
        <w:t> </w:t>
      </w:r>
      <w:r>
        <w:rPr/>
        <w:t>del</w:t>
      </w:r>
      <w:r>
        <w:rPr>
          <w:spacing w:val="-7"/>
        </w:rPr>
        <w:t> </w:t>
      </w:r>
      <w:r>
        <w:rPr/>
        <w:t>Estado.</w:t>
      </w:r>
      <w:r>
        <w:rPr>
          <w:spacing w:val="-5"/>
        </w:rPr>
        <w:t> </w:t>
      </w:r>
      <w:r>
        <w:rPr/>
        <w:t>El mayor espacio del mercado poco regulado por el Estado, propició una alta concentración del</w:t>
      </w:r>
      <w:r>
        <w:rPr>
          <w:spacing w:val="-15"/>
        </w:rPr>
        <w:t> </w:t>
      </w:r>
      <w:r>
        <w:rPr/>
        <w:t>ingreso.</w:t>
      </w:r>
    </w:p>
    <w:p>
      <w:pPr>
        <w:pStyle w:val="BodyText"/>
        <w:spacing w:line="360" w:lineRule="auto" w:before="2"/>
        <w:ind w:left="120" w:right="119" w:firstLine="427"/>
        <w:jc w:val="both"/>
        <w:rPr>
          <w:sz w:val="16"/>
        </w:rPr>
      </w:pPr>
      <w:r>
        <w:rPr/>
        <w:t>En 1997 el partido del poder perdió la mayoría en la Cámara de Diputados, lo cual fue interpretado como el inicio de un mejor equilibrio de poderes. En las elecciones presidenciales del año 2000, en las cuales el PRI concluye su periodo continuo de 71 años en el poder, hubo una autonomía de los poderes Ejecutivo y Legislativo.</w:t>
      </w:r>
      <w:r>
        <w:rPr>
          <w:position w:val="8"/>
          <w:sz w:val="16"/>
        </w:rPr>
        <w:t>58</w:t>
      </w:r>
    </w:p>
    <w:p>
      <w:pPr>
        <w:pStyle w:val="BodyText"/>
        <w:spacing w:line="360" w:lineRule="auto" w:before="2"/>
        <w:ind w:left="120" w:right="120" w:firstLine="427"/>
        <w:jc w:val="both"/>
      </w:pPr>
      <w:r>
        <w:rPr/>
        <w:t>La</w:t>
      </w:r>
      <w:r>
        <w:rPr>
          <w:spacing w:val="-14"/>
        </w:rPr>
        <w:t> </w:t>
      </w:r>
      <w:r>
        <w:rPr/>
        <w:t>complicada</w:t>
      </w:r>
      <w:r>
        <w:rPr>
          <w:spacing w:val="-14"/>
        </w:rPr>
        <w:t> </w:t>
      </w:r>
      <w:r>
        <w:rPr/>
        <w:t>situación</w:t>
      </w:r>
      <w:r>
        <w:rPr>
          <w:spacing w:val="-14"/>
        </w:rPr>
        <w:t> </w:t>
      </w:r>
      <w:r>
        <w:rPr/>
        <w:t>política</w:t>
      </w:r>
      <w:r>
        <w:rPr>
          <w:spacing w:val="-10"/>
        </w:rPr>
        <w:t> </w:t>
      </w:r>
      <w:r>
        <w:rPr/>
        <w:t>y</w:t>
      </w:r>
      <w:r>
        <w:rPr>
          <w:spacing w:val="-15"/>
        </w:rPr>
        <w:t> </w:t>
      </w:r>
      <w:r>
        <w:rPr/>
        <w:t>económica,</w:t>
      </w:r>
      <w:r>
        <w:rPr>
          <w:spacing w:val="-11"/>
        </w:rPr>
        <w:t> </w:t>
      </w:r>
      <w:r>
        <w:rPr/>
        <w:t>aunada</w:t>
      </w:r>
      <w:r>
        <w:rPr>
          <w:spacing w:val="-14"/>
        </w:rPr>
        <w:t> </w:t>
      </w:r>
      <w:r>
        <w:rPr/>
        <w:t>con</w:t>
      </w:r>
      <w:r>
        <w:rPr>
          <w:spacing w:val="-14"/>
        </w:rPr>
        <w:t> </w:t>
      </w:r>
      <w:r>
        <w:rPr/>
        <w:t>el</w:t>
      </w:r>
      <w:r>
        <w:rPr>
          <w:spacing w:val="-13"/>
        </w:rPr>
        <w:t> </w:t>
      </w:r>
      <w:r>
        <w:rPr/>
        <w:t>desprestigio</w:t>
      </w:r>
      <w:r>
        <w:rPr>
          <w:spacing w:val="-14"/>
        </w:rPr>
        <w:t> </w:t>
      </w:r>
      <w:r>
        <w:rPr/>
        <w:t>de</w:t>
      </w:r>
      <w:r>
        <w:rPr>
          <w:spacing w:val="-10"/>
        </w:rPr>
        <w:t> </w:t>
      </w:r>
      <w:r>
        <w:rPr/>
        <w:t>los políticos por el fraude electoral y la corrupción en el manejo de las empresas públicas</w:t>
      </w:r>
      <w:r>
        <w:rPr>
          <w:spacing w:val="-4"/>
        </w:rPr>
        <w:t> </w:t>
      </w:r>
      <w:r>
        <w:rPr/>
        <w:t>y</w:t>
      </w:r>
      <w:r>
        <w:rPr>
          <w:spacing w:val="-9"/>
        </w:rPr>
        <w:t> </w:t>
      </w:r>
      <w:r>
        <w:rPr/>
        <w:t>el</w:t>
      </w:r>
      <w:r>
        <w:rPr>
          <w:spacing w:val="-6"/>
        </w:rPr>
        <w:t> </w:t>
      </w:r>
      <w:r>
        <w:rPr/>
        <w:t>sector</w:t>
      </w:r>
      <w:r>
        <w:rPr>
          <w:spacing w:val="-4"/>
        </w:rPr>
        <w:t> </w:t>
      </w:r>
      <w:r>
        <w:rPr/>
        <w:t>público</w:t>
      </w:r>
      <w:r>
        <w:rPr>
          <w:spacing w:val="-6"/>
        </w:rPr>
        <w:t> </w:t>
      </w:r>
      <w:r>
        <w:rPr/>
        <w:t>en</w:t>
      </w:r>
      <w:r>
        <w:rPr>
          <w:spacing w:val="-6"/>
        </w:rPr>
        <w:t> </w:t>
      </w:r>
      <w:r>
        <w:rPr/>
        <w:t>general,</w:t>
      </w:r>
      <w:r>
        <w:rPr>
          <w:spacing w:val="-4"/>
        </w:rPr>
        <w:t> </w:t>
      </w:r>
      <w:r>
        <w:rPr/>
        <w:t>fue</w:t>
      </w:r>
      <w:r>
        <w:rPr>
          <w:spacing w:val="-6"/>
        </w:rPr>
        <w:t> </w:t>
      </w:r>
      <w:r>
        <w:rPr/>
        <w:t>heredada</w:t>
      </w:r>
      <w:r>
        <w:rPr>
          <w:spacing w:val="-6"/>
        </w:rPr>
        <w:t> </w:t>
      </w:r>
      <w:r>
        <w:rPr/>
        <w:t>a</w:t>
      </w:r>
      <w:r>
        <w:rPr>
          <w:spacing w:val="-6"/>
        </w:rPr>
        <w:t> </w:t>
      </w:r>
      <w:r>
        <w:rPr/>
        <w:t>Ernesto</w:t>
      </w:r>
      <w:r>
        <w:rPr>
          <w:spacing w:val="-6"/>
        </w:rPr>
        <w:t> </w:t>
      </w:r>
      <w:r>
        <w:rPr/>
        <w:t>Zedillo,</w:t>
      </w:r>
      <w:r>
        <w:rPr>
          <w:spacing w:val="-4"/>
        </w:rPr>
        <w:t> </w:t>
      </w:r>
      <w:r>
        <w:rPr/>
        <w:t>quien</w:t>
      </w:r>
      <w:r>
        <w:rPr>
          <w:spacing w:val="-6"/>
        </w:rPr>
        <w:t> </w:t>
      </w:r>
      <w:r>
        <w:rPr/>
        <w:t>actuó</w:t>
      </w:r>
    </w:p>
    <w:p>
      <w:pPr>
        <w:pStyle w:val="BodyText"/>
        <w:spacing w:before="10"/>
        <w:rPr>
          <w:sz w:val="21"/>
        </w:rPr>
      </w:pPr>
      <w:r>
        <w:rPr/>
        <w:pict>
          <v:line style="position:absolute;mso-position-horizontal-relative:page;mso-position-vertical-relative:paragraph;z-index:6664;mso-wrap-distance-left:0;mso-wrap-distance-right:0" from="85.025002pt,14.953881pt" to="229.075002pt,14.953881pt" stroked="true" strokeweight=".80005pt" strokecolor="#000000">
            <w10:wrap type="topAndBottom"/>
          </v:line>
        </w:pict>
      </w:r>
    </w:p>
    <w:p>
      <w:pPr>
        <w:spacing w:line="244" w:lineRule="auto" w:before="59"/>
        <w:ind w:left="120" w:right="382" w:firstLine="0"/>
        <w:jc w:val="left"/>
        <w:rPr>
          <w:sz w:val="16"/>
        </w:rPr>
      </w:pPr>
      <w:r>
        <w:rPr>
          <w:rFonts w:ascii="Times New Roman" w:hAnsi="Times New Roman"/>
          <w:position w:val="7"/>
          <w:sz w:val="13"/>
        </w:rPr>
        <w:t>55</w:t>
      </w:r>
      <w:r>
        <w:rPr>
          <w:sz w:val="16"/>
        </w:rPr>
        <w:t>Secretaría de la Función Pública, Conferencia Internacional sobre PbR, el programa de mejora de la gestión. Disponible en: </w:t>
      </w:r>
      <w:hyperlink r:id="rId104">
        <w:r>
          <w:rPr>
            <w:color w:val="0000FF"/>
            <w:sz w:val="16"/>
            <w:u w:val="single" w:color="0000FF"/>
          </w:rPr>
          <w:t>http://siteresources.worldbank.org/INTMEXICO/Resources/4-3DocumentoPbRSalvadorVegajun08VF.pdf</w:t>
        </w:r>
      </w:hyperlink>
      <w:r>
        <w:rPr>
          <w:color w:val="0000FF"/>
          <w:sz w:val="16"/>
          <w:u w:val="single" w:color="0000FF"/>
        </w:rPr>
        <w:t> </w:t>
      </w:r>
      <w:r>
        <w:rPr>
          <w:sz w:val="16"/>
        </w:rPr>
        <w:t>[Fecha de consulta: 17 de septiembre, 2015]</w:t>
      </w:r>
    </w:p>
    <w:p>
      <w:pPr>
        <w:spacing w:line="196" w:lineRule="exact" w:before="25"/>
        <w:ind w:left="120" w:right="0" w:firstLine="0"/>
        <w:jc w:val="left"/>
        <w:rPr>
          <w:sz w:val="16"/>
        </w:rPr>
      </w:pPr>
      <w:r>
        <w:rPr>
          <w:rFonts w:ascii="Times New Roman" w:hAnsi="Times New Roman"/>
          <w:position w:val="7"/>
          <w:sz w:val="13"/>
        </w:rPr>
        <w:t>56</w:t>
      </w:r>
      <w:r>
        <w:rPr>
          <w:sz w:val="16"/>
        </w:rPr>
        <w:t>De 30 mil millones de dólares. Disponible en: </w:t>
      </w:r>
      <w:hyperlink r:id="rId105">
        <w:r>
          <w:rPr>
            <w:color w:val="0000FF"/>
            <w:sz w:val="16"/>
            <w:u w:val="single" w:color="0000FF"/>
          </w:rPr>
          <w:t>http://www.oocities.org/hectorh83/Historia1.htm</w:t>
        </w:r>
        <w:r>
          <w:rPr>
            <w:color w:val="0000FF"/>
            <w:sz w:val="16"/>
          </w:rPr>
          <w:t>l</w:t>
        </w:r>
      </w:hyperlink>
      <w:r>
        <w:rPr>
          <w:color w:val="0000FF"/>
          <w:sz w:val="16"/>
        </w:rPr>
        <w:t> </w:t>
      </w:r>
      <w:r>
        <w:rPr>
          <w:sz w:val="16"/>
        </w:rPr>
        <w:t>[Fecha de consulta: 17 de septiembre, 2015</w:t>
      </w:r>
    </w:p>
    <w:p>
      <w:pPr>
        <w:spacing w:line="215" w:lineRule="exact" w:before="0"/>
        <w:ind w:left="120" w:right="0" w:firstLine="0"/>
        <w:jc w:val="left"/>
        <w:rPr>
          <w:sz w:val="16"/>
        </w:rPr>
      </w:pPr>
      <w:r>
        <w:rPr>
          <w:rFonts w:ascii="Times New Roman" w:hAnsi="Times New Roman"/>
          <w:position w:val="7"/>
          <w:sz w:val="13"/>
        </w:rPr>
        <w:t>57</w:t>
      </w:r>
      <w:r>
        <w:rPr>
          <w:sz w:val="16"/>
        </w:rPr>
        <w:t>El modelo neoliberal es denominado así por las corrientes políticas de izquierda y no por la literatura económica, considera</w:t>
      </w:r>
    </w:p>
    <w:p>
      <w:pPr>
        <w:spacing w:before="8"/>
        <w:ind w:left="120" w:right="0" w:firstLine="0"/>
        <w:jc w:val="left"/>
        <w:rPr>
          <w:sz w:val="16"/>
        </w:rPr>
      </w:pPr>
      <w:r>
        <w:rPr>
          <w:sz w:val="16"/>
        </w:rPr>
        <w:t>una mayor participación del mercado y la reducción de la intervención del Estado, pero que ello corresponde mayormente a intereses políticos y no económicos.</w:t>
      </w:r>
    </w:p>
    <w:p>
      <w:pPr>
        <w:spacing w:line="220" w:lineRule="exact" w:before="0"/>
        <w:ind w:left="120" w:right="0" w:firstLine="0"/>
        <w:jc w:val="left"/>
        <w:rPr>
          <w:sz w:val="16"/>
        </w:rPr>
      </w:pPr>
      <w:r>
        <w:rPr>
          <w:rFonts w:ascii="Times New Roman" w:hAnsi="Times New Roman"/>
          <w:position w:val="7"/>
          <w:sz w:val="13"/>
        </w:rPr>
        <w:t>58</w:t>
      </w:r>
      <w:r>
        <w:rPr>
          <w:sz w:val="16"/>
        </w:rPr>
        <w:t>El retorno del PRI en 2012 no implicó que el partido contara con la mayoría calificada en el Congreso.</w:t>
      </w:r>
    </w:p>
    <w:p>
      <w:pPr>
        <w:spacing w:after="0" w:line="220" w:lineRule="exact"/>
        <w:jc w:val="left"/>
        <w:rPr>
          <w:sz w:val="16"/>
        </w:rPr>
        <w:sectPr>
          <w:pgSz w:w="12240" w:h="15840"/>
          <w:pgMar w:header="0" w:footer="998" w:top="1360" w:bottom="1180" w:left="1580" w:right="1580"/>
        </w:sectPr>
      </w:pPr>
    </w:p>
    <w:p>
      <w:pPr>
        <w:pStyle w:val="BodyText"/>
        <w:spacing w:line="357" w:lineRule="auto" w:before="55"/>
        <w:ind w:left="120" w:right="118"/>
        <w:jc w:val="both"/>
      </w:pPr>
      <w:r>
        <w:rPr>
          <w:spacing w:val="-2"/>
        </w:rPr>
        <w:t>más </w:t>
      </w:r>
      <w:r>
        <w:rPr/>
        <w:t>como tecnócrata (economista) que político. Esta característica del Jefe del Ejecutivo</w:t>
      </w:r>
      <w:r>
        <w:rPr>
          <w:spacing w:val="-10"/>
        </w:rPr>
        <w:t> </w:t>
      </w:r>
      <w:r>
        <w:rPr/>
        <w:t>del</w:t>
      </w:r>
      <w:r>
        <w:rPr>
          <w:spacing w:val="-9"/>
        </w:rPr>
        <w:t> </w:t>
      </w:r>
      <w:r>
        <w:rPr/>
        <w:t>Partido</w:t>
      </w:r>
      <w:r>
        <w:rPr>
          <w:spacing w:val="-10"/>
        </w:rPr>
        <w:t> </w:t>
      </w:r>
      <w:r>
        <w:rPr/>
        <w:t>Revolucionario</w:t>
      </w:r>
      <w:r>
        <w:rPr>
          <w:spacing w:val="-10"/>
        </w:rPr>
        <w:t> </w:t>
      </w:r>
      <w:r>
        <w:rPr/>
        <w:t>Institucional</w:t>
      </w:r>
      <w:r>
        <w:rPr>
          <w:spacing w:val="-9"/>
        </w:rPr>
        <w:t> </w:t>
      </w:r>
      <w:r>
        <w:rPr/>
        <w:t>(PRI)</w:t>
      </w:r>
      <w:r>
        <w:rPr>
          <w:position w:val="8"/>
          <w:sz w:val="16"/>
        </w:rPr>
        <w:t>59</w:t>
      </w:r>
      <w:r>
        <w:rPr/>
        <w:t>le</w:t>
      </w:r>
      <w:r>
        <w:rPr>
          <w:spacing w:val="-10"/>
        </w:rPr>
        <w:t> </w:t>
      </w:r>
      <w:r>
        <w:rPr/>
        <w:t>permitió</w:t>
      </w:r>
      <w:r>
        <w:rPr>
          <w:spacing w:val="-10"/>
        </w:rPr>
        <w:t> </w:t>
      </w:r>
      <w:r>
        <w:rPr/>
        <w:t>hacer</w:t>
      </w:r>
      <w:r>
        <w:rPr>
          <w:spacing w:val="-8"/>
        </w:rPr>
        <w:t> </w:t>
      </w:r>
      <w:r>
        <w:rPr/>
        <w:t>frente</w:t>
      </w:r>
      <w:r>
        <w:rPr>
          <w:spacing w:val="-10"/>
        </w:rPr>
        <w:t> </w:t>
      </w:r>
      <w:r>
        <w:rPr/>
        <w:t>a</w:t>
      </w:r>
      <w:r>
        <w:rPr>
          <w:spacing w:val="-10"/>
        </w:rPr>
        <w:t> </w:t>
      </w:r>
      <w:r>
        <w:rPr/>
        <w:t>la situación económica, pero su renuencia a actuar como político y representar a su partido, entre otros factores,</w:t>
      </w:r>
      <w:r>
        <w:rPr>
          <w:position w:val="8"/>
          <w:sz w:val="16"/>
        </w:rPr>
        <w:t>60</w:t>
      </w:r>
      <w:r>
        <w:rPr/>
        <w:t>hizo que el PRI alternara el poder en los 12 años siguientes.</w:t>
      </w:r>
    </w:p>
    <w:p>
      <w:pPr>
        <w:pStyle w:val="BodyText"/>
        <w:spacing w:line="357" w:lineRule="auto" w:before="8"/>
        <w:ind w:left="120" w:right="120" w:firstLine="427"/>
        <w:jc w:val="both"/>
      </w:pPr>
      <w:r>
        <w:rPr/>
        <w:t>A partir de entonces, el ejercicio del poder se orienta más hacia la institucionalidad y se transita del gobierno de las personas al de las instituciones.</w:t>
      </w:r>
    </w:p>
    <w:p>
      <w:pPr>
        <w:pStyle w:val="BodyText"/>
      </w:pPr>
    </w:p>
    <w:p>
      <w:pPr>
        <w:pStyle w:val="Heading3"/>
        <w:numPr>
          <w:ilvl w:val="2"/>
          <w:numId w:val="41"/>
        </w:numPr>
        <w:tabs>
          <w:tab w:pos="720" w:val="left" w:leader="none"/>
        </w:tabs>
        <w:spacing w:line="240" w:lineRule="auto" w:before="140" w:after="0"/>
        <w:ind w:left="719" w:right="0" w:hanging="599"/>
        <w:jc w:val="both"/>
      </w:pPr>
      <w:bookmarkStart w:name="_bookmark49" w:id="67"/>
      <w:bookmarkEnd w:id="67"/>
      <w:r>
        <w:rPr>
          <w:b w:val="0"/>
        </w:rPr>
      </w:r>
      <w:bookmarkStart w:name="_bookmark49" w:id="68"/>
      <w:bookmarkEnd w:id="68"/>
      <w:r>
        <w:rPr/>
        <w:t>P</w:t>
      </w:r>
      <w:r>
        <w:rPr/>
        <w:t>rincipales características de la intervención del Estado en la</w:t>
      </w:r>
      <w:r>
        <w:rPr>
          <w:spacing w:val="-34"/>
        </w:rPr>
        <w:t> </w:t>
      </w:r>
      <w:r>
        <w:rPr/>
        <w:t>política</w:t>
      </w:r>
    </w:p>
    <w:p>
      <w:pPr>
        <w:pStyle w:val="BodyText"/>
        <w:rPr>
          <w:b/>
        </w:rPr>
      </w:pPr>
    </w:p>
    <w:p>
      <w:pPr>
        <w:pStyle w:val="BodyText"/>
        <w:spacing w:before="4"/>
        <w:rPr>
          <w:b/>
        </w:rPr>
      </w:pPr>
    </w:p>
    <w:p>
      <w:pPr>
        <w:pStyle w:val="BodyText"/>
        <w:spacing w:line="360" w:lineRule="auto"/>
        <w:ind w:left="120" w:right="119"/>
        <w:jc w:val="both"/>
      </w:pPr>
      <w:r>
        <w:rPr/>
        <w:t>Los</w:t>
      </w:r>
      <w:r>
        <w:rPr>
          <w:spacing w:val="-18"/>
        </w:rPr>
        <w:t> </w:t>
      </w:r>
      <w:r>
        <w:rPr/>
        <w:t>siglos</w:t>
      </w:r>
      <w:r>
        <w:rPr>
          <w:spacing w:val="-14"/>
        </w:rPr>
        <w:t> </w:t>
      </w:r>
      <w:r>
        <w:rPr/>
        <w:t>XIX</w:t>
      </w:r>
      <w:r>
        <w:rPr>
          <w:spacing w:val="-18"/>
        </w:rPr>
        <w:t> </w:t>
      </w:r>
      <w:r>
        <w:rPr/>
        <w:t>y</w:t>
      </w:r>
      <w:r>
        <w:rPr>
          <w:spacing w:val="-18"/>
        </w:rPr>
        <w:t> </w:t>
      </w:r>
      <w:r>
        <w:rPr/>
        <w:t>XX</w:t>
      </w:r>
      <w:r>
        <w:rPr>
          <w:spacing w:val="-22"/>
        </w:rPr>
        <w:t> </w:t>
      </w:r>
      <w:r>
        <w:rPr/>
        <w:t>se</w:t>
      </w:r>
      <w:r>
        <w:rPr>
          <w:spacing w:val="-20"/>
        </w:rPr>
        <w:t> </w:t>
      </w:r>
      <w:r>
        <w:rPr/>
        <w:t>caracterizaron</w:t>
      </w:r>
      <w:r>
        <w:rPr>
          <w:spacing w:val="-20"/>
        </w:rPr>
        <w:t> </w:t>
      </w:r>
      <w:r>
        <w:rPr/>
        <w:t>por</w:t>
      </w:r>
      <w:r>
        <w:rPr>
          <w:spacing w:val="-18"/>
        </w:rPr>
        <w:t> </w:t>
      </w:r>
      <w:r>
        <w:rPr/>
        <w:t>una</w:t>
      </w:r>
      <w:r>
        <w:rPr>
          <w:spacing w:val="-20"/>
        </w:rPr>
        <w:t> </w:t>
      </w:r>
      <w:r>
        <w:rPr/>
        <w:t>soberanía</w:t>
      </w:r>
      <w:r>
        <w:rPr>
          <w:spacing w:val="-20"/>
        </w:rPr>
        <w:t> </w:t>
      </w:r>
      <w:r>
        <w:rPr/>
        <w:t>del</w:t>
      </w:r>
      <w:r>
        <w:rPr>
          <w:spacing w:val="-19"/>
        </w:rPr>
        <w:t> </w:t>
      </w:r>
      <w:r>
        <w:rPr/>
        <w:t>Jefe</w:t>
      </w:r>
      <w:r>
        <w:rPr>
          <w:spacing w:val="-20"/>
        </w:rPr>
        <w:t> </w:t>
      </w:r>
      <w:r>
        <w:rPr/>
        <w:t>del</w:t>
      </w:r>
      <w:r>
        <w:rPr>
          <w:spacing w:val="-19"/>
        </w:rPr>
        <w:t> </w:t>
      </w:r>
      <w:r>
        <w:rPr/>
        <w:t>Poder</w:t>
      </w:r>
      <w:r>
        <w:rPr>
          <w:spacing w:val="-18"/>
        </w:rPr>
        <w:t> </w:t>
      </w:r>
      <w:r>
        <w:rPr/>
        <w:t>Ejecutivo sobre los otros dos poderes, en los cuales la clase política impuso un régimen oligárquico. Aunque se considera que el partido político que gobernó en 71 años atendió las demandas de la población y hubo cierta estabilidad política, también privilegió los intereses de los capitalistas nacionales y extranjeros, con escasa viabilidad al país. En algunos momentos en la década de 1970 se contó con desarrollo y</w:t>
      </w:r>
      <w:r>
        <w:rPr>
          <w:spacing w:val="-14"/>
        </w:rPr>
        <w:t> </w:t>
      </w:r>
      <w:r>
        <w:rPr/>
        <w:t>bienestar.</w:t>
      </w:r>
    </w:p>
    <w:p>
      <w:pPr>
        <w:pStyle w:val="BodyText"/>
        <w:spacing w:line="360" w:lineRule="auto" w:before="6"/>
        <w:ind w:left="120" w:right="119" w:firstLine="427"/>
        <w:jc w:val="both"/>
      </w:pPr>
      <w:r>
        <w:rPr/>
        <w:t>La ampliación de los mercados financieros internacionales en el Siglo XX (inversión especulativa) ha generado las grandes crisis financieras, que ha</w:t>
      </w:r>
      <w:r>
        <w:rPr>
          <w:color w:val="00AF50"/>
        </w:rPr>
        <w:t>n</w:t>
      </w:r>
      <w:r>
        <w:rPr/>
        <w:t>ocasionado</w:t>
      </w:r>
      <w:r>
        <w:rPr>
          <w:spacing w:val="-12"/>
        </w:rPr>
        <w:t> </w:t>
      </w:r>
      <w:r>
        <w:rPr/>
        <w:t>que</w:t>
      </w:r>
      <w:r>
        <w:rPr>
          <w:spacing w:val="-12"/>
        </w:rPr>
        <w:t> </w:t>
      </w:r>
      <w:r>
        <w:rPr/>
        <w:t>el</w:t>
      </w:r>
      <w:r>
        <w:rPr>
          <w:spacing w:val="-8"/>
        </w:rPr>
        <w:t> </w:t>
      </w:r>
      <w:r>
        <w:rPr/>
        <w:t>mercado</w:t>
      </w:r>
      <w:r>
        <w:rPr>
          <w:spacing w:val="-12"/>
        </w:rPr>
        <w:t> </w:t>
      </w:r>
      <w:r>
        <w:rPr/>
        <w:t>sea</w:t>
      </w:r>
      <w:r>
        <w:rPr>
          <w:spacing w:val="-9"/>
        </w:rPr>
        <w:t> </w:t>
      </w:r>
      <w:r>
        <w:rPr/>
        <w:t>menos</w:t>
      </w:r>
      <w:r>
        <w:rPr>
          <w:spacing w:val="-11"/>
        </w:rPr>
        <w:t> </w:t>
      </w:r>
      <w:r>
        <w:rPr/>
        <w:t>eficiente,</w:t>
      </w:r>
      <w:r>
        <w:rPr>
          <w:spacing w:val="-10"/>
        </w:rPr>
        <w:t> </w:t>
      </w:r>
      <w:r>
        <w:rPr/>
        <w:t>lo</w:t>
      </w:r>
      <w:r>
        <w:rPr>
          <w:spacing w:val="-12"/>
        </w:rPr>
        <w:t> </w:t>
      </w:r>
      <w:r>
        <w:rPr/>
        <w:t>que</w:t>
      </w:r>
      <w:r>
        <w:rPr>
          <w:spacing w:val="-12"/>
        </w:rPr>
        <w:t> </w:t>
      </w:r>
      <w:r>
        <w:rPr/>
        <w:t>aunado</w:t>
      </w:r>
      <w:r>
        <w:rPr>
          <w:spacing w:val="-12"/>
        </w:rPr>
        <w:t> </w:t>
      </w:r>
      <w:r>
        <w:rPr/>
        <w:t>a</w:t>
      </w:r>
      <w:r>
        <w:rPr>
          <w:spacing w:val="-12"/>
        </w:rPr>
        <w:t> </w:t>
      </w:r>
      <w:r>
        <w:rPr/>
        <w:t>que</w:t>
      </w:r>
      <w:r>
        <w:rPr>
          <w:spacing w:val="-12"/>
        </w:rPr>
        <w:t> </w:t>
      </w:r>
      <w:r>
        <w:rPr/>
        <w:t>el</w:t>
      </w:r>
      <w:r>
        <w:rPr>
          <w:spacing w:val="-8"/>
        </w:rPr>
        <w:t> </w:t>
      </w:r>
      <w:r>
        <w:rPr/>
        <w:t>Estado solo haya servido para subsidiar al capital, delimitó la participación</w:t>
      </w:r>
      <w:r>
        <w:rPr>
          <w:spacing w:val="-43"/>
        </w:rPr>
        <w:t> </w:t>
      </w:r>
      <w:r>
        <w:rPr/>
        <w:t>ciudadana.</w:t>
      </w:r>
    </w:p>
    <w:p>
      <w:pPr>
        <w:pStyle w:val="BodyText"/>
      </w:pPr>
    </w:p>
    <w:p>
      <w:pPr>
        <w:pStyle w:val="BodyText"/>
        <w:spacing w:line="360" w:lineRule="auto" w:before="142"/>
        <w:ind w:left="120" w:right="115" w:firstLine="427"/>
        <w:jc w:val="both"/>
      </w:pPr>
      <w:r>
        <w:rPr/>
        <w:t>En el aspecto económico, el privilegio que el Estado otorgó a los capitalistas terminó por afectar a las clases sociales más bajas. La actividad del Estado de proteger la empresa pública y privada demandó mayores recursos y limitó la generación de empleos.</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6688;mso-wrap-distance-left:0;mso-wrap-distance-right:0" from="85.025002pt,14.955834pt" to="229.075002pt,14.955834pt" stroked="true" strokeweight=".80005pt" strokecolor="#000000">
            <w10:wrap type="topAndBottom"/>
          </v:line>
        </w:pict>
      </w:r>
    </w:p>
    <w:p>
      <w:pPr>
        <w:spacing w:before="59"/>
        <w:ind w:left="120" w:right="0" w:firstLine="0"/>
        <w:jc w:val="both"/>
        <w:rPr>
          <w:sz w:val="16"/>
        </w:rPr>
      </w:pPr>
      <w:r>
        <w:rPr>
          <w:rFonts w:ascii="Times New Roman" w:hAnsi="Times New Roman"/>
          <w:position w:val="7"/>
          <w:sz w:val="13"/>
        </w:rPr>
        <w:t>59</w:t>
      </w:r>
      <w:r>
        <w:rPr>
          <w:sz w:val="16"/>
        </w:rPr>
        <w:t>El Partido de la Revolución Mexicana cambió de denominación a Partido Revolucionario Institucional en 1946.</w:t>
      </w:r>
    </w:p>
    <w:p>
      <w:pPr>
        <w:spacing w:line="242" w:lineRule="auto" w:before="2"/>
        <w:ind w:left="120" w:right="119" w:firstLine="0"/>
        <w:jc w:val="both"/>
        <w:rPr>
          <w:sz w:val="16"/>
        </w:rPr>
      </w:pPr>
      <w:r>
        <w:rPr>
          <w:rFonts w:ascii="Times New Roman" w:hAnsi="Times New Roman"/>
          <w:position w:val="7"/>
          <w:sz w:val="13"/>
        </w:rPr>
        <w:t>60</w:t>
      </w:r>
      <w:r>
        <w:rPr>
          <w:sz w:val="16"/>
        </w:rPr>
        <w:t>Algunos</w:t>
      </w:r>
      <w:r>
        <w:rPr>
          <w:spacing w:val="-6"/>
          <w:sz w:val="16"/>
        </w:rPr>
        <w:t> </w:t>
      </w:r>
      <w:r>
        <w:rPr>
          <w:sz w:val="16"/>
        </w:rPr>
        <w:t>de los</w:t>
      </w:r>
      <w:r>
        <w:rPr>
          <w:spacing w:val="-6"/>
          <w:sz w:val="16"/>
        </w:rPr>
        <w:t> </w:t>
      </w:r>
      <w:r>
        <w:rPr>
          <w:sz w:val="16"/>
        </w:rPr>
        <w:t>factores</w:t>
      </w:r>
      <w:r>
        <w:rPr>
          <w:spacing w:val="-6"/>
          <w:sz w:val="16"/>
        </w:rPr>
        <w:t> </w:t>
      </w:r>
      <w:r>
        <w:rPr>
          <w:sz w:val="16"/>
        </w:rPr>
        <w:t>políticos</w:t>
      </w:r>
      <w:r>
        <w:rPr>
          <w:spacing w:val="-6"/>
          <w:sz w:val="16"/>
        </w:rPr>
        <w:t> </w:t>
      </w:r>
      <w:r>
        <w:rPr>
          <w:sz w:val="16"/>
        </w:rPr>
        <w:t>que influyeron</w:t>
      </w:r>
      <w:r>
        <w:rPr>
          <w:spacing w:val="-7"/>
          <w:sz w:val="16"/>
        </w:rPr>
        <w:t> </w:t>
      </w:r>
      <w:r>
        <w:rPr>
          <w:sz w:val="16"/>
        </w:rPr>
        <w:t>en</w:t>
      </w:r>
      <w:r>
        <w:rPr>
          <w:spacing w:val="-7"/>
          <w:sz w:val="16"/>
        </w:rPr>
        <w:t> </w:t>
      </w:r>
      <w:r>
        <w:rPr>
          <w:sz w:val="16"/>
        </w:rPr>
        <w:t>el</w:t>
      </w:r>
      <w:r>
        <w:rPr>
          <w:spacing w:val="-6"/>
          <w:sz w:val="16"/>
        </w:rPr>
        <w:t> </w:t>
      </w:r>
      <w:r>
        <w:rPr>
          <w:sz w:val="16"/>
        </w:rPr>
        <w:t>cambio</w:t>
      </w:r>
      <w:r>
        <w:rPr>
          <w:spacing w:val="-3"/>
          <w:sz w:val="16"/>
        </w:rPr>
        <w:t> </w:t>
      </w:r>
      <w:r>
        <w:rPr>
          <w:sz w:val="16"/>
        </w:rPr>
        <w:t>del</w:t>
      </w:r>
      <w:r>
        <w:rPr>
          <w:spacing w:val="-6"/>
          <w:sz w:val="16"/>
        </w:rPr>
        <w:t> </w:t>
      </w:r>
      <w:r>
        <w:rPr>
          <w:sz w:val="16"/>
        </w:rPr>
        <w:t>partido hegemónico</w:t>
      </w:r>
      <w:r>
        <w:rPr>
          <w:spacing w:val="-3"/>
          <w:sz w:val="16"/>
        </w:rPr>
        <w:t> </w:t>
      </w:r>
      <w:r>
        <w:rPr>
          <w:sz w:val="16"/>
        </w:rPr>
        <w:t>en</w:t>
      </w:r>
      <w:r>
        <w:rPr>
          <w:spacing w:val="-4"/>
          <w:sz w:val="16"/>
        </w:rPr>
        <w:t> </w:t>
      </w:r>
      <w:r>
        <w:rPr>
          <w:sz w:val="16"/>
        </w:rPr>
        <w:t>el</w:t>
      </w:r>
      <w:r>
        <w:rPr>
          <w:spacing w:val="-6"/>
          <w:sz w:val="16"/>
        </w:rPr>
        <w:t> </w:t>
      </w:r>
      <w:r>
        <w:rPr>
          <w:sz w:val="16"/>
        </w:rPr>
        <w:t>año</w:t>
      </w:r>
      <w:r>
        <w:rPr>
          <w:spacing w:val="-3"/>
          <w:sz w:val="16"/>
        </w:rPr>
        <w:t> </w:t>
      </w:r>
      <w:r>
        <w:rPr>
          <w:sz w:val="16"/>
        </w:rPr>
        <w:t>2000</w:t>
      </w:r>
      <w:r>
        <w:rPr>
          <w:spacing w:val="-3"/>
          <w:sz w:val="16"/>
        </w:rPr>
        <w:t> </w:t>
      </w:r>
      <w:r>
        <w:rPr>
          <w:sz w:val="16"/>
        </w:rPr>
        <w:t>fue</w:t>
      </w:r>
      <w:r>
        <w:rPr>
          <w:spacing w:val="-3"/>
          <w:sz w:val="16"/>
        </w:rPr>
        <w:t> </w:t>
      </w:r>
      <w:r>
        <w:rPr>
          <w:sz w:val="16"/>
        </w:rPr>
        <w:t>que</w:t>
      </w:r>
      <w:r>
        <w:rPr>
          <w:spacing w:val="-3"/>
          <w:sz w:val="16"/>
        </w:rPr>
        <w:t> </w:t>
      </w:r>
      <w:r>
        <w:rPr>
          <w:sz w:val="16"/>
        </w:rPr>
        <w:t>desde 1989</w:t>
      </w:r>
      <w:r>
        <w:rPr>
          <w:spacing w:val="-3"/>
          <w:sz w:val="16"/>
        </w:rPr>
        <w:t> </w:t>
      </w:r>
      <w:r>
        <w:rPr>
          <w:sz w:val="16"/>
        </w:rPr>
        <w:t>el PRI perdió su representación en Baja California; la intervención de Jefe de Gobierno en 1991 en la designación del Gobernador de Guanajuato; que PRI haya eligió un candidato sustituto en 1994, lo que causó una figura presidencial débil pese</w:t>
      </w:r>
      <w:r>
        <w:rPr>
          <w:spacing w:val="-3"/>
          <w:sz w:val="16"/>
        </w:rPr>
        <w:t> </w:t>
      </w:r>
      <w:r>
        <w:rPr>
          <w:sz w:val="16"/>
        </w:rPr>
        <w:t>a</w:t>
      </w:r>
      <w:r>
        <w:rPr>
          <w:spacing w:val="-1"/>
          <w:sz w:val="16"/>
        </w:rPr>
        <w:t> </w:t>
      </w:r>
      <w:r>
        <w:rPr>
          <w:sz w:val="16"/>
        </w:rPr>
        <w:t>ser</w:t>
      </w:r>
      <w:r>
        <w:rPr>
          <w:spacing w:val="-4"/>
          <w:sz w:val="16"/>
        </w:rPr>
        <w:t> </w:t>
      </w:r>
      <w:r>
        <w:rPr>
          <w:sz w:val="16"/>
        </w:rPr>
        <w:t>considerado</w:t>
      </w:r>
      <w:r>
        <w:rPr>
          <w:spacing w:val="-3"/>
          <w:sz w:val="16"/>
        </w:rPr>
        <w:t> </w:t>
      </w:r>
      <w:r>
        <w:rPr>
          <w:sz w:val="16"/>
        </w:rPr>
        <w:t>como un</w:t>
      </w:r>
      <w:r>
        <w:rPr>
          <w:spacing w:val="-6"/>
          <w:sz w:val="16"/>
        </w:rPr>
        <w:t> </w:t>
      </w:r>
      <w:r>
        <w:rPr>
          <w:sz w:val="16"/>
        </w:rPr>
        <w:t>tecnócrata</w:t>
      </w:r>
      <w:r>
        <w:rPr>
          <w:spacing w:val="-3"/>
          <w:sz w:val="16"/>
        </w:rPr>
        <w:t> </w:t>
      </w:r>
      <w:r>
        <w:rPr>
          <w:sz w:val="16"/>
        </w:rPr>
        <w:t>yneoliberal; el</w:t>
      </w:r>
      <w:r>
        <w:rPr>
          <w:spacing w:val="-6"/>
          <w:sz w:val="16"/>
        </w:rPr>
        <w:t> </w:t>
      </w:r>
      <w:r>
        <w:rPr>
          <w:sz w:val="16"/>
        </w:rPr>
        <w:t>cuestionamiento</w:t>
      </w:r>
      <w:r>
        <w:rPr>
          <w:spacing w:val="-4"/>
          <w:sz w:val="16"/>
        </w:rPr>
        <w:t> </w:t>
      </w:r>
      <w:r>
        <w:rPr>
          <w:sz w:val="16"/>
        </w:rPr>
        <w:t>de</w:t>
      </w:r>
      <w:r>
        <w:rPr>
          <w:spacing w:val="-3"/>
          <w:sz w:val="16"/>
        </w:rPr>
        <w:t> </w:t>
      </w:r>
      <w:r>
        <w:rPr>
          <w:sz w:val="16"/>
        </w:rPr>
        <w:t>la</w:t>
      </w:r>
      <w:r>
        <w:rPr>
          <w:spacing w:val="-3"/>
          <w:sz w:val="16"/>
        </w:rPr>
        <w:t> </w:t>
      </w:r>
      <w:r>
        <w:rPr>
          <w:sz w:val="16"/>
        </w:rPr>
        <w:t>injerencia</w:t>
      </w:r>
      <w:r>
        <w:rPr>
          <w:spacing w:val="-3"/>
          <w:sz w:val="16"/>
        </w:rPr>
        <w:t> </w:t>
      </w:r>
      <w:r>
        <w:rPr>
          <w:sz w:val="16"/>
        </w:rPr>
        <w:t>del</w:t>
      </w:r>
      <w:r>
        <w:rPr>
          <w:spacing w:val="-6"/>
          <w:sz w:val="16"/>
        </w:rPr>
        <w:t> </w:t>
      </w:r>
      <w:r>
        <w:rPr>
          <w:sz w:val="16"/>
        </w:rPr>
        <w:t>Jefe</w:t>
      </w:r>
      <w:r>
        <w:rPr>
          <w:spacing w:val="-3"/>
          <w:sz w:val="16"/>
        </w:rPr>
        <w:t> </w:t>
      </w:r>
      <w:r>
        <w:rPr>
          <w:sz w:val="16"/>
        </w:rPr>
        <w:t>del</w:t>
      </w:r>
      <w:r>
        <w:rPr>
          <w:spacing w:val="-6"/>
          <w:sz w:val="16"/>
        </w:rPr>
        <w:t> </w:t>
      </w:r>
      <w:r>
        <w:rPr>
          <w:sz w:val="16"/>
        </w:rPr>
        <w:t>Ejecutivo</w:t>
      </w:r>
      <w:r>
        <w:rPr>
          <w:spacing w:val="-3"/>
          <w:sz w:val="16"/>
        </w:rPr>
        <w:t> </w:t>
      </w:r>
      <w:r>
        <w:rPr>
          <w:sz w:val="16"/>
        </w:rPr>
        <w:t>en</w:t>
      </w:r>
      <w:r>
        <w:rPr>
          <w:spacing w:val="-4"/>
          <w:sz w:val="16"/>
        </w:rPr>
        <w:t> </w:t>
      </w:r>
      <w:r>
        <w:rPr>
          <w:sz w:val="16"/>
        </w:rPr>
        <w:t>asuntos electorales</w:t>
      </w:r>
      <w:r>
        <w:rPr>
          <w:spacing w:val="-7"/>
          <w:sz w:val="16"/>
        </w:rPr>
        <w:t> </w:t>
      </w:r>
      <w:r>
        <w:rPr>
          <w:sz w:val="16"/>
        </w:rPr>
        <w:t>en</w:t>
      </w:r>
      <w:r>
        <w:rPr>
          <w:spacing w:val="-8"/>
          <w:sz w:val="16"/>
        </w:rPr>
        <w:t> </w:t>
      </w:r>
      <w:r>
        <w:rPr>
          <w:sz w:val="16"/>
        </w:rPr>
        <w:t>Tabasco y</w:t>
      </w:r>
      <w:r>
        <w:rPr>
          <w:spacing w:val="-11"/>
          <w:sz w:val="16"/>
        </w:rPr>
        <w:t> </w:t>
      </w:r>
      <w:r>
        <w:rPr>
          <w:sz w:val="16"/>
        </w:rPr>
        <w:t>Puebla;</w:t>
      </w:r>
      <w:r>
        <w:rPr>
          <w:spacing w:val="-3"/>
          <w:sz w:val="16"/>
        </w:rPr>
        <w:t> </w:t>
      </w:r>
      <w:r>
        <w:rPr>
          <w:sz w:val="16"/>
        </w:rPr>
        <w:t>su</w:t>
      </w:r>
      <w:r>
        <w:rPr>
          <w:spacing w:val="-8"/>
          <w:sz w:val="16"/>
        </w:rPr>
        <w:t> </w:t>
      </w:r>
      <w:r>
        <w:rPr>
          <w:sz w:val="16"/>
        </w:rPr>
        <w:t>el</w:t>
      </w:r>
      <w:r>
        <w:rPr>
          <w:spacing w:val="-7"/>
          <w:sz w:val="16"/>
        </w:rPr>
        <w:t> </w:t>
      </w:r>
      <w:r>
        <w:rPr>
          <w:sz w:val="16"/>
        </w:rPr>
        <w:t>distanciamiento</w:t>
      </w:r>
      <w:r>
        <w:rPr>
          <w:spacing w:val="-8"/>
          <w:sz w:val="16"/>
        </w:rPr>
        <w:t> </w:t>
      </w:r>
      <w:r>
        <w:rPr>
          <w:sz w:val="16"/>
        </w:rPr>
        <w:t>con</w:t>
      </w:r>
      <w:r>
        <w:rPr>
          <w:spacing w:val="-8"/>
          <w:sz w:val="16"/>
        </w:rPr>
        <w:t> </w:t>
      </w:r>
      <w:r>
        <w:rPr>
          <w:sz w:val="16"/>
        </w:rPr>
        <w:t>el</w:t>
      </w:r>
      <w:r>
        <w:rPr>
          <w:spacing w:val="-7"/>
          <w:sz w:val="16"/>
        </w:rPr>
        <w:t> </w:t>
      </w:r>
      <w:r>
        <w:rPr>
          <w:sz w:val="16"/>
        </w:rPr>
        <w:t>PRI;</w:t>
      </w:r>
      <w:r>
        <w:rPr>
          <w:spacing w:val="1"/>
          <w:sz w:val="16"/>
        </w:rPr>
        <w:t> </w:t>
      </w:r>
      <w:r>
        <w:rPr>
          <w:sz w:val="16"/>
        </w:rPr>
        <w:t>y</w:t>
      </w:r>
      <w:r>
        <w:rPr>
          <w:spacing w:val="-7"/>
          <w:sz w:val="16"/>
        </w:rPr>
        <w:t> </w:t>
      </w:r>
      <w:r>
        <w:rPr>
          <w:sz w:val="16"/>
        </w:rPr>
        <w:t>la</w:t>
      </w:r>
      <w:r>
        <w:rPr>
          <w:spacing w:val="-4"/>
          <w:sz w:val="16"/>
        </w:rPr>
        <w:t> </w:t>
      </w:r>
      <w:r>
        <w:rPr>
          <w:sz w:val="16"/>
        </w:rPr>
        <w:t>pérdida</w:t>
      </w:r>
      <w:r>
        <w:rPr>
          <w:spacing w:val="-4"/>
          <w:sz w:val="16"/>
        </w:rPr>
        <w:t> </w:t>
      </w:r>
      <w:r>
        <w:rPr>
          <w:sz w:val="16"/>
        </w:rPr>
        <w:t>de la</w:t>
      </w:r>
      <w:r>
        <w:rPr>
          <w:spacing w:val="-8"/>
          <w:sz w:val="16"/>
        </w:rPr>
        <w:t> </w:t>
      </w:r>
      <w:r>
        <w:rPr>
          <w:sz w:val="16"/>
        </w:rPr>
        <w:t>mayoría</w:t>
      </w:r>
      <w:r>
        <w:rPr>
          <w:spacing w:val="-4"/>
          <w:sz w:val="16"/>
        </w:rPr>
        <w:t> </w:t>
      </w:r>
      <w:r>
        <w:rPr>
          <w:sz w:val="16"/>
        </w:rPr>
        <w:t>absoluta</w:t>
      </w:r>
      <w:r>
        <w:rPr>
          <w:spacing w:val="-8"/>
          <w:sz w:val="16"/>
        </w:rPr>
        <w:t> </w:t>
      </w:r>
      <w:r>
        <w:rPr>
          <w:sz w:val="16"/>
        </w:rPr>
        <w:t>del</w:t>
      </w:r>
      <w:r>
        <w:rPr>
          <w:spacing w:val="-7"/>
          <w:sz w:val="16"/>
        </w:rPr>
        <w:t> </w:t>
      </w:r>
      <w:r>
        <w:rPr>
          <w:sz w:val="16"/>
        </w:rPr>
        <w:t>partido en</w:t>
      </w:r>
      <w:r>
        <w:rPr>
          <w:spacing w:val="-8"/>
          <w:sz w:val="16"/>
        </w:rPr>
        <w:t> </w:t>
      </w:r>
      <w:r>
        <w:rPr>
          <w:sz w:val="16"/>
        </w:rPr>
        <w:t>el</w:t>
      </w:r>
      <w:r>
        <w:rPr>
          <w:spacing w:val="-7"/>
          <w:sz w:val="16"/>
        </w:rPr>
        <w:t> </w:t>
      </w:r>
      <w:r>
        <w:rPr>
          <w:sz w:val="16"/>
        </w:rPr>
        <w:t>pode, en Congreso Federal en</w:t>
      </w:r>
      <w:r>
        <w:rPr>
          <w:spacing w:val="-13"/>
          <w:sz w:val="16"/>
        </w:rPr>
        <w:t> </w:t>
      </w:r>
      <w:r>
        <w:rPr>
          <w:sz w:val="16"/>
        </w:rPr>
        <w:t>1997.</w:t>
      </w:r>
    </w:p>
    <w:p>
      <w:pPr>
        <w:spacing w:after="0" w:line="242" w:lineRule="auto"/>
        <w:jc w:val="both"/>
        <w:rPr>
          <w:sz w:val="16"/>
        </w:rPr>
        <w:sectPr>
          <w:pgSz w:w="12240" w:h="15840"/>
          <w:pgMar w:header="0" w:footer="998" w:top="1360" w:bottom="1180" w:left="1580" w:right="1580"/>
        </w:sectPr>
      </w:pPr>
    </w:p>
    <w:p>
      <w:pPr>
        <w:pStyle w:val="BodyText"/>
        <w:spacing w:line="360" w:lineRule="auto" w:before="55"/>
        <w:ind w:left="100" w:right="114" w:firstLine="427"/>
        <w:jc w:val="both"/>
      </w:pPr>
      <w:r>
        <w:rPr/>
        <w:t>La alta actividad del Estado mediante regulaciones al mercado propició los monopolios. El poder se ejerció de manera discrecional y benefició a algunas minorías. Con el poder discrecional, solo un pequeño grupo minoritario fue beneficiado y se encareció la vida de la mayoría de la población.</w:t>
      </w:r>
    </w:p>
    <w:p>
      <w:pPr>
        <w:pStyle w:val="BodyText"/>
        <w:spacing w:line="360" w:lineRule="auto" w:before="2"/>
        <w:ind w:left="100" w:right="119" w:firstLine="427"/>
        <w:jc w:val="both"/>
      </w:pPr>
      <w:r>
        <w:rPr/>
        <w:t>A partir de la década 1970 la política se orientó a proteger a algunos empresarios y aumentó el tamaño del Estado. Los resultados de esta política del periodo 1976 a 1982 fueron los siguientes:</w:t>
      </w:r>
    </w:p>
    <w:p>
      <w:pPr>
        <w:pStyle w:val="BodyText"/>
      </w:pPr>
    </w:p>
    <w:p>
      <w:pPr>
        <w:pStyle w:val="ListParagraph"/>
        <w:numPr>
          <w:ilvl w:val="0"/>
          <w:numId w:val="43"/>
        </w:numPr>
        <w:tabs>
          <w:tab w:pos="821" w:val="left" w:leader="none"/>
        </w:tabs>
        <w:spacing w:line="240" w:lineRule="auto" w:before="142" w:after="0"/>
        <w:ind w:left="821" w:right="0" w:hanging="361"/>
        <w:jc w:val="left"/>
        <w:rPr>
          <w:sz w:val="24"/>
        </w:rPr>
      </w:pPr>
      <w:r>
        <w:rPr>
          <w:sz w:val="24"/>
        </w:rPr>
        <w:t>Deterioro de la recaudación</w:t>
      </w:r>
      <w:r>
        <w:rPr>
          <w:spacing w:val="-24"/>
          <w:sz w:val="24"/>
        </w:rPr>
        <w:t> </w:t>
      </w:r>
      <w:r>
        <w:rPr>
          <w:sz w:val="24"/>
        </w:rPr>
        <w:t>fiscal.</w:t>
      </w:r>
    </w:p>
    <w:p>
      <w:pPr>
        <w:pStyle w:val="ListParagraph"/>
        <w:numPr>
          <w:ilvl w:val="0"/>
          <w:numId w:val="43"/>
        </w:numPr>
        <w:tabs>
          <w:tab w:pos="821" w:val="left" w:leader="none"/>
        </w:tabs>
        <w:spacing w:line="240" w:lineRule="auto" w:before="140" w:after="0"/>
        <w:ind w:left="821" w:right="0" w:hanging="361"/>
        <w:jc w:val="left"/>
        <w:rPr>
          <w:sz w:val="24"/>
        </w:rPr>
      </w:pPr>
      <w:r>
        <w:rPr>
          <w:sz w:val="24"/>
        </w:rPr>
        <w:t>Dependencia de los ingresos</w:t>
      </w:r>
      <w:r>
        <w:rPr>
          <w:spacing w:val="-21"/>
          <w:sz w:val="24"/>
        </w:rPr>
        <w:t> </w:t>
      </w:r>
      <w:r>
        <w:rPr>
          <w:sz w:val="24"/>
        </w:rPr>
        <w:t>petroleros.</w:t>
      </w:r>
    </w:p>
    <w:p>
      <w:pPr>
        <w:pStyle w:val="ListParagraph"/>
        <w:numPr>
          <w:ilvl w:val="0"/>
          <w:numId w:val="43"/>
        </w:numPr>
        <w:tabs>
          <w:tab w:pos="821" w:val="left" w:leader="none"/>
        </w:tabs>
        <w:spacing w:line="240" w:lineRule="auto" w:before="136" w:after="0"/>
        <w:ind w:left="821" w:right="0" w:hanging="361"/>
        <w:jc w:val="left"/>
        <w:rPr>
          <w:sz w:val="24"/>
        </w:rPr>
      </w:pPr>
      <w:r>
        <w:rPr>
          <w:sz w:val="24"/>
        </w:rPr>
        <w:t>Bajas tasas de crecimiento del</w:t>
      </w:r>
      <w:r>
        <w:rPr>
          <w:spacing w:val="-17"/>
          <w:sz w:val="24"/>
        </w:rPr>
        <w:t> </w:t>
      </w:r>
      <w:r>
        <w:rPr>
          <w:sz w:val="24"/>
        </w:rPr>
        <w:t>PIB.</w:t>
      </w:r>
    </w:p>
    <w:p>
      <w:pPr>
        <w:pStyle w:val="ListParagraph"/>
        <w:numPr>
          <w:ilvl w:val="0"/>
          <w:numId w:val="43"/>
        </w:numPr>
        <w:tabs>
          <w:tab w:pos="821" w:val="left" w:leader="none"/>
        </w:tabs>
        <w:spacing w:line="357" w:lineRule="auto" w:before="140" w:after="0"/>
        <w:ind w:left="821" w:right="127" w:hanging="361"/>
        <w:jc w:val="both"/>
        <w:rPr>
          <w:sz w:val="24"/>
        </w:rPr>
      </w:pPr>
      <w:r>
        <w:rPr>
          <w:sz w:val="24"/>
        </w:rPr>
        <w:t>El</w:t>
      </w:r>
      <w:r>
        <w:rPr>
          <w:spacing w:val="-17"/>
          <w:sz w:val="24"/>
        </w:rPr>
        <w:t> </w:t>
      </w:r>
      <w:r>
        <w:rPr>
          <w:sz w:val="24"/>
        </w:rPr>
        <w:t>déficit</w:t>
      </w:r>
      <w:r>
        <w:rPr>
          <w:spacing w:val="-14"/>
          <w:sz w:val="24"/>
        </w:rPr>
        <w:t> </w:t>
      </w:r>
      <w:r>
        <w:rPr>
          <w:sz w:val="24"/>
        </w:rPr>
        <w:t>fiscal</w:t>
      </w:r>
      <w:r>
        <w:rPr>
          <w:spacing w:val="-12"/>
          <w:sz w:val="24"/>
        </w:rPr>
        <w:t> </w:t>
      </w:r>
      <w:r>
        <w:rPr>
          <w:sz w:val="24"/>
        </w:rPr>
        <w:t>y</w:t>
      </w:r>
      <w:r>
        <w:rPr>
          <w:spacing w:val="-18"/>
          <w:sz w:val="24"/>
        </w:rPr>
        <w:t> </w:t>
      </w:r>
      <w:r>
        <w:rPr>
          <w:sz w:val="24"/>
        </w:rPr>
        <w:t>los</w:t>
      </w:r>
      <w:r>
        <w:rPr>
          <w:spacing w:val="-15"/>
          <w:sz w:val="24"/>
        </w:rPr>
        <w:t> </w:t>
      </w:r>
      <w:r>
        <w:rPr>
          <w:sz w:val="24"/>
        </w:rPr>
        <w:t>problemas</w:t>
      </w:r>
      <w:r>
        <w:rPr>
          <w:spacing w:val="-11"/>
          <w:sz w:val="24"/>
        </w:rPr>
        <w:t> </w:t>
      </w:r>
      <w:r>
        <w:rPr>
          <w:sz w:val="24"/>
        </w:rPr>
        <w:t>en</w:t>
      </w:r>
      <w:r>
        <w:rPr>
          <w:spacing w:val="-17"/>
          <w:sz w:val="24"/>
        </w:rPr>
        <w:t> </w:t>
      </w:r>
      <w:r>
        <w:rPr>
          <w:sz w:val="24"/>
        </w:rPr>
        <w:t>el</w:t>
      </w:r>
      <w:r>
        <w:rPr>
          <w:spacing w:val="-12"/>
          <w:sz w:val="24"/>
        </w:rPr>
        <w:t> </w:t>
      </w:r>
      <w:r>
        <w:rPr>
          <w:sz w:val="24"/>
        </w:rPr>
        <w:t>mercado</w:t>
      </w:r>
      <w:r>
        <w:rPr>
          <w:spacing w:val="-17"/>
          <w:sz w:val="24"/>
        </w:rPr>
        <w:t> </w:t>
      </w:r>
      <w:r>
        <w:rPr>
          <w:sz w:val="24"/>
        </w:rPr>
        <w:t>cambiario</w:t>
      </w:r>
      <w:r>
        <w:rPr>
          <w:spacing w:val="-17"/>
          <w:sz w:val="24"/>
        </w:rPr>
        <w:t> </w:t>
      </w:r>
      <w:r>
        <w:rPr>
          <w:sz w:val="24"/>
        </w:rPr>
        <w:t>causaron</w:t>
      </w:r>
      <w:r>
        <w:rPr>
          <w:spacing w:val="-17"/>
          <w:sz w:val="24"/>
        </w:rPr>
        <w:t> </w:t>
      </w:r>
      <w:r>
        <w:rPr>
          <w:sz w:val="24"/>
        </w:rPr>
        <w:t>una</w:t>
      </w:r>
      <w:r>
        <w:rPr>
          <w:spacing w:val="-17"/>
          <w:sz w:val="24"/>
        </w:rPr>
        <w:t> </w:t>
      </w:r>
      <w:r>
        <w:rPr>
          <w:sz w:val="24"/>
        </w:rPr>
        <w:t>espiral inflacionaria.</w:t>
      </w:r>
    </w:p>
    <w:p>
      <w:pPr>
        <w:pStyle w:val="ListParagraph"/>
        <w:numPr>
          <w:ilvl w:val="0"/>
          <w:numId w:val="43"/>
        </w:numPr>
        <w:tabs>
          <w:tab w:pos="821" w:val="left" w:leader="none"/>
        </w:tabs>
        <w:spacing w:line="240" w:lineRule="auto" w:before="8" w:after="0"/>
        <w:ind w:left="821" w:right="0" w:hanging="361"/>
        <w:jc w:val="left"/>
        <w:rPr>
          <w:sz w:val="24"/>
        </w:rPr>
      </w:pPr>
      <w:r>
        <w:rPr>
          <w:sz w:val="24"/>
        </w:rPr>
        <w:t>Debilitamiento del Estado por el creciente déficit</w:t>
      </w:r>
      <w:r>
        <w:rPr>
          <w:spacing w:val="-37"/>
          <w:sz w:val="24"/>
        </w:rPr>
        <w:t> </w:t>
      </w:r>
      <w:r>
        <w:rPr>
          <w:sz w:val="24"/>
        </w:rPr>
        <w:t>fiscal.</w:t>
      </w:r>
    </w:p>
    <w:p>
      <w:pPr>
        <w:pStyle w:val="ListParagraph"/>
        <w:numPr>
          <w:ilvl w:val="0"/>
          <w:numId w:val="43"/>
        </w:numPr>
        <w:tabs>
          <w:tab w:pos="821" w:val="left" w:leader="none"/>
        </w:tabs>
        <w:spacing w:line="360" w:lineRule="auto" w:before="136" w:after="0"/>
        <w:ind w:left="821" w:right="119" w:hanging="361"/>
        <w:jc w:val="both"/>
        <w:rPr>
          <w:sz w:val="24"/>
        </w:rPr>
      </w:pPr>
      <w:r>
        <w:rPr>
          <w:sz w:val="24"/>
        </w:rPr>
        <w:t>Aumento del número de empresas del Estado: de 391 a 1,155, medida que permitió consolidar compromisos clientelares. Varias empresas en quiebra fueron adquiridas por el Estado, pero su incorporación no respondió a un proyecto</w:t>
      </w:r>
      <w:r>
        <w:rPr>
          <w:spacing w:val="-17"/>
          <w:sz w:val="24"/>
        </w:rPr>
        <w:t> </w:t>
      </w:r>
      <w:r>
        <w:rPr>
          <w:sz w:val="24"/>
        </w:rPr>
        <w:t>estratégico.</w:t>
      </w:r>
    </w:p>
    <w:p>
      <w:pPr>
        <w:pStyle w:val="ListParagraph"/>
        <w:numPr>
          <w:ilvl w:val="0"/>
          <w:numId w:val="43"/>
        </w:numPr>
        <w:tabs>
          <w:tab w:pos="821" w:val="left" w:leader="none"/>
        </w:tabs>
        <w:spacing w:line="360" w:lineRule="auto" w:before="2" w:after="0"/>
        <w:ind w:left="821" w:right="121" w:hanging="361"/>
        <w:jc w:val="both"/>
        <w:rPr>
          <w:sz w:val="24"/>
        </w:rPr>
      </w:pPr>
      <w:r>
        <w:rPr>
          <w:sz w:val="24"/>
        </w:rPr>
        <w:t>Las pérdidas de las empresas ineficientes del Estado fueron cubiertas con recursos</w:t>
      </w:r>
      <w:r>
        <w:rPr>
          <w:spacing w:val="-6"/>
          <w:sz w:val="24"/>
        </w:rPr>
        <w:t> </w:t>
      </w:r>
      <w:r>
        <w:rPr>
          <w:sz w:val="24"/>
        </w:rPr>
        <w:t>del</w:t>
      </w:r>
      <w:r>
        <w:rPr>
          <w:spacing w:val="-7"/>
          <w:sz w:val="24"/>
        </w:rPr>
        <w:t> </w:t>
      </w:r>
      <w:r>
        <w:rPr>
          <w:sz w:val="24"/>
        </w:rPr>
        <w:t>erario,</w:t>
      </w:r>
      <w:r>
        <w:rPr>
          <w:spacing w:val="-9"/>
          <w:sz w:val="24"/>
        </w:rPr>
        <w:t> </w:t>
      </w:r>
      <w:r>
        <w:rPr>
          <w:sz w:val="24"/>
        </w:rPr>
        <w:t>lo</w:t>
      </w:r>
      <w:r>
        <w:rPr>
          <w:spacing w:val="-8"/>
          <w:sz w:val="24"/>
        </w:rPr>
        <w:t> </w:t>
      </w:r>
      <w:r>
        <w:rPr>
          <w:sz w:val="24"/>
        </w:rPr>
        <w:t>que</w:t>
      </w:r>
      <w:r>
        <w:rPr>
          <w:spacing w:val="-8"/>
          <w:sz w:val="24"/>
        </w:rPr>
        <w:t> </w:t>
      </w:r>
      <w:r>
        <w:rPr>
          <w:sz w:val="24"/>
        </w:rPr>
        <w:t>se</w:t>
      </w:r>
      <w:r>
        <w:rPr>
          <w:spacing w:val="-12"/>
          <w:sz w:val="24"/>
        </w:rPr>
        <w:t> </w:t>
      </w:r>
      <w:r>
        <w:rPr>
          <w:sz w:val="24"/>
        </w:rPr>
        <w:t>reflejó</w:t>
      </w:r>
      <w:r>
        <w:rPr>
          <w:spacing w:val="-8"/>
          <w:sz w:val="24"/>
        </w:rPr>
        <w:t> </w:t>
      </w:r>
      <w:r>
        <w:rPr>
          <w:sz w:val="24"/>
        </w:rPr>
        <w:t>en</w:t>
      </w:r>
      <w:r>
        <w:rPr>
          <w:spacing w:val="-12"/>
          <w:sz w:val="24"/>
        </w:rPr>
        <w:t> </w:t>
      </w:r>
      <w:r>
        <w:rPr>
          <w:sz w:val="24"/>
        </w:rPr>
        <w:t>una</w:t>
      </w:r>
      <w:r>
        <w:rPr>
          <w:spacing w:val="-12"/>
          <w:sz w:val="24"/>
        </w:rPr>
        <w:t> </w:t>
      </w:r>
      <w:r>
        <w:rPr>
          <w:sz w:val="24"/>
        </w:rPr>
        <w:t>desatención</w:t>
      </w:r>
      <w:r>
        <w:rPr>
          <w:spacing w:val="-8"/>
          <w:sz w:val="24"/>
        </w:rPr>
        <w:t> </w:t>
      </w:r>
      <w:r>
        <w:rPr>
          <w:sz w:val="24"/>
        </w:rPr>
        <w:t>en</w:t>
      </w:r>
      <w:r>
        <w:rPr>
          <w:spacing w:val="-8"/>
          <w:sz w:val="24"/>
        </w:rPr>
        <w:t> </w:t>
      </w:r>
      <w:r>
        <w:rPr>
          <w:sz w:val="24"/>
        </w:rPr>
        <w:t>el</w:t>
      </w:r>
      <w:r>
        <w:rPr>
          <w:spacing w:val="-11"/>
          <w:sz w:val="24"/>
        </w:rPr>
        <w:t> </w:t>
      </w:r>
      <w:r>
        <w:rPr>
          <w:sz w:val="24"/>
        </w:rPr>
        <w:t>bienestar</w:t>
      </w:r>
      <w:r>
        <w:rPr>
          <w:spacing w:val="-10"/>
          <w:sz w:val="24"/>
        </w:rPr>
        <w:t> </w:t>
      </w:r>
      <w:r>
        <w:rPr>
          <w:sz w:val="24"/>
        </w:rPr>
        <w:t>de</w:t>
      </w:r>
      <w:r>
        <w:rPr>
          <w:spacing w:val="-12"/>
          <w:sz w:val="24"/>
        </w:rPr>
        <w:t> </w:t>
      </w:r>
      <w:r>
        <w:rPr>
          <w:sz w:val="24"/>
        </w:rPr>
        <w:t>la población.</w:t>
      </w:r>
    </w:p>
    <w:p>
      <w:pPr>
        <w:pStyle w:val="BodyText"/>
      </w:pPr>
    </w:p>
    <w:p>
      <w:pPr>
        <w:pStyle w:val="BodyText"/>
        <w:spacing w:line="360" w:lineRule="auto" w:before="142"/>
        <w:ind w:left="100" w:right="121" w:firstLine="427"/>
        <w:jc w:val="both"/>
      </w:pPr>
      <w:r>
        <w:rPr/>
        <w:t>Algunos historiadores consideran que la corrupción es un problema que se ha presentado en todas las épocas por las que ha transitado México y que es crónica; pero fue a partir de la llegada de los españoles y más propiamente a partir de la década de los años setenta, cuando el aumento del tamaño del Estado y la regulación excesiva sobre la economía fortalecieron el poder político autocrático, que la corrupción se hizo más evidente.</w:t>
      </w:r>
    </w:p>
    <w:p>
      <w:pPr>
        <w:pStyle w:val="BodyText"/>
        <w:spacing w:line="360" w:lineRule="auto" w:before="2"/>
        <w:ind w:left="100" w:right="122" w:firstLine="427"/>
        <w:jc w:val="both"/>
      </w:pPr>
      <w:r>
        <w:rPr/>
        <w:t>Las plazas gubernamentales disponibles derivadas del incremento estatal, el control administrativo sobre las obras públicas y adquisiciones favorecieron el debilitamiento de la sociedad civil y la corrupción en los sectores público y privado.</w:t>
      </w:r>
    </w:p>
    <w:p>
      <w:pPr>
        <w:spacing w:after="0" w:line="360" w:lineRule="auto"/>
        <w:jc w:val="both"/>
        <w:sectPr>
          <w:pgSz w:w="12240" w:h="15840"/>
          <w:pgMar w:header="0" w:footer="998" w:top="1360" w:bottom="1180" w:left="1600" w:right="1580"/>
        </w:sectPr>
      </w:pPr>
    </w:p>
    <w:p>
      <w:pPr>
        <w:pStyle w:val="BodyText"/>
        <w:spacing w:line="360" w:lineRule="auto" w:before="55"/>
        <w:ind w:left="100" w:right="102" w:firstLine="427"/>
        <w:jc w:val="both"/>
      </w:pPr>
      <w:r>
        <w:rPr/>
        <w:t>La sobrerregulación del Estado propició la economía informal, lo que a su vez generó políticas discrecionales que beneficiaban a grupos selectos designados por el Estado. La sobrerregulación implicó la inexistencia de estudios previos del mercado y sobre puntos de venta, grandes restricciones para la mayoría, favorecieron la corrupción, los abusos, los vendedores informales y el encarecimiento de los productos.</w:t>
      </w:r>
    </w:p>
    <w:p>
      <w:pPr>
        <w:pStyle w:val="BodyText"/>
        <w:spacing w:line="360" w:lineRule="auto" w:before="2"/>
        <w:ind w:left="100" w:right="105" w:firstLine="427"/>
        <w:jc w:val="both"/>
      </w:pPr>
      <w:r>
        <w:rPr/>
        <w:t>El</w:t>
      </w:r>
      <w:r>
        <w:rPr>
          <w:spacing w:val="-16"/>
        </w:rPr>
        <w:t> </w:t>
      </w:r>
      <w:r>
        <w:rPr/>
        <w:t>sector</w:t>
      </w:r>
      <w:r>
        <w:rPr>
          <w:spacing w:val="-14"/>
        </w:rPr>
        <w:t> </w:t>
      </w:r>
      <w:r>
        <w:rPr/>
        <w:t>salud</w:t>
      </w:r>
      <w:r>
        <w:rPr>
          <w:spacing w:val="-12"/>
        </w:rPr>
        <w:t> </w:t>
      </w:r>
      <w:r>
        <w:rPr/>
        <w:t>y</w:t>
      </w:r>
      <w:r>
        <w:rPr>
          <w:spacing w:val="-18"/>
        </w:rPr>
        <w:t> </w:t>
      </w:r>
      <w:r>
        <w:rPr/>
        <w:t>la</w:t>
      </w:r>
      <w:r>
        <w:rPr>
          <w:spacing w:val="-16"/>
        </w:rPr>
        <w:t> </w:t>
      </w:r>
      <w:r>
        <w:rPr/>
        <w:t>tecnología</w:t>
      </w:r>
      <w:r>
        <w:rPr>
          <w:spacing w:val="-16"/>
        </w:rPr>
        <w:t> </w:t>
      </w:r>
      <w:r>
        <w:rPr/>
        <w:t>fueron</w:t>
      </w:r>
      <w:r>
        <w:rPr>
          <w:spacing w:val="-16"/>
        </w:rPr>
        <w:t> </w:t>
      </w:r>
      <w:r>
        <w:rPr/>
        <w:t>de</w:t>
      </w:r>
      <w:r>
        <w:rPr>
          <w:spacing w:val="-16"/>
        </w:rPr>
        <w:t> </w:t>
      </w:r>
      <w:r>
        <w:rPr/>
        <w:t>los</w:t>
      </w:r>
      <w:r>
        <w:rPr>
          <w:spacing w:val="-10"/>
        </w:rPr>
        <w:t> </w:t>
      </w:r>
      <w:r>
        <w:rPr>
          <w:spacing w:val="-2"/>
        </w:rPr>
        <w:t>más</w:t>
      </w:r>
      <w:r>
        <w:rPr>
          <w:spacing w:val="-10"/>
        </w:rPr>
        <w:t> </w:t>
      </w:r>
      <w:r>
        <w:rPr/>
        <w:t>afectados</w:t>
      </w:r>
      <w:r>
        <w:rPr>
          <w:spacing w:val="-10"/>
        </w:rPr>
        <w:t> </w:t>
      </w:r>
      <w:r>
        <w:rPr/>
        <w:t>por</w:t>
      </w:r>
      <w:r>
        <w:rPr>
          <w:spacing w:val="-14"/>
        </w:rPr>
        <w:t> </w:t>
      </w:r>
      <w:r>
        <w:rPr/>
        <w:t>la</w:t>
      </w:r>
      <w:r>
        <w:rPr>
          <w:spacing w:val="-16"/>
        </w:rPr>
        <w:t> </w:t>
      </w:r>
      <w:r>
        <w:rPr/>
        <w:t>alta</w:t>
      </w:r>
      <w:r>
        <w:rPr>
          <w:spacing w:val="-16"/>
        </w:rPr>
        <w:t> </w:t>
      </w:r>
      <w:r>
        <w:rPr/>
        <w:t>regulación del Estado, </w:t>
      </w:r>
      <w:r>
        <w:rPr>
          <w:spacing w:val="-3"/>
        </w:rPr>
        <w:t>ya </w:t>
      </w:r>
      <w:r>
        <w:rPr/>
        <w:t>que se comenzó a negociar con licencias, permisos sanitarios e incluso el Estado determinaba si era prudente introducir avances tecnológicos, además,</w:t>
      </w:r>
      <w:r>
        <w:rPr>
          <w:spacing w:val="-5"/>
        </w:rPr>
        <w:t> </w:t>
      </w:r>
      <w:r>
        <w:rPr/>
        <w:t>la</w:t>
      </w:r>
      <w:r>
        <w:rPr>
          <w:spacing w:val="-12"/>
        </w:rPr>
        <w:t> </w:t>
      </w:r>
      <w:r>
        <w:rPr/>
        <w:t>incidencia</w:t>
      </w:r>
      <w:r>
        <w:rPr>
          <w:spacing w:val="-12"/>
        </w:rPr>
        <w:t> </w:t>
      </w:r>
      <w:r>
        <w:rPr/>
        <w:t>de</w:t>
      </w:r>
      <w:r>
        <w:rPr>
          <w:spacing w:val="-12"/>
        </w:rPr>
        <w:t> </w:t>
      </w:r>
      <w:r>
        <w:rPr/>
        <w:t>la</w:t>
      </w:r>
      <w:r>
        <w:rPr>
          <w:spacing w:val="-12"/>
        </w:rPr>
        <w:t> </w:t>
      </w:r>
      <w:r>
        <w:rPr/>
        <w:t>corrupción</w:t>
      </w:r>
      <w:r>
        <w:rPr>
          <w:spacing w:val="-8"/>
        </w:rPr>
        <w:t> </w:t>
      </w:r>
      <w:r>
        <w:rPr/>
        <w:t>que</w:t>
      </w:r>
      <w:r>
        <w:rPr>
          <w:spacing w:val="-8"/>
        </w:rPr>
        <w:t> </w:t>
      </w:r>
      <w:r>
        <w:rPr/>
        <w:t>acrecentó</w:t>
      </w:r>
      <w:r>
        <w:rPr>
          <w:spacing w:val="-12"/>
        </w:rPr>
        <w:t> </w:t>
      </w:r>
      <w:r>
        <w:rPr/>
        <w:t>el</w:t>
      </w:r>
      <w:r>
        <w:rPr>
          <w:spacing w:val="-11"/>
        </w:rPr>
        <w:t> </w:t>
      </w:r>
      <w:r>
        <w:rPr/>
        <w:t>Estado</w:t>
      </w:r>
      <w:r>
        <w:rPr>
          <w:spacing w:val="-12"/>
        </w:rPr>
        <w:t> </w:t>
      </w:r>
      <w:r>
        <w:rPr/>
        <w:t>interventor</w:t>
      </w:r>
      <w:r>
        <w:rPr>
          <w:spacing w:val="-6"/>
        </w:rPr>
        <w:t> </w:t>
      </w:r>
      <w:r>
        <w:rPr/>
        <w:t>afectó</w:t>
      </w:r>
      <w:r>
        <w:rPr>
          <w:spacing w:val="-12"/>
        </w:rPr>
        <w:t> </w:t>
      </w:r>
      <w:r>
        <w:rPr/>
        <w:t>la instrumentación de las políticas públicas que inciden en el desarrollo</w:t>
      </w:r>
      <w:r>
        <w:rPr>
          <w:spacing w:val="-35"/>
        </w:rPr>
        <w:t> </w:t>
      </w:r>
      <w:r>
        <w:rPr/>
        <w:t>humano.</w:t>
      </w:r>
    </w:p>
    <w:p>
      <w:pPr>
        <w:pStyle w:val="BodyText"/>
        <w:spacing w:line="360" w:lineRule="auto" w:before="5"/>
        <w:ind w:left="100" w:right="100" w:firstLine="427"/>
        <w:jc w:val="both"/>
      </w:pPr>
      <w:r>
        <w:rPr/>
        <w:t>La globalización trajo consigo la apertura de los mercados financieros con lo que la actividad bancaria se incrementó considerablemente. La mayor crisis financiera de México (1994) generó enormes costos a la sociedad.</w:t>
      </w:r>
    </w:p>
    <w:p>
      <w:pPr>
        <w:pStyle w:val="BodyText"/>
        <w:spacing w:line="360" w:lineRule="auto" w:before="2"/>
        <w:ind w:left="100" w:right="100" w:firstLine="427"/>
        <w:jc w:val="both"/>
      </w:pPr>
      <w:r>
        <w:rPr/>
        <w:t>En la última década del Siglo XX, sobrevino una degradación extrema de la figura presidencial con los gobiernos priistas, el desgaste de las relaciones exteriores y un vacío del poder. (Olivares, 2011: 31)</w:t>
      </w:r>
    </w:p>
    <w:p>
      <w:pPr>
        <w:pStyle w:val="BodyText"/>
      </w:pPr>
    </w:p>
    <w:p>
      <w:pPr>
        <w:pStyle w:val="BodyText"/>
        <w:spacing w:before="142"/>
        <w:ind w:left="528"/>
      </w:pPr>
      <w:r>
        <w:rPr/>
        <w:t>En ambos siglos, la sociedad civil pasó por tres etapas:</w:t>
      </w:r>
    </w:p>
    <w:p>
      <w:pPr>
        <w:pStyle w:val="BodyText"/>
        <w:spacing w:before="7"/>
        <w:rPr>
          <w:sz w:val="29"/>
        </w:rPr>
      </w:pPr>
    </w:p>
    <w:p>
      <w:pPr>
        <w:pStyle w:val="ListParagraph"/>
        <w:numPr>
          <w:ilvl w:val="1"/>
          <w:numId w:val="43"/>
        </w:numPr>
        <w:tabs>
          <w:tab w:pos="821" w:val="left" w:leader="none"/>
        </w:tabs>
        <w:spacing w:line="240" w:lineRule="auto" w:before="0" w:after="0"/>
        <w:ind w:left="821" w:right="0" w:hanging="361"/>
        <w:jc w:val="left"/>
        <w:rPr>
          <w:sz w:val="24"/>
        </w:rPr>
      </w:pPr>
      <w:r>
        <w:rPr>
          <w:sz w:val="24"/>
        </w:rPr>
        <w:t>Fue orientada a obtener un cambio de régimen: la</w:t>
      </w:r>
      <w:r>
        <w:rPr>
          <w:spacing w:val="-39"/>
          <w:sz w:val="24"/>
        </w:rPr>
        <w:t> </w:t>
      </w:r>
      <w:r>
        <w:rPr>
          <w:sz w:val="24"/>
        </w:rPr>
        <w:t>independencia.</w:t>
      </w:r>
    </w:p>
    <w:p>
      <w:pPr>
        <w:pStyle w:val="ListParagraph"/>
        <w:numPr>
          <w:ilvl w:val="1"/>
          <w:numId w:val="43"/>
        </w:numPr>
        <w:tabs>
          <w:tab w:pos="821" w:val="left" w:leader="none"/>
        </w:tabs>
        <w:spacing w:line="362" w:lineRule="auto" w:before="136" w:after="0"/>
        <w:ind w:left="821" w:right="106" w:hanging="361"/>
        <w:jc w:val="both"/>
        <w:rPr>
          <w:sz w:val="24"/>
        </w:rPr>
      </w:pPr>
      <w:r>
        <w:rPr>
          <w:sz w:val="24"/>
        </w:rPr>
        <w:t>Una visión para legitimar la designación de su presidente y repartición de tierras: la</w:t>
      </w:r>
      <w:r>
        <w:rPr>
          <w:spacing w:val="-16"/>
          <w:sz w:val="24"/>
        </w:rPr>
        <w:t> </w:t>
      </w:r>
      <w:r>
        <w:rPr>
          <w:sz w:val="24"/>
        </w:rPr>
        <w:t>revolución.</w:t>
      </w:r>
    </w:p>
    <w:p>
      <w:pPr>
        <w:pStyle w:val="ListParagraph"/>
        <w:numPr>
          <w:ilvl w:val="1"/>
          <w:numId w:val="43"/>
        </w:numPr>
        <w:tabs>
          <w:tab w:pos="821" w:val="left" w:leader="none"/>
        </w:tabs>
        <w:spacing w:line="360" w:lineRule="auto" w:before="0" w:after="0"/>
        <w:ind w:left="821" w:right="98" w:hanging="361"/>
        <w:jc w:val="both"/>
        <w:rPr>
          <w:sz w:val="24"/>
        </w:rPr>
      </w:pPr>
      <w:r>
        <w:rPr>
          <w:sz w:val="24"/>
        </w:rPr>
        <w:t>Un problema de excesiva intervención del Estado en la economía, que generó graves problemas de concentración del ingreso y una creciente corrupción: la alternancia del poder por 12</w:t>
      </w:r>
      <w:r>
        <w:rPr>
          <w:spacing w:val="-26"/>
          <w:sz w:val="24"/>
        </w:rPr>
        <w:t> </w:t>
      </w:r>
      <w:r>
        <w:rPr>
          <w:sz w:val="24"/>
        </w:rPr>
        <w:t>años.</w:t>
      </w:r>
    </w:p>
    <w:p>
      <w:pPr>
        <w:pStyle w:val="BodyText"/>
      </w:pPr>
    </w:p>
    <w:p>
      <w:pPr>
        <w:pStyle w:val="BodyText"/>
        <w:spacing w:line="360" w:lineRule="auto" w:before="142"/>
        <w:ind w:left="100" w:right="100" w:firstLine="427"/>
        <w:jc w:val="both"/>
      </w:pPr>
      <w:r>
        <w:rPr/>
        <w:t>En la última etapa del Siglo XX, la sociedad civil comenzó a ocupar un espacio público. Con la alternancia del partido en el poder en el periodo 2000-2012, la observación internacional y en adelante, se abrió la posibilidad de que la sociedad civil en obligar al Estado a ser más transparente y estar en posibilidades de exigir un ejercicio de rendición de cuentas.</w:t>
      </w:r>
    </w:p>
    <w:p>
      <w:pPr>
        <w:spacing w:after="0" w:line="360" w:lineRule="auto"/>
        <w:jc w:val="both"/>
        <w:sectPr>
          <w:pgSz w:w="12240" w:h="15840"/>
          <w:pgMar w:header="0" w:footer="998" w:top="1360" w:bottom="1180" w:left="1600" w:right="1600"/>
        </w:sectPr>
      </w:pPr>
    </w:p>
    <w:p>
      <w:pPr>
        <w:pStyle w:val="Heading3"/>
        <w:numPr>
          <w:ilvl w:val="2"/>
          <w:numId w:val="41"/>
        </w:numPr>
        <w:tabs>
          <w:tab w:pos="720" w:val="left" w:leader="none"/>
        </w:tabs>
        <w:spacing w:line="240" w:lineRule="auto" w:before="51" w:after="0"/>
        <w:ind w:left="719" w:right="0" w:hanging="599"/>
        <w:jc w:val="both"/>
      </w:pPr>
      <w:r>
        <w:rPr/>
        <w:t>La hacienda pública y la rendición de cuentas en ambos</w:t>
      </w:r>
      <w:r>
        <w:rPr>
          <w:spacing w:val="-18"/>
        </w:rPr>
        <w:t> </w:t>
      </w:r>
      <w:r>
        <w:rPr/>
        <w:t>siglos</w:t>
      </w:r>
    </w:p>
    <w:p>
      <w:pPr>
        <w:pStyle w:val="BodyText"/>
        <w:spacing w:before="10"/>
        <w:rPr>
          <w:b/>
          <w:sz w:val="29"/>
        </w:rPr>
      </w:pPr>
    </w:p>
    <w:p>
      <w:pPr>
        <w:pStyle w:val="BodyText"/>
        <w:spacing w:line="360" w:lineRule="auto"/>
        <w:ind w:left="120" w:right="106"/>
        <w:jc w:val="both"/>
      </w:pPr>
      <w:r>
        <w:rPr/>
        <w:t>En el Siglo XIX las incipientes actividades de administración pública mexicana se derivaron de la Secretaría de Despacho Universal de 1705 establecida por los españoles,</w:t>
      </w:r>
      <w:r>
        <w:rPr>
          <w:spacing w:val="-9"/>
        </w:rPr>
        <w:t> </w:t>
      </w:r>
      <w:r>
        <w:rPr/>
        <w:t>la</w:t>
      </w:r>
      <w:r>
        <w:rPr>
          <w:spacing w:val="-12"/>
        </w:rPr>
        <w:t> </w:t>
      </w:r>
      <w:r>
        <w:rPr/>
        <w:t>cual</w:t>
      </w:r>
      <w:r>
        <w:rPr>
          <w:spacing w:val="-11"/>
        </w:rPr>
        <w:t> </w:t>
      </w:r>
      <w:r>
        <w:rPr/>
        <w:t>fue</w:t>
      </w:r>
      <w:r>
        <w:rPr>
          <w:spacing w:val="-12"/>
        </w:rPr>
        <w:t> </w:t>
      </w:r>
      <w:r>
        <w:rPr/>
        <w:t>sustituida</w:t>
      </w:r>
      <w:r>
        <w:rPr>
          <w:spacing w:val="-12"/>
        </w:rPr>
        <w:t> </w:t>
      </w:r>
      <w:r>
        <w:rPr/>
        <w:t>en</w:t>
      </w:r>
      <w:r>
        <w:rPr>
          <w:spacing w:val="-12"/>
        </w:rPr>
        <w:t> </w:t>
      </w:r>
      <w:r>
        <w:rPr/>
        <w:t>1810</w:t>
      </w:r>
      <w:r>
        <w:rPr>
          <w:spacing w:val="-12"/>
        </w:rPr>
        <w:t> </w:t>
      </w:r>
      <w:r>
        <w:rPr/>
        <w:t>por</w:t>
      </w:r>
      <w:r>
        <w:rPr>
          <w:spacing w:val="-10"/>
        </w:rPr>
        <w:t> </w:t>
      </w:r>
      <w:r>
        <w:rPr/>
        <w:t>la</w:t>
      </w:r>
      <w:r>
        <w:rPr>
          <w:spacing w:val="-12"/>
        </w:rPr>
        <w:t> </w:t>
      </w:r>
      <w:r>
        <w:rPr/>
        <w:t>Secretaría</w:t>
      </w:r>
      <w:r>
        <w:rPr>
          <w:spacing w:val="-12"/>
        </w:rPr>
        <w:t> </w:t>
      </w:r>
      <w:r>
        <w:rPr/>
        <w:t>de</w:t>
      </w:r>
      <w:r>
        <w:rPr>
          <w:spacing w:val="-12"/>
        </w:rPr>
        <w:t> </w:t>
      </w:r>
      <w:r>
        <w:rPr/>
        <w:t>Estado</w:t>
      </w:r>
      <w:r>
        <w:rPr>
          <w:spacing w:val="-12"/>
        </w:rPr>
        <w:t> </w:t>
      </w:r>
      <w:r>
        <w:rPr/>
        <w:t>y</w:t>
      </w:r>
      <w:r>
        <w:rPr>
          <w:spacing w:val="-14"/>
        </w:rPr>
        <w:t> </w:t>
      </w:r>
      <w:r>
        <w:rPr/>
        <w:t>del</w:t>
      </w:r>
      <w:r>
        <w:rPr>
          <w:spacing w:val="-6"/>
        </w:rPr>
        <w:t> </w:t>
      </w:r>
      <w:r>
        <w:rPr/>
        <w:t>Despacho de Hacienda una vez que se consolidaba la</w:t>
      </w:r>
      <w:r>
        <w:rPr>
          <w:spacing w:val="-36"/>
        </w:rPr>
        <w:t> </w:t>
      </w:r>
      <w:r>
        <w:rPr/>
        <w:t>independencia.</w:t>
      </w:r>
    </w:p>
    <w:p>
      <w:pPr>
        <w:pStyle w:val="BodyText"/>
        <w:spacing w:line="360" w:lineRule="auto" w:before="6"/>
        <w:ind w:left="120" w:right="105" w:firstLine="427"/>
        <w:jc w:val="both"/>
      </w:pPr>
      <w:r>
        <w:rPr/>
        <w:t>En 1824 se expidió la Ley para el Arreglo de la Administración de la Hacienda Pública. En la Ley se establecieron las facultades de la Hacienda Pública para administrar los ingresos federales y vigilar las casas de moneda, entre otras. Lo anterior hizo necesario conformar las oficinas siguientes:</w:t>
      </w:r>
    </w:p>
    <w:p>
      <w:pPr>
        <w:pStyle w:val="BodyText"/>
      </w:pPr>
    </w:p>
    <w:p>
      <w:pPr>
        <w:pStyle w:val="ListParagraph"/>
        <w:numPr>
          <w:ilvl w:val="0"/>
          <w:numId w:val="44"/>
        </w:numPr>
        <w:tabs>
          <w:tab w:pos="841" w:val="left" w:leader="none"/>
        </w:tabs>
        <w:spacing w:line="240" w:lineRule="auto" w:before="142" w:after="0"/>
        <w:ind w:left="841" w:right="0" w:hanging="361"/>
        <w:jc w:val="left"/>
        <w:rPr>
          <w:sz w:val="24"/>
        </w:rPr>
      </w:pPr>
      <w:r>
        <w:rPr>
          <w:sz w:val="24"/>
        </w:rPr>
        <w:t>Departamento de Cuenta y Razón: Antecedente de la actual</w:t>
      </w:r>
      <w:r>
        <w:rPr>
          <w:spacing w:val="-41"/>
          <w:sz w:val="24"/>
        </w:rPr>
        <w:t> </w:t>
      </w:r>
      <w:r>
        <w:rPr>
          <w:sz w:val="24"/>
        </w:rPr>
        <w:t>SHCP.</w:t>
      </w:r>
    </w:p>
    <w:p>
      <w:pPr>
        <w:pStyle w:val="ListParagraph"/>
        <w:numPr>
          <w:ilvl w:val="0"/>
          <w:numId w:val="44"/>
        </w:numPr>
        <w:tabs>
          <w:tab w:pos="841" w:val="left" w:leader="none"/>
        </w:tabs>
        <w:spacing w:line="357" w:lineRule="auto" w:before="140" w:after="0"/>
        <w:ind w:left="841" w:right="107" w:hanging="361"/>
        <w:jc w:val="left"/>
        <w:rPr>
          <w:sz w:val="24"/>
        </w:rPr>
      </w:pPr>
      <w:r>
        <w:rPr>
          <w:sz w:val="24"/>
        </w:rPr>
        <w:t>Contaduría Mayor de Hacienda: Antecedente de la actual Auditoria Superior de la</w:t>
      </w:r>
      <w:r>
        <w:rPr>
          <w:spacing w:val="-12"/>
          <w:sz w:val="24"/>
        </w:rPr>
        <w:t> </w:t>
      </w:r>
      <w:r>
        <w:rPr>
          <w:sz w:val="24"/>
        </w:rPr>
        <w:t>Federación.</w:t>
      </w:r>
    </w:p>
    <w:p>
      <w:pPr>
        <w:pStyle w:val="ListParagraph"/>
        <w:numPr>
          <w:ilvl w:val="0"/>
          <w:numId w:val="44"/>
        </w:numPr>
        <w:tabs>
          <w:tab w:pos="841" w:val="left" w:leader="none"/>
        </w:tabs>
        <w:spacing w:line="240" w:lineRule="auto" w:before="8" w:after="0"/>
        <w:ind w:left="841" w:right="0" w:hanging="361"/>
        <w:jc w:val="left"/>
        <w:rPr>
          <w:sz w:val="24"/>
        </w:rPr>
      </w:pPr>
      <w:r>
        <w:rPr>
          <w:sz w:val="24"/>
        </w:rPr>
        <w:t>Tesorería General de la</w:t>
      </w:r>
      <w:r>
        <w:rPr>
          <w:spacing w:val="-19"/>
          <w:sz w:val="24"/>
        </w:rPr>
        <w:t> </w:t>
      </w:r>
      <w:r>
        <w:rPr>
          <w:sz w:val="24"/>
        </w:rPr>
        <w:t>Federación.</w:t>
      </w:r>
    </w:p>
    <w:p>
      <w:pPr>
        <w:pStyle w:val="ListParagraph"/>
        <w:numPr>
          <w:ilvl w:val="0"/>
          <w:numId w:val="44"/>
        </w:numPr>
        <w:tabs>
          <w:tab w:pos="841" w:val="left" w:leader="none"/>
        </w:tabs>
        <w:spacing w:line="240" w:lineRule="auto" w:before="132" w:after="0"/>
        <w:ind w:left="841" w:right="0" w:hanging="361"/>
        <w:jc w:val="left"/>
        <w:rPr>
          <w:sz w:val="24"/>
        </w:rPr>
      </w:pPr>
      <w:r>
        <w:rPr>
          <w:sz w:val="24"/>
        </w:rPr>
        <w:t>Comisaría Central de Guerra y</w:t>
      </w:r>
      <w:r>
        <w:rPr>
          <w:spacing w:val="-17"/>
          <w:sz w:val="24"/>
        </w:rPr>
        <w:t> </w:t>
      </w:r>
      <w:r>
        <w:rPr>
          <w:sz w:val="24"/>
        </w:rPr>
        <w:t>Marina.</w:t>
      </w:r>
    </w:p>
    <w:p>
      <w:pPr>
        <w:pStyle w:val="BodyText"/>
      </w:pPr>
    </w:p>
    <w:p>
      <w:pPr>
        <w:pStyle w:val="BodyText"/>
        <w:spacing w:line="357" w:lineRule="auto" w:before="144"/>
        <w:ind w:left="120" w:right="114" w:firstLine="427"/>
        <w:jc w:val="both"/>
        <w:rPr>
          <w:sz w:val="16"/>
        </w:rPr>
      </w:pPr>
      <w:r>
        <w:rPr/>
        <w:t>Durante el Siglo XX la Constitución Federal de 1917estableció los mecanismos de control y vigilancia de los recursos mediante dos mecanismos: el control interno y el externo.</w:t>
      </w:r>
      <w:r>
        <w:rPr>
          <w:position w:val="8"/>
          <w:sz w:val="16"/>
        </w:rPr>
        <w:t>61</w:t>
      </w:r>
    </w:p>
    <w:p>
      <w:pPr>
        <w:pStyle w:val="BodyText"/>
        <w:rPr>
          <w:sz w:val="26"/>
        </w:rPr>
      </w:pPr>
    </w:p>
    <w:p>
      <w:pPr>
        <w:spacing w:before="164"/>
        <w:ind w:left="1413" w:right="137" w:firstLine="0"/>
        <w:jc w:val="left"/>
        <w:rPr>
          <w:sz w:val="20"/>
        </w:rPr>
      </w:pPr>
      <w:bookmarkStart w:name="_bookmark50" w:id="69"/>
      <w:bookmarkEnd w:id="69"/>
      <w:r>
        <w:rPr/>
      </w:r>
      <w:r>
        <w:rPr>
          <w:sz w:val="20"/>
        </w:rPr>
        <w:t>Esquema 2. 3. Control y vigilancia del patrimonio del Estado mexicano</w:t>
      </w:r>
    </w:p>
    <w:p>
      <w:pPr>
        <w:pStyle w:val="BodyText"/>
        <w:rPr>
          <w:sz w:val="17"/>
        </w:rPr>
      </w:pPr>
      <w:r>
        <w:rPr/>
        <w:pict>
          <v:group style="position:absolute;margin-left:105.599998pt;margin-top:11.750849pt;width:406.6pt;height:156.2pt;mso-position-horizontal-relative:page;mso-position-vertical-relative:paragraph;z-index:6952;mso-wrap-distance-left:0;mso-wrap-distance-right:0" coordorigin="2112,235" coordsize="8132,3124">
            <v:shape style="position:absolute;left:2112;top:235;width:8132;height:3124" type="#_x0000_t75" stroked="false">
              <v:imagedata r:id="rId106" o:title=""/>
            </v:shape>
            <v:rect style="position:absolute;left:2251;top:292;width:7935;height:2925" filled="true" fillcolor="#edebe0" stroked="false">
              <v:fill type="solid"/>
            </v:rect>
            <v:rect style="position:absolute;left:2268;top:597;width:2059;height:484" filled="true" fillcolor="#ffffff" stroked="false">
              <v:fill type="solid"/>
            </v:rect>
            <v:rect style="position:absolute;left:2268;top:597;width:2059;height:484" filled="false" stroked="true" strokeweight=".613497pt" strokecolor="#000000"/>
            <v:rect style="position:absolute;left:6187;top:2084;width:1795;height:138" filled="true" fillcolor="#ffffff" stroked="false">
              <v:fill type="solid"/>
            </v:rect>
            <v:rect style="position:absolute;left:6187;top:2084;width:1795;height:138" filled="false" stroked="true" strokeweight=".585014pt" strokecolor="#000000"/>
            <v:rect style="position:absolute;left:6187;top:2278;width:1795;height:138" filled="true" fillcolor="#ffffff" stroked="false">
              <v:fill type="solid"/>
            </v:rect>
            <v:rect style="position:absolute;left:6187;top:2278;width:1795;height:138" filled="false" stroked="true" strokeweight=".585014pt" strokecolor="#000000"/>
            <v:rect style="position:absolute;left:6187;top:2472;width:1795;height:138" filled="true" fillcolor="#ffffff" stroked="false">
              <v:fill type="solid"/>
            </v:rect>
            <v:rect style="position:absolute;left:6187;top:2472;width:1795;height:138" filled="false" stroked="true" strokeweight=".585014pt" strokecolor="#000000"/>
            <v:shape style="position:absolute;left:7916;top:1987;width:465;height:711" coordorigin="7916,1987" coordsize="465,711" path="m7916,1987l7989,1988,8053,1991,8136,2000,8148,2006,8148,2324,8160,2330,8193,2335,8243,2339,8307,2342,8380,2343,8307,2344,8243,2346,8193,2350,8160,2355,8148,2361,8148,2679,8136,2685,8103,2690,8053,2694,7989,2697,7916,2698e" filled="false" stroked="true" strokeweight="1.488062pt" strokecolor="#000000">
              <v:path arrowok="t"/>
            </v:shape>
            <v:shape style="position:absolute;left:8448;top:1858;width:1662;height:840" coordorigin="8448,1858" coordsize="1662,840" path="m9278,1858l9191,1860,9106,1867,9024,1878,8945,1893,8871,1912,8801,1934,8736,1960,8677,1988,8623,2020,8554,2072,8501,2129,8466,2191,8449,2256,8448,2278,8449,2300,8466,2365,8501,2427,8554,2484,8623,2536,8677,2567,8736,2596,8801,2622,8871,2644,8945,2663,9024,2678,9106,2689,9191,2696,9278,2698,9322,2697,9409,2693,9492,2684,9572,2671,9649,2654,9721,2633,9788,2609,9851,2582,9907,2552,9958,2519,10022,2465,10069,2407,10098,2344,10109,2278,10108,2256,10091,2191,10055,2129,10002,2072,9933,2020,9880,1988,9820,1960,9755,1934,9685,1912,9611,1893,9533,1878,9451,1867,9366,1860,9278,1858xe" filled="true" fillcolor="#000000" stroked="false">
              <v:path arrowok="t"/>
              <v:fill type="solid"/>
            </v:shape>
            <v:shape style="position:absolute;left:8448;top:1858;width:1662;height:840" coordorigin="8448,1858" coordsize="1662,840" path="m8448,2278l8458,2212,8487,2149,8535,2091,8598,2037,8649,2004,8706,1974,8768,1947,8835,1923,8908,1902,8984,1885,9064,1872,9148,1863,9234,1859,9278,1858,9322,1859,9409,1863,9492,1872,9572,1885,9649,1902,9721,1923,9788,1947,9851,1974,9907,2004,9958,2037,10022,2091,10069,2149,10098,2212,10109,2278,10108,2300,10091,2365,10055,2427,10002,2484,9933,2536,9880,2567,9820,2596,9755,2622,9685,2644,9611,2663,9533,2678,9451,2689,9366,2696,9278,2698,9234,2697,9148,2693,9064,2684,8984,2671,8908,2654,8835,2633,8768,2609,8706,2582,8649,2552,8598,2519,8535,2465,8487,2407,8458,2344,8448,2278xe" filled="false" stroked="true" strokeweight=".706447pt" strokecolor="#000000">
              <v:path arrowok="t"/>
            </v:shape>
            <v:rect style="position:absolute;left:8646;top:2084;width:1329;height:429" filled="true" fillcolor="#000000" stroked="false">
              <v:fill type="solid"/>
            </v:rect>
            <v:rect style="position:absolute;left:8646;top:2084;width:1329;height:429" filled="false" stroked="true" strokeweight=".639304pt" strokecolor="#000000"/>
            <v:shape style="position:absolute;left:4406;top:819;width:474;height:247" coordorigin="4406,819" coordsize="474,247" path="m4627,839l4468,962,4603,1004,4523,1065,4879,1002,4855,881,4762,881,4627,839xm4590,828l4431,951,4455,958,4615,835,4590,828xm4566,820l4406,943,4418,947,4578,824,4566,820xm4842,819l4762,881,4855,881,4842,819xe" filled="true" fillcolor="#000000" stroked="false">
              <v:path arrowok="t"/>
              <v:fill type="solid"/>
            </v:shape>
            <v:shape style="position:absolute;left:4390;top:802;width:502;height:275" coordorigin="4390,802" coordsize="502,275" path="m4587,1005l4495,1076,4540,1068,4533,1068,4519,1060,4551,1054,4610,1008,4597,1008,4587,1005xm4551,1054l4519,1060,4533,1068,4551,1054xm4867,998l4551,1054,4533,1068,4540,1068,4892,1006,4891,1003,4868,1003,4867,998xm4593,1001l4587,1005,4597,1008,4593,1001xm4615,1001l4593,1001,4597,1008,4610,1008,4619,1002,4615,1001xm4623,831l4623,831,4631,833,4459,966,4459,966,4587,1005,4593,1001,4615,1001,4499,965,4477,965,4474,957,4488,957,4631,847,4621,844,4637,842,4659,842,4623,831xm4875,997l4867,998,4868,1003,4875,997xm4890,997l4875,997,4868,1003,4891,1003,4890,997xm4854,820l4830,820,4852,822,4834,836,4867,998,4875,997,4890,997,4854,820xm4451,964l4451,964,4459,966,4459,966,4451,964xm4623,831l4451,964,4459,966,4631,833,4623,831xm4474,957l4477,965,4484,960,4474,957xm4484,960l4477,965,4499,965,4484,960xm4594,822l4422,955,4451,964,4463,955,4445,955,4447,954,4441,954,4437,946,4451,946,4594,836,4584,833,4600,831,4622,831,4594,822xm4488,957l4474,957,4484,960,4488,957xm4452,950l4445,955,4462,953,4452,950xm4599,837l4452,950,4462,953,4445,955,4463,955,4612,840,4609,840,4599,837xm4586,820l4414,953,4422,955,4594,822,4586,820xm4437,946l4441,954,4447,949,4437,946xm4447,949l4441,954,4447,954,4452,950,4447,949xm4562,812l4390,945,4414,953,4423,946,4416,946,4415,944,4408,944,4413,940,4412,938,4416,938,4562,826,4559,825,4563,825,4568,821,4585,821,4586,820,4587,820,4562,812xm4451,946l4437,946,4447,949,4451,946xm4421,943l4415,943,4416,946,4421,943xm4569,828l4422,941,4425,942,4421,943,4416,946,4423,946,4575,829,4572,829,4569,828xm4413,940l4408,944,4415,943,4413,940xm4415,943l4408,944,4415,944,4415,943xm4415,939l4413,940,4415,943,4421,943,4422,941,4415,939xm4422,941l4421,943,4425,942,4422,941xm4562,826l4415,939,4422,941,4569,828,4562,826xm4412,938l4413,940,4415,939,4412,938xm4416,938l4412,938,4415,939,4416,938xm4659,842l4637,842,4631,847,4766,888,4780,877,4752,877,4759,873,4659,842xm4759,873l4752,877,4769,876,4759,873xm4850,802l4759,873,4769,876,4752,877,4780,877,4834,836,4830,820,4854,820,4850,802xm4637,842l4621,844,4631,847,4637,842xm4605,832l4599,837,4609,840,4605,832xm4622,832l4605,832,4609,840,4612,840,4622,832xm4622,831l4600,831,4594,836,4599,837,4605,832,4622,832,4623,831,4622,831xm4830,820l4834,836,4852,822,4830,820xm4600,831l4584,833,4594,836,4600,831xm4571,827l4569,828,4572,829,4571,827xm4582,823l4575,823,4571,827,4572,829,4575,829,4582,823xm4569,824l4563,825,4562,826,4569,828,4571,827,4569,824xm4575,823l4569,824,4571,827,4575,823xm4563,825l4559,825,4562,826,4563,825xm4568,821l4563,825,4569,824,4568,821xm4585,821l4568,821,4569,824,4575,823,4582,823,4585,821xm4587,820l4586,820,4594,822,4594,822,4587,820xe" filled="true" fillcolor="#000000" stroked="false">
              <v:path arrowok="t"/>
              <v:fill type="solid"/>
            </v:shape>
            <v:shape style="position:absolute;left:6333;top:1207;width:474;height:247" coordorigin="6333,1207" coordsize="474,247" path="m6554,1227l6395,1350,6530,1391,6450,1453,6807,1390,6782,1268,6690,1268,6554,1227xm6517,1216l6358,1339,6382,1346,6542,1223,6517,1216xm6493,1208l6333,1331,6346,1335,6505,1212,6493,1208xm6769,1207l6690,1268,6782,1268,6769,1207xe" filled="true" fillcolor="#000000" stroked="false">
              <v:path arrowok="t"/>
              <v:fill type="solid"/>
            </v:shape>
            <v:shape style="position:absolute;left:6317;top:1190;width:502;height:275" coordorigin="6317,1190" coordsize="502,275" path="m6514,1393l6422,1464,6468,1456,6460,1456,6446,1447,6478,1442,6538,1396,6524,1396,6514,1393xm6478,1442l6446,1447,6460,1456,6478,1442xm6794,1386l6478,1442,6460,1456,6468,1456,6819,1394,6818,1391,6795,1391,6794,1386xm6520,1388l6514,1393,6524,1396,6520,1388xm6542,1388l6520,1388,6524,1396,6538,1396,6546,1390,6542,1388xm6558,1221l6386,1354,6386,1354,6514,1393,6520,1388,6542,1388,6427,1353,6405,1353,6401,1345,6415,1345,6558,1235,6548,1232,6564,1230,6586,1230,6558,1221xm6803,1385l6794,1386,6795,1391,6803,1385xm6817,1385l6803,1385,6795,1391,6818,1391,6817,1385xm6781,1207l6758,1207,6779,1210,6761,1224,6794,1386,6803,1385,6817,1385,6781,1207xm6379,1352l6379,1352,6386,1354,6386,1354,6379,1352xm6551,1219l6379,1352,6386,1354,6558,1221,6551,1219xm6401,1345l6405,1353,6411,1348,6401,1345xm6411,1348l6405,1353,6427,1353,6411,1348xm6521,1210l6349,1343,6379,1352,6390,1343,6372,1343,6374,1342,6368,1342,6364,1334,6378,1334,6521,1223,6511,1220,6527,1219,6549,1219,6521,1210xm6415,1345l6401,1345,6411,1348,6415,1345xm6379,1338l6372,1343,6389,1341,6379,1338xm6526,1225l6379,1338,6389,1341,6372,1343,6390,1343,6539,1228,6536,1228,6526,1225xm6489,1200l6317,1333,6349,1343,6349,1343,6342,1340,6350,1334,6343,1334,6342,1332,6336,1332,6340,1328,6340,1326,6343,1326,6489,1214,6487,1213,6490,1212,6495,1209,6512,1209,6514,1208,6514,1208,6489,1200xm6514,1208l6342,1340,6349,1343,6521,1210,6514,1208xm6364,1334l6368,1342,6374,1337,6364,1334xm6374,1337l6368,1342,6374,1342,6379,1338,6374,1337xm6378,1334l6364,1334,6374,1337,6378,1334xm6348,1330l6342,1331,6343,1334,6348,1330xm6496,1216l6349,1329,6352,1330,6348,1330,6343,1334,6350,1334,6502,1217,6499,1217,6496,1216xm6340,1328l6336,1332,6342,1331,6340,1328xm6342,1331l6336,1332,6342,1332,6342,1331xm6342,1327l6340,1328,6342,1331,6348,1330,6349,1329,6342,1327xm6349,1329l6348,1330,6352,1330,6349,1329xm6489,1214l6342,1327,6349,1329,6496,1216,6489,1214xm6340,1326l6340,1328,6342,1327,6340,1326xm6343,1326l6340,1326,6342,1327,6343,1326xm6586,1230l6564,1230,6558,1235,6693,1276,6707,1265,6680,1265,6686,1260,6586,1230xm6686,1260l6680,1265,6696,1263,6686,1260xm6778,1190l6686,1260,6696,1263,6680,1265,6707,1265,6761,1224,6758,1207,6781,1207,6778,1190xm6564,1230l6548,1232,6558,1235,6564,1230xm6532,1220l6526,1225,6536,1228,6532,1220xm6549,1220l6532,1220,6536,1228,6539,1228,6549,1220xm6549,1219l6527,1219,6521,1223,6526,1225,6532,1220,6549,1220,6551,1219,6551,1219,6549,1219xm6758,1207l6761,1224,6779,1210,6758,1207xm6527,1219l6511,1220,6521,1223,6527,1219xm6551,1219l6551,1219,6558,1221,6558,1221,6551,1219xm6498,1215l6496,1216,6499,1217,6498,1215xm6509,1211l6503,1211,6498,1215,6499,1217,6502,1217,6509,1211xm6497,1212l6490,1212,6489,1214,6496,1216,6498,1215,6497,1212xm6503,1211l6497,1212,6498,1215,6503,1211xm6490,1212l6487,1213,6489,1214,6490,1212xm6495,1209l6490,1212,6497,1212,6495,1209xm6512,1209l6495,1209,6497,1212,6503,1211,6509,1211,6512,1209xm6514,1208l6514,1208,6521,1210,6521,1210,6514,1208xe" filled="true" fillcolor="#000000" stroked="false">
              <v:path arrowok="t"/>
              <v:fill type="solid"/>
            </v:shape>
            <v:shape style="position:absolute;left:6653;top:1858;width:598;height:226" coordorigin="6653,1858" coordsize="598,226" path="m7101,1858l6802,1858,6802,1865,7101,1865,7101,1858xm7101,1872l6802,1872,6802,1886,7101,1886,7101,1872xm7251,1971l6653,1971,6952,2084,7251,1971xm7101,1893l6802,1893,6802,1971,7101,1971,7101,1893xe" filled="true" fillcolor="#000000" stroked="false">
              <v:path arrowok="t"/>
              <v:fill type="solid"/>
            </v:shape>
            <v:shape style="position:absolute;left:6618;top:1852;width:668;height:239" coordorigin="6618,1852" coordsize="668,239" path="m6790,1965l6618,1965,6952,2091,6984,2079,6944,2079,6952,2076,6688,1977,6653,1977,6660,1966,6790,1966,6790,1965xm6952,2076l6944,2079,6959,2079,6952,2076xm7243,1966l6952,2076,6959,2079,6984,2079,7255,1977,7251,1977,7243,1966xm6660,1966l6653,1977,6688,1977,6660,1966xm6790,1966l6660,1966,6688,1977,6814,1977,6814,1971,6790,1971,6790,1966xm7089,1893l7089,1977,7216,1977,7231,1971,7113,1971,7101,1965,7113,1965,7113,1899,7101,1899,7089,1893xm7282,1966l7243,1966,7251,1977,7255,1977,7282,1966xm7113,1852l6790,1852,6790,1971,6802,1965,6814,1965,6814,1899,6802,1899,6814,1893,7113,1893,7113,1886,6814,1886,6802,1880,6814,1880,6814,1878,6802,1878,6814,1872,7113,1872,7113,1865,6814,1865,6812,1864,6802,1864,6807,1862,6802,1859,6812,1859,6814,1858,7113,1858,7113,1852xm6814,1965l6802,1965,6790,1971,6814,1971,6814,1965xm7113,1965l7101,1965,7113,1971,7113,1965xm7286,1965l7113,1965,7113,1971,7231,1971,7243,1966,7282,1966,7286,1965xm6814,1893l6802,1899,6814,1899,6814,1893xm7089,1893l6814,1893,6814,1899,7089,1899,7089,1893xm7113,1893l7089,1893,7101,1899,7113,1899,7113,1893xm6814,1880l6802,1880,6814,1886,6814,1880xm7089,1880l6814,1880,6814,1886,7089,1886,7089,1880xm7089,1872l7089,1886,7101,1880,7113,1880,7113,1878,7101,1878,7089,1872xm7113,1880l7101,1880,7089,1886,7113,1886,7113,1880xm6814,1872l6802,1878,6814,1878,6814,1872xm7089,1872l6814,1872,6814,1878,7089,1878,7089,1872xm7113,1872l7089,1872,7101,1878,7113,1878,7113,1872xm6814,1858l6807,1862,6814,1865,6814,1858xm7089,1858l6814,1858,6814,1865,7089,1865,7089,1858xm7089,1858l7089,1865,7097,1862,7089,1858xm7097,1862l7089,1865,7113,1865,7113,1864,7101,1864,7097,1862xm6807,1862l6802,1864,6812,1864,6807,1862xm7113,1859l7101,1859,7097,1862,7101,1864,7113,1864,7113,1859xm6812,1859l6802,1859,6807,1862,6812,1859xm7113,1858l7089,1858,7097,1862,7101,1859,7113,1859,7113,1858xe" filled="true" fillcolor="#000000" stroked="false">
              <v:path arrowok="t"/>
              <v:fill type="solid"/>
            </v:shape>
            <v:shape style="position:absolute;left:8542;top:2701;width:311;height:188" type="#_x0000_t75" stroked="false">
              <v:imagedata r:id="rId107" o:title=""/>
            </v:shape>
            <v:shape style="position:absolute;left:9597;top:2700;width:293;height:196" type="#_x0000_t75" stroked="false">
              <v:imagedata r:id="rId108" o:title=""/>
            </v:shape>
            <v:rect style="position:absolute;left:2244;top:284;width:7950;height:2940" filled="false" stroked="true" strokeweight=".75pt" strokecolor="#4f81bc"/>
            <v:shape style="position:absolute;left:6187;top:2084;width:1795;height:167" type="#_x0000_t202" filled="false" stroked="false">
              <v:textbox inset="0,0,0,0">
                <w:txbxContent>
                  <w:p>
                    <w:pPr>
                      <w:spacing w:before="23"/>
                      <w:ind w:left="581" w:right="581" w:firstLine="0"/>
                      <w:jc w:val="center"/>
                      <w:rPr>
                        <w:b/>
                        <w:sz w:val="8"/>
                      </w:rPr>
                    </w:pPr>
                    <w:r>
                      <w:rPr>
                        <w:b/>
                        <w:w w:val="205"/>
                        <w:sz w:val="8"/>
                      </w:rPr>
                      <w:t>Ingreso</w:t>
                    </w:r>
                  </w:p>
                </w:txbxContent>
              </v:textbox>
              <w10:wrap type="none"/>
            </v:shape>
            <v:shape style="position:absolute;left:6187;top:2250;width:1795;height:194" type="#_x0000_t202" filled="false" stroked="false">
              <v:textbox inset="0,0,0,0">
                <w:txbxContent>
                  <w:p>
                    <w:pPr>
                      <w:spacing w:before="51"/>
                      <w:ind w:left="581" w:right="581" w:firstLine="0"/>
                      <w:jc w:val="center"/>
                      <w:rPr>
                        <w:b/>
                        <w:sz w:val="8"/>
                      </w:rPr>
                    </w:pPr>
                    <w:r>
                      <w:rPr>
                        <w:b/>
                        <w:w w:val="205"/>
                        <w:sz w:val="8"/>
                      </w:rPr>
                      <w:t>Gasto</w:t>
                    </w:r>
                  </w:p>
                </w:txbxContent>
              </v:textbox>
              <w10:wrap type="none"/>
            </v:shape>
            <v:shape style="position:absolute;left:6187;top:2444;width:1795;height:166" type="#_x0000_t202" filled="false" stroked="false">
              <v:textbox inset="0,0,0,0">
                <w:txbxContent>
                  <w:p>
                    <w:pPr>
                      <w:spacing w:before="51"/>
                      <w:ind w:left="580" w:right="581" w:firstLine="0"/>
                      <w:jc w:val="center"/>
                      <w:rPr>
                        <w:b/>
                        <w:sz w:val="8"/>
                      </w:rPr>
                    </w:pPr>
                    <w:r>
                      <w:rPr>
                        <w:b/>
                        <w:w w:val="205"/>
                        <w:sz w:val="8"/>
                      </w:rPr>
                      <w:t>Deuda</w:t>
                    </w:r>
                  </w:p>
                </w:txbxContent>
              </v:textbox>
              <w10:wrap type="none"/>
            </v:shape>
            <v:shape style="position:absolute;left:2244;top:597;width:2083;height:484" type="#_x0000_t202" filled="false" stroked="false">
              <v:textbox inset="0,0,0,0">
                <w:txbxContent>
                  <w:p>
                    <w:pPr>
                      <w:spacing w:line="254" w:lineRule="auto" w:before="24"/>
                      <w:ind w:left="95" w:right="73" w:firstLine="0"/>
                      <w:jc w:val="center"/>
                      <w:rPr>
                        <w:b/>
                        <w:sz w:val="9"/>
                      </w:rPr>
                    </w:pPr>
                    <w:r>
                      <w:rPr>
                        <w:b/>
                        <w:w w:val="210"/>
                        <w:sz w:val="9"/>
                      </w:rPr>
                      <w:t>Constitución Política</w:t>
                    </w:r>
                    <w:r>
                      <w:rPr>
                        <w:b/>
                        <w:w w:val="207"/>
                        <w:sz w:val="9"/>
                      </w:rPr>
                      <w:t> </w:t>
                    </w:r>
                    <w:r>
                      <w:rPr>
                        <w:b/>
                        <w:w w:val="210"/>
                        <w:sz w:val="9"/>
                      </w:rPr>
                      <w:t>de los Estados Unidos Mexicanos (1917)</w:t>
                    </w:r>
                  </w:p>
                </w:txbxContent>
              </v:textbox>
              <w10:wrap type="none"/>
            </v:shape>
            <v:shape style="position:absolute;left:3169;top:345;width:6242;height:238" type="#_x0000_t202" filled="false" stroked="false">
              <v:textbox inset="0,0,0,0">
                <w:txbxContent>
                  <w:p>
                    <w:pPr>
                      <w:spacing w:line="116" w:lineRule="exact" w:before="0"/>
                      <w:ind w:left="-1" w:right="0" w:firstLine="0"/>
                      <w:jc w:val="center"/>
                      <w:rPr>
                        <w:b/>
                        <w:sz w:val="11"/>
                      </w:rPr>
                    </w:pPr>
                    <w:r>
                      <w:rPr>
                        <w:b/>
                        <w:w w:val="215"/>
                        <w:sz w:val="11"/>
                      </w:rPr>
                      <w:t>Control</w:t>
                    </w:r>
                    <w:r>
                      <w:rPr>
                        <w:b/>
                        <w:spacing w:val="-10"/>
                        <w:w w:val="215"/>
                        <w:sz w:val="11"/>
                      </w:rPr>
                      <w:t> </w:t>
                    </w:r>
                    <w:r>
                      <w:rPr>
                        <w:b/>
                        <w:w w:val="215"/>
                        <w:sz w:val="11"/>
                      </w:rPr>
                      <w:t>y</w:t>
                    </w:r>
                    <w:r>
                      <w:rPr>
                        <w:b/>
                        <w:spacing w:val="-10"/>
                        <w:w w:val="215"/>
                        <w:sz w:val="11"/>
                      </w:rPr>
                      <w:t> </w:t>
                    </w:r>
                    <w:r>
                      <w:rPr>
                        <w:b/>
                        <w:w w:val="215"/>
                        <w:sz w:val="11"/>
                      </w:rPr>
                      <w:t>vigilancia</w:t>
                    </w:r>
                    <w:r>
                      <w:rPr>
                        <w:b/>
                        <w:spacing w:val="-8"/>
                        <w:w w:val="215"/>
                        <w:sz w:val="11"/>
                      </w:rPr>
                      <w:t> </w:t>
                    </w:r>
                    <w:r>
                      <w:rPr>
                        <w:b/>
                        <w:w w:val="215"/>
                        <w:sz w:val="11"/>
                      </w:rPr>
                      <w:t>del</w:t>
                    </w:r>
                    <w:r>
                      <w:rPr>
                        <w:b/>
                        <w:spacing w:val="-8"/>
                        <w:w w:val="215"/>
                        <w:sz w:val="11"/>
                      </w:rPr>
                      <w:t> </w:t>
                    </w:r>
                    <w:r>
                      <w:rPr>
                        <w:b/>
                        <w:w w:val="215"/>
                        <w:sz w:val="11"/>
                      </w:rPr>
                      <w:t>patrimonio</w:t>
                    </w:r>
                    <w:r>
                      <w:rPr>
                        <w:b/>
                        <w:spacing w:val="-11"/>
                        <w:w w:val="215"/>
                        <w:sz w:val="11"/>
                      </w:rPr>
                      <w:t> </w:t>
                    </w:r>
                    <w:r>
                      <w:rPr>
                        <w:b/>
                        <w:w w:val="215"/>
                        <w:sz w:val="11"/>
                      </w:rPr>
                      <w:t>del</w:t>
                    </w:r>
                    <w:r>
                      <w:rPr>
                        <w:b/>
                        <w:spacing w:val="-10"/>
                        <w:w w:val="215"/>
                        <w:sz w:val="11"/>
                      </w:rPr>
                      <w:t> </w:t>
                    </w:r>
                    <w:r>
                      <w:rPr>
                        <w:b/>
                        <w:w w:val="215"/>
                        <w:sz w:val="11"/>
                      </w:rPr>
                      <w:t>Estado</w:t>
                    </w:r>
                    <w:r>
                      <w:rPr>
                        <w:b/>
                        <w:spacing w:val="-8"/>
                        <w:w w:val="215"/>
                        <w:sz w:val="11"/>
                      </w:rPr>
                      <w:t> </w:t>
                    </w:r>
                    <w:r>
                      <w:rPr>
                        <w:b/>
                        <w:w w:val="215"/>
                        <w:sz w:val="11"/>
                      </w:rPr>
                      <w:t>mexicano</w:t>
                    </w:r>
                  </w:p>
                  <w:p>
                    <w:pPr>
                      <w:spacing w:line="113" w:lineRule="exact" w:before="8"/>
                      <w:ind w:left="2604" w:right="2605" w:firstLine="0"/>
                      <w:jc w:val="center"/>
                      <w:rPr>
                        <w:b/>
                        <w:sz w:val="10"/>
                      </w:rPr>
                    </w:pPr>
                    <w:r>
                      <w:rPr>
                        <w:b/>
                        <w:w w:val="210"/>
                        <w:sz w:val="10"/>
                      </w:rPr>
                      <w:t>(Siglo XX)</w:t>
                    </w:r>
                  </w:p>
                </w:txbxContent>
              </v:textbox>
              <w10:wrap type="none"/>
            </v:shape>
            <v:shape style="position:absolute;left:8821;top:2117;width:981;height:368" type="#_x0000_t202" filled="false" stroked="false">
              <v:textbox inset="0,0,0,0">
                <w:txbxContent>
                  <w:p>
                    <w:pPr>
                      <w:spacing w:line="82" w:lineRule="exact" w:before="0"/>
                      <w:ind w:left="112" w:right="113" w:firstLine="0"/>
                      <w:jc w:val="center"/>
                      <w:rPr>
                        <w:b/>
                        <w:sz w:val="8"/>
                      </w:rPr>
                    </w:pPr>
                    <w:r>
                      <w:rPr>
                        <w:b/>
                        <w:color w:val="FFFFFF"/>
                        <w:w w:val="205"/>
                        <w:sz w:val="8"/>
                      </w:rPr>
                      <w:t>Control</w:t>
                    </w:r>
                    <w:r>
                      <w:rPr>
                        <w:b/>
                        <w:color w:val="FFFFFF"/>
                        <w:spacing w:val="-4"/>
                        <w:w w:val="205"/>
                        <w:sz w:val="8"/>
                      </w:rPr>
                      <w:t> </w:t>
                    </w:r>
                    <w:r>
                      <w:rPr>
                        <w:b/>
                        <w:color w:val="FFFFFF"/>
                        <w:w w:val="205"/>
                        <w:sz w:val="8"/>
                      </w:rPr>
                      <w:t>y</w:t>
                    </w:r>
                  </w:p>
                  <w:p>
                    <w:pPr>
                      <w:spacing w:line="249" w:lineRule="auto" w:before="4"/>
                      <w:ind w:left="-1" w:right="0" w:firstLine="0"/>
                      <w:jc w:val="center"/>
                      <w:rPr>
                        <w:b/>
                        <w:sz w:val="8"/>
                      </w:rPr>
                    </w:pPr>
                    <w:r>
                      <w:rPr>
                        <w:b/>
                        <w:color w:val="FFFFFF"/>
                        <w:w w:val="205"/>
                        <w:sz w:val="8"/>
                      </w:rPr>
                      <w:t>vigilancia</w:t>
                    </w:r>
                    <w:r>
                      <w:rPr>
                        <w:b/>
                        <w:color w:val="FFFFFF"/>
                        <w:spacing w:val="-10"/>
                        <w:w w:val="205"/>
                        <w:sz w:val="8"/>
                      </w:rPr>
                      <w:t> </w:t>
                    </w:r>
                    <w:r>
                      <w:rPr>
                        <w:b/>
                        <w:color w:val="FFFFFF"/>
                        <w:w w:val="205"/>
                        <w:sz w:val="8"/>
                      </w:rPr>
                      <w:t>de los recursos del</w:t>
                    </w:r>
                    <w:r>
                      <w:rPr>
                        <w:b/>
                        <w:color w:val="FFFFFF"/>
                        <w:spacing w:val="-2"/>
                        <w:w w:val="205"/>
                        <w:sz w:val="8"/>
                      </w:rPr>
                      <w:t> </w:t>
                    </w:r>
                    <w:r>
                      <w:rPr>
                        <w:b/>
                        <w:color w:val="FFFFFF"/>
                        <w:w w:val="205"/>
                        <w:sz w:val="8"/>
                      </w:rPr>
                      <w:t>Estado</w:t>
                    </w:r>
                  </w:p>
                </w:txbxContent>
              </v:textbox>
              <w10:wrap type="none"/>
            </v:shape>
            <v:shape style="position:absolute;left:2600;top:1147;width:3588;height:236" type="#_x0000_t202" filled="true" fillcolor="#ffffff" stroked="true" strokeweight=".592363pt" strokecolor="#000000">
              <v:textbox inset="0,0,0,0">
                <w:txbxContent>
                  <w:p>
                    <w:pPr>
                      <w:spacing w:line="249" w:lineRule="auto" w:before="17"/>
                      <w:ind w:left="232" w:right="219" w:firstLine="774"/>
                      <w:jc w:val="left"/>
                      <w:rPr>
                        <w:b/>
                        <w:sz w:val="8"/>
                      </w:rPr>
                    </w:pPr>
                    <w:r>
                      <w:rPr>
                        <w:b/>
                        <w:w w:val="205"/>
                        <w:sz w:val="8"/>
                      </w:rPr>
                      <w:t>Rectoría económica (artículos 25, 26, 27, 28, 79, 90, 93 y 134)</w:t>
                    </w:r>
                  </w:p>
                </w:txbxContent>
              </v:textbox>
              <v:fill type="solid"/>
              <w10:wrap type="none"/>
            </v:shape>
            <v:shape style="position:absolute;left:6055;top:1567;width:1794;height:235" type="#_x0000_t202" filled="true" fillcolor="#ffffff" stroked="true" strokeweight=".622840pt" strokecolor="#000000">
              <v:textbox inset="0,0,0,0">
                <w:txbxContent>
                  <w:p>
                    <w:pPr>
                      <w:spacing w:line="249" w:lineRule="auto" w:before="16"/>
                      <w:ind w:left="476" w:right="124" w:hanging="348"/>
                      <w:jc w:val="left"/>
                      <w:rPr>
                        <w:b/>
                        <w:sz w:val="8"/>
                      </w:rPr>
                    </w:pPr>
                    <w:r>
                      <w:rPr>
                        <w:b/>
                        <w:w w:val="205"/>
                        <w:sz w:val="8"/>
                      </w:rPr>
                      <w:t>Régimen financiero del Estado</w:t>
                    </w:r>
                  </w:p>
                </w:txbxContent>
              </v:textbox>
              <v:fill type="solid"/>
              <w10:wrap type="none"/>
            </v:shape>
            <v:shape style="position:absolute;left:8039;top:2948;width:1015;height:254" type="#_x0000_t202" filled="true" fillcolor="#000000" stroked="false">
              <v:textbox inset="0,0,0,0">
                <w:txbxContent>
                  <w:p>
                    <w:pPr>
                      <w:spacing w:line="249" w:lineRule="auto" w:before="32"/>
                      <w:ind w:left="228" w:right="197" w:hanging="13"/>
                      <w:jc w:val="left"/>
                      <w:rPr>
                        <w:b/>
                        <w:sz w:val="8"/>
                      </w:rPr>
                    </w:pPr>
                    <w:r>
                      <w:rPr>
                        <w:b/>
                        <w:color w:val="FFFFFF"/>
                        <w:w w:val="205"/>
                        <w:sz w:val="8"/>
                      </w:rPr>
                      <w:t>Control interno</w:t>
                    </w:r>
                  </w:p>
                </w:txbxContent>
              </v:textbox>
              <v:fill type="solid"/>
              <w10:wrap type="none"/>
            </v:shape>
            <v:shape style="position:absolute;left:9169;top:2948;width:1015;height:254" type="#_x0000_t202" filled="true" fillcolor="#000000" stroked="false">
              <v:textbox inset="0,0,0,0">
                <w:txbxContent>
                  <w:p>
                    <w:pPr>
                      <w:spacing w:line="249" w:lineRule="auto" w:before="32"/>
                      <w:ind w:left="211" w:right="191" w:firstLine="5"/>
                      <w:jc w:val="left"/>
                      <w:rPr>
                        <w:b/>
                        <w:sz w:val="8"/>
                      </w:rPr>
                    </w:pPr>
                    <w:r>
                      <w:rPr>
                        <w:b/>
                        <w:color w:val="FFFFFF"/>
                        <w:w w:val="205"/>
                        <w:sz w:val="8"/>
                      </w:rPr>
                      <w:t>Control externo</w:t>
                    </w:r>
                  </w:p>
                </w:txbxContent>
              </v:textbox>
              <v:fill type="solid"/>
              <w10:wrap type="none"/>
            </v:shape>
            <w10:wrap type="topAndBottom"/>
          </v:group>
        </w:pict>
      </w:r>
    </w:p>
    <w:p>
      <w:pPr>
        <w:spacing w:before="33"/>
        <w:ind w:left="1337" w:right="137" w:firstLine="0"/>
        <w:jc w:val="left"/>
        <w:rPr>
          <w:sz w:val="12"/>
        </w:rPr>
      </w:pPr>
      <w:r>
        <w:rPr>
          <w:sz w:val="12"/>
        </w:rPr>
        <w:t>FUENTE: Elaboración propia.</w:t>
      </w:r>
    </w:p>
    <w:p>
      <w:pPr>
        <w:pStyle w:val="BodyText"/>
        <w:spacing w:before="7"/>
        <w:rPr>
          <w:sz w:val="22"/>
        </w:rPr>
      </w:pPr>
      <w:r>
        <w:rPr/>
        <w:pict>
          <v:line style="position:absolute;mso-position-horizontal-relative:page;mso-position-vertical-relative:paragraph;z-index:6976;mso-wrap-distance-left:0;mso-wrap-distance-right:0" from="85.025002pt,15.353518pt" to="229.075002pt,15.353518pt" stroked="true" strokeweight=".79999pt" strokecolor="#000000">
            <w10:wrap type="topAndBottom"/>
          </v:line>
        </w:pict>
      </w:r>
    </w:p>
    <w:p>
      <w:pPr>
        <w:spacing w:line="256" w:lineRule="auto" w:before="59"/>
        <w:ind w:left="120" w:right="137" w:firstLine="0"/>
        <w:jc w:val="left"/>
        <w:rPr>
          <w:sz w:val="16"/>
        </w:rPr>
      </w:pPr>
      <w:r>
        <w:rPr>
          <w:rFonts w:ascii="Times New Roman" w:hAnsi="Times New Roman"/>
          <w:position w:val="7"/>
          <w:sz w:val="13"/>
        </w:rPr>
        <w:t>61</w:t>
      </w:r>
      <w:r>
        <w:rPr>
          <w:sz w:val="16"/>
        </w:rPr>
        <w:t>A partir de 2001 el Estado consideró fortalecer la supervisión mediante la contraloría social, con el objeto de que los resultados de la administración pública sean fiscalizados por la sociedad.</w:t>
      </w:r>
    </w:p>
    <w:p>
      <w:pPr>
        <w:spacing w:after="0" w:line="256" w:lineRule="auto"/>
        <w:jc w:val="left"/>
        <w:rPr>
          <w:sz w:val="16"/>
        </w:rPr>
        <w:sectPr>
          <w:pgSz w:w="12240" w:h="15840"/>
          <w:pgMar w:header="0" w:footer="998" w:top="1360" w:bottom="1180" w:left="1580" w:right="1500"/>
        </w:sectPr>
      </w:pPr>
    </w:p>
    <w:p>
      <w:pPr>
        <w:pStyle w:val="BodyText"/>
        <w:spacing w:before="6"/>
        <w:rPr>
          <w:sz w:val="9"/>
        </w:rPr>
      </w:pPr>
    </w:p>
    <w:p>
      <w:pPr>
        <w:pStyle w:val="BodyText"/>
        <w:spacing w:line="360" w:lineRule="auto" w:before="69"/>
        <w:ind w:left="140" w:right="118" w:firstLine="427"/>
        <w:jc w:val="both"/>
      </w:pPr>
      <w:r>
        <w:rPr/>
        <w:t>Desde</w:t>
      </w:r>
      <w:r>
        <w:rPr>
          <w:spacing w:val="-8"/>
        </w:rPr>
        <w:t> </w:t>
      </w:r>
      <w:r>
        <w:rPr/>
        <w:t>la</w:t>
      </w:r>
      <w:r>
        <w:rPr>
          <w:spacing w:val="-8"/>
        </w:rPr>
        <w:t> </w:t>
      </w:r>
      <w:r>
        <w:rPr/>
        <w:t>promulgación</w:t>
      </w:r>
      <w:r>
        <w:rPr>
          <w:spacing w:val="-8"/>
        </w:rPr>
        <w:t> </w:t>
      </w:r>
      <w:r>
        <w:rPr/>
        <w:t>de</w:t>
      </w:r>
      <w:r>
        <w:rPr>
          <w:spacing w:val="-8"/>
        </w:rPr>
        <w:t> </w:t>
      </w:r>
      <w:r>
        <w:rPr/>
        <w:t>la</w:t>
      </w:r>
      <w:r>
        <w:rPr>
          <w:spacing w:val="-8"/>
        </w:rPr>
        <w:t> </w:t>
      </w:r>
      <w:r>
        <w:rPr/>
        <w:t>Constitución</w:t>
      </w:r>
      <w:r>
        <w:rPr>
          <w:spacing w:val="-8"/>
        </w:rPr>
        <w:t> </w:t>
      </w:r>
      <w:r>
        <w:rPr/>
        <w:t>de</w:t>
      </w:r>
      <w:r>
        <w:rPr>
          <w:spacing w:val="-8"/>
        </w:rPr>
        <w:t> </w:t>
      </w:r>
      <w:r>
        <w:rPr/>
        <w:t>1824</w:t>
      </w:r>
      <w:r>
        <w:rPr>
          <w:spacing w:val="-4"/>
        </w:rPr>
        <w:t> </w:t>
      </w:r>
      <w:r>
        <w:rPr/>
        <w:t>y</w:t>
      </w:r>
      <w:r>
        <w:rPr>
          <w:spacing w:val="-10"/>
        </w:rPr>
        <w:t> </w:t>
      </w:r>
      <w:r>
        <w:rPr/>
        <w:t>la</w:t>
      </w:r>
      <w:r>
        <w:rPr>
          <w:spacing w:val="-8"/>
        </w:rPr>
        <w:t> </w:t>
      </w:r>
      <w:r>
        <w:rPr/>
        <w:t>Ley</w:t>
      </w:r>
      <w:r>
        <w:rPr>
          <w:spacing w:val="-10"/>
        </w:rPr>
        <w:t> </w:t>
      </w:r>
      <w:r>
        <w:rPr/>
        <w:t>para</w:t>
      </w:r>
      <w:r>
        <w:rPr>
          <w:spacing w:val="-8"/>
        </w:rPr>
        <w:t> </w:t>
      </w:r>
      <w:r>
        <w:rPr/>
        <w:t>el</w:t>
      </w:r>
      <w:r>
        <w:rPr>
          <w:spacing w:val="-7"/>
        </w:rPr>
        <w:t> </w:t>
      </w:r>
      <w:r>
        <w:rPr/>
        <w:t>Arreglo</w:t>
      </w:r>
      <w:r>
        <w:rPr>
          <w:spacing w:val="-8"/>
        </w:rPr>
        <w:t> </w:t>
      </w:r>
      <w:r>
        <w:rPr/>
        <w:t>de</w:t>
      </w:r>
      <w:r>
        <w:rPr>
          <w:spacing w:val="-4"/>
        </w:rPr>
        <w:t> </w:t>
      </w:r>
      <w:r>
        <w:rPr/>
        <w:t>la Administración</w:t>
      </w:r>
      <w:r>
        <w:rPr>
          <w:spacing w:val="-6"/>
        </w:rPr>
        <w:t> </w:t>
      </w:r>
      <w:r>
        <w:rPr/>
        <w:t>de</w:t>
      </w:r>
      <w:r>
        <w:rPr>
          <w:spacing w:val="-6"/>
        </w:rPr>
        <w:t> </w:t>
      </w:r>
      <w:r>
        <w:rPr/>
        <w:t>la</w:t>
      </w:r>
      <w:r>
        <w:rPr>
          <w:spacing w:val="-6"/>
        </w:rPr>
        <w:t> </w:t>
      </w:r>
      <w:r>
        <w:rPr/>
        <w:t>Hacienda</w:t>
      </w:r>
      <w:r>
        <w:rPr>
          <w:spacing w:val="-3"/>
        </w:rPr>
        <w:t> </w:t>
      </w:r>
      <w:r>
        <w:rPr/>
        <w:t>Pública,</w:t>
      </w:r>
      <w:r>
        <w:rPr>
          <w:spacing w:val="-4"/>
        </w:rPr>
        <w:t> </w:t>
      </w:r>
      <w:r>
        <w:rPr/>
        <w:t>los</w:t>
      </w:r>
      <w:r>
        <w:rPr>
          <w:spacing w:val="-4"/>
        </w:rPr>
        <w:t> </w:t>
      </w:r>
      <w:r>
        <w:rPr/>
        <w:t>primeros</w:t>
      </w:r>
      <w:r>
        <w:rPr>
          <w:spacing w:val="-4"/>
        </w:rPr>
        <w:t> </w:t>
      </w:r>
      <w:r>
        <w:rPr/>
        <w:t>cambios</w:t>
      </w:r>
      <w:r>
        <w:rPr>
          <w:spacing w:val="-4"/>
        </w:rPr>
        <w:t> </w:t>
      </w:r>
      <w:r>
        <w:rPr/>
        <w:t>que</w:t>
      </w:r>
      <w:r>
        <w:rPr>
          <w:spacing w:val="-6"/>
        </w:rPr>
        <w:t> </w:t>
      </w:r>
      <w:r>
        <w:rPr/>
        <w:t>se</w:t>
      </w:r>
      <w:r>
        <w:rPr>
          <w:spacing w:val="-6"/>
        </w:rPr>
        <w:t> </w:t>
      </w:r>
      <w:r>
        <w:rPr/>
        <w:t>realizaron</w:t>
      </w:r>
      <w:r>
        <w:rPr>
          <w:spacing w:val="-6"/>
        </w:rPr>
        <w:t> </w:t>
      </w:r>
      <w:r>
        <w:rPr/>
        <w:t>a</w:t>
      </w:r>
      <w:r>
        <w:rPr>
          <w:spacing w:val="-6"/>
        </w:rPr>
        <w:t> </w:t>
      </w:r>
      <w:r>
        <w:rPr/>
        <w:t>la denominación y funciones de la institución de rendición de cuentas de control externo</w:t>
      </w:r>
      <w:r>
        <w:rPr>
          <w:spacing w:val="-22"/>
        </w:rPr>
        <w:t> </w:t>
      </w:r>
      <w:r>
        <w:rPr/>
        <w:t>(del</w:t>
      </w:r>
      <w:r>
        <w:rPr>
          <w:spacing w:val="-21"/>
        </w:rPr>
        <w:t> </w:t>
      </w:r>
      <w:r>
        <w:rPr/>
        <w:t>Poder</w:t>
      </w:r>
      <w:r>
        <w:rPr>
          <w:spacing w:val="-20"/>
        </w:rPr>
        <w:t> </w:t>
      </w:r>
      <w:r>
        <w:rPr/>
        <w:t>Legislativo)</w:t>
      </w:r>
      <w:r>
        <w:rPr>
          <w:spacing w:val="-20"/>
        </w:rPr>
        <w:t> </w:t>
      </w:r>
      <w:r>
        <w:rPr/>
        <w:t>estuvieron</w:t>
      </w:r>
      <w:r>
        <w:rPr>
          <w:spacing w:val="-22"/>
        </w:rPr>
        <w:t> </w:t>
      </w:r>
      <w:r>
        <w:rPr/>
        <w:t>orientados</w:t>
      </w:r>
      <w:r>
        <w:rPr>
          <w:spacing w:val="-20"/>
        </w:rPr>
        <w:t> </w:t>
      </w:r>
      <w:r>
        <w:rPr/>
        <w:t>principalmente</w:t>
      </w:r>
      <w:r>
        <w:rPr>
          <w:spacing w:val="-22"/>
        </w:rPr>
        <w:t> </w:t>
      </w:r>
      <w:r>
        <w:rPr/>
        <w:t>hacia</w:t>
      </w:r>
      <w:r>
        <w:rPr>
          <w:spacing w:val="-22"/>
        </w:rPr>
        <w:t> </w:t>
      </w:r>
      <w:r>
        <w:rPr/>
        <w:t>la</w:t>
      </w:r>
      <w:r>
        <w:rPr>
          <w:spacing w:val="-18"/>
        </w:rPr>
        <w:t> </w:t>
      </w:r>
      <w:r>
        <w:rPr/>
        <w:t>gestión de la institución y actividades</w:t>
      </w:r>
      <w:r>
        <w:rPr>
          <w:spacing w:val="-16"/>
        </w:rPr>
        <w:t> </w:t>
      </w:r>
      <w:r>
        <w:rPr/>
        <w:t>contables.</w:t>
      </w:r>
    </w:p>
    <w:p>
      <w:pPr>
        <w:pStyle w:val="BodyText"/>
        <w:spacing w:line="357" w:lineRule="auto" w:before="6"/>
        <w:ind w:left="140" w:right="123" w:firstLine="427"/>
        <w:jc w:val="both"/>
      </w:pPr>
      <w:r>
        <w:rPr/>
        <w:t>En el esquema siguiente se presentan los elementos principales que caracterizaron el origen de la rendición de cuentas en México.</w:t>
      </w:r>
    </w:p>
    <w:p>
      <w:pPr>
        <w:pStyle w:val="BodyText"/>
      </w:pPr>
    </w:p>
    <w:p>
      <w:pPr>
        <w:spacing w:before="190"/>
        <w:ind w:left="1908" w:right="8" w:firstLine="0"/>
        <w:jc w:val="left"/>
        <w:rPr>
          <w:sz w:val="20"/>
        </w:rPr>
      </w:pPr>
      <w:bookmarkStart w:name="_bookmark51" w:id="70"/>
      <w:bookmarkEnd w:id="70"/>
      <w:r>
        <w:rPr/>
      </w:r>
      <w:r>
        <w:rPr>
          <w:sz w:val="20"/>
        </w:rPr>
        <w:t>Esquema 2. 4. Origen de la rendición de cuentas en México</w:t>
      </w:r>
    </w:p>
    <w:p>
      <w:pPr>
        <w:pStyle w:val="BodyText"/>
        <w:rPr>
          <w:sz w:val="14"/>
        </w:rPr>
      </w:pPr>
      <w:r>
        <w:rPr/>
        <w:pict>
          <v:group style="position:absolute;margin-left:83.199997pt;margin-top:10.030859pt;width:431.4pt;height:197.6pt;mso-position-horizontal-relative:page;mso-position-vertical-relative:paragraph;z-index:7264;mso-wrap-distance-left:0;mso-wrap-distance-right:0" coordorigin="1664,201" coordsize="8628,3952">
            <v:shape style="position:absolute;left:1664;top:201;width:8628;height:3952" type="#_x0000_t75" stroked="false">
              <v:imagedata r:id="rId109" o:title=""/>
            </v:shape>
            <v:rect style="position:absolute;left:1791;top:232;width:8460;height:3795" filled="true" fillcolor="#edebe0" stroked="false">
              <v:fill type="solid"/>
            </v:rect>
            <v:shape style="position:absolute;left:1969;top:1268;width:1540;height:1783" coordorigin="1969,1268" coordsize="1540,1783" path="m1969,1268l1969,2905,1973,2920,1985,2935,2004,2949,2030,2962,2062,2975,2101,2987,2145,2998,2195,3008,2249,3018,2309,3026,2372,3033,2439,3040,2510,3044,2584,3048,2660,3050,2739,3051,2818,3050,2894,3048,2968,3044,3038,3040,3106,3033,3169,3026,3228,3018,3283,3008,3333,2998,3377,2987,3416,2975,3448,2962,3474,2949,3493,2935,3505,2920,3509,2905,3509,1414,2739,1414,2660,1413,2584,1411,2510,1407,2439,1402,2372,1396,2309,1389,2249,1381,2195,1371,2145,1361,2101,1350,2062,1338,2030,1325,2004,1312,1985,1298,1973,1283,1969,1268xm3509,1268l3505,1283,3493,1298,3474,1312,3448,1325,3416,1338,3377,1350,3333,1361,3283,1371,3228,1381,3169,1389,3106,1396,3038,1402,2968,1407,2894,1411,2818,1413,2739,1414,3509,1414,3509,1268xe" filled="true" fillcolor="#4f81bc" stroked="false">
              <v:path arrowok="t"/>
              <v:fill type="solid"/>
            </v:shape>
            <v:shape style="position:absolute;left:1969;top:1123;width:1540;height:292" coordorigin="1969,1123" coordsize="1540,292" path="m2739,1123l2660,1123,2584,1126,2510,1129,2439,1134,2372,1140,2309,1148,2195,1165,2101,1187,2030,1212,1973,1253,1969,1268,1973,1283,2030,1325,2101,1350,2195,1371,2309,1389,2372,1396,2439,1402,2510,1407,2584,1411,2660,1413,2739,1414,2818,1413,2894,1411,2968,1407,3038,1402,3106,1396,3169,1389,3283,1371,3377,1350,3448,1325,3505,1283,3509,1268,3505,1253,3448,1212,3377,1187,3283,1165,3169,1148,3106,1140,3038,1134,2968,1129,2894,1126,2818,1123,2739,1123xe" filled="true" fillcolor="#94b3d6" stroked="false">
              <v:path arrowok="t"/>
              <v:fill type="solid"/>
            </v:shape>
            <v:shape style="position:absolute;left:1969;top:1123;width:1540;height:1929" coordorigin="1969,1123" coordsize="1540,1929" path="m3509,1268l3448,1325,3377,1350,3283,1371,3169,1389,3106,1396,3038,1402,2968,1407,2894,1411,2818,1413,2739,1414,2660,1413,2584,1411,2510,1407,2439,1402,2372,1396,2309,1389,2195,1371,2101,1350,2030,1325,1973,1283,1969,1268,1973,1253,1985,1239,2062,1199,2145,1176,2249,1156,2372,1140,2439,1134,2510,1129,2584,1126,2660,1123,2739,1123,2818,1123,2894,1126,2968,1129,3038,1134,3106,1140,3169,1148,3283,1165,3377,1187,3448,1212,3505,1253,3509,1268,3509,2905,3505,2920,3493,2935,3416,2975,3333,2998,3228,3018,3106,3033,3038,3040,2968,3044,2894,3048,2818,3050,2739,3051,2660,3050,2584,3048,2510,3044,2439,3040,2372,3033,2309,3026,2195,3008,2101,2987,2030,2962,1973,2920,1969,2905,1969,1268e" filled="false" stroked="true" strokeweight="1.384158pt" strokecolor="#385d89">
              <v:path arrowok="t"/>
            </v:shape>
            <v:shape style="position:absolute;left:3615;top:251;width:1063;height:741" coordorigin="3615,251" coordsize="1063,741" path="m4678,806l4189,806,4456,992,4678,806xm3860,251l3615,251,3660,253,3704,257,3747,264,3789,273,3831,285,3871,299,3910,316,3949,335,3986,357,4021,380,4056,406,4088,434,4119,464,4149,495,4176,528,4202,564,4226,600,4247,639,4267,679,4284,720,4299,763,4311,806,4556,806,4543,763,4529,720,4511,679,4492,639,4470,600,4447,564,4421,528,4393,495,4364,464,4333,434,4300,406,4266,380,4230,357,4193,335,4155,316,4116,299,4075,285,4034,273,3991,264,3948,257,3904,253,3860,251xe" filled="true" fillcolor="#4f81bc" stroked="false">
              <v:path arrowok="t"/>
              <v:fill type="solid"/>
            </v:shape>
            <v:shape style="position:absolute;left:2897;top:251;width:841;height:741" coordorigin="2897,251" coordsize="841,741" path="m3609,251l3524,257,3442,273,3364,298,3289,332,3218,375,3153,425,3093,483,3040,548,2994,619,2957,696,2927,778,2907,865,2900,928,2897,992,3142,992,3143,947,3147,903,3162,817,3186,734,3220,656,3261,582,3311,514,3367,453,3430,398,3499,351,3574,312,3654,282,3738,262,3694,256,3651,252,3609,251xe" filled="true" fillcolor="#406897" stroked="false">
              <v:path arrowok="t"/>
              <v:fill type="solid"/>
            </v:shape>
            <v:shape style="position:absolute;left:2897;top:251;width:1782;height:741" coordorigin="2897,251" coordsize="1782,741" path="m3615,251l3704,257,3789,273,3871,299,3949,335,4021,380,4088,434,4149,495,4202,564,4247,639,4284,720,4311,806,4189,806,4456,992,4678,806,4556,806,4529,720,4492,639,4447,564,4393,495,4333,434,4266,380,4193,335,4116,299,4034,273,3948,257,3860,251,3615,251,3572,252,3529,256,3445,272,3365,297,3289,332,3218,375,3153,425,3093,483,3040,548,2995,618,2957,694,2928,774,2908,858,2898,946,2897,992,3142,992,3143,947,3147,903,3162,817,3186,734,3220,656,3261,582,3310,515,3367,453,3430,398,3499,351,3574,312,3654,282,3695,271,3738,262e" filled="false" stroked="true" strokeweight="1.211787pt" strokecolor="#385d89">
              <v:path arrowok="t"/>
            </v:shape>
            <v:shape style="position:absolute;left:1816;top:3113;width:8399;height:402" coordorigin="1816,3113" coordsize="8399,402" path="m9950,3113l9950,3213,1816,3213,1816,3414,9950,3414,9950,3514,10215,3313,9950,3113xe" filled="true" fillcolor="#4f81bc" stroked="false">
              <v:path arrowok="t"/>
              <v:fill type="solid"/>
            </v:shape>
            <v:shape style="position:absolute;left:1801;top:3085;width:8436;height:457" coordorigin="1801,3085" coordsize="8436,457" path="m9935,3414l9935,3542,9972,3514,9965,3514,9939,3506,9965,3486,9965,3425,9950,3425,9935,3414xm9965,3486l9939,3506,9965,3514,9965,3486xm10194,3313l9965,3486,9965,3514,9972,3514,10226,3321,10204,3321,10194,3313xm9935,3201l1801,3201,1801,3425,9935,3425,9935,3414,1832,3414,1816,3402,1832,3402,1832,3225,1816,3225,1832,3213,9935,3213,9935,3201xm9965,3402l1832,3402,1832,3414,9935,3414,9950,3425,9965,3425,9965,3402xm1832,3402l1816,3402,1832,3414,1832,3402xm10204,3305l10194,3313,10204,3321,10204,3305xm10226,3305l10204,3305,10204,3321,10226,3321,10237,3313,10226,3305xm9972,3113l9965,3113,9965,3141,10194,3313,10204,3305,10226,3305,9972,3113xm1832,3213l1816,3225,1832,3225,1832,3213xm9965,3201l9950,3201,9935,3213,1832,3213,1832,3225,9965,3225,9965,3201xm9935,3085l9935,3213,9950,3201,9965,3201,9965,3141,9939,3121,9965,3113,9972,3113,9935,3085xm9965,3113l9939,3121,9965,3141,9965,3113xe" filled="true" fillcolor="#385d89" stroked="false">
              <v:path arrowok="t"/>
              <v:fill type="solid"/>
            </v:shape>
            <v:shape style="position:absolute;left:4116;top:300;width:5961;height:2765" type="#_x0000_t75" stroked="false">
              <v:imagedata r:id="rId110" o:title=""/>
            </v:shape>
            <v:rect style="position:absolute;left:1898;top:3637;width:1233;height:370" filled="true" fillcolor="#ffffff" stroked="false">
              <v:fill type="solid"/>
            </v:rect>
            <v:rect style="position:absolute;left:1898;top:3637;width:1233;height:370" filled="false" stroked="true" strokeweight="1.187738pt" strokecolor="#000000"/>
            <v:rect style="position:absolute;left:6444;top:3637;width:1233;height:370" filled="true" fillcolor="#ffffff" stroked="false">
              <v:fill type="solid"/>
            </v:rect>
            <v:rect style="position:absolute;left:6444;top:3637;width:1233;height:370" filled="false" stroked="true" strokeweight="1.187738pt" strokecolor="#000000"/>
            <v:shape style="position:absolute;left:1898;top:3637;width:1234;height:390" type="#_x0000_t202" filled="false" stroked="false">
              <v:textbox inset="0,0,0,0">
                <w:txbxContent>
                  <w:p>
                    <w:pPr>
                      <w:spacing w:line="254" w:lineRule="auto" w:before="48"/>
                      <w:ind w:left="99" w:right="115" w:firstLine="255"/>
                      <w:jc w:val="left"/>
                      <w:rPr>
                        <w:b/>
                        <w:sz w:val="12"/>
                      </w:rPr>
                    </w:pPr>
                    <w:r>
                      <w:rPr>
                        <w:b/>
                        <w:w w:val="135"/>
                        <w:sz w:val="12"/>
                      </w:rPr>
                      <w:t>Época prehispánica</w:t>
                    </w:r>
                  </w:p>
                </w:txbxContent>
              </v:textbox>
              <w10:wrap type="none"/>
            </v:shape>
            <v:shape style="position:absolute;left:6444;top:3637;width:1234;height:390" type="#_x0000_t202" filled="false" stroked="false">
              <v:textbox inset="0,0,0,0">
                <w:txbxContent>
                  <w:p>
                    <w:pPr>
                      <w:spacing w:line="254" w:lineRule="auto" w:before="48"/>
                      <w:ind w:left="320" w:right="317" w:firstLine="40"/>
                      <w:jc w:val="left"/>
                      <w:rPr>
                        <w:b/>
                        <w:sz w:val="12"/>
                      </w:rPr>
                    </w:pPr>
                    <w:r>
                      <w:rPr>
                        <w:b/>
                        <w:w w:val="135"/>
                        <w:sz w:val="12"/>
                      </w:rPr>
                      <w:t>Nueva España</w:t>
                    </w:r>
                  </w:p>
                </w:txbxContent>
              </v:textbox>
              <w10:wrap type="none"/>
            </v:shape>
            <v:shape style="position:absolute;left:2309;top:1123;width:708;height:325" type="#_x0000_t202" filled="false" stroked="false">
              <v:textbox inset="0,0,0,0">
                <w:txbxContent>
                  <w:p>
                    <w:pPr>
                      <w:spacing w:line="149" w:lineRule="exact" w:before="0"/>
                      <w:ind w:left="0" w:right="0" w:firstLine="0"/>
                      <w:jc w:val="left"/>
                      <w:rPr>
                        <w:b/>
                        <w:sz w:val="14"/>
                      </w:rPr>
                    </w:pPr>
                    <w:r>
                      <w:rPr>
                        <w:b/>
                        <w:color w:val="FFFFFF"/>
                        <w:w w:val="135"/>
                        <w:sz w:val="14"/>
                      </w:rPr>
                      <w:t>Imperio</w:t>
                    </w:r>
                  </w:p>
                  <w:p>
                    <w:pPr>
                      <w:spacing w:line="159" w:lineRule="exact" w:before="16"/>
                      <w:ind w:left="0" w:right="0" w:firstLine="0"/>
                      <w:jc w:val="left"/>
                      <w:rPr>
                        <w:b/>
                        <w:sz w:val="14"/>
                      </w:rPr>
                    </w:pPr>
                    <w:r>
                      <w:rPr>
                        <w:b/>
                        <w:color w:val="FFFFFF"/>
                        <w:w w:val="135"/>
                        <w:sz w:val="14"/>
                      </w:rPr>
                      <w:t>Azteca:</w:t>
                    </w:r>
                  </w:p>
                </w:txbxContent>
              </v:textbox>
              <w10:wrap type="none"/>
            </v:shape>
            <v:shape style="position:absolute;left:4434;top:1240;width:767;height:147" type="#_x0000_t202" filled="false" stroked="false">
              <v:textbox inset="0,0,0,0">
                <w:txbxContent>
                  <w:p>
                    <w:pPr>
                      <w:spacing w:line="147" w:lineRule="exact" w:before="0"/>
                      <w:ind w:left="0" w:right="-16" w:firstLine="0"/>
                      <w:jc w:val="left"/>
                      <w:rPr>
                        <w:b/>
                        <w:sz w:val="14"/>
                      </w:rPr>
                    </w:pPr>
                    <w:r>
                      <w:rPr>
                        <w:b/>
                        <w:color w:val="FFFFFF"/>
                        <w:w w:val="140"/>
                        <w:sz w:val="14"/>
                      </w:rPr>
                      <w:t>España:</w:t>
                    </w:r>
                  </w:p>
                </w:txbxContent>
              </v:textbox>
              <w10:wrap type="none"/>
            </v:shape>
            <v:shape style="position:absolute;left:6748;top:1240;width:769;height:147" type="#_x0000_t202" filled="false" stroked="false">
              <v:textbox inset="0,0,0,0">
                <w:txbxContent>
                  <w:p>
                    <w:pPr>
                      <w:spacing w:line="147" w:lineRule="exact" w:before="0"/>
                      <w:ind w:left="0" w:right="-14" w:firstLine="0"/>
                      <w:jc w:val="left"/>
                      <w:rPr>
                        <w:b/>
                        <w:sz w:val="14"/>
                      </w:rPr>
                    </w:pPr>
                    <w:r>
                      <w:rPr>
                        <w:b/>
                        <w:color w:val="FFFFFF"/>
                        <w:w w:val="140"/>
                        <w:sz w:val="14"/>
                      </w:rPr>
                      <w:t>España:</w:t>
                    </w:r>
                  </w:p>
                </w:txbxContent>
              </v:textbox>
              <w10:wrap type="none"/>
            </v:shape>
            <v:shape style="position:absolute;left:2085;top:1641;width:1148;height:1191" type="#_x0000_t202" filled="false" stroked="false">
              <v:textbox inset="0,0,0,0">
                <w:txbxContent>
                  <w:p>
                    <w:pPr>
                      <w:spacing w:line="149" w:lineRule="exact" w:before="0"/>
                      <w:ind w:left="11" w:right="17" w:firstLine="0"/>
                      <w:jc w:val="center"/>
                      <w:rPr>
                        <w:b/>
                        <w:sz w:val="14"/>
                      </w:rPr>
                    </w:pPr>
                    <w:r>
                      <w:rPr>
                        <w:b/>
                        <w:color w:val="FFFFFF"/>
                        <w:w w:val="140"/>
                        <w:sz w:val="14"/>
                      </w:rPr>
                      <w:t>Registro de</w:t>
                    </w:r>
                  </w:p>
                  <w:p>
                    <w:pPr>
                      <w:spacing w:before="16"/>
                      <w:ind w:left="11" w:right="17" w:firstLine="0"/>
                      <w:jc w:val="center"/>
                      <w:rPr>
                        <w:b/>
                        <w:sz w:val="14"/>
                      </w:rPr>
                    </w:pPr>
                    <w:r>
                      <w:rPr>
                        <w:b/>
                        <w:color w:val="FFFFFF"/>
                        <w:w w:val="140"/>
                        <w:sz w:val="14"/>
                      </w:rPr>
                      <w:t>ingresos</w:t>
                    </w:r>
                  </w:p>
                  <w:p>
                    <w:pPr>
                      <w:spacing w:line="240" w:lineRule="auto" w:before="2"/>
                      <w:rPr>
                        <w:sz w:val="16"/>
                      </w:rPr>
                    </w:pPr>
                  </w:p>
                  <w:p>
                    <w:pPr>
                      <w:spacing w:line="256" w:lineRule="auto" w:before="1"/>
                      <w:ind w:left="-1" w:right="0" w:hanging="9"/>
                      <w:jc w:val="center"/>
                      <w:rPr>
                        <w:b/>
                        <w:sz w:val="14"/>
                      </w:rPr>
                    </w:pPr>
                    <w:r>
                      <w:rPr>
                        <w:b/>
                        <w:color w:val="FFFFFF"/>
                        <w:w w:val="140"/>
                        <w:sz w:val="14"/>
                      </w:rPr>
                      <w:t>Sistema de castigos</w:t>
                    </w:r>
                    <w:r>
                      <w:rPr>
                        <w:b/>
                        <w:color w:val="FFFFFF"/>
                        <w:spacing w:val="-25"/>
                        <w:w w:val="140"/>
                        <w:sz w:val="14"/>
                      </w:rPr>
                      <w:t> </w:t>
                    </w:r>
                    <w:r>
                      <w:rPr>
                        <w:b/>
                        <w:color w:val="FFFFFF"/>
                        <w:w w:val="140"/>
                        <w:sz w:val="14"/>
                      </w:rPr>
                      <w:t>por violación</w:t>
                    </w:r>
                    <w:r>
                      <w:rPr>
                        <w:b/>
                        <w:color w:val="FFFFFF"/>
                        <w:spacing w:val="-25"/>
                        <w:w w:val="140"/>
                        <w:sz w:val="14"/>
                      </w:rPr>
                      <w:t> </w:t>
                    </w:r>
                    <w:r>
                      <w:rPr>
                        <w:b/>
                        <w:color w:val="FFFFFF"/>
                        <w:w w:val="140"/>
                        <w:sz w:val="14"/>
                      </w:rPr>
                      <w:t>de la</w:t>
                    </w:r>
                    <w:r>
                      <w:rPr>
                        <w:b/>
                        <w:color w:val="FFFFFF"/>
                        <w:spacing w:val="-17"/>
                        <w:w w:val="140"/>
                        <w:sz w:val="14"/>
                      </w:rPr>
                      <w:t> </w:t>
                    </w:r>
                    <w:r>
                      <w:rPr>
                        <w:b/>
                        <w:color w:val="FFFFFF"/>
                        <w:spacing w:val="-4"/>
                        <w:w w:val="140"/>
                        <w:sz w:val="14"/>
                      </w:rPr>
                      <w:t>ley.</w:t>
                    </w:r>
                  </w:p>
                </w:txbxContent>
              </v:textbox>
              <w10:wrap type="none"/>
            </v:shape>
            <v:shape style="position:absolute;left:4250;top:1588;width:1144;height:1013" type="#_x0000_t202" filled="false" stroked="false">
              <v:textbox inset="0,0,0,0">
                <w:txbxContent>
                  <w:p>
                    <w:pPr>
                      <w:spacing w:line="149" w:lineRule="exact" w:before="0"/>
                      <w:ind w:left="110" w:right="111" w:firstLine="0"/>
                      <w:jc w:val="center"/>
                      <w:rPr>
                        <w:b/>
                        <w:sz w:val="14"/>
                      </w:rPr>
                    </w:pPr>
                    <w:r>
                      <w:rPr>
                        <w:b/>
                        <w:color w:val="FFFFFF"/>
                        <w:w w:val="140"/>
                        <w:sz w:val="14"/>
                      </w:rPr>
                      <w:t>Tradición</w:t>
                    </w:r>
                  </w:p>
                  <w:p>
                    <w:pPr>
                      <w:spacing w:line="259" w:lineRule="auto" w:before="9"/>
                      <w:ind w:left="-1" w:right="0" w:firstLine="0"/>
                      <w:jc w:val="center"/>
                      <w:rPr>
                        <w:b/>
                        <w:sz w:val="14"/>
                      </w:rPr>
                    </w:pPr>
                    <w:r>
                      <w:rPr>
                        <w:b/>
                        <w:color w:val="FFFFFF"/>
                        <w:spacing w:val="-1"/>
                        <w:w w:val="140"/>
                        <w:sz w:val="14"/>
                      </w:rPr>
                      <w:t>institucional</w:t>
                    </w:r>
                    <w:r>
                      <w:rPr>
                        <w:b/>
                        <w:color w:val="FFFFFF"/>
                        <w:w w:val="138"/>
                        <w:sz w:val="14"/>
                      </w:rPr>
                      <w:t> </w:t>
                    </w:r>
                    <w:r>
                      <w:rPr>
                        <w:b/>
                        <w:color w:val="FFFFFF"/>
                        <w:w w:val="135"/>
                        <w:sz w:val="14"/>
                      </w:rPr>
                      <w:t>musulmana, </w:t>
                    </w:r>
                    <w:r>
                      <w:rPr>
                        <w:b/>
                        <w:color w:val="FFFFFF"/>
                        <w:w w:val="140"/>
                        <w:sz w:val="14"/>
                      </w:rPr>
                      <w:t>hebrea y romano- germánica.</w:t>
                    </w:r>
                  </w:p>
                </w:txbxContent>
              </v:textbox>
              <w10:wrap type="none"/>
            </v:shape>
            <v:shape style="position:absolute;left:6473;top:1588;width:1333;height:1183" type="#_x0000_t202" filled="false" stroked="false">
              <v:textbox inset="0,0,0,0">
                <w:txbxContent>
                  <w:p>
                    <w:pPr>
                      <w:spacing w:line="149" w:lineRule="exact" w:before="0"/>
                      <w:ind w:left="38" w:right="45" w:firstLine="0"/>
                      <w:jc w:val="center"/>
                      <w:rPr>
                        <w:b/>
                        <w:sz w:val="14"/>
                      </w:rPr>
                    </w:pPr>
                    <w:r>
                      <w:rPr>
                        <w:b/>
                        <w:color w:val="FFFFFF"/>
                        <w:w w:val="140"/>
                        <w:sz w:val="14"/>
                      </w:rPr>
                      <w:t>Implantación</w:t>
                    </w:r>
                  </w:p>
                  <w:p>
                    <w:pPr>
                      <w:spacing w:line="259" w:lineRule="auto" w:before="9"/>
                      <w:ind w:left="0" w:right="0" w:hanging="21"/>
                      <w:jc w:val="center"/>
                      <w:rPr>
                        <w:b/>
                        <w:sz w:val="14"/>
                      </w:rPr>
                    </w:pPr>
                    <w:r>
                      <w:rPr>
                        <w:b/>
                        <w:color w:val="FFFFFF"/>
                        <w:w w:val="140"/>
                        <w:sz w:val="14"/>
                      </w:rPr>
                      <w:t>de la política hacendaria y la creación</w:t>
                    </w:r>
                    <w:r>
                      <w:rPr>
                        <w:b/>
                        <w:color w:val="FFFFFF"/>
                        <w:spacing w:val="-31"/>
                        <w:w w:val="140"/>
                        <w:sz w:val="14"/>
                      </w:rPr>
                      <w:t> </w:t>
                    </w:r>
                    <w:r>
                      <w:rPr>
                        <w:b/>
                        <w:color w:val="FFFFFF"/>
                        <w:w w:val="140"/>
                        <w:sz w:val="14"/>
                      </w:rPr>
                      <w:t>de tribunales de cuentas en la Nueva</w:t>
                    </w:r>
                    <w:r>
                      <w:rPr>
                        <w:b/>
                        <w:color w:val="FFFFFF"/>
                        <w:spacing w:val="-25"/>
                        <w:w w:val="140"/>
                        <w:sz w:val="14"/>
                      </w:rPr>
                      <w:t> </w:t>
                    </w:r>
                    <w:r>
                      <w:rPr>
                        <w:b/>
                        <w:color w:val="FFFFFF"/>
                        <w:spacing w:val="2"/>
                        <w:w w:val="140"/>
                        <w:sz w:val="14"/>
                      </w:rPr>
                      <w:t>España</w:t>
                    </w:r>
                  </w:p>
                </w:txbxContent>
              </v:textbox>
              <w10:wrap type="none"/>
            </v:shape>
            <v:shape style="position:absolute;left:8776;top:1885;width:1037;height:487" type="#_x0000_t202" filled="false" stroked="false">
              <v:textbox inset="0,0,0,0">
                <w:txbxContent>
                  <w:p>
                    <w:pPr>
                      <w:spacing w:line="149" w:lineRule="exact" w:before="0"/>
                      <w:ind w:left="0" w:right="-5" w:firstLine="0"/>
                      <w:jc w:val="left"/>
                      <w:rPr>
                        <w:b/>
                        <w:sz w:val="14"/>
                      </w:rPr>
                    </w:pPr>
                    <w:r>
                      <w:rPr>
                        <w:b/>
                        <w:color w:val="FFFFFF"/>
                        <w:w w:val="140"/>
                        <w:sz w:val="14"/>
                      </w:rPr>
                      <w:t>Tribunal</w:t>
                    </w:r>
                    <w:r>
                      <w:rPr>
                        <w:b/>
                        <w:color w:val="FFFFFF"/>
                        <w:spacing w:val="-35"/>
                        <w:w w:val="140"/>
                        <w:sz w:val="14"/>
                      </w:rPr>
                      <w:t> </w:t>
                    </w:r>
                    <w:r>
                      <w:rPr>
                        <w:b/>
                        <w:color w:val="FFFFFF"/>
                        <w:w w:val="140"/>
                        <w:sz w:val="14"/>
                      </w:rPr>
                      <w:t>de</w:t>
                    </w:r>
                  </w:p>
                  <w:p>
                    <w:pPr>
                      <w:spacing w:line="254" w:lineRule="auto" w:before="9"/>
                      <w:ind w:left="183" w:right="-13" w:hanging="184"/>
                      <w:jc w:val="left"/>
                      <w:rPr>
                        <w:b/>
                        <w:sz w:val="14"/>
                      </w:rPr>
                    </w:pPr>
                    <w:r>
                      <w:rPr>
                        <w:b/>
                        <w:color w:val="FFFFFF"/>
                        <w:w w:val="140"/>
                        <w:sz w:val="14"/>
                      </w:rPr>
                      <w:t>Cuentas</w:t>
                    </w:r>
                    <w:r>
                      <w:rPr>
                        <w:b/>
                        <w:color w:val="FFFFFF"/>
                        <w:spacing w:val="-26"/>
                        <w:w w:val="140"/>
                        <w:sz w:val="14"/>
                      </w:rPr>
                      <w:t> </w:t>
                    </w:r>
                    <w:r>
                      <w:rPr>
                        <w:b/>
                        <w:color w:val="FFFFFF"/>
                        <w:w w:val="140"/>
                        <w:sz w:val="14"/>
                      </w:rPr>
                      <w:t>de México</w:t>
                    </w:r>
                  </w:p>
                </w:txbxContent>
              </v:textbox>
              <w10:wrap type="none"/>
            </v:shape>
            <v:shape style="position:absolute;left:4130;top:3637;width:1234;height:224" type="#_x0000_t202" filled="true" fillcolor="#ffffff" stroked="true" strokeweight="1.177195pt" strokecolor="#000000">
              <v:textbox inset="0,0,0,0">
                <w:txbxContent>
                  <w:p>
                    <w:pPr>
                      <w:spacing w:before="36"/>
                      <w:ind w:left="195" w:right="-19" w:firstLine="0"/>
                      <w:jc w:val="left"/>
                      <w:rPr>
                        <w:b/>
                        <w:sz w:val="12"/>
                      </w:rPr>
                    </w:pPr>
                    <w:r>
                      <w:rPr>
                        <w:b/>
                        <w:w w:val="135"/>
                        <w:sz w:val="12"/>
                      </w:rPr>
                      <w:t>Conquista</w:t>
                    </w:r>
                  </w:p>
                </w:txbxContent>
              </v:textbox>
              <v:fill type="solid"/>
              <w10:wrap type="none"/>
            </v:shape>
            <v:shape style="position:absolute;left:8676;top:3637;width:1387;height:224" type="#_x0000_t202" filled="true" fillcolor="#ffffff" stroked="true" strokeweight="1.173167pt" strokecolor="#000000">
              <v:textbox inset="0,0,0,0">
                <w:txbxContent>
                  <w:p>
                    <w:pPr>
                      <w:spacing w:before="36"/>
                      <w:ind w:left="109" w:right="0" w:firstLine="0"/>
                      <w:jc w:val="left"/>
                      <w:rPr>
                        <w:b/>
                        <w:sz w:val="12"/>
                      </w:rPr>
                    </w:pPr>
                    <w:r>
                      <w:rPr>
                        <w:b/>
                        <w:w w:val="135"/>
                        <w:sz w:val="12"/>
                      </w:rPr>
                      <w:t>Independencia</w:t>
                    </w:r>
                  </w:p>
                </w:txbxContent>
              </v:textbox>
              <v:fill type="solid"/>
              <w10:wrap type="none"/>
            </v:shape>
            <w10:wrap type="topAndBottom"/>
          </v:group>
        </w:pict>
      </w:r>
    </w:p>
    <w:p>
      <w:pPr>
        <w:spacing w:before="149"/>
        <w:ind w:left="140" w:right="8" w:firstLine="0"/>
        <w:jc w:val="left"/>
        <w:rPr>
          <w:sz w:val="12"/>
        </w:rPr>
      </w:pPr>
      <w:r>
        <w:rPr>
          <w:sz w:val="12"/>
        </w:rPr>
        <w:t>FUENTE:     Cosío (1981), Contaduría Mayor de Hacienda (2000), Manjarrez </w:t>
      </w:r>
      <w:r>
        <w:rPr>
          <w:b/>
          <w:sz w:val="12"/>
        </w:rPr>
        <w:t>(</w:t>
      </w:r>
      <w:r>
        <w:rPr>
          <w:sz w:val="12"/>
        </w:rPr>
        <w:t>2002) y Solares (2004).</w:t>
      </w:r>
    </w:p>
    <w:p>
      <w:pPr>
        <w:pStyle w:val="BodyText"/>
        <w:rPr>
          <w:sz w:val="12"/>
        </w:rPr>
      </w:pPr>
    </w:p>
    <w:p>
      <w:pPr>
        <w:pStyle w:val="BodyText"/>
        <w:rPr>
          <w:sz w:val="12"/>
        </w:rPr>
      </w:pPr>
    </w:p>
    <w:p>
      <w:pPr>
        <w:pStyle w:val="BodyText"/>
        <w:rPr>
          <w:sz w:val="14"/>
        </w:rPr>
      </w:pPr>
    </w:p>
    <w:p>
      <w:pPr>
        <w:pStyle w:val="BodyText"/>
        <w:spacing w:line="360" w:lineRule="auto"/>
        <w:ind w:left="140" w:right="125" w:firstLine="427"/>
        <w:jc w:val="both"/>
      </w:pPr>
      <w:r>
        <w:rPr/>
        <w:t>La Constitución de 1824 creó la obligatoriedad del Poder Ejecutivo de rendir cuentas del ejercicio de los recursos que maneja. El Congreso decretó la Ley para el Arreglo de la Hacienda Pública y se ordenó la creación de la CMH</w:t>
      </w:r>
    </w:p>
    <w:p>
      <w:pPr>
        <w:pStyle w:val="BodyText"/>
        <w:spacing w:line="360" w:lineRule="auto" w:before="2"/>
        <w:ind w:left="140" w:right="113" w:firstLine="427"/>
        <w:jc w:val="both"/>
      </w:pPr>
      <w:r>
        <w:rPr/>
        <w:t>La institución fiscalizadora evolucionó respecto de su organización y atribuciones durante ese siglo y tuvo 9 cambios de denominación en: 1838,1841, 1846,1853, 1855, 1856, 1857, 1865 y 1867.</w:t>
      </w:r>
    </w:p>
    <w:p>
      <w:pPr>
        <w:pStyle w:val="BodyText"/>
        <w:spacing w:line="360" w:lineRule="auto" w:before="6"/>
        <w:ind w:left="140" w:right="119" w:firstLine="427"/>
        <w:jc w:val="both"/>
      </w:pPr>
      <w:r>
        <w:rPr/>
        <w:t>Mediante</w:t>
      </w:r>
      <w:r>
        <w:rPr>
          <w:spacing w:val="-15"/>
        </w:rPr>
        <w:t> </w:t>
      </w:r>
      <w:r>
        <w:rPr/>
        <w:t>los</w:t>
      </w:r>
      <w:r>
        <w:rPr>
          <w:spacing w:val="-13"/>
        </w:rPr>
        <w:t> </w:t>
      </w:r>
      <w:r>
        <w:rPr/>
        <w:t>decretos</w:t>
      </w:r>
      <w:r>
        <w:rPr>
          <w:spacing w:val="-12"/>
        </w:rPr>
        <w:t> </w:t>
      </w:r>
      <w:r>
        <w:rPr/>
        <w:t>del</w:t>
      </w:r>
      <w:r>
        <w:rPr>
          <w:spacing w:val="-14"/>
        </w:rPr>
        <w:t> </w:t>
      </w:r>
      <w:r>
        <w:rPr/>
        <w:t>10</w:t>
      </w:r>
      <w:r>
        <w:rPr>
          <w:spacing w:val="-15"/>
        </w:rPr>
        <w:t> </w:t>
      </w:r>
      <w:r>
        <w:rPr/>
        <w:t>de</w:t>
      </w:r>
      <w:r>
        <w:rPr>
          <w:spacing w:val="-15"/>
        </w:rPr>
        <w:t> </w:t>
      </w:r>
      <w:r>
        <w:rPr/>
        <w:t>mayo</w:t>
      </w:r>
      <w:r>
        <w:rPr>
          <w:spacing w:val="-12"/>
        </w:rPr>
        <w:t> </w:t>
      </w:r>
      <w:r>
        <w:rPr/>
        <w:t>de</w:t>
      </w:r>
      <w:r>
        <w:rPr>
          <w:spacing w:val="-15"/>
        </w:rPr>
        <w:t> </w:t>
      </w:r>
      <w:r>
        <w:rPr/>
        <w:t>1862</w:t>
      </w:r>
      <w:r>
        <w:rPr>
          <w:spacing w:val="-15"/>
        </w:rPr>
        <w:t> </w:t>
      </w:r>
      <w:r>
        <w:rPr/>
        <w:t>se</w:t>
      </w:r>
      <w:r>
        <w:rPr>
          <w:spacing w:val="-15"/>
        </w:rPr>
        <w:t> </w:t>
      </w:r>
      <w:r>
        <w:rPr/>
        <w:t>facultó</w:t>
      </w:r>
      <w:r>
        <w:rPr>
          <w:spacing w:val="-15"/>
        </w:rPr>
        <w:t> </w:t>
      </w:r>
      <w:r>
        <w:rPr/>
        <w:t>a</w:t>
      </w:r>
      <w:r>
        <w:rPr>
          <w:spacing w:val="-15"/>
        </w:rPr>
        <w:t> </w:t>
      </w:r>
      <w:r>
        <w:rPr/>
        <w:t>la</w:t>
      </w:r>
      <w:r>
        <w:rPr>
          <w:spacing w:val="-15"/>
        </w:rPr>
        <w:t> </w:t>
      </w:r>
      <w:r>
        <w:rPr/>
        <w:t>CMH</w:t>
      </w:r>
      <w:r>
        <w:rPr>
          <w:spacing w:val="-14"/>
        </w:rPr>
        <w:t> </w:t>
      </w:r>
      <w:r>
        <w:rPr/>
        <w:t>para</w:t>
      </w:r>
      <w:r>
        <w:rPr>
          <w:spacing w:val="-15"/>
        </w:rPr>
        <w:t> </w:t>
      </w:r>
      <w:r>
        <w:rPr/>
        <w:t>requerir a las dependencias la información necesaria para la revisión de la glosa y se estableció un agente especial de negocios anexo a la</w:t>
      </w:r>
      <w:r>
        <w:rPr>
          <w:spacing w:val="-32"/>
        </w:rPr>
        <w:t> </w:t>
      </w:r>
      <w:r>
        <w:rPr/>
        <w:t>CMH.</w:t>
      </w:r>
    </w:p>
    <w:p>
      <w:pPr>
        <w:spacing w:after="0" w:line="360" w:lineRule="auto"/>
        <w:jc w:val="both"/>
        <w:sectPr>
          <w:pgSz w:w="12240" w:h="15840"/>
          <w:pgMar w:header="0" w:footer="998" w:top="1500" w:bottom="1180" w:left="1560" w:right="1580"/>
        </w:sectPr>
      </w:pPr>
    </w:p>
    <w:p>
      <w:pPr>
        <w:pStyle w:val="BodyText"/>
        <w:spacing w:line="360" w:lineRule="auto" w:before="55"/>
        <w:ind w:left="100" w:right="198" w:firstLine="427"/>
        <w:jc w:val="both"/>
      </w:pPr>
      <w:r>
        <w:rPr/>
        <w:t>A</w:t>
      </w:r>
      <w:r>
        <w:rPr>
          <w:spacing w:val="-7"/>
        </w:rPr>
        <w:t> </w:t>
      </w:r>
      <w:r>
        <w:rPr/>
        <w:t>partir</w:t>
      </w:r>
      <w:r>
        <w:rPr>
          <w:spacing w:val="-7"/>
        </w:rPr>
        <w:t> </w:t>
      </w:r>
      <w:r>
        <w:rPr/>
        <w:t>de</w:t>
      </w:r>
      <w:r>
        <w:rPr>
          <w:spacing w:val="-9"/>
        </w:rPr>
        <w:t> </w:t>
      </w:r>
      <w:r>
        <w:rPr/>
        <w:t>las</w:t>
      </w:r>
      <w:r>
        <w:rPr>
          <w:spacing w:val="-7"/>
        </w:rPr>
        <w:t> </w:t>
      </w:r>
      <w:r>
        <w:rPr/>
        <w:t>reformas</w:t>
      </w:r>
      <w:r>
        <w:rPr>
          <w:spacing w:val="-7"/>
        </w:rPr>
        <w:t> </w:t>
      </w:r>
      <w:r>
        <w:rPr/>
        <w:t>hechas</w:t>
      </w:r>
      <w:r>
        <w:rPr>
          <w:spacing w:val="-7"/>
        </w:rPr>
        <w:t> </w:t>
      </w:r>
      <w:r>
        <w:rPr/>
        <w:t>al</w:t>
      </w:r>
      <w:r>
        <w:rPr>
          <w:spacing w:val="-8"/>
        </w:rPr>
        <w:t> </w:t>
      </w:r>
      <w:r>
        <w:rPr/>
        <w:t>artículo</w:t>
      </w:r>
      <w:r>
        <w:rPr>
          <w:spacing w:val="-9"/>
        </w:rPr>
        <w:t> </w:t>
      </w:r>
      <w:r>
        <w:rPr/>
        <w:t>72</w:t>
      </w:r>
      <w:r>
        <w:rPr>
          <w:spacing w:val="-9"/>
        </w:rPr>
        <w:t> </w:t>
      </w:r>
      <w:r>
        <w:rPr/>
        <w:t>constitucional,</w:t>
      </w:r>
      <w:r>
        <w:rPr>
          <w:spacing w:val="-3"/>
        </w:rPr>
        <w:t> </w:t>
      </w:r>
      <w:r>
        <w:rPr/>
        <w:t>el</w:t>
      </w:r>
      <w:r>
        <w:rPr>
          <w:spacing w:val="-8"/>
        </w:rPr>
        <w:t> </w:t>
      </w:r>
      <w:r>
        <w:rPr/>
        <w:t>13</w:t>
      </w:r>
      <w:r>
        <w:rPr>
          <w:spacing w:val="-9"/>
        </w:rPr>
        <w:t> </w:t>
      </w:r>
      <w:r>
        <w:rPr/>
        <w:t>de</w:t>
      </w:r>
      <w:r>
        <w:rPr>
          <w:spacing w:val="-9"/>
        </w:rPr>
        <w:t> </w:t>
      </w:r>
      <w:r>
        <w:rPr/>
        <w:t>noviembre de 1874, se restituyeron a la Cámara de Diputados </w:t>
      </w:r>
      <w:r>
        <w:rPr>
          <w:color w:val="00AF50"/>
        </w:rPr>
        <w:t>las </w:t>
      </w:r>
      <w:r>
        <w:rPr/>
        <w:t>facultades exclusivas, entre otras, de vigilar el desempeño de las funciones de la CMH, por medio de una comisión inspectora en su seno, y nombrar a su</w:t>
      </w:r>
      <w:r>
        <w:rPr>
          <w:spacing w:val="-28"/>
        </w:rPr>
        <w:t> </w:t>
      </w:r>
      <w:r>
        <w:rPr/>
        <w:t>personal.</w:t>
      </w:r>
    </w:p>
    <w:p>
      <w:pPr>
        <w:pStyle w:val="BodyText"/>
        <w:spacing w:line="360" w:lineRule="auto" w:before="2"/>
        <w:ind w:left="100" w:right="200" w:firstLine="427"/>
        <w:jc w:val="both"/>
      </w:pPr>
      <w:r>
        <w:rPr/>
        <w:t>El 29 de mayo de 1896 se expidió un decreto que constituía la primera Ley Orgánica de la Contaduría Mayor de Hacienda (LOCMH) y otra en 1904. Desde la primera se instituyó el puesto de Oficial Mayor, que subsistiría hasta 1978.</w:t>
      </w:r>
    </w:p>
    <w:p>
      <w:pPr>
        <w:pStyle w:val="BodyText"/>
        <w:spacing w:line="360" w:lineRule="auto" w:before="6"/>
        <w:ind w:left="100" w:right="200" w:firstLine="427"/>
        <w:jc w:val="both"/>
      </w:pPr>
      <w:r>
        <w:rPr/>
        <w:t>En ejercicio de la facultad que le confería el artículo 18 de la ley del 6 de junio de 1904, la Comisión Inspectora de la Cámara de Diputados expidió el 29 de abril de 1906 el Régimen Interior de la CMH, ordenamiento que precisaba lo dispuesto en la ley y el reglamento de 1904.</w:t>
      </w:r>
    </w:p>
    <w:p>
      <w:pPr>
        <w:pStyle w:val="BodyText"/>
        <w:spacing w:line="360" w:lineRule="auto" w:before="5"/>
        <w:ind w:left="100" w:right="105" w:firstLine="427"/>
        <w:jc w:val="both"/>
      </w:pPr>
      <w:r>
        <w:rPr/>
        <w:t>Los cambios más relevantes realizados por el H. Congreso de la Unión a la institución de control externo en los siglos XIX y XX se presentan en el esquema y cuadro siguiente:</w:t>
      </w:r>
    </w:p>
    <w:p>
      <w:pPr>
        <w:spacing w:after="0" w:line="360" w:lineRule="auto"/>
        <w:jc w:val="both"/>
        <w:sectPr>
          <w:pgSz w:w="12240" w:h="15840"/>
          <w:pgMar w:header="0" w:footer="998" w:top="1360" w:bottom="1180" w:left="1600" w:right="1500"/>
        </w:sectPr>
      </w:pPr>
    </w:p>
    <w:p>
      <w:pPr>
        <w:spacing w:before="53"/>
        <w:ind w:left="672" w:right="716" w:firstLine="0"/>
        <w:jc w:val="center"/>
        <w:rPr>
          <w:sz w:val="20"/>
        </w:rPr>
      </w:pPr>
      <w:bookmarkStart w:name="_bookmark52" w:id="71"/>
      <w:bookmarkEnd w:id="71"/>
      <w:r>
        <w:rPr/>
      </w:r>
      <w:r>
        <w:rPr>
          <w:sz w:val="20"/>
        </w:rPr>
        <w:t>Esquema 2. 5. Origen y evolución del control externo del Estado mexicano</w:t>
      </w:r>
    </w:p>
    <w:p>
      <w:pPr>
        <w:pStyle w:val="BodyText"/>
        <w:spacing w:before="1"/>
        <w:rPr>
          <w:sz w:val="14"/>
        </w:rPr>
      </w:pPr>
      <w:r>
        <w:rPr/>
        <w:pict>
          <v:group style="position:absolute;margin-left:83.199997pt;margin-top:10.05083pt;width:446.2pt;height:268.6pt;mso-position-horizontal-relative:page;mso-position-vertical-relative:paragraph;z-index:7936;mso-wrap-distance-left:0;mso-wrap-distance-right:0" coordorigin="1664,201" coordsize="8924,5372">
            <v:shape style="position:absolute;left:1664;top:201;width:8924;height:5372" type="#_x0000_t75" stroked="false">
              <v:imagedata r:id="rId111" o:title=""/>
            </v:shape>
            <v:rect style="position:absolute;left:1791;top:232;width:8756;height:5256" filled="true" fillcolor="#edebe0" stroked="false">
              <v:fill type="solid"/>
            </v:rect>
            <v:shape style="position:absolute;left:2579;top:4247;width:560;height:274" coordorigin="2579,4247" coordsize="560,274" path="m2999,4512l2719,4512,2719,4521,2999,4521,2999,4512xm2999,4486l2719,4486,2719,4504,2999,4504,2999,4486xm2999,4384l2719,4384,2719,4478,2999,4478,2999,4384xm2859,4247l2579,4384,3138,4384,2859,4247xe" filled="true" fillcolor="#4f81bc" stroked="false">
              <v:path arrowok="t"/>
              <v:fill type="solid"/>
            </v:shape>
            <v:shape style="position:absolute;left:2521;top:4232;width:675;height:302" coordorigin="2521,4232" coordsize="675,302" path="m2705,4384l2705,4534,3013,4534,3013,4525,2719,4525,2728,4516,2719,4507,3013,4507,3013,4504,2733,4504,2729,4500,2719,4500,2724,4495,2719,4490,2729,4490,2733,4486,3013,4486,3013,4478,2733,4478,2719,4465,2733,4465,2733,4397,2719,4397,2705,4384xm2728,4516l2719,4525,2999,4525,2994,4521,2733,4521,2728,4516xm3013,4507l2999,4507,2989,4516,2999,4525,3013,4525,3013,4507xm2733,4512l2728,4516,2733,4521,2733,4512xm2985,4512l2733,4512,2733,4521,2985,4521,2985,4512xm2985,4512l2985,4521,2989,4516,2985,4512xm2989,4516l2985,4521,2994,4521,2989,4516xm2999,4507l2719,4507,2728,4516,2733,4512,2994,4512,2999,4507xm2994,4512l2985,4512,2989,4516,2994,4512xm2733,4486l2724,4495,2733,4504,2733,4486xm2985,4486l2733,4486,2733,4504,2985,4504,2985,4486xm2985,4486l2985,4504,2994,4495,2985,4486xm2994,4495l2985,4504,3013,4504,3013,4500,2999,4500,2994,4495xm2724,4495l2719,4500,2729,4500,2724,4495xm3013,4490l2999,4490,2994,4495,2999,4500,3013,4500,3013,4490xm2729,4490l2719,4490,2724,4495,2729,4490xm3013,4486l2985,4486,2994,4495,2999,4490,3013,4490,3013,4486xm2733,4465l2719,4465,2733,4478,2733,4465xm2985,4465l2733,4465,2733,4478,2985,4478,2985,4465xm3081,4370l2985,4370,2985,4478,2999,4465,3013,4465,3013,4397,2999,4397,3013,4384,3108,4384,3081,4370xm3013,4465l2999,4465,2985,4478,3013,4478,3013,4465xm2859,4232l2521,4397,2705,4397,2705,4395,2585,4395,2579,4370,2637,4370,2859,4262,2852,4259,2913,4259,2859,4232xm2733,4384l2705,4384,2719,4397,2733,4397,2733,4384xm3013,4384l2999,4397,3013,4397,3013,4384xm3108,4384l3013,4384,3013,4397,3196,4397,3193,4395,3132,4395,3108,4384xm2637,4370l2579,4370,2585,4395,2637,4370xm2733,4370l2637,4370,2585,4395,2705,4395,2705,4384,2733,4384,2733,4370xm2913,4259l2865,4259,2859,4262,3132,4395,3138,4370,3142,4370,2913,4259xm3142,4370l3138,4370,3132,4395,3193,4395,3142,4370xm2865,4259l2852,4259,2859,4262,2865,4259xe" filled="true" fillcolor="#385d89" stroked="false">
              <v:path arrowok="t"/>
              <v:fill type="solid"/>
            </v:shape>
            <v:line style="position:absolute" from="2005,4446" to="10465,4446" stroked="true" strokeweight="1.766673pt" strokecolor="#000000"/>
            <v:line style="position:absolute" from="2360,5179" to="2783,5179" stroked="true" strokeweight="1.766673pt" strokecolor="#000000"/>
            <v:line style="position:absolute" from="2789,4843" to="3776,4843" stroked="true" strokeweight="1.766673pt" strokecolor="#000000"/>
            <v:line style="position:absolute" from="2789,5177" to="2789,4843" stroked="true" strokeweight="1.865072pt" strokecolor="#000000"/>
            <v:line style="position:absolute" from="2368,5461" to="2360,5179" stroked="true" strokeweight="1.86499pt" strokecolor="#000000"/>
            <v:line style="position:absolute" from="2155,5453" to="2366,5462" stroked="true" strokeweight="1.766857pt" strokecolor="#000000">
              <v:stroke dashstyle="longDash"/>
            </v:line>
            <v:line style="position:absolute" from="3768,4845" to="3768,4578" stroked="true" strokeweight="1.865072pt" strokecolor="#000000"/>
            <v:line style="position:absolute" from="3768,4586" to="4755,4578" stroked="true" strokeweight="1.766679pt" strokecolor="#000000">
              <v:stroke dashstyle="longDash"/>
            </v:line>
            <v:line style="position:absolute" from="2085,4052" to="10263,4052" stroked="true" strokeweight="1.325005pt" strokecolor="#497dba">
              <v:stroke dashstyle="dash"/>
            </v:line>
            <v:line style="position:absolute" from="3002,3995" to="2994,3712" stroked="true" strokeweight="1.86499pt" strokecolor="#000000"/>
            <v:line style="position:absolute" from="9055,1439" to="9055,771" stroked="true" strokeweight="1.865072pt" strokecolor="#000000"/>
            <v:line style="position:absolute" from="7153,2514" to="7153,2114" stroked="true" strokeweight="1.865072pt" strokecolor="#000000"/>
            <v:line style="position:absolute" from="8504,1792" to="8496,1442" stroked="true" strokeweight="1.865018pt" strokecolor="#000000"/>
            <v:line style="position:absolute" from="3571,3730" to="3563,3447" stroked="true" strokeweight="1.86499pt" strokecolor="#000000"/>
            <v:line style="position:absolute" from="4270,3456" to="4262,3174" stroked="true" strokeweight="1.86499pt" strokecolor="#000000"/>
            <v:line style="position:absolute" from="3758,4843" to="3749,4560" stroked="true" strokeweight="1.86499pt" strokecolor="#000000"/>
            <v:line style="position:absolute" from="7935,2061" to="7927,1778" stroked="true" strokeweight="1.86499pt" strokecolor="#000000"/>
            <v:line style="position:absolute" from="6462,2660" to="6454,2511" stroked="true" strokeweight="1.864775pt" strokecolor="#000000"/>
            <v:line style="position:absolute" from="5828,2926" to="5820,2644" stroked="true" strokeweight="1.86499pt" strokecolor="#000000"/>
            <v:line style="position:absolute" from="5044,3191" to="5036,2909" stroked="true" strokeweight="1.86499pt" strokecolor="#000000"/>
            <v:line style="position:absolute" from="3563,3455" to="4268,3447" stroked="true" strokeweight="1.766685pt" strokecolor="#000000"/>
            <v:line style="position:absolute" from="4262,3181" to="5038,3174" stroked="true" strokeweight="1.766683pt" strokecolor="#000000"/>
            <v:line style="position:absolute" from="5036,2916" to="5812,2909" stroked="true" strokeweight="1.766683pt" strokecolor="#000000"/>
            <v:line style="position:absolute" from="5820,2651" to="6454,2644" stroked="true" strokeweight="1.766688pt" strokecolor="#000000"/>
            <v:line style="position:absolute" from="6454,2519" to="7159,2511" stroked="true" strokeweight="1.766685pt" strokecolor="#000000"/>
            <v:line style="position:absolute" from="7153,2114" to="7929,2114" stroked="true" strokeweight="1.766673pt" strokecolor="#000000"/>
            <v:line style="position:absolute" from="7927,1778" to="8491,1778" stroked="true" strokeweight="1.766673pt" strokecolor="#000000"/>
            <v:line style="position:absolute" from="2994,3712" to="3558,3712" stroked="true" strokeweight="1.766673pt" strokecolor="#000000"/>
            <v:line style="position:absolute" from="8496,1442" to="9060,1442" stroked="true" strokeweight="1.766673pt" strokecolor="#000000"/>
            <v:line style="position:absolute" from="9130,771" to="9729,771" stroked="true" strokeweight="1.766673pt" strokecolor="#000000">
              <v:stroke dashstyle="longDash"/>
            </v:line>
            <v:line style="position:absolute" from="2159,3787" to="10337,3787" stroked="true" strokeweight="1.325005pt" strokecolor="#497dba">
              <v:stroke dashstyle="dash"/>
            </v:line>
            <v:line style="position:absolute" from="2085,3514" to="10263,3514" stroked="true" strokeweight="1.325005pt" strokecolor="#497dba">
              <v:stroke dashstyle="dash"/>
            </v:line>
            <v:line style="position:absolute" from="2365,1314" to="10542,1314" stroked="true" strokeweight="1.325005pt" strokecolor="#497dba">
              <v:stroke dashstyle="dash"/>
            </v:line>
            <v:shape style="position:absolute;left:9326;top:304;width:817;height:399" type="#_x0000_t202" filled="false" stroked="false">
              <v:textbox inset="0,0,0,0">
                <w:txbxContent>
                  <w:p>
                    <w:pPr>
                      <w:spacing w:line="116" w:lineRule="exact" w:before="0"/>
                      <w:ind w:left="0" w:right="1" w:firstLine="0"/>
                      <w:jc w:val="center"/>
                      <w:rPr>
                        <w:b/>
                        <w:sz w:val="11"/>
                      </w:rPr>
                    </w:pPr>
                    <w:r>
                      <w:rPr>
                        <w:b/>
                        <w:w w:val="110"/>
                        <w:sz w:val="11"/>
                      </w:rPr>
                      <w:t>Auditoría</w:t>
                    </w:r>
                  </w:p>
                  <w:p>
                    <w:pPr>
                      <w:spacing w:line="268" w:lineRule="auto" w:before="15"/>
                      <w:ind w:left="0" w:right="0" w:firstLine="0"/>
                      <w:jc w:val="center"/>
                      <w:rPr>
                        <w:b/>
                        <w:sz w:val="11"/>
                      </w:rPr>
                    </w:pPr>
                    <w:r>
                      <w:rPr>
                        <w:b/>
                        <w:w w:val="110"/>
                        <w:sz w:val="11"/>
                      </w:rPr>
                      <w:t>Superior de la Federación</w:t>
                    </w:r>
                  </w:p>
                </w:txbxContent>
              </v:textbox>
              <w10:wrap type="none"/>
            </v:shape>
            <v:shape style="position:absolute;left:3672;top:715;width:753;height:213" type="#_x0000_t202" filled="false" stroked="false">
              <v:textbox inset="0,0,0,0">
                <w:txbxContent>
                  <w:p>
                    <w:pPr>
                      <w:spacing w:line="212" w:lineRule="exact" w:before="0"/>
                      <w:ind w:left="0" w:right="-15" w:firstLine="0"/>
                      <w:jc w:val="left"/>
                      <w:rPr>
                        <w:b/>
                        <w:sz w:val="21"/>
                      </w:rPr>
                    </w:pPr>
                    <w:r>
                      <w:rPr>
                        <w:b/>
                        <w:w w:val="105"/>
                        <w:sz w:val="21"/>
                      </w:rPr>
                      <w:t>México</w:t>
                    </w:r>
                  </w:p>
                </w:txbxContent>
              </v:textbox>
              <w10:wrap type="none"/>
            </v:shape>
            <v:shape style="position:absolute;left:8078;top:839;width:637;height:398" type="#_x0000_t202" filled="false" stroked="false">
              <v:textbox inset="0,0,0,0">
                <w:txbxContent>
                  <w:p>
                    <w:pPr>
                      <w:spacing w:line="117" w:lineRule="exact" w:before="0"/>
                      <w:ind w:left="46" w:right="-11" w:hanging="47"/>
                      <w:jc w:val="left"/>
                      <w:rPr>
                        <w:b/>
                        <w:sz w:val="11"/>
                      </w:rPr>
                    </w:pPr>
                    <w:r>
                      <w:rPr>
                        <w:b/>
                        <w:spacing w:val="-1"/>
                        <w:w w:val="110"/>
                        <w:sz w:val="11"/>
                      </w:rPr>
                      <w:t>Contaduría</w:t>
                    </w:r>
                  </w:p>
                  <w:p>
                    <w:pPr>
                      <w:spacing w:line="268" w:lineRule="auto" w:before="15"/>
                      <w:ind w:left="46" w:right="-11" w:firstLine="0"/>
                      <w:jc w:val="left"/>
                      <w:rPr>
                        <w:b/>
                        <w:sz w:val="11"/>
                      </w:rPr>
                    </w:pPr>
                    <w:r>
                      <w:rPr>
                        <w:b/>
                        <w:w w:val="110"/>
                        <w:sz w:val="11"/>
                      </w:rPr>
                      <w:t>Mayor de Hacienda</w:t>
                    </w:r>
                  </w:p>
                </w:txbxContent>
              </v:textbox>
              <w10:wrap type="none"/>
            </v:shape>
            <v:shape style="position:absolute;left:9283;top:840;width:925;height:413" type="#_x0000_t202" filled="false" stroked="false">
              <v:textbox inset="0,0,0,0">
                <w:txbxContent>
                  <w:p>
                    <w:pPr>
                      <w:spacing w:line="172" w:lineRule="exact" w:before="0"/>
                      <w:ind w:left="0" w:right="-6" w:firstLine="0"/>
                      <w:jc w:val="left"/>
                      <w:rPr>
                        <w:b/>
                        <w:sz w:val="17"/>
                      </w:rPr>
                    </w:pPr>
                    <w:r>
                      <w:rPr>
                        <w:b/>
                        <w:w w:val="105"/>
                        <w:sz w:val="17"/>
                      </w:rPr>
                      <w:t>2000</w:t>
                    </w:r>
                  </w:p>
                  <w:p>
                    <w:pPr>
                      <w:spacing w:line="158" w:lineRule="exact" w:before="82"/>
                      <w:ind w:left="116" w:right="-4" w:firstLine="0"/>
                      <w:jc w:val="left"/>
                      <w:rPr>
                        <w:b/>
                        <w:sz w:val="14"/>
                      </w:rPr>
                    </w:pPr>
                    <w:r>
                      <w:rPr>
                        <w:b/>
                        <w:color w:val="7E7E7E"/>
                        <w:w w:val="105"/>
                        <w:sz w:val="14"/>
                      </w:rPr>
                      <w:t>Revolución</w:t>
                    </w:r>
                  </w:p>
                </w:txbxContent>
              </v:textbox>
              <w10:wrap type="none"/>
            </v:shape>
            <v:shape style="position:absolute;left:6878;top:1642;width:637;height:398" type="#_x0000_t202" filled="false" stroked="false">
              <v:textbox inset="0,0,0,0">
                <w:txbxContent>
                  <w:p>
                    <w:pPr>
                      <w:spacing w:line="117" w:lineRule="exact" w:before="0"/>
                      <w:ind w:left="46" w:right="-11" w:hanging="47"/>
                      <w:jc w:val="left"/>
                      <w:rPr>
                        <w:b/>
                        <w:sz w:val="11"/>
                      </w:rPr>
                    </w:pPr>
                    <w:r>
                      <w:rPr>
                        <w:b/>
                        <w:spacing w:val="-1"/>
                        <w:w w:val="110"/>
                        <w:sz w:val="11"/>
                      </w:rPr>
                      <w:t>Contaduría</w:t>
                    </w:r>
                  </w:p>
                  <w:p>
                    <w:pPr>
                      <w:spacing w:before="15"/>
                      <w:ind w:left="46" w:right="-11" w:firstLine="0"/>
                      <w:jc w:val="left"/>
                      <w:rPr>
                        <w:b/>
                        <w:sz w:val="11"/>
                      </w:rPr>
                    </w:pPr>
                    <w:r>
                      <w:rPr>
                        <w:b/>
                        <w:w w:val="110"/>
                        <w:sz w:val="11"/>
                      </w:rPr>
                      <w:t>Mayor de</w:t>
                    </w:r>
                  </w:p>
                  <w:p>
                    <w:pPr>
                      <w:spacing w:line="125" w:lineRule="exact" w:before="15"/>
                      <w:ind w:left="46" w:right="-11" w:firstLine="0"/>
                      <w:jc w:val="left"/>
                      <w:rPr>
                        <w:b/>
                        <w:sz w:val="11"/>
                      </w:rPr>
                    </w:pPr>
                    <w:r>
                      <w:rPr>
                        <w:b/>
                        <w:w w:val="110"/>
                        <w:sz w:val="11"/>
                      </w:rPr>
                      <w:t>Hacienda</w:t>
                    </w:r>
                  </w:p>
                </w:txbxContent>
              </v:textbox>
              <w10:wrap type="none"/>
            </v:shape>
            <v:shape style="position:absolute;left:7716;top:1441;width:657;height:257" type="#_x0000_t202" filled="false" stroked="false">
              <v:textbox inset="0,0,0,0">
                <w:txbxContent>
                  <w:p>
                    <w:pPr>
                      <w:spacing w:line="116" w:lineRule="exact" w:before="0"/>
                      <w:ind w:left="93" w:right="-15" w:hanging="94"/>
                      <w:jc w:val="left"/>
                      <w:rPr>
                        <w:b/>
                        <w:sz w:val="11"/>
                      </w:rPr>
                    </w:pPr>
                    <w:r>
                      <w:rPr>
                        <w:b/>
                        <w:w w:val="110"/>
                        <w:sz w:val="11"/>
                      </w:rPr>
                      <w:t>Tribunal de</w:t>
                    </w:r>
                  </w:p>
                  <w:p>
                    <w:pPr>
                      <w:spacing w:line="125" w:lineRule="exact" w:before="15"/>
                      <w:ind w:left="93" w:right="-15" w:firstLine="0"/>
                      <w:jc w:val="left"/>
                      <w:rPr>
                        <w:b/>
                        <w:sz w:val="11"/>
                      </w:rPr>
                    </w:pPr>
                    <w:r>
                      <w:rPr>
                        <w:b/>
                        <w:w w:val="110"/>
                        <w:sz w:val="11"/>
                      </w:rPr>
                      <w:t>Cuentas</w:t>
                    </w:r>
                  </w:p>
                </w:txbxContent>
              </v:textbox>
              <w10:wrap type="none"/>
            </v:shape>
            <v:shape style="position:absolute;left:8686;top:1910;width:412;height:169" type="#_x0000_t202" filled="false" stroked="false">
              <v:textbox inset="0,0,0,0">
                <w:txbxContent>
                  <w:p>
                    <w:pPr>
                      <w:spacing w:line="168" w:lineRule="exact" w:before="0"/>
                      <w:ind w:left="0" w:right="0" w:firstLine="0"/>
                      <w:jc w:val="left"/>
                      <w:rPr>
                        <w:b/>
                        <w:sz w:val="17"/>
                      </w:rPr>
                    </w:pPr>
                    <w:r>
                      <w:rPr>
                        <w:b/>
                        <w:sz w:val="17"/>
                      </w:rPr>
                      <w:t>1867</w:t>
                    </w:r>
                  </w:p>
                </w:txbxContent>
              </v:textbox>
              <w10:wrap type="none"/>
            </v:shape>
            <v:shape style="position:absolute;left:5467;top:2177;width:637;height:399" type="#_x0000_t202" filled="false" stroked="false">
              <v:textbox inset="0,0,0,0">
                <w:txbxContent>
                  <w:p>
                    <w:pPr>
                      <w:spacing w:line="117" w:lineRule="exact" w:before="0"/>
                      <w:ind w:left="46" w:right="-11" w:hanging="47"/>
                      <w:jc w:val="left"/>
                      <w:rPr>
                        <w:b/>
                        <w:sz w:val="11"/>
                      </w:rPr>
                    </w:pPr>
                    <w:r>
                      <w:rPr>
                        <w:b/>
                        <w:spacing w:val="-1"/>
                        <w:w w:val="110"/>
                        <w:sz w:val="11"/>
                      </w:rPr>
                      <w:t>Contaduría</w:t>
                    </w:r>
                  </w:p>
                  <w:p>
                    <w:pPr>
                      <w:spacing w:line="268" w:lineRule="auto" w:before="15"/>
                      <w:ind w:left="46" w:right="-11" w:firstLine="0"/>
                      <w:jc w:val="left"/>
                      <w:rPr>
                        <w:b/>
                        <w:sz w:val="11"/>
                      </w:rPr>
                    </w:pPr>
                    <w:r>
                      <w:rPr>
                        <w:b/>
                        <w:w w:val="110"/>
                        <w:sz w:val="11"/>
                      </w:rPr>
                      <w:t>Mayor de Hacienda</w:t>
                    </w:r>
                  </w:p>
                </w:txbxContent>
              </v:textbox>
              <w10:wrap type="none"/>
            </v:shape>
            <v:shape style="position:absolute;left:6234;top:2177;width:655;height:257" type="#_x0000_t202" filled="false" stroked="false">
              <v:textbox inset="0,0,0,0">
                <w:txbxContent>
                  <w:p>
                    <w:pPr>
                      <w:spacing w:line="117" w:lineRule="exact" w:before="0"/>
                      <w:ind w:left="93" w:right="-17" w:hanging="94"/>
                      <w:jc w:val="left"/>
                      <w:rPr>
                        <w:b/>
                        <w:sz w:val="11"/>
                      </w:rPr>
                    </w:pPr>
                    <w:r>
                      <w:rPr>
                        <w:b/>
                        <w:w w:val="110"/>
                        <w:sz w:val="11"/>
                      </w:rPr>
                      <w:t>Tribunal de</w:t>
                    </w:r>
                  </w:p>
                  <w:p>
                    <w:pPr>
                      <w:spacing w:line="125" w:lineRule="exact" w:before="15"/>
                      <w:ind w:left="93" w:right="-17" w:firstLine="0"/>
                      <w:jc w:val="left"/>
                      <w:rPr>
                        <w:b/>
                        <w:sz w:val="11"/>
                      </w:rPr>
                    </w:pPr>
                    <w:r>
                      <w:rPr>
                        <w:b/>
                        <w:w w:val="110"/>
                        <w:sz w:val="11"/>
                      </w:rPr>
                      <w:t>Cuentas</w:t>
                    </w:r>
                  </w:p>
                </w:txbxContent>
              </v:textbox>
              <w10:wrap type="none"/>
            </v:shape>
            <v:shape style="position:absolute;left:8121;top:2245;width:411;height:169" type="#_x0000_t202" filled="false" stroked="false">
              <v:textbox inset="0,0,0,0">
                <w:txbxContent>
                  <w:p>
                    <w:pPr>
                      <w:spacing w:line="168" w:lineRule="exact" w:before="0"/>
                      <w:ind w:left="0" w:right="-7" w:firstLine="0"/>
                      <w:jc w:val="left"/>
                      <w:rPr>
                        <w:b/>
                        <w:sz w:val="17"/>
                      </w:rPr>
                    </w:pPr>
                    <w:r>
                      <w:rPr>
                        <w:b/>
                        <w:w w:val="105"/>
                        <w:sz w:val="17"/>
                      </w:rPr>
                      <w:t>1865</w:t>
                    </w:r>
                  </w:p>
                </w:txbxContent>
              </v:textbox>
              <w10:wrap type="none"/>
            </v:shape>
            <v:shape style="position:absolute;left:4752;top:2578;width:654;height:257" type="#_x0000_t202" filled="false" stroked="false">
              <v:textbox inset="0,0,0,0">
                <w:txbxContent>
                  <w:p>
                    <w:pPr>
                      <w:spacing w:line="116" w:lineRule="exact" w:before="0"/>
                      <w:ind w:left="93" w:right="-18" w:hanging="94"/>
                      <w:jc w:val="left"/>
                      <w:rPr>
                        <w:b/>
                        <w:sz w:val="11"/>
                      </w:rPr>
                    </w:pPr>
                    <w:r>
                      <w:rPr>
                        <w:b/>
                        <w:w w:val="110"/>
                        <w:sz w:val="11"/>
                      </w:rPr>
                      <w:t>Tribunal de</w:t>
                    </w:r>
                  </w:p>
                  <w:p>
                    <w:pPr>
                      <w:spacing w:line="125" w:lineRule="exact" w:before="15"/>
                      <w:ind w:left="93" w:right="-18" w:firstLine="0"/>
                      <w:jc w:val="left"/>
                      <w:rPr>
                        <w:b/>
                        <w:sz w:val="11"/>
                      </w:rPr>
                    </w:pPr>
                    <w:r>
                      <w:rPr>
                        <w:b/>
                        <w:w w:val="110"/>
                        <w:sz w:val="11"/>
                      </w:rPr>
                      <w:t>Cuentas</w:t>
                    </w:r>
                  </w:p>
                </w:txbxContent>
              </v:textbox>
              <w10:wrap type="none"/>
            </v:shape>
            <v:shape style="position:absolute;left:7063;top:2646;width:412;height:169" type="#_x0000_t202" filled="false" stroked="false">
              <v:textbox inset="0,0,0,0">
                <w:txbxContent>
                  <w:p>
                    <w:pPr>
                      <w:spacing w:line="168" w:lineRule="exact" w:before="0"/>
                      <w:ind w:left="0" w:right="0" w:firstLine="0"/>
                      <w:jc w:val="left"/>
                      <w:rPr>
                        <w:b/>
                        <w:sz w:val="17"/>
                      </w:rPr>
                    </w:pPr>
                    <w:r>
                      <w:rPr>
                        <w:b/>
                        <w:sz w:val="17"/>
                      </w:rPr>
                      <w:t>1857</w:t>
                    </w:r>
                  </w:p>
                </w:txbxContent>
              </v:textbox>
              <w10:wrap type="none"/>
            </v:shape>
            <v:shape style="position:absolute;left:2409;top:3247;width:826;height:398" type="#_x0000_t202" filled="false" stroked="false">
              <v:textbox inset="0,0,0,0">
                <w:txbxContent>
                  <w:p>
                    <w:pPr>
                      <w:spacing w:line="117" w:lineRule="exact" w:before="0"/>
                      <w:ind w:left="177" w:right="0" w:hanging="94"/>
                      <w:jc w:val="left"/>
                      <w:rPr>
                        <w:b/>
                        <w:sz w:val="11"/>
                      </w:rPr>
                    </w:pPr>
                    <w:r>
                      <w:rPr>
                        <w:b/>
                        <w:w w:val="110"/>
                        <w:sz w:val="11"/>
                      </w:rPr>
                      <w:t>Tribunal de</w:t>
                    </w:r>
                  </w:p>
                  <w:p>
                    <w:pPr>
                      <w:spacing w:before="15"/>
                      <w:ind w:left="0" w:right="0" w:firstLine="0"/>
                      <w:jc w:val="center"/>
                      <w:rPr>
                        <w:b/>
                        <w:sz w:val="11"/>
                      </w:rPr>
                    </w:pPr>
                    <w:r>
                      <w:rPr>
                        <w:b/>
                        <w:w w:val="110"/>
                        <w:sz w:val="11"/>
                      </w:rPr>
                      <w:t>Cuentas</w:t>
                    </w:r>
                  </w:p>
                  <w:p>
                    <w:pPr>
                      <w:spacing w:line="125" w:lineRule="exact" w:before="15"/>
                      <w:ind w:left="0" w:right="0" w:firstLine="0"/>
                      <w:jc w:val="center"/>
                      <w:rPr>
                        <w:b/>
                        <w:sz w:val="11"/>
                      </w:rPr>
                    </w:pPr>
                    <w:r>
                      <w:rPr>
                        <w:b/>
                        <w:w w:val="110"/>
                        <w:sz w:val="11"/>
                      </w:rPr>
                      <w:t>Nueva</w:t>
                    </w:r>
                    <w:r>
                      <w:rPr>
                        <w:b/>
                        <w:spacing w:val="-6"/>
                        <w:w w:val="110"/>
                        <w:sz w:val="11"/>
                      </w:rPr>
                      <w:t> </w:t>
                    </w:r>
                    <w:r>
                      <w:rPr>
                        <w:b/>
                        <w:w w:val="110"/>
                        <w:sz w:val="11"/>
                      </w:rPr>
                      <w:t>España</w:t>
                    </w:r>
                  </w:p>
                </w:txbxContent>
              </v:textbox>
              <w10:wrap type="none"/>
            </v:shape>
            <v:shape style="position:absolute;left:3270;top:3046;width:654;height:399" type="#_x0000_t202" filled="false" stroked="false">
              <v:textbox inset="0,0,0,0">
                <w:txbxContent>
                  <w:p>
                    <w:pPr>
                      <w:spacing w:line="116" w:lineRule="exact" w:before="0"/>
                      <w:ind w:left="93" w:right="-18" w:hanging="94"/>
                      <w:jc w:val="left"/>
                      <w:rPr>
                        <w:b/>
                        <w:sz w:val="11"/>
                      </w:rPr>
                    </w:pPr>
                    <w:r>
                      <w:rPr>
                        <w:b/>
                        <w:w w:val="110"/>
                        <w:sz w:val="11"/>
                      </w:rPr>
                      <w:t>Tribunal de</w:t>
                    </w:r>
                  </w:p>
                  <w:p>
                    <w:pPr>
                      <w:spacing w:before="15"/>
                      <w:ind w:left="93" w:right="-18" w:firstLine="0"/>
                      <w:jc w:val="left"/>
                      <w:rPr>
                        <w:b/>
                        <w:sz w:val="11"/>
                      </w:rPr>
                    </w:pPr>
                    <w:r>
                      <w:rPr>
                        <w:b/>
                        <w:w w:val="110"/>
                        <w:sz w:val="11"/>
                      </w:rPr>
                      <w:t>Cuentas</w:t>
                    </w:r>
                  </w:p>
                  <w:p>
                    <w:pPr>
                      <w:spacing w:line="125" w:lineRule="exact" w:before="15"/>
                      <w:ind w:left="37" w:right="-18" w:firstLine="0"/>
                      <w:jc w:val="left"/>
                      <w:rPr>
                        <w:b/>
                        <w:sz w:val="11"/>
                      </w:rPr>
                    </w:pPr>
                    <w:r>
                      <w:rPr>
                        <w:b/>
                        <w:w w:val="110"/>
                        <w:sz w:val="11"/>
                      </w:rPr>
                      <w:t>en México</w:t>
                    </w:r>
                  </w:p>
                </w:txbxContent>
              </v:textbox>
              <w10:wrap type="none"/>
            </v:shape>
            <v:shape style="position:absolute;left:3985;top:2779;width:637;height:398" type="#_x0000_t202" filled="false" stroked="false">
              <v:textbox inset="0,0,0,0">
                <w:txbxContent>
                  <w:p>
                    <w:pPr>
                      <w:spacing w:line="117" w:lineRule="exact" w:before="0"/>
                      <w:ind w:left="46" w:right="-11" w:hanging="47"/>
                      <w:jc w:val="left"/>
                      <w:rPr>
                        <w:b/>
                        <w:sz w:val="11"/>
                      </w:rPr>
                    </w:pPr>
                    <w:r>
                      <w:rPr>
                        <w:b/>
                        <w:spacing w:val="-1"/>
                        <w:w w:val="110"/>
                        <w:sz w:val="11"/>
                      </w:rPr>
                      <w:t>Contaduría</w:t>
                    </w:r>
                  </w:p>
                  <w:p>
                    <w:pPr>
                      <w:spacing w:line="268" w:lineRule="auto" w:before="15"/>
                      <w:ind w:left="46" w:right="-11" w:firstLine="0"/>
                      <w:jc w:val="left"/>
                      <w:rPr>
                        <w:b/>
                        <w:sz w:val="11"/>
                      </w:rPr>
                    </w:pPr>
                    <w:r>
                      <w:rPr>
                        <w:b/>
                        <w:w w:val="110"/>
                        <w:sz w:val="11"/>
                      </w:rPr>
                      <w:t>Mayor de Hacienda</w:t>
                    </w:r>
                  </w:p>
                </w:txbxContent>
              </v:textbox>
              <w10:wrap type="none"/>
            </v:shape>
            <v:shape style="position:absolute;left:6286;top:2780;width:411;height:169" type="#_x0000_t202" filled="false" stroked="false">
              <v:textbox inset="0,0,0,0">
                <w:txbxContent>
                  <w:p>
                    <w:pPr>
                      <w:spacing w:line="168" w:lineRule="exact" w:before="0"/>
                      <w:ind w:left="0" w:right="-7" w:firstLine="0"/>
                      <w:jc w:val="left"/>
                      <w:rPr>
                        <w:b/>
                        <w:sz w:val="17"/>
                      </w:rPr>
                    </w:pPr>
                    <w:r>
                      <w:rPr>
                        <w:b/>
                        <w:w w:val="105"/>
                        <w:sz w:val="17"/>
                      </w:rPr>
                      <w:t>1853</w:t>
                    </w:r>
                  </w:p>
                </w:txbxContent>
              </v:textbox>
              <w10:wrap type="none"/>
            </v:shape>
            <v:shape style="position:absolute;left:5651;top:3048;width:411;height:169" type="#_x0000_t202" filled="false" stroked="false">
              <v:textbox inset="0,0,0,0">
                <w:txbxContent>
                  <w:p>
                    <w:pPr>
                      <w:spacing w:line="168" w:lineRule="exact" w:before="0"/>
                      <w:ind w:left="0" w:right="-7" w:firstLine="0"/>
                      <w:jc w:val="left"/>
                      <w:rPr>
                        <w:b/>
                        <w:sz w:val="17"/>
                      </w:rPr>
                    </w:pPr>
                    <w:r>
                      <w:rPr>
                        <w:b/>
                        <w:w w:val="105"/>
                        <w:sz w:val="17"/>
                      </w:rPr>
                      <w:t>1843</w:t>
                    </w:r>
                  </w:p>
                </w:txbxContent>
              </v:textbox>
              <w10:wrap type="none"/>
            </v:shape>
            <v:shape style="position:absolute;left:5016;top:3315;width:412;height:169" type="#_x0000_t202" filled="false" stroked="false">
              <v:textbox inset="0,0,0,0">
                <w:txbxContent>
                  <w:p>
                    <w:pPr>
                      <w:spacing w:line="168" w:lineRule="exact" w:before="0"/>
                      <w:ind w:left="0" w:right="0" w:firstLine="0"/>
                      <w:jc w:val="left"/>
                      <w:rPr>
                        <w:b/>
                        <w:sz w:val="17"/>
                      </w:rPr>
                    </w:pPr>
                    <w:r>
                      <w:rPr>
                        <w:b/>
                        <w:sz w:val="17"/>
                      </w:rPr>
                      <w:t>1838</w:t>
                    </w:r>
                  </w:p>
                </w:txbxContent>
              </v:textbox>
              <w10:wrap type="none"/>
            </v:shape>
            <v:shape style="position:absolute;left:4169;top:3583;width:411;height:169" type="#_x0000_t202" filled="false" stroked="false">
              <v:textbox inset="0,0,0,0">
                <w:txbxContent>
                  <w:p>
                    <w:pPr>
                      <w:spacing w:line="168" w:lineRule="exact" w:before="0"/>
                      <w:ind w:left="0" w:right="-7" w:firstLine="0"/>
                      <w:jc w:val="left"/>
                      <w:rPr>
                        <w:b/>
                        <w:sz w:val="17"/>
                      </w:rPr>
                    </w:pPr>
                    <w:r>
                      <w:rPr>
                        <w:b/>
                        <w:w w:val="105"/>
                        <w:sz w:val="17"/>
                      </w:rPr>
                      <w:t>1824</w:t>
                    </w:r>
                  </w:p>
                </w:txbxContent>
              </v:textbox>
              <w10:wrap type="none"/>
            </v:shape>
            <v:shape style="position:absolute;left:2080;top:3850;width:1018;height:436" type="#_x0000_t202" filled="false" stroked="false">
              <v:textbox inset="0,0,0,0">
                <w:txbxContent>
                  <w:p>
                    <w:pPr>
                      <w:tabs>
                        <w:tab w:pos="962" w:val="left" w:leader="none"/>
                      </w:tabs>
                      <w:spacing w:line="172" w:lineRule="exact" w:before="0"/>
                      <w:ind w:left="0" w:right="0" w:firstLine="0"/>
                      <w:jc w:val="left"/>
                      <w:rPr>
                        <w:b/>
                        <w:sz w:val="17"/>
                      </w:rPr>
                    </w:pPr>
                    <w:r>
                      <w:rPr>
                        <w:b/>
                        <w:w w:val="104"/>
                        <w:sz w:val="17"/>
                        <w:u w:val="thick"/>
                      </w:rPr>
                      <w:t> </w:t>
                    </w:r>
                    <w:r>
                      <w:rPr>
                        <w:b/>
                        <w:sz w:val="17"/>
                        <w:u w:val="thick"/>
                      </w:rPr>
                      <w:tab/>
                    </w:r>
                  </w:p>
                  <w:p>
                    <w:pPr>
                      <w:spacing w:line="182" w:lineRule="exact" w:before="81"/>
                      <w:ind w:left="606" w:right="0" w:firstLine="0"/>
                      <w:jc w:val="left"/>
                      <w:rPr>
                        <w:b/>
                        <w:sz w:val="16"/>
                      </w:rPr>
                    </w:pPr>
                    <w:r>
                      <w:rPr>
                        <w:b/>
                        <w:w w:val="110"/>
                        <w:sz w:val="16"/>
                      </w:rPr>
                      <w:t>1524</w:t>
                    </w:r>
                  </w:p>
                </w:txbxContent>
              </v:textbox>
              <w10:wrap type="none"/>
            </v:shape>
            <v:shape style="position:absolute;left:3534;top:3850;width:412;height:169" type="#_x0000_t202" filled="false" stroked="false">
              <v:textbox inset="0,0,0,0">
                <w:txbxContent>
                  <w:p>
                    <w:pPr>
                      <w:spacing w:line="168" w:lineRule="exact" w:before="0"/>
                      <w:ind w:left="0" w:right="0" w:firstLine="0"/>
                      <w:jc w:val="left"/>
                      <w:rPr>
                        <w:b/>
                        <w:sz w:val="17"/>
                      </w:rPr>
                    </w:pPr>
                    <w:r>
                      <w:rPr>
                        <w:b/>
                        <w:sz w:val="17"/>
                      </w:rPr>
                      <w:t>1605</w:t>
                    </w:r>
                  </w:p>
                </w:txbxContent>
              </v:textbox>
              <w10:wrap type="none"/>
            </v:shape>
            <v:shape style="position:absolute;left:8925;top:3520;width:1056;height:409" type="#_x0000_t202" filled="false" stroked="false">
              <v:textbox inset="0,0,0,0">
                <w:txbxContent>
                  <w:p>
                    <w:pPr>
                      <w:spacing w:line="144" w:lineRule="exact" w:before="0"/>
                      <w:ind w:left="0" w:right="0" w:firstLine="0"/>
                      <w:jc w:val="left"/>
                      <w:rPr>
                        <w:b/>
                        <w:sz w:val="14"/>
                      </w:rPr>
                    </w:pPr>
                    <w:r>
                      <w:rPr>
                        <w:b/>
                        <w:color w:val="7E7E7E"/>
                        <w:w w:val="105"/>
                        <w:sz w:val="14"/>
                      </w:rPr>
                      <w:t>Independencia</w:t>
                    </w:r>
                  </w:p>
                  <w:p>
                    <w:pPr>
                      <w:spacing w:line="158" w:lineRule="exact" w:before="106"/>
                      <w:ind w:left="78" w:right="0" w:firstLine="0"/>
                      <w:jc w:val="left"/>
                      <w:rPr>
                        <w:b/>
                        <w:sz w:val="14"/>
                      </w:rPr>
                    </w:pPr>
                    <w:r>
                      <w:rPr>
                        <w:b/>
                        <w:color w:val="7E7E7E"/>
                        <w:w w:val="105"/>
                        <w:sz w:val="14"/>
                      </w:rPr>
                      <w:t>La Colonia</w:t>
                    </w:r>
                  </w:p>
                </w:txbxContent>
              </v:textbox>
              <w10:wrap type="none"/>
            </v:shape>
            <v:shape style="position:absolute;left:3322;top:4255;width:6500;height:432" type="#_x0000_t202" filled="false" stroked="false">
              <v:textbox inset="0,0,0,0">
                <w:txbxContent>
                  <w:p>
                    <w:pPr>
                      <w:spacing w:line="144" w:lineRule="exact" w:before="0"/>
                      <w:ind w:left="5761" w:right="0" w:firstLine="0"/>
                      <w:jc w:val="left"/>
                      <w:rPr>
                        <w:b/>
                        <w:sz w:val="14"/>
                      </w:rPr>
                    </w:pPr>
                    <w:r>
                      <w:rPr>
                        <w:b/>
                        <w:color w:val="7E7E7E"/>
                        <w:w w:val="105"/>
                        <w:sz w:val="14"/>
                      </w:rPr>
                      <w:t>Conquista</w:t>
                    </w:r>
                  </w:p>
                  <w:p>
                    <w:pPr>
                      <w:spacing w:line="182" w:lineRule="exact" w:before="105"/>
                      <w:ind w:left="0" w:right="0" w:firstLine="0"/>
                      <w:jc w:val="left"/>
                      <w:rPr>
                        <w:b/>
                        <w:sz w:val="16"/>
                      </w:rPr>
                    </w:pPr>
                    <w:r>
                      <w:rPr>
                        <w:b/>
                        <w:w w:val="110"/>
                        <w:sz w:val="16"/>
                      </w:rPr>
                      <w:t>1726</w:t>
                    </w:r>
                  </w:p>
                </w:txbxContent>
              </v:textbox>
              <w10:wrap type="none"/>
            </v:shape>
            <v:shape style="position:absolute;left:1981;top:4720;width:905;height:704" type="#_x0000_t202" filled="false" stroked="false">
              <v:textbox inset="0,0,0,0">
                <w:txbxContent>
                  <w:p>
                    <w:pPr>
                      <w:spacing w:line="172" w:lineRule="exact" w:before="0"/>
                      <w:ind w:left="493" w:right="-6" w:firstLine="0"/>
                      <w:jc w:val="left"/>
                      <w:rPr>
                        <w:b/>
                        <w:sz w:val="17"/>
                      </w:rPr>
                    </w:pPr>
                    <w:r>
                      <w:rPr>
                        <w:b/>
                        <w:w w:val="105"/>
                        <w:sz w:val="17"/>
                      </w:rPr>
                      <w:t>1510</w:t>
                    </w:r>
                  </w:p>
                  <w:p>
                    <w:pPr>
                      <w:spacing w:before="72"/>
                      <w:ind w:left="386" w:right="-6" w:firstLine="0"/>
                      <w:jc w:val="left"/>
                      <w:rPr>
                        <w:b/>
                        <w:sz w:val="17"/>
                      </w:rPr>
                    </w:pPr>
                    <w:r>
                      <w:rPr>
                        <w:b/>
                        <w:w w:val="105"/>
                        <w:sz w:val="17"/>
                      </w:rPr>
                      <w:t>1453</w:t>
                    </w:r>
                  </w:p>
                  <w:p>
                    <w:pPr>
                      <w:spacing w:line="191" w:lineRule="exact" w:before="72"/>
                      <w:ind w:left="0" w:right="-6" w:firstLine="0"/>
                      <w:jc w:val="left"/>
                      <w:rPr>
                        <w:b/>
                        <w:sz w:val="17"/>
                      </w:rPr>
                    </w:pPr>
                    <w:r>
                      <w:rPr>
                        <w:b/>
                        <w:w w:val="105"/>
                        <w:sz w:val="17"/>
                      </w:rPr>
                      <w:t>1388</w:t>
                    </w:r>
                  </w:p>
                </w:txbxContent>
              </v:textbox>
              <w10:wrap type="none"/>
            </v:shape>
            <v:shape style="position:absolute;left:4493;top:4652;width:1224;height:116" type="#_x0000_t202" filled="false" stroked="false">
              <v:textbox inset="0,0,0,0">
                <w:txbxContent>
                  <w:p>
                    <w:pPr>
                      <w:spacing w:line="115" w:lineRule="exact" w:before="0"/>
                      <w:ind w:left="0" w:right="-20" w:firstLine="0"/>
                      <w:jc w:val="left"/>
                      <w:rPr>
                        <w:b/>
                        <w:sz w:val="11"/>
                      </w:rPr>
                    </w:pPr>
                    <w:r>
                      <w:rPr>
                        <w:b/>
                        <w:w w:val="110"/>
                        <w:sz w:val="11"/>
                      </w:rPr>
                      <w:t>Consejo de Hacienda</w:t>
                    </w:r>
                  </w:p>
                </w:txbxContent>
              </v:textbox>
              <w10:wrap type="none"/>
            </v:shape>
            <v:shape style="position:absolute;left:3073;top:4986;width:867;height:257" type="#_x0000_t202" filled="false" stroked="false">
              <v:textbox inset="0,0,0,0">
                <w:txbxContent>
                  <w:p>
                    <w:pPr>
                      <w:spacing w:line="116" w:lineRule="exact" w:before="0"/>
                      <w:ind w:left="0" w:right="0" w:firstLine="0"/>
                      <w:jc w:val="center"/>
                      <w:rPr>
                        <w:b/>
                        <w:sz w:val="11"/>
                      </w:rPr>
                    </w:pPr>
                    <w:r>
                      <w:rPr>
                        <w:b/>
                        <w:w w:val="110"/>
                        <w:sz w:val="11"/>
                      </w:rPr>
                      <w:t>Tribunal</w:t>
                    </w:r>
                    <w:r>
                      <w:rPr>
                        <w:b/>
                        <w:spacing w:val="-8"/>
                        <w:w w:val="110"/>
                        <w:sz w:val="11"/>
                      </w:rPr>
                      <w:t> </w:t>
                    </w:r>
                    <w:r>
                      <w:rPr>
                        <w:b/>
                        <w:w w:val="110"/>
                        <w:sz w:val="11"/>
                      </w:rPr>
                      <w:t>Mayor</w:t>
                    </w:r>
                  </w:p>
                  <w:p>
                    <w:pPr>
                      <w:spacing w:line="125" w:lineRule="exact" w:before="15"/>
                      <w:ind w:left="11" w:right="0" w:firstLine="0"/>
                      <w:jc w:val="center"/>
                      <w:rPr>
                        <w:b/>
                        <w:sz w:val="11"/>
                      </w:rPr>
                    </w:pPr>
                    <w:r>
                      <w:rPr>
                        <w:b/>
                        <w:w w:val="110"/>
                        <w:sz w:val="11"/>
                      </w:rPr>
                      <w:t>de Cuentas</w:t>
                    </w:r>
                  </w:p>
                </w:txbxContent>
              </v:textbox>
              <w10:wrap type="none"/>
            </v:shape>
            <v:shape style="position:absolute;left:7954;top:4862;width:950;height:469" type="#_x0000_t202" filled="false" stroked="false">
              <v:textbox inset="0,0,0,0">
                <w:txbxContent>
                  <w:p>
                    <w:pPr>
                      <w:spacing w:line="217" w:lineRule="exact" w:before="0"/>
                      <w:ind w:left="0" w:right="-14" w:firstLine="74"/>
                      <w:jc w:val="left"/>
                      <w:rPr>
                        <w:b/>
                        <w:sz w:val="21"/>
                      </w:rPr>
                    </w:pPr>
                    <w:r>
                      <w:rPr>
                        <w:b/>
                        <w:w w:val="105"/>
                        <w:sz w:val="21"/>
                      </w:rPr>
                      <w:t>España</w:t>
                    </w:r>
                  </w:p>
                  <w:p>
                    <w:pPr>
                      <w:spacing w:line="237" w:lineRule="exact" w:before="15"/>
                      <w:ind w:left="0" w:right="-14" w:firstLine="0"/>
                      <w:jc w:val="left"/>
                      <w:rPr>
                        <w:b/>
                        <w:sz w:val="21"/>
                      </w:rPr>
                    </w:pPr>
                    <w:r>
                      <w:rPr>
                        <w:b/>
                        <w:w w:val="105"/>
                        <w:sz w:val="21"/>
                      </w:rPr>
                      <w:t>medieval</w:t>
                    </w:r>
                  </w:p>
                </w:txbxContent>
              </v:textbox>
              <w10:wrap type="none"/>
            </v:shape>
            <w10:wrap type="topAndBottom"/>
          </v:group>
        </w:pict>
      </w:r>
    </w:p>
    <w:p>
      <w:pPr>
        <w:spacing w:line="240" w:lineRule="auto" w:before="104"/>
        <w:ind w:left="849" w:right="247" w:hanging="709"/>
        <w:jc w:val="left"/>
        <w:rPr>
          <w:i/>
          <w:sz w:val="12"/>
        </w:rPr>
      </w:pPr>
      <w:r>
        <w:rPr>
          <w:sz w:val="12"/>
        </w:rPr>
        <w:t>FUENTE:     H. Cámara de Diputados/Auditoría Superior de la Federación (2004: 113-512), Auditoría Superior de la Federación (2005) </w:t>
      </w:r>
      <w:r>
        <w:rPr>
          <w:i/>
          <w:sz w:val="12"/>
        </w:rPr>
        <w:t>Acervo jurídico de la </w:t>
      </w:r>
      <w:r>
        <w:rPr>
          <w:i/>
          <w:sz w:val="12"/>
        </w:rPr>
        <w:t>Rendición de Cuentas y Fiscalización Superior en México </w:t>
      </w:r>
      <w:r>
        <w:rPr>
          <w:sz w:val="12"/>
        </w:rPr>
        <w:t>y Auditoría Superior de la Federación (2009) Fiscalización superior en México. </w:t>
      </w:r>
      <w:r>
        <w:rPr>
          <w:i/>
          <w:sz w:val="12"/>
        </w:rPr>
        <w:t>Reformas a la </w:t>
      </w:r>
      <w:r>
        <w:rPr>
          <w:i/>
          <w:sz w:val="12"/>
        </w:rPr>
        <w:t>Constitución Política de los Estados Unidos Mexicanos y a la ley reglamentaria</w:t>
      </w:r>
    </w:p>
    <w:p>
      <w:pPr>
        <w:pStyle w:val="BodyText"/>
        <w:rPr>
          <w:i/>
          <w:sz w:val="12"/>
        </w:rPr>
      </w:pPr>
    </w:p>
    <w:p>
      <w:pPr>
        <w:pStyle w:val="BodyText"/>
        <w:rPr>
          <w:i/>
          <w:sz w:val="12"/>
        </w:rPr>
      </w:pPr>
    </w:p>
    <w:p>
      <w:pPr>
        <w:pStyle w:val="BodyText"/>
        <w:rPr>
          <w:i/>
          <w:sz w:val="12"/>
        </w:rPr>
      </w:pPr>
    </w:p>
    <w:p>
      <w:pPr>
        <w:pStyle w:val="BodyText"/>
        <w:rPr>
          <w:i/>
          <w:sz w:val="12"/>
        </w:rPr>
      </w:pPr>
    </w:p>
    <w:p>
      <w:pPr>
        <w:pStyle w:val="BodyText"/>
        <w:rPr>
          <w:i/>
          <w:sz w:val="12"/>
        </w:rPr>
      </w:pPr>
    </w:p>
    <w:p>
      <w:pPr>
        <w:pStyle w:val="BodyText"/>
        <w:rPr>
          <w:i/>
          <w:sz w:val="12"/>
        </w:rPr>
      </w:pPr>
    </w:p>
    <w:p>
      <w:pPr>
        <w:pStyle w:val="BodyText"/>
        <w:rPr>
          <w:i/>
          <w:sz w:val="12"/>
        </w:rPr>
      </w:pPr>
    </w:p>
    <w:p>
      <w:pPr>
        <w:pStyle w:val="BodyText"/>
        <w:rPr>
          <w:i/>
          <w:sz w:val="12"/>
        </w:rPr>
      </w:pPr>
    </w:p>
    <w:p>
      <w:pPr>
        <w:pStyle w:val="BodyText"/>
        <w:rPr>
          <w:i/>
          <w:sz w:val="12"/>
        </w:rPr>
      </w:pPr>
    </w:p>
    <w:p>
      <w:pPr>
        <w:pStyle w:val="BodyText"/>
        <w:rPr>
          <w:i/>
          <w:sz w:val="12"/>
        </w:rPr>
      </w:pPr>
    </w:p>
    <w:p>
      <w:pPr>
        <w:pStyle w:val="BodyText"/>
        <w:rPr>
          <w:i/>
          <w:sz w:val="12"/>
        </w:rPr>
      </w:pPr>
    </w:p>
    <w:p>
      <w:pPr>
        <w:pStyle w:val="BodyText"/>
        <w:rPr>
          <w:i/>
          <w:sz w:val="12"/>
        </w:rPr>
      </w:pPr>
    </w:p>
    <w:p>
      <w:pPr>
        <w:spacing w:before="71"/>
        <w:ind w:left="676" w:right="716" w:firstLine="0"/>
        <w:jc w:val="center"/>
        <w:rPr>
          <w:sz w:val="20"/>
        </w:rPr>
      </w:pPr>
      <w:bookmarkStart w:name="_bookmark53" w:id="72"/>
      <w:bookmarkEnd w:id="72"/>
      <w:r>
        <w:rPr/>
      </w:r>
      <w:r>
        <w:rPr>
          <w:sz w:val="20"/>
        </w:rPr>
        <w:t>Cuadro 2. 1.Reformas constitucionales y legislativas de la institución de control externo</w:t>
      </w:r>
    </w:p>
    <w:p>
      <w:pPr>
        <w:pStyle w:val="BodyText"/>
        <w:spacing w:before="6"/>
        <w:rPr>
          <w:sz w:val="17"/>
        </w:rPr>
      </w:pPr>
    </w:p>
    <w:tbl>
      <w:tblPr>
        <w:tblW w:w="0" w:type="auto"/>
        <w:jc w:val="left"/>
        <w:tblInd w:w="140" w:type="dxa"/>
        <w:tblBorders>
          <w:top w:val="single" w:sz="11" w:space="0" w:color="BEBEBE"/>
          <w:left w:val="single" w:sz="11" w:space="0" w:color="BEBEBE"/>
          <w:bottom w:val="single" w:sz="11" w:space="0" w:color="BEBEBE"/>
          <w:right w:val="single" w:sz="11" w:space="0" w:color="BEBEBE"/>
          <w:insideH w:val="single" w:sz="11" w:space="0" w:color="BEBEBE"/>
          <w:insideV w:val="single" w:sz="11" w:space="0" w:color="BEBEBE"/>
        </w:tblBorders>
        <w:tblLayout w:type="fixed"/>
        <w:tblCellMar>
          <w:top w:w="0" w:type="dxa"/>
          <w:left w:w="0" w:type="dxa"/>
          <w:bottom w:w="0" w:type="dxa"/>
          <w:right w:w="0" w:type="dxa"/>
        </w:tblCellMar>
        <w:tblLook w:val="01E0"/>
      </w:tblPr>
      <w:tblGrid>
        <w:gridCol w:w="1400"/>
        <w:gridCol w:w="7465"/>
      </w:tblGrid>
      <w:tr>
        <w:trPr>
          <w:trHeight w:val="588" w:hRule="exact"/>
        </w:trPr>
        <w:tc>
          <w:tcPr>
            <w:tcW w:w="1400" w:type="dxa"/>
          </w:tcPr>
          <w:p>
            <w:pPr/>
          </w:p>
        </w:tc>
        <w:tc>
          <w:tcPr>
            <w:tcW w:w="7465" w:type="dxa"/>
          </w:tcPr>
          <w:p>
            <w:pPr>
              <w:pStyle w:val="TableParagraph"/>
              <w:spacing w:before="8"/>
              <w:rPr>
                <w:sz w:val="15"/>
              </w:rPr>
            </w:pPr>
          </w:p>
          <w:p>
            <w:pPr>
              <w:pStyle w:val="TableParagraph"/>
              <w:ind w:left="2008"/>
              <w:rPr>
                <w:b/>
                <w:sz w:val="14"/>
              </w:rPr>
            </w:pPr>
            <w:r>
              <w:rPr>
                <w:b/>
                <w:sz w:val="14"/>
              </w:rPr>
              <w:t>Principales cambios constitucionales y legislativos</w:t>
            </w:r>
          </w:p>
        </w:tc>
      </w:tr>
      <w:tr>
        <w:trPr>
          <w:trHeight w:val="2715" w:hRule="exact"/>
        </w:trPr>
        <w:tc>
          <w:tcPr>
            <w:tcW w:w="140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11"/>
              </w:rPr>
            </w:pPr>
          </w:p>
          <w:p>
            <w:pPr>
              <w:pStyle w:val="TableParagraph"/>
              <w:spacing w:before="1"/>
              <w:ind w:left="211" w:right="213" w:firstLine="8"/>
              <w:jc w:val="center"/>
              <w:rPr>
                <w:b/>
                <w:sz w:val="14"/>
              </w:rPr>
            </w:pPr>
            <w:r>
              <w:rPr>
                <w:b/>
                <w:sz w:val="14"/>
              </w:rPr>
              <w:t>México </w:t>
            </w:r>
            <w:r>
              <w:rPr>
                <w:b/>
                <w:spacing w:val="-1"/>
                <w:sz w:val="14"/>
              </w:rPr>
              <w:t>Independiente </w:t>
            </w:r>
            <w:r>
              <w:rPr>
                <w:b/>
                <w:sz w:val="14"/>
              </w:rPr>
              <w:t>(1821- 1854)</w:t>
            </w:r>
          </w:p>
        </w:tc>
        <w:tc>
          <w:tcPr>
            <w:tcW w:w="7465" w:type="dxa"/>
            <w:tcBorders>
              <w:bottom w:val="single" w:sz="3" w:space="0" w:color="000000"/>
              <w:right w:val="single" w:sz="3" w:space="0" w:color="000000"/>
            </w:tcBorders>
          </w:tcPr>
          <w:p>
            <w:pPr>
              <w:pStyle w:val="TableParagraph"/>
              <w:spacing w:line="273" w:lineRule="auto"/>
              <w:ind w:left="96" w:right="4483"/>
              <w:rPr>
                <w:sz w:val="14"/>
              </w:rPr>
            </w:pPr>
            <w:r>
              <w:rPr>
                <w:sz w:val="14"/>
              </w:rPr>
              <w:t>1824: La constitución estableció la CMH. 1838: Se restableció el Tribunal de Cuentas.</w:t>
            </w:r>
          </w:p>
          <w:p>
            <w:pPr>
              <w:pStyle w:val="TableParagraph"/>
              <w:spacing w:before="5"/>
              <w:ind w:left="96" w:right="195"/>
              <w:rPr>
                <w:sz w:val="14"/>
              </w:rPr>
            </w:pPr>
            <w:r>
              <w:rPr>
                <w:sz w:val="14"/>
              </w:rPr>
              <w:t>1876: Se emitió la LOCMH y su adscripción al H. Congreso de la Unión.</w:t>
            </w:r>
          </w:p>
          <w:p>
            <w:pPr>
              <w:pStyle w:val="TableParagraph"/>
              <w:spacing w:before="23"/>
              <w:ind w:left="96" w:right="195"/>
              <w:rPr>
                <w:sz w:val="14"/>
              </w:rPr>
            </w:pPr>
            <w:r>
              <w:rPr>
                <w:sz w:val="14"/>
              </w:rPr>
              <w:t>1904: Se estableció el control presupuestal como facultad exclusiva de la Cámara de Diputados.</w:t>
            </w:r>
          </w:p>
          <w:p>
            <w:pPr>
              <w:pStyle w:val="TableParagraph"/>
              <w:spacing w:line="259" w:lineRule="auto" w:before="23"/>
              <w:ind w:right="203"/>
              <w:jc w:val="right"/>
              <w:rPr>
                <w:sz w:val="14"/>
              </w:rPr>
            </w:pPr>
            <w:r>
              <w:rPr>
                <w:sz w:val="14"/>
              </w:rPr>
              <w:t>1917: Se facultó a la CMH para revisar y glosar la Cuenta Pública y para revisar el cumplimiento de los programas.</w:t>
            </w:r>
            <w:r>
              <w:rPr>
                <w:w w:val="100"/>
                <w:sz w:val="14"/>
              </w:rPr>
              <w:t> </w:t>
            </w:r>
            <w:r>
              <w:rPr>
                <w:sz w:val="14"/>
              </w:rPr>
              <w:t>1824: La Constitución facultó al Congreso Nacional para revisar anualmente las cuentas del gobierno. Se expidió un</w:t>
            </w:r>
            <w:r>
              <w:rPr>
                <w:w w:val="99"/>
                <w:sz w:val="14"/>
              </w:rPr>
              <w:t> </w:t>
            </w:r>
            <w:r>
              <w:rPr>
                <w:sz w:val="14"/>
              </w:rPr>
              <w:t>decreto que suprimió al Tribunal Mayor de Cuentas y crea la CMH. Disposición que crea el  Departamento</w:t>
            </w:r>
          </w:p>
          <w:p>
            <w:pPr>
              <w:pStyle w:val="TableParagraph"/>
              <w:spacing w:line="147" w:lineRule="exact"/>
              <w:ind w:left="568" w:right="195"/>
              <w:rPr>
                <w:sz w:val="14"/>
              </w:rPr>
            </w:pPr>
            <w:r>
              <w:rPr>
                <w:sz w:val="14"/>
              </w:rPr>
              <w:t>de Cuenta y Razón en la Secretaría de Hacienda.</w:t>
            </w:r>
          </w:p>
          <w:p>
            <w:pPr>
              <w:pStyle w:val="TableParagraph"/>
              <w:spacing w:line="160" w:lineRule="exact"/>
              <w:ind w:left="96" w:right="4483"/>
              <w:rPr>
                <w:sz w:val="14"/>
              </w:rPr>
            </w:pPr>
            <w:r>
              <w:rPr>
                <w:sz w:val="14"/>
              </w:rPr>
              <w:t>1829: Se realizaron reformas a la CHM.</w:t>
            </w:r>
          </w:p>
          <w:p>
            <w:pPr>
              <w:pStyle w:val="TableParagraph"/>
              <w:spacing w:line="160" w:lineRule="exact"/>
              <w:ind w:left="96" w:right="195"/>
              <w:rPr>
                <w:sz w:val="14"/>
              </w:rPr>
            </w:pPr>
            <w:r>
              <w:rPr>
                <w:sz w:val="14"/>
              </w:rPr>
              <w:t>1831: Se llevaron a cabo innovaciones a la CMH.</w:t>
            </w:r>
          </w:p>
          <w:p>
            <w:pPr>
              <w:pStyle w:val="TableParagraph"/>
              <w:spacing w:before="3"/>
              <w:ind w:left="96" w:right="195"/>
              <w:rPr>
                <w:sz w:val="14"/>
              </w:rPr>
            </w:pPr>
            <w:r>
              <w:rPr>
                <w:sz w:val="14"/>
              </w:rPr>
              <w:t>1836: Se abrogó la Constitución de 1824 y “Las Siete Leyes” mantuvieron las funciones de la CMH y ratificaron su funcionamiento.</w:t>
            </w:r>
          </w:p>
          <w:p>
            <w:pPr>
              <w:pStyle w:val="TableParagraph"/>
              <w:spacing w:line="160" w:lineRule="exact"/>
              <w:ind w:left="96" w:right="195"/>
              <w:rPr>
                <w:sz w:val="14"/>
              </w:rPr>
            </w:pPr>
            <w:r>
              <w:rPr>
                <w:sz w:val="14"/>
              </w:rPr>
              <w:t>1838: Se instauró el Tribunal de Cuentas del cual pasa a formar parte la CMH.</w:t>
            </w:r>
          </w:p>
          <w:p>
            <w:pPr>
              <w:pStyle w:val="TableParagraph"/>
              <w:spacing w:line="244" w:lineRule="auto"/>
              <w:ind w:left="568" w:right="195" w:hanging="472"/>
              <w:rPr>
                <w:sz w:val="14"/>
              </w:rPr>
            </w:pPr>
            <w:r>
              <w:rPr>
                <w:sz w:val="14"/>
              </w:rPr>
              <w:t>1843: La Constitución (llamada “Las Bases Orgánicas”) facultó al Congreso para vigilar los gastos públicos. Se restableció el Tribunal de Cuentas.</w:t>
            </w:r>
          </w:p>
          <w:p>
            <w:pPr>
              <w:pStyle w:val="TableParagraph"/>
              <w:spacing w:line="157" w:lineRule="exact"/>
              <w:ind w:left="96" w:right="195"/>
              <w:rPr>
                <w:sz w:val="14"/>
              </w:rPr>
            </w:pPr>
            <w:r>
              <w:rPr>
                <w:sz w:val="14"/>
              </w:rPr>
              <w:t>1853: Se expidió el decreto que restableció el Tribunal Mayor de Cuentas, y como parte de éste a la CMH.</w:t>
            </w:r>
          </w:p>
        </w:tc>
      </w:tr>
      <w:tr>
        <w:trPr>
          <w:trHeight w:val="676" w:hRule="exact"/>
        </w:trPr>
        <w:tc>
          <w:tcPr>
            <w:tcW w:w="1400" w:type="dxa"/>
          </w:tcPr>
          <w:p>
            <w:pPr>
              <w:pStyle w:val="TableParagraph"/>
              <w:spacing w:before="6"/>
              <w:rPr>
                <w:sz w:val="14"/>
              </w:rPr>
            </w:pPr>
          </w:p>
          <w:p>
            <w:pPr>
              <w:pStyle w:val="TableParagraph"/>
              <w:ind w:left="303" w:right="301" w:hanging="4"/>
              <w:rPr>
                <w:b/>
                <w:sz w:val="14"/>
              </w:rPr>
            </w:pPr>
            <w:r>
              <w:rPr>
                <w:b/>
                <w:sz w:val="14"/>
              </w:rPr>
              <w:t>La Reforma (1855-1872)</w:t>
            </w:r>
          </w:p>
        </w:tc>
        <w:tc>
          <w:tcPr>
            <w:tcW w:w="7465" w:type="dxa"/>
            <w:tcBorders>
              <w:top w:val="single" w:sz="3" w:space="0" w:color="000000"/>
              <w:bottom w:val="single" w:sz="3" w:space="0" w:color="000000"/>
              <w:right w:val="single" w:sz="3" w:space="0" w:color="000000"/>
            </w:tcBorders>
          </w:tcPr>
          <w:p>
            <w:pPr>
              <w:pStyle w:val="TableParagraph"/>
              <w:spacing w:before="20"/>
              <w:ind w:left="568" w:right="195" w:hanging="472"/>
              <w:rPr>
                <w:sz w:val="14"/>
              </w:rPr>
            </w:pPr>
            <w:r>
              <w:rPr>
                <w:sz w:val="14"/>
              </w:rPr>
              <w:t>1857: Un decreto suprimió al Tribunal Mayor de Cuentas y restableció la CMH. Éste confirmó la facultad del Legislativo de revisar las cuentas del gobierno.</w:t>
            </w:r>
          </w:p>
          <w:p>
            <w:pPr>
              <w:pStyle w:val="TableParagraph"/>
              <w:spacing w:line="159" w:lineRule="exact"/>
              <w:ind w:left="96" w:right="195"/>
              <w:rPr>
                <w:sz w:val="14"/>
              </w:rPr>
            </w:pPr>
            <w:r>
              <w:rPr>
                <w:sz w:val="14"/>
              </w:rPr>
              <w:t>1865: Maximiliano restableció en Tribunal de Cuentas.</w:t>
            </w:r>
          </w:p>
          <w:p>
            <w:pPr>
              <w:pStyle w:val="TableParagraph"/>
              <w:spacing w:line="160" w:lineRule="exact"/>
              <w:ind w:left="96" w:right="195"/>
              <w:rPr>
                <w:sz w:val="14"/>
              </w:rPr>
            </w:pPr>
            <w:r>
              <w:rPr>
                <w:sz w:val="14"/>
              </w:rPr>
              <w:t>1867: Por disposición oficial se restablecieron las funciones de la CMH.</w:t>
            </w:r>
          </w:p>
        </w:tc>
      </w:tr>
    </w:tbl>
    <w:p>
      <w:pPr>
        <w:spacing w:after="0" w:line="160" w:lineRule="exact"/>
        <w:rPr>
          <w:sz w:val="14"/>
        </w:rPr>
        <w:sectPr>
          <w:pgSz w:w="12240" w:h="15840"/>
          <w:pgMar w:header="0" w:footer="998" w:top="1500" w:bottom="1180" w:left="1560" w:right="1520"/>
        </w:sect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00"/>
        <w:gridCol w:w="7465"/>
      </w:tblGrid>
      <w:tr>
        <w:trPr>
          <w:trHeight w:val="1156" w:hRule="exact"/>
        </w:trPr>
        <w:tc>
          <w:tcPr>
            <w:tcW w:w="1400"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rPr>
                <w:sz w:val="14"/>
              </w:rPr>
            </w:pPr>
          </w:p>
          <w:p>
            <w:pPr>
              <w:pStyle w:val="TableParagraph"/>
              <w:spacing w:line="244" w:lineRule="auto" w:before="84"/>
              <w:ind w:left="303" w:right="273" w:hanging="28"/>
              <w:rPr>
                <w:b/>
                <w:sz w:val="14"/>
              </w:rPr>
            </w:pPr>
            <w:r>
              <w:rPr>
                <w:b/>
                <w:sz w:val="14"/>
              </w:rPr>
              <w:t>El porfiriano (1876-1911)</w:t>
            </w:r>
          </w:p>
        </w:tc>
        <w:tc>
          <w:tcPr>
            <w:tcW w:w="7465" w:type="dxa"/>
            <w:tcBorders>
              <w:left w:val="single" w:sz="11" w:space="0" w:color="BEBEBE"/>
            </w:tcBorders>
          </w:tcPr>
          <w:p>
            <w:pPr>
              <w:pStyle w:val="TableParagraph"/>
              <w:spacing w:before="21"/>
              <w:ind w:left="96" w:right="1440"/>
              <w:rPr>
                <w:sz w:val="14"/>
              </w:rPr>
            </w:pPr>
            <w:r>
              <w:rPr>
                <w:sz w:val="14"/>
              </w:rPr>
              <w:t>1881: Un decreto dispuso que la CMH glosara la cuenta de la Tesorería de la Federación. 1896: Se expidió el reglamento de la CMH.</w:t>
            </w:r>
          </w:p>
          <w:p>
            <w:pPr>
              <w:pStyle w:val="TableParagraph"/>
              <w:ind w:left="96" w:right="1868"/>
              <w:rPr>
                <w:sz w:val="14"/>
              </w:rPr>
            </w:pPr>
            <w:r>
              <w:rPr>
                <w:sz w:val="14"/>
              </w:rPr>
              <w:t>1901: Se creó un decreto que dispone cuáles libros deberán guardarse en la CMH. 1904: Se promulgó la LOCMH.</w:t>
            </w:r>
          </w:p>
          <w:p>
            <w:pPr>
              <w:pStyle w:val="TableParagraph"/>
              <w:spacing w:line="160" w:lineRule="exact" w:before="3"/>
              <w:ind w:left="96" w:right="195"/>
              <w:rPr>
                <w:sz w:val="14"/>
              </w:rPr>
            </w:pPr>
            <w:r>
              <w:rPr>
                <w:sz w:val="14"/>
              </w:rPr>
              <w:t>1906: Se expidió el Reglamento Interior de la CMH.</w:t>
            </w:r>
          </w:p>
          <w:p>
            <w:pPr>
              <w:pStyle w:val="TableParagraph"/>
              <w:ind w:left="568" w:right="195" w:hanging="472"/>
              <w:rPr>
                <w:sz w:val="14"/>
              </w:rPr>
            </w:pPr>
            <w:r>
              <w:rPr>
                <w:sz w:val="14"/>
              </w:rPr>
              <w:t>1910: Se expidió la ley que reorganizó a la Tesorería General de la Federación y creó la Dirección de Contabilidad y Glosa, como unidad administrativa contable de la Secretaría de Hacienda.</w:t>
            </w:r>
          </w:p>
        </w:tc>
      </w:tr>
      <w:tr>
        <w:trPr>
          <w:trHeight w:val="836" w:hRule="exact"/>
        </w:trPr>
        <w:tc>
          <w:tcPr>
            <w:tcW w:w="1400"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spacing w:line="244" w:lineRule="auto" w:before="85"/>
              <w:ind w:left="303" w:right="305" w:firstLine="8"/>
              <w:rPr>
                <w:b/>
                <w:sz w:val="14"/>
              </w:rPr>
            </w:pPr>
            <w:r>
              <w:rPr>
                <w:b/>
                <w:sz w:val="14"/>
              </w:rPr>
              <w:t>Revolución (1910-1929)</w:t>
            </w:r>
          </w:p>
        </w:tc>
        <w:tc>
          <w:tcPr>
            <w:tcW w:w="7465" w:type="dxa"/>
            <w:tcBorders>
              <w:left w:val="single" w:sz="11" w:space="0" w:color="BEBEBE"/>
            </w:tcBorders>
          </w:tcPr>
          <w:p>
            <w:pPr>
              <w:pStyle w:val="TableParagraph"/>
              <w:spacing w:before="20"/>
              <w:ind w:left="568" w:right="195" w:hanging="472"/>
              <w:rPr>
                <w:sz w:val="14"/>
              </w:rPr>
            </w:pPr>
            <w:r>
              <w:rPr>
                <w:sz w:val="14"/>
              </w:rPr>
              <w:t>1917: La Ley de Secretarías y Departamentos de Estado constituyó el Departamento de Contraloría, como órgano administrativo</w:t>
            </w:r>
            <w:r>
              <w:rPr>
                <w:spacing w:val="-9"/>
                <w:sz w:val="14"/>
              </w:rPr>
              <w:t> </w:t>
            </w:r>
            <w:r>
              <w:rPr>
                <w:sz w:val="14"/>
              </w:rPr>
              <w:t>del</w:t>
            </w:r>
            <w:r>
              <w:rPr>
                <w:spacing w:val="-14"/>
                <w:sz w:val="14"/>
              </w:rPr>
              <w:t> </w:t>
            </w:r>
            <w:r>
              <w:rPr>
                <w:sz w:val="14"/>
              </w:rPr>
              <w:t>Poder</w:t>
            </w:r>
            <w:r>
              <w:rPr>
                <w:spacing w:val="-6"/>
                <w:sz w:val="14"/>
              </w:rPr>
              <w:t> </w:t>
            </w:r>
            <w:r>
              <w:rPr>
                <w:sz w:val="14"/>
              </w:rPr>
              <w:t>Ejecutivo</w:t>
            </w:r>
            <w:r>
              <w:rPr>
                <w:spacing w:val="-10"/>
                <w:sz w:val="14"/>
              </w:rPr>
              <w:t> </w:t>
            </w:r>
            <w:r>
              <w:rPr>
                <w:sz w:val="14"/>
              </w:rPr>
              <w:t>de</w:t>
            </w:r>
            <w:r>
              <w:rPr>
                <w:spacing w:val="-9"/>
                <w:sz w:val="14"/>
              </w:rPr>
              <w:t> </w:t>
            </w:r>
            <w:r>
              <w:rPr>
                <w:sz w:val="14"/>
              </w:rPr>
              <w:t>la</w:t>
            </w:r>
            <w:r>
              <w:rPr>
                <w:spacing w:val="-13"/>
                <w:sz w:val="14"/>
              </w:rPr>
              <w:t> </w:t>
            </w:r>
            <w:r>
              <w:rPr>
                <w:sz w:val="14"/>
              </w:rPr>
              <w:t>Federación,</w:t>
            </w:r>
            <w:r>
              <w:rPr>
                <w:spacing w:val="-10"/>
                <w:sz w:val="14"/>
              </w:rPr>
              <w:t> </w:t>
            </w:r>
            <w:r>
              <w:rPr>
                <w:sz w:val="14"/>
              </w:rPr>
              <w:t>con</w:t>
            </w:r>
            <w:r>
              <w:rPr>
                <w:spacing w:val="-13"/>
                <w:sz w:val="14"/>
              </w:rPr>
              <w:t> </w:t>
            </w:r>
            <w:r>
              <w:rPr>
                <w:sz w:val="14"/>
              </w:rPr>
              <w:t>carácter</w:t>
            </w:r>
            <w:r>
              <w:rPr>
                <w:spacing w:val="-10"/>
                <w:sz w:val="14"/>
              </w:rPr>
              <w:t> </w:t>
            </w:r>
            <w:r>
              <w:rPr>
                <w:sz w:val="14"/>
              </w:rPr>
              <w:t>fiscalizador</w:t>
            </w:r>
            <w:r>
              <w:rPr>
                <w:spacing w:val="-10"/>
                <w:sz w:val="14"/>
              </w:rPr>
              <w:t> </w:t>
            </w:r>
            <w:r>
              <w:rPr>
                <w:sz w:val="14"/>
              </w:rPr>
              <w:t>(revisión</w:t>
            </w:r>
            <w:r>
              <w:rPr>
                <w:spacing w:val="-9"/>
                <w:sz w:val="14"/>
              </w:rPr>
              <w:t> </w:t>
            </w:r>
            <w:r>
              <w:rPr>
                <w:sz w:val="14"/>
              </w:rPr>
              <w:t>de</w:t>
            </w:r>
            <w:r>
              <w:rPr>
                <w:spacing w:val="-13"/>
                <w:sz w:val="14"/>
              </w:rPr>
              <w:t> </w:t>
            </w:r>
            <w:r>
              <w:rPr>
                <w:sz w:val="14"/>
              </w:rPr>
              <w:t>la</w:t>
            </w:r>
            <w:r>
              <w:rPr>
                <w:spacing w:val="-13"/>
                <w:sz w:val="14"/>
              </w:rPr>
              <w:t> </w:t>
            </w:r>
            <w:r>
              <w:rPr>
                <w:sz w:val="14"/>
              </w:rPr>
              <w:t>Cuenta</w:t>
            </w:r>
            <w:r>
              <w:rPr>
                <w:spacing w:val="-13"/>
                <w:sz w:val="14"/>
              </w:rPr>
              <w:t> </w:t>
            </w:r>
            <w:r>
              <w:rPr>
                <w:sz w:val="14"/>
              </w:rPr>
              <w:t>Pública).</w:t>
            </w:r>
          </w:p>
          <w:p>
            <w:pPr>
              <w:pStyle w:val="TableParagraph"/>
              <w:spacing w:line="160" w:lineRule="exact"/>
              <w:ind w:left="96" w:right="195"/>
              <w:rPr>
                <w:sz w:val="14"/>
              </w:rPr>
            </w:pPr>
            <w:r>
              <w:rPr>
                <w:sz w:val="14"/>
              </w:rPr>
              <w:t>1918: Se expidió la Ley Orgánica del Departamento de Contraloría del Poder Ejecutivo de la Federación.</w:t>
            </w:r>
          </w:p>
          <w:p>
            <w:pPr>
              <w:pStyle w:val="TableParagraph"/>
              <w:spacing w:before="3"/>
              <w:ind w:left="96" w:right="131"/>
              <w:rPr>
                <w:sz w:val="14"/>
              </w:rPr>
            </w:pPr>
            <w:r>
              <w:rPr>
                <w:sz w:val="14"/>
              </w:rPr>
              <w:t>1926: Se abrogó la Ley Orgánica del Departamento de Contraloría de la Federación de 1918 y se expide una nueva disposición.</w:t>
            </w:r>
          </w:p>
        </w:tc>
      </w:tr>
      <w:tr>
        <w:trPr>
          <w:trHeight w:val="1788" w:hRule="exact"/>
        </w:trPr>
        <w:tc>
          <w:tcPr>
            <w:tcW w:w="1400"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rPr>
                <w:sz w:val="14"/>
              </w:rPr>
            </w:pPr>
          </w:p>
          <w:p>
            <w:pPr>
              <w:pStyle w:val="TableParagraph"/>
              <w:rPr>
                <w:sz w:val="14"/>
              </w:rPr>
            </w:pPr>
          </w:p>
          <w:p>
            <w:pPr>
              <w:pStyle w:val="TableParagraph"/>
              <w:spacing w:before="10"/>
              <w:rPr>
                <w:sz w:val="13"/>
              </w:rPr>
            </w:pPr>
          </w:p>
          <w:p>
            <w:pPr>
              <w:pStyle w:val="TableParagraph"/>
              <w:ind w:left="191" w:right="183"/>
              <w:jc w:val="center"/>
              <w:rPr>
                <w:b/>
                <w:sz w:val="14"/>
              </w:rPr>
            </w:pPr>
            <w:r>
              <w:rPr>
                <w:b/>
                <w:sz w:val="14"/>
              </w:rPr>
              <w:t>Hegemonía del PNR-PRM-PRI (1929-2000)</w:t>
            </w:r>
          </w:p>
        </w:tc>
        <w:tc>
          <w:tcPr>
            <w:tcW w:w="7465" w:type="dxa"/>
            <w:tcBorders>
              <w:left w:val="single" w:sz="11" w:space="0" w:color="BEBEBE"/>
            </w:tcBorders>
          </w:tcPr>
          <w:p>
            <w:pPr>
              <w:pStyle w:val="TableParagraph"/>
              <w:spacing w:line="160" w:lineRule="exact" w:before="20"/>
              <w:ind w:left="96" w:right="195"/>
              <w:rPr>
                <w:sz w:val="14"/>
              </w:rPr>
            </w:pPr>
            <w:r>
              <w:rPr>
                <w:sz w:val="14"/>
              </w:rPr>
              <w:t>1934: La nueva Ley de Secretarías y Departamentos de Estado suprimió el Departamento de Contraloría.</w:t>
            </w:r>
          </w:p>
          <w:p>
            <w:pPr>
              <w:pStyle w:val="TableParagraph"/>
              <w:ind w:left="568" w:right="195" w:hanging="472"/>
              <w:rPr>
                <w:sz w:val="14"/>
              </w:rPr>
            </w:pPr>
            <w:r>
              <w:rPr>
                <w:sz w:val="14"/>
              </w:rPr>
              <w:t>1936: Se promulgó una nueva LOCMH, con lo que quedó abrogada la de 1904, que otorga atribuciones a la CMH para revisar la glosa y expedir finiquitos.</w:t>
            </w:r>
          </w:p>
          <w:p>
            <w:pPr>
              <w:pStyle w:val="TableParagraph"/>
              <w:spacing w:line="280" w:lineRule="auto"/>
              <w:ind w:left="96" w:right="234"/>
              <w:rPr>
                <w:sz w:val="14"/>
              </w:rPr>
            </w:pPr>
            <w:r>
              <w:rPr>
                <w:sz w:val="14"/>
              </w:rPr>
              <w:t>1963: Se realizaron reformas a la LOCMH. Se difundió la “Declaración de Lima sobre Fiscalización Superior”. 1978: La LOCMH estableció la eliminación de finiquitos y la faculta para la práctica de auditorías.</w:t>
            </w:r>
          </w:p>
          <w:p>
            <w:pPr>
              <w:pStyle w:val="TableParagraph"/>
              <w:spacing w:line="133" w:lineRule="exact"/>
              <w:ind w:left="568" w:right="131" w:hanging="472"/>
              <w:rPr>
                <w:sz w:val="14"/>
              </w:rPr>
            </w:pPr>
            <w:r>
              <w:rPr>
                <w:sz w:val="14"/>
              </w:rPr>
              <w:t>1999: Se realizaron reformas constitucionales para fortalecer la fiscalización, brindar a la CMH autonomía técnica y</w:t>
            </w:r>
          </w:p>
          <w:p>
            <w:pPr>
              <w:pStyle w:val="TableParagraph"/>
              <w:spacing w:line="280" w:lineRule="auto" w:before="23"/>
              <w:ind w:left="568" w:right="195"/>
              <w:rPr>
                <w:sz w:val="14"/>
              </w:rPr>
            </w:pPr>
            <w:r>
              <w:rPr>
                <w:sz w:val="14"/>
              </w:rPr>
              <w:t>de gestión y la facultó para fincar responsabilidades resarcitorias. La reforma dio mayor oportunidad para efectuar las revisiones y tener reserva en su actuación.</w:t>
            </w:r>
          </w:p>
          <w:p>
            <w:pPr>
              <w:pStyle w:val="TableParagraph"/>
              <w:spacing w:line="273" w:lineRule="auto"/>
              <w:ind w:left="568" w:right="131" w:hanging="472"/>
              <w:rPr>
                <w:sz w:val="14"/>
              </w:rPr>
            </w:pPr>
            <w:r>
              <w:rPr>
                <w:sz w:val="14"/>
              </w:rPr>
              <w:t>2000: Se promulgó la Ley de Fiscalización Superior de la Federación (LFSF) y con ello se cambió de denominación de CMH al de ASF. Se adoptó el modelo monocrático de fiscalización anglosajón parlamentario.</w:t>
            </w:r>
          </w:p>
        </w:tc>
      </w:tr>
    </w:tbl>
    <w:p>
      <w:pPr>
        <w:spacing w:line="136" w:lineRule="exact" w:before="16"/>
        <w:ind w:left="809" w:right="8" w:hanging="709"/>
        <w:jc w:val="left"/>
        <w:rPr>
          <w:i/>
          <w:sz w:val="12"/>
        </w:rPr>
      </w:pPr>
      <w:r>
        <w:rPr>
          <w:sz w:val="12"/>
        </w:rPr>
        <w:t>FUENTE: H. Cámara de Diputados/</w:t>
      </w:r>
      <w:r>
        <w:rPr>
          <w:i/>
          <w:sz w:val="12"/>
        </w:rPr>
        <w:t>Auditoría Superior de la Federación (2004: 113-512</w:t>
      </w:r>
      <w:r>
        <w:rPr>
          <w:sz w:val="12"/>
        </w:rPr>
        <w:t>), Manjarrez </w:t>
      </w:r>
      <w:r>
        <w:rPr>
          <w:i/>
          <w:sz w:val="12"/>
        </w:rPr>
        <w:t>(2002: </w:t>
      </w:r>
      <w:r>
        <w:rPr>
          <w:sz w:val="12"/>
        </w:rPr>
        <w:t>161-162) y Auditoría Superior de la Federación (2009 21- 144). Fiscalización superior en México. </w:t>
      </w:r>
      <w:r>
        <w:rPr>
          <w:i/>
          <w:sz w:val="12"/>
        </w:rPr>
        <w:t>Reformas a la Constitución Política de los Estados Unidos Mexicanos y a la ley reglamentaria.</w:t>
      </w:r>
    </w:p>
    <w:p>
      <w:pPr>
        <w:pStyle w:val="BodyText"/>
        <w:rPr>
          <w:i/>
          <w:sz w:val="12"/>
        </w:rPr>
      </w:pPr>
    </w:p>
    <w:p>
      <w:pPr>
        <w:pStyle w:val="BodyText"/>
        <w:spacing w:line="360" w:lineRule="auto" w:before="94"/>
        <w:ind w:left="100" w:right="158"/>
        <w:jc w:val="both"/>
      </w:pPr>
      <w:r>
        <w:rPr/>
        <w:t>En México del Siglo XIX y parte del XX predominó una revisión tradicional de contabilidad gubernamental; la revisión tradicional ha prevalecido </w:t>
      </w:r>
      <w:r>
        <w:rPr>
          <w:i/>
        </w:rPr>
        <w:t>mutatis mutandis </w:t>
      </w:r>
      <w:r>
        <w:rPr/>
        <w:t>las revisiones actuales. Sin embargo, los cambios internacionales han generado mayor interdependencia de México con el exterior, lo que hizo más amplia la actividad del Estado por la amplitud de la acción pública.</w:t>
      </w:r>
    </w:p>
    <w:p>
      <w:pPr>
        <w:pStyle w:val="BodyText"/>
        <w:spacing w:line="360" w:lineRule="auto" w:before="6"/>
        <w:ind w:left="100" w:right="160" w:firstLine="427"/>
        <w:jc w:val="both"/>
      </w:pPr>
      <w:r>
        <w:rPr/>
        <w:t>Durante el Siglo XX hubo una tendencia internacional hacia fortalecer las auditorías del sector público, que resaltó la necesidad de mejorar el impacto de las auditorías</w:t>
      </w:r>
      <w:r>
        <w:rPr>
          <w:spacing w:val="-2"/>
        </w:rPr>
        <w:t> </w:t>
      </w:r>
      <w:r>
        <w:rPr/>
        <w:t>en</w:t>
      </w:r>
      <w:r>
        <w:rPr>
          <w:spacing w:val="-4"/>
        </w:rPr>
        <w:t> </w:t>
      </w:r>
      <w:r>
        <w:rPr/>
        <w:t>México.</w:t>
      </w:r>
      <w:r>
        <w:rPr>
          <w:spacing w:val="-5"/>
        </w:rPr>
        <w:t> </w:t>
      </w:r>
      <w:r>
        <w:rPr/>
        <w:t>Po</w:t>
      </w:r>
      <w:r>
        <w:rPr>
          <w:spacing w:val="-8"/>
        </w:rPr>
        <w:t> </w:t>
      </w:r>
      <w:r>
        <w:rPr/>
        <w:t>ello,</w:t>
      </w:r>
      <w:r>
        <w:rPr>
          <w:spacing w:val="-5"/>
        </w:rPr>
        <w:t> </w:t>
      </w:r>
      <w:r>
        <w:rPr/>
        <w:t>a</w:t>
      </w:r>
      <w:r>
        <w:rPr>
          <w:spacing w:val="-8"/>
        </w:rPr>
        <w:t> </w:t>
      </w:r>
      <w:r>
        <w:rPr/>
        <w:t>finales</w:t>
      </w:r>
      <w:r>
        <w:rPr>
          <w:spacing w:val="-2"/>
        </w:rPr>
        <w:t> </w:t>
      </w:r>
      <w:r>
        <w:rPr/>
        <w:t>del</w:t>
      </w:r>
      <w:r>
        <w:rPr>
          <w:spacing w:val="-7"/>
        </w:rPr>
        <w:t> </w:t>
      </w:r>
      <w:r>
        <w:rPr/>
        <w:t>Siglo</w:t>
      </w:r>
      <w:r>
        <w:rPr>
          <w:spacing w:val="-4"/>
        </w:rPr>
        <w:t> </w:t>
      </w:r>
      <w:r>
        <w:rPr/>
        <w:t>XX,</w:t>
      </w:r>
      <w:r>
        <w:rPr>
          <w:spacing w:val="-5"/>
        </w:rPr>
        <w:t> </w:t>
      </w:r>
      <w:r>
        <w:rPr/>
        <w:t>se</w:t>
      </w:r>
      <w:r>
        <w:rPr>
          <w:spacing w:val="-8"/>
        </w:rPr>
        <w:t> </w:t>
      </w:r>
      <w:r>
        <w:rPr/>
        <w:t>consideró</w:t>
      </w:r>
      <w:r>
        <w:rPr>
          <w:spacing w:val="-8"/>
        </w:rPr>
        <w:t> </w:t>
      </w:r>
      <w:r>
        <w:rPr/>
        <w:t>que</w:t>
      </w:r>
      <w:r>
        <w:rPr>
          <w:spacing w:val="-8"/>
        </w:rPr>
        <w:t> </w:t>
      </w:r>
      <w:r>
        <w:rPr/>
        <w:t>el</w:t>
      </w:r>
      <w:r>
        <w:rPr>
          <w:spacing w:val="-7"/>
        </w:rPr>
        <w:t> </w:t>
      </w:r>
      <w:r>
        <w:rPr/>
        <w:t>contar</w:t>
      </w:r>
      <w:r>
        <w:rPr>
          <w:spacing w:val="-6"/>
        </w:rPr>
        <w:t> </w:t>
      </w:r>
      <w:r>
        <w:rPr/>
        <w:t>con una institución con mayores facultades de actuación podría apoyar a las instituciones políticas para que fueran </w:t>
      </w:r>
      <w:r>
        <w:rPr>
          <w:spacing w:val="-2"/>
        </w:rPr>
        <w:t>más </w:t>
      </w:r>
      <w:r>
        <w:rPr/>
        <w:t>eficientes y menos propensas a la corrupción.</w:t>
      </w:r>
    </w:p>
    <w:p>
      <w:pPr>
        <w:pStyle w:val="BodyText"/>
        <w:spacing w:line="360" w:lineRule="auto" w:before="6"/>
        <w:ind w:left="100" w:right="203" w:firstLine="427"/>
        <w:jc w:val="both"/>
      </w:pPr>
      <w:r>
        <w:rPr/>
        <w:t>Las reformas principales por las que pasó la institución auditora en el Siglo XX fueron: en 1904 cuando la Constitución Federal otorgó a la Cámara de Diputados la facultad exclusiva para ejercer el control presupuestal; en 1917 cuando se estableció la revisión y glosa de la Cuenta Pública Federal, y en 1937 cuando se autorizó</w:t>
      </w:r>
      <w:r>
        <w:rPr>
          <w:spacing w:val="-12"/>
        </w:rPr>
        <w:t> </w:t>
      </w:r>
      <w:r>
        <w:rPr/>
        <w:t>la</w:t>
      </w:r>
      <w:r>
        <w:rPr>
          <w:spacing w:val="-16"/>
        </w:rPr>
        <w:t> </w:t>
      </w:r>
      <w:r>
        <w:rPr/>
        <w:t>facultad</w:t>
      </w:r>
      <w:r>
        <w:rPr>
          <w:spacing w:val="-16"/>
        </w:rPr>
        <w:t> </w:t>
      </w:r>
      <w:r>
        <w:rPr/>
        <w:t>de</w:t>
      </w:r>
      <w:r>
        <w:rPr>
          <w:spacing w:val="-12"/>
        </w:rPr>
        <w:t> </w:t>
      </w:r>
      <w:r>
        <w:rPr/>
        <w:t>supervisar</w:t>
      </w:r>
      <w:r>
        <w:rPr>
          <w:spacing w:val="-14"/>
        </w:rPr>
        <w:t> </w:t>
      </w:r>
      <w:r>
        <w:rPr/>
        <w:t>el</w:t>
      </w:r>
      <w:r>
        <w:rPr>
          <w:spacing w:val="-15"/>
        </w:rPr>
        <w:t> </w:t>
      </w:r>
      <w:r>
        <w:rPr/>
        <w:t>cumplimiento</w:t>
      </w:r>
      <w:r>
        <w:rPr>
          <w:spacing w:val="-12"/>
        </w:rPr>
        <w:t> </w:t>
      </w:r>
      <w:r>
        <w:rPr/>
        <w:t>de</w:t>
      </w:r>
      <w:r>
        <w:rPr>
          <w:spacing w:val="-16"/>
        </w:rPr>
        <w:t> </w:t>
      </w:r>
      <w:r>
        <w:rPr/>
        <w:t>los</w:t>
      </w:r>
      <w:r>
        <w:rPr>
          <w:spacing w:val="-12"/>
        </w:rPr>
        <w:t> </w:t>
      </w:r>
      <w:r>
        <w:rPr/>
        <w:t>programas.</w:t>
      </w:r>
      <w:r>
        <w:rPr>
          <w:spacing w:val="-12"/>
        </w:rPr>
        <w:t> </w:t>
      </w:r>
      <w:r>
        <w:rPr/>
        <w:t>De</w:t>
      </w:r>
      <w:r>
        <w:rPr>
          <w:spacing w:val="-12"/>
        </w:rPr>
        <w:t> </w:t>
      </w:r>
      <w:r>
        <w:rPr/>
        <w:t>los</w:t>
      </w:r>
      <w:r>
        <w:rPr>
          <w:spacing w:val="-14"/>
        </w:rPr>
        <w:t> </w:t>
      </w:r>
      <w:r>
        <w:rPr/>
        <w:t>trabajos de la LVII Legislatura (1997-2000) del H. Congreso de la Unión, resultaron las reformas  constitucionales  de los  artículos  73,  74,  78  y 79 de julio de 1999 y</w:t>
      </w:r>
      <w:r>
        <w:rPr>
          <w:spacing w:val="17"/>
        </w:rPr>
        <w:t> </w:t>
      </w:r>
      <w:r>
        <w:rPr/>
        <w:t>la</w:t>
      </w:r>
    </w:p>
    <w:p>
      <w:pPr>
        <w:spacing w:after="0" w:line="360" w:lineRule="auto"/>
        <w:jc w:val="both"/>
        <w:sectPr>
          <w:footerReference w:type="default" r:id="rId112"/>
          <w:pgSz w:w="12240" w:h="15840"/>
          <w:pgMar w:footer="998" w:header="0" w:top="1400" w:bottom="1180" w:left="1600" w:right="1540"/>
        </w:sectPr>
      </w:pPr>
    </w:p>
    <w:p>
      <w:pPr>
        <w:pStyle w:val="BodyText"/>
        <w:spacing w:line="357" w:lineRule="auto" w:before="55"/>
        <w:ind w:left="120"/>
        <w:rPr>
          <w:sz w:val="16"/>
        </w:rPr>
      </w:pPr>
      <w:r>
        <w:rPr/>
        <w:t>promulgación de la LFSF en diciembre de 2000. Algunas de las facultades que el Estado otorgó a la ASF son las siguientes:</w:t>
      </w:r>
      <w:r>
        <w:rPr>
          <w:position w:val="8"/>
          <w:sz w:val="16"/>
        </w:rPr>
        <w:t>62</w:t>
      </w:r>
    </w:p>
    <w:p>
      <w:pPr>
        <w:pStyle w:val="BodyText"/>
        <w:spacing w:before="4"/>
      </w:pPr>
    </w:p>
    <w:p>
      <w:pPr>
        <w:pStyle w:val="ListParagraph"/>
        <w:numPr>
          <w:ilvl w:val="0"/>
          <w:numId w:val="45"/>
        </w:numPr>
        <w:tabs>
          <w:tab w:pos="549" w:val="left" w:leader="none"/>
        </w:tabs>
        <w:spacing w:line="362" w:lineRule="auto" w:before="0" w:after="0"/>
        <w:ind w:left="548" w:right="118" w:hanging="284"/>
        <w:jc w:val="both"/>
        <w:rPr>
          <w:sz w:val="24"/>
        </w:rPr>
      </w:pPr>
      <w:r>
        <w:rPr>
          <w:sz w:val="24"/>
        </w:rPr>
        <w:t>Fincar directamente responsabilidades resarcitorias y aplicar multas y sanciones.</w:t>
      </w:r>
    </w:p>
    <w:p>
      <w:pPr>
        <w:pStyle w:val="ListParagraph"/>
        <w:numPr>
          <w:ilvl w:val="0"/>
          <w:numId w:val="45"/>
        </w:numPr>
        <w:tabs>
          <w:tab w:pos="549" w:val="left" w:leader="none"/>
        </w:tabs>
        <w:spacing w:line="362" w:lineRule="auto" w:before="0" w:after="0"/>
        <w:ind w:left="548" w:right="122" w:hanging="284"/>
        <w:jc w:val="both"/>
        <w:rPr>
          <w:sz w:val="24"/>
        </w:rPr>
      </w:pPr>
      <w:r>
        <w:rPr>
          <w:sz w:val="24"/>
        </w:rPr>
        <w:t>Solicitar, en situaciones excepcionales, información a los Poderes y entes auditados, para rendir informes</w:t>
      </w:r>
      <w:r>
        <w:rPr>
          <w:spacing w:val="-27"/>
          <w:sz w:val="24"/>
        </w:rPr>
        <w:t> </w:t>
      </w:r>
      <w:r>
        <w:rPr>
          <w:sz w:val="24"/>
        </w:rPr>
        <w:t>correspondientes.</w:t>
      </w:r>
    </w:p>
    <w:p>
      <w:pPr>
        <w:pStyle w:val="ListParagraph"/>
        <w:numPr>
          <w:ilvl w:val="0"/>
          <w:numId w:val="45"/>
        </w:numPr>
        <w:tabs>
          <w:tab w:pos="549" w:val="left" w:leader="none"/>
        </w:tabs>
        <w:spacing w:line="360" w:lineRule="auto" w:before="0" w:after="0"/>
        <w:ind w:left="548" w:right="122" w:hanging="284"/>
        <w:jc w:val="both"/>
        <w:rPr>
          <w:sz w:val="24"/>
        </w:rPr>
      </w:pPr>
      <w:r>
        <w:rPr>
          <w:sz w:val="24"/>
        </w:rPr>
        <w:t>Establecer normas y procedimientos, métodos y sistemas de contabilidad y archivo de libros y documentos justificativos y comprobatorios del ingreso y gasto</w:t>
      </w:r>
      <w:r>
        <w:rPr>
          <w:spacing w:val="-11"/>
          <w:sz w:val="24"/>
        </w:rPr>
        <w:t> </w:t>
      </w:r>
      <w:r>
        <w:rPr>
          <w:sz w:val="24"/>
        </w:rPr>
        <w:t>públicos.</w:t>
      </w:r>
    </w:p>
    <w:p>
      <w:pPr>
        <w:pStyle w:val="BodyText"/>
      </w:pPr>
    </w:p>
    <w:p>
      <w:pPr>
        <w:pStyle w:val="BodyText"/>
        <w:spacing w:line="360" w:lineRule="auto" w:before="142"/>
        <w:ind w:left="120" w:right="117" w:firstLine="427"/>
        <w:jc w:val="both"/>
      </w:pPr>
      <w:r>
        <w:rPr/>
        <w:t>La tendencia internacional hacia fortalecer las instituciones tuvo resultados diversos.</w:t>
      </w:r>
      <w:r>
        <w:rPr>
          <w:spacing w:val="-7"/>
        </w:rPr>
        <w:t> </w:t>
      </w:r>
      <w:r>
        <w:rPr/>
        <w:t>Mientras</w:t>
      </w:r>
      <w:r>
        <w:rPr>
          <w:spacing w:val="-8"/>
        </w:rPr>
        <w:t> </w:t>
      </w:r>
      <w:r>
        <w:rPr/>
        <w:t>que,</w:t>
      </w:r>
      <w:r>
        <w:rPr>
          <w:spacing w:val="-7"/>
        </w:rPr>
        <w:t> </w:t>
      </w:r>
      <w:r>
        <w:rPr/>
        <w:t>en</w:t>
      </w:r>
      <w:r>
        <w:rPr>
          <w:spacing w:val="-10"/>
        </w:rPr>
        <w:t> </w:t>
      </w:r>
      <w:r>
        <w:rPr/>
        <w:t>países</w:t>
      </w:r>
      <w:r>
        <w:rPr>
          <w:spacing w:val="-8"/>
        </w:rPr>
        <w:t> </w:t>
      </w:r>
      <w:r>
        <w:rPr/>
        <w:t>como</w:t>
      </w:r>
      <w:r>
        <w:rPr>
          <w:spacing w:val="-10"/>
        </w:rPr>
        <w:t> </w:t>
      </w:r>
      <w:r>
        <w:rPr/>
        <w:t>Estados</w:t>
      </w:r>
      <w:r>
        <w:rPr>
          <w:spacing w:val="-8"/>
        </w:rPr>
        <w:t> </w:t>
      </w:r>
      <w:r>
        <w:rPr/>
        <w:t>Unidos,</w:t>
      </w:r>
      <w:r>
        <w:rPr>
          <w:spacing w:val="-7"/>
        </w:rPr>
        <w:t> </w:t>
      </w:r>
      <w:r>
        <w:rPr/>
        <w:t>Inglaterra</w:t>
      </w:r>
      <w:r>
        <w:rPr>
          <w:spacing w:val="-6"/>
        </w:rPr>
        <w:t> </w:t>
      </w:r>
      <w:r>
        <w:rPr/>
        <w:t>y</w:t>
      </w:r>
      <w:r>
        <w:rPr>
          <w:spacing w:val="-12"/>
        </w:rPr>
        <w:t> </w:t>
      </w:r>
      <w:r>
        <w:rPr/>
        <w:t>sobre</w:t>
      </w:r>
      <w:r>
        <w:rPr>
          <w:spacing w:val="-10"/>
        </w:rPr>
        <w:t> </w:t>
      </w:r>
      <w:r>
        <w:rPr/>
        <w:t>todo</w:t>
      </w:r>
      <w:r>
        <w:rPr>
          <w:spacing w:val="-10"/>
        </w:rPr>
        <w:t> </w:t>
      </w:r>
      <w:r>
        <w:rPr/>
        <w:t>los países nórdicos registraron altos niveles de gobernabilidad, en México el fortalecimiento de la rendición de cuentas no se reflejó en un fortalecimiento de las instituciones ni en menor corrupción, tal vez porque las condiciones económicas y la cultura política son diametralmente opuestas entre estos países y México. En el año 2002 la ASF asumió la presidencia de la INTOSAI y en 2005 se llevó a cabo el “Foro Internacional de Fiscalización México y el</w:t>
      </w:r>
      <w:r>
        <w:rPr>
          <w:spacing w:val="-24"/>
        </w:rPr>
        <w:t> </w:t>
      </w:r>
      <w:r>
        <w:rPr/>
        <w:t>Mundo”.</w:t>
      </w:r>
    </w:p>
    <w:p>
      <w:pPr>
        <w:pStyle w:val="BodyText"/>
        <w:spacing w:line="360" w:lineRule="auto" w:before="2"/>
        <w:ind w:left="120" w:right="118" w:firstLine="427"/>
        <w:jc w:val="both"/>
      </w:pPr>
      <w:r>
        <w:rPr/>
        <w:t>El antecedente más remoto de la institución de rendición de cuentas del Poder Ejecutivo es la Secretaría de Estado y del Despacho Universal de 1705, a partir de la cual se creó la Secretaría de Estado y Despacho de Hacienda en 1821.</w:t>
      </w:r>
    </w:p>
    <w:p>
      <w:pPr>
        <w:pStyle w:val="BodyText"/>
        <w:spacing w:line="357" w:lineRule="auto" w:before="6"/>
        <w:ind w:left="120" w:right="127" w:firstLine="427"/>
        <w:jc w:val="both"/>
      </w:pPr>
      <w:r>
        <w:rPr/>
        <w:t>Los cambios más importantes realizados a la institución durante los dos siglos se presentan en el cuadro siguiente: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7960;mso-wrap-distance-left:0;mso-wrap-distance-right:0" from="85.025002pt,16.542740pt" to="229.075002pt,16.542740pt" stroked="true" strokeweight=".79999pt" strokecolor="#000000">
            <w10:wrap type="topAndBottom"/>
          </v:line>
        </w:pict>
      </w:r>
    </w:p>
    <w:p>
      <w:pPr>
        <w:spacing w:line="297" w:lineRule="auto" w:before="59"/>
        <w:ind w:left="120" w:right="2373" w:firstLine="0"/>
        <w:jc w:val="left"/>
        <w:rPr>
          <w:sz w:val="16"/>
        </w:rPr>
      </w:pPr>
      <w:r>
        <w:rPr>
          <w:rFonts w:ascii="Times New Roman"/>
          <w:position w:val="7"/>
          <w:sz w:val="13"/>
        </w:rPr>
        <w:t>62 </w:t>
      </w:r>
      <w:r>
        <w:rPr>
          <w:sz w:val="16"/>
        </w:rPr>
        <w:t>Disponible en: </w:t>
      </w:r>
      <w:hyperlink r:id="rId114">
        <w:r>
          <w:rPr>
            <w:color w:val="0000FF"/>
            <w:sz w:val="16"/>
            <w:u w:val="single" w:color="0000FF"/>
          </w:rPr>
          <w:t>http://www.asf.gob.mx/Publication/38_Normas_que_dan_Origen_a_la_ASF </w:t>
        </w:r>
      </w:hyperlink>
      <w:r>
        <w:rPr>
          <w:sz w:val="16"/>
        </w:rPr>
        <w:t>[Fecha de consulta: 20 de septiembre, 2015]</w:t>
      </w:r>
    </w:p>
    <w:p>
      <w:pPr>
        <w:spacing w:after="0" w:line="297" w:lineRule="auto"/>
        <w:jc w:val="left"/>
        <w:rPr>
          <w:sz w:val="16"/>
        </w:rPr>
        <w:sectPr>
          <w:footerReference w:type="default" r:id="rId113"/>
          <w:pgSz w:w="12240" w:h="15840"/>
          <w:pgMar w:footer="998" w:header="0" w:top="1360" w:bottom="1180" w:left="1580" w:right="1580"/>
          <w:pgNumType w:start="91"/>
        </w:sectPr>
      </w:pPr>
    </w:p>
    <w:p>
      <w:pPr>
        <w:spacing w:before="53"/>
        <w:ind w:left="868" w:right="0" w:firstLine="0"/>
        <w:jc w:val="left"/>
        <w:rPr>
          <w:sz w:val="20"/>
        </w:rPr>
      </w:pPr>
      <w:bookmarkStart w:name="_bookmark54" w:id="73"/>
      <w:bookmarkEnd w:id="73"/>
      <w:r>
        <w:rPr/>
      </w:r>
      <w:r>
        <w:rPr>
          <w:sz w:val="20"/>
        </w:rPr>
        <w:t>Cuadro 2. 2. Reformas constitucionales y legislativas de la Institución de control interno</w:t>
      </w:r>
    </w:p>
    <w:p>
      <w:pPr>
        <w:pStyle w:val="BodyText"/>
        <w:spacing w:before="10"/>
        <w:rPr>
          <w:sz w:val="17"/>
        </w:rPr>
      </w:pPr>
    </w:p>
    <w:tbl>
      <w:tblPr>
        <w:tblW w:w="0" w:type="auto"/>
        <w:jc w:val="left"/>
        <w:tblInd w:w="100" w:type="dxa"/>
        <w:tblBorders>
          <w:top w:val="single" w:sz="11" w:space="0" w:color="BEBEBE"/>
          <w:left w:val="single" w:sz="11" w:space="0" w:color="BEBEBE"/>
          <w:bottom w:val="single" w:sz="11" w:space="0" w:color="BEBEBE"/>
          <w:right w:val="single" w:sz="11" w:space="0" w:color="BEBEBE"/>
          <w:insideH w:val="single" w:sz="11" w:space="0" w:color="BEBEBE"/>
          <w:insideV w:val="single" w:sz="11" w:space="0" w:color="BEBEBE"/>
        </w:tblBorders>
        <w:tblLayout w:type="fixed"/>
        <w:tblCellMar>
          <w:top w:w="0" w:type="dxa"/>
          <w:left w:w="0" w:type="dxa"/>
          <w:bottom w:w="0" w:type="dxa"/>
          <w:right w:w="0" w:type="dxa"/>
        </w:tblCellMar>
        <w:tblLook w:val="01E0"/>
      </w:tblPr>
      <w:tblGrid>
        <w:gridCol w:w="1164"/>
        <w:gridCol w:w="8088"/>
      </w:tblGrid>
      <w:tr>
        <w:trPr>
          <w:trHeight w:val="584" w:hRule="exact"/>
        </w:trPr>
        <w:tc>
          <w:tcPr>
            <w:tcW w:w="1164" w:type="dxa"/>
          </w:tcPr>
          <w:p>
            <w:pPr/>
          </w:p>
        </w:tc>
        <w:tc>
          <w:tcPr>
            <w:tcW w:w="8088" w:type="dxa"/>
          </w:tcPr>
          <w:p>
            <w:pPr>
              <w:pStyle w:val="TableParagraph"/>
              <w:spacing w:before="8"/>
              <w:rPr>
                <w:sz w:val="15"/>
              </w:rPr>
            </w:pPr>
          </w:p>
          <w:p>
            <w:pPr>
              <w:pStyle w:val="TableParagraph"/>
              <w:ind w:left="2320"/>
              <w:rPr>
                <w:b/>
                <w:sz w:val="14"/>
              </w:rPr>
            </w:pPr>
            <w:r>
              <w:rPr>
                <w:b/>
                <w:sz w:val="14"/>
              </w:rPr>
              <w:t>Principales cambios constitucionales y legislativos</w:t>
            </w:r>
          </w:p>
        </w:tc>
      </w:tr>
      <w:tr>
        <w:trPr>
          <w:trHeight w:val="2058" w:hRule="exact"/>
        </w:trPr>
        <w:tc>
          <w:tcPr>
            <w:tcW w:w="1164"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1"/>
              </w:rPr>
            </w:pPr>
          </w:p>
          <w:p>
            <w:pPr>
              <w:pStyle w:val="TableParagraph"/>
              <w:ind w:left="74" w:right="72"/>
              <w:jc w:val="center"/>
              <w:rPr>
                <w:b/>
                <w:sz w:val="14"/>
              </w:rPr>
            </w:pPr>
            <w:r>
              <w:rPr>
                <w:b/>
                <w:sz w:val="14"/>
              </w:rPr>
              <w:t>México Independiente (1821- 1854)</w:t>
            </w:r>
          </w:p>
        </w:tc>
        <w:tc>
          <w:tcPr>
            <w:tcW w:w="8088" w:type="dxa"/>
            <w:tcBorders>
              <w:bottom w:val="single" w:sz="3" w:space="0" w:color="000000"/>
              <w:right w:val="single" w:sz="3" w:space="0" w:color="000000"/>
            </w:tcBorders>
          </w:tcPr>
          <w:p>
            <w:pPr>
              <w:pStyle w:val="TableParagraph"/>
              <w:spacing w:line="273" w:lineRule="auto"/>
              <w:ind w:left="556" w:right="102" w:hanging="460"/>
              <w:rPr>
                <w:sz w:val="14"/>
              </w:rPr>
            </w:pPr>
            <w:r>
              <w:rPr>
                <w:sz w:val="14"/>
              </w:rPr>
              <w:t>1821: Mediante el Reglamento Provisional para el Gobierno Interior y Exterior de la Secretaría de Estado y del Despacho Universal se creó la Secretaría de Estado y del Despacho de Hacienda.</w:t>
            </w:r>
          </w:p>
          <w:p>
            <w:pPr>
              <w:pStyle w:val="TableParagraph"/>
              <w:spacing w:line="273" w:lineRule="auto" w:before="1"/>
              <w:ind w:left="556" w:right="102" w:hanging="460"/>
              <w:rPr>
                <w:sz w:val="14"/>
              </w:rPr>
            </w:pPr>
            <w:r>
              <w:rPr>
                <w:sz w:val="14"/>
              </w:rPr>
              <w:t>1824: Se expidió la Ley para el Arreglo de la Administración de la Hacienda Pública. Se crearon cuatro departamentos, entre ellos el Departamento de Cuenta y Razón.</w:t>
            </w:r>
          </w:p>
          <w:p>
            <w:pPr>
              <w:pStyle w:val="TableParagraph"/>
              <w:spacing w:before="5"/>
              <w:ind w:left="96" w:right="102"/>
              <w:rPr>
                <w:sz w:val="14"/>
              </w:rPr>
            </w:pPr>
            <w:r>
              <w:rPr>
                <w:sz w:val="14"/>
              </w:rPr>
              <w:t>1825: Se expidió el Reglamento Provisional para la Secretaría del Despacho de Hacienda.</w:t>
            </w:r>
          </w:p>
          <w:p>
            <w:pPr>
              <w:pStyle w:val="TableParagraph"/>
              <w:spacing w:before="23"/>
              <w:ind w:left="96" w:right="102"/>
              <w:rPr>
                <w:sz w:val="14"/>
              </w:rPr>
            </w:pPr>
            <w:r>
              <w:rPr>
                <w:sz w:val="14"/>
              </w:rPr>
              <w:t>1831: Se estableció la Dirección General de Rentas y se suprime el Departamento de Cuenta y Razón.</w:t>
            </w:r>
          </w:p>
          <w:p>
            <w:pPr>
              <w:pStyle w:val="TableParagraph"/>
              <w:spacing w:line="280" w:lineRule="auto" w:before="23"/>
              <w:ind w:left="556" w:right="102" w:hanging="460"/>
              <w:rPr>
                <w:sz w:val="14"/>
              </w:rPr>
            </w:pPr>
            <w:r>
              <w:rPr>
                <w:sz w:val="14"/>
              </w:rPr>
              <w:t>1843: A la Secretaría del Despacho de Hacienda se le otorgó el carácter de Ministerio de Hacienda mediante las Bases Orgánicas de la República Mexicana.</w:t>
            </w:r>
          </w:p>
          <w:p>
            <w:pPr>
              <w:pStyle w:val="TableParagraph"/>
              <w:spacing w:line="273" w:lineRule="auto"/>
              <w:ind w:left="556" w:right="102" w:hanging="460"/>
              <w:rPr>
                <w:sz w:val="14"/>
              </w:rPr>
            </w:pPr>
            <w:r>
              <w:rPr>
                <w:sz w:val="14"/>
              </w:rPr>
              <w:t>1852: Mediante el Decreto por el que se Modifica la Organización del Ministerio de Hacienda, la Secretaría del Despacho de Hacienda queda dividida en 6 secciones, una de ellas denominada Sección de Crédito Público.</w:t>
            </w:r>
          </w:p>
          <w:p>
            <w:pPr>
              <w:pStyle w:val="TableParagraph"/>
              <w:spacing w:before="1"/>
              <w:ind w:left="96" w:right="102"/>
              <w:rPr>
                <w:sz w:val="14"/>
              </w:rPr>
            </w:pPr>
            <w:r>
              <w:rPr>
                <w:sz w:val="14"/>
              </w:rPr>
              <w:t>1853: La Sección de Crédito Público pasó a denominarse Secretaría de Hacienda y Crédito Público.</w:t>
            </w:r>
          </w:p>
        </w:tc>
      </w:tr>
      <w:tr>
        <w:trPr>
          <w:trHeight w:val="352" w:hRule="exact"/>
        </w:trPr>
        <w:tc>
          <w:tcPr>
            <w:tcW w:w="1164" w:type="dxa"/>
          </w:tcPr>
          <w:p>
            <w:pPr>
              <w:pStyle w:val="TableParagraph"/>
              <w:spacing w:before="2"/>
              <w:ind w:left="187" w:right="181" w:hanging="4"/>
              <w:rPr>
                <w:b/>
                <w:sz w:val="14"/>
              </w:rPr>
            </w:pPr>
            <w:r>
              <w:rPr>
                <w:b/>
                <w:sz w:val="14"/>
              </w:rPr>
              <w:t>La Reforma (1855-1872)</w:t>
            </w:r>
          </w:p>
        </w:tc>
        <w:tc>
          <w:tcPr>
            <w:tcW w:w="8088" w:type="dxa"/>
            <w:tcBorders>
              <w:top w:val="single" w:sz="3" w:space="0" w:color="000000"/>
              <w:bottom w:val="single" w:sz="3" w:space="0" w:color="000000"/>
              <w:right w:val="single" w:sz="3" w:space="0" w:color="000000"/>
            </w:tcBorders>
          </w:tcPr>
          <w:p>
            <w:pPr>
              <w:pStyle w:val="TableParagraph"/>
              <w:spacing w:before="16"/>
              <w:ind w:left="96" w:right="102"/>
              <w:rPr>
                <w:sz w:val="14"/>
              </w:rPr>
            </w:pPr>
            <w:r>
              <w:rPr>
                <w:sz w:val="14"/>
              </w:rPr>
              <w:t>1867: A la Secretaría de Hacienda se le consideró dependencia auditora.</w:t>
            </w:r>
          </w:p>
        </w:tc>
      </w:tr>
      <w:tr>
        <w:trPr>
          <w:trHeight w:val="352" w:hRule="exact"/>
        </w:trPr>
        <w:tc>
          <w:tcPr>
            <w:tcW w:w="1164" w:type="dxa"/>
          </w:tcPr>
          <w:p>
            <w:pPr>
              <w:pStyle w:val="TableParagraph"/>
              <w:spacing w:before="2"/>
              <w:ind w:left="187" w:right="128" w:hanging="12"/>
              <w:rPr>
                <w:b/>
                <w:sz w:val="14"/>
              </w:rPr>
            </w:pPr>
            <w:r>
              <w:rPr>
                <w:b/>
                <w:sz w:val="14"/>
              </w:rPr>
              <w:t>El Porfiriato (1876-1911)</w:t>
            </w:r>
          </w:p>
        </w:tc>
        <w:tc>
          <w:tcPr>
            <w:tcW w:w="8088" w:type="dxa"/>
            <w:tcBorders>
              <w:top w:val="single" w:sz="3" w:space="0" w:color="000000"/>
              <w:bottom w:val="single" w:sz="3" w:space="0" w:color="000000"/>
              <w:right w:val="single" w:sz="3" w:space="0" w:color="000000"/>
            </w:tcBorders>
          </w:tcPr>
          <w:p>
            <w:pPr>
              <w:pStyle w:val="TableParagraph"/>
              <w:spacing w:before="16"/>
              <w:ind w:left="556" w:right="102" w:hanging="460"/>
              <w:rPr>
                <w:sz w:val="14"/>
              </w:rPr>
            </w:pPr>
            <w:r>
              <w:rPr>
                <w:sz w:val="14"/>
              </w:rPr>
              <w:t>1881: La Secretaría de Hacienda concentró las actividades de recaudación, distribución, auditoría, contabilidad, formación de la cuenta general del erario, glosa preventiva y la formulación de las observaciones derivadas de la glosa.</w:t>
            </w:r>
          </w:p>
        </w:tc>
      </w:tr>
      <w:tr>
        <w:trPr>
          <w:trHeight w:val="353" w:hRule="exact"/>
        </w:trPr>
        <w:tc>
          <w:tcPr>
            <w:tcW w:w="1164" w:type="dxa"/>
          </w:tcPr>
          <w:p>
            <w:pPr>
              <w:pStyle w:val="TableParagraph"/>
              <w:spacing w:before="3"/>
              <w:ind w:left="187" w:right="185" w:firstLine="8"/>
              <w:rPr>
                <w:b/>
                <w:sz w:val="14"/>
              </w:rPr>
            </w:pPr>
            <w:r>
              <w:rPr>
                <w:b/>
                <w:sz w:val="14"/>
              </w:rPr>
              <w:t>Revolución (1910-1929)</w:t>
            </w:r>
          </w:p>
        </w:tc>
        <w:tc>
          <w:tcPr>
            <w:tcW w:w="8088" w:type="dxa"/>
            <w:tcBorders>
              <w:top w:val="single" w:sz="3" w:space="0" w:color="000000"/>
              <w:bottom w:val="single" w:sz="3" w:space="0" w:color="000000"/>
              <w:right w:val="single" w:sz="3" w:space="0" w:color="000000"/>
            </w:tcBorders>
          </w:tcPr>
          <w:p>
            <w:pPr>
              <w:pStyle w:val="TableParagraph"/>
              <w:spacing w:before="17"/>
              <w:ind w:left="556" w:right="102" w:hanging="428"/>
              <w:rPr>
                <w:sz w:val="14"/>
              </w:rPr>
            </w:pPr>
            <w:r>
              <w:rPr>
                <w:sz w:val="14"/>
              </w:rPr>
              <w:t>1917: Mediante la Ley de Secretarías de Estado se creó el Departamento de Contraloría, adscrito directamente al Presidente de la República.</w:t>
            </w:r>
          </w:p>
        </w:tc>
      </w:tr>
      <w:tr>
        <w:trPr>
          <w:trHeight w:val="4861" w:hRule="exact"/>
        </w:trPr>
        <w:tc>
          <w:tcPr>
            <w:tcW w:w="1164"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4"/>
              </w:rPr>
            </w:pPr>
          </w:p>
          <w:p>
            <w:pPr>
              <w:pStyle w:val="TableParagraph"/>
              <w:spacing w:line="244" w:lineRule="auto"/>
              <w:ind w:left="191" w:right="189"/>
              <w:jc w:val="center"/>
              <w:rPr>
                <w:b/>
                <w:sz w:val="14"/>
              </w:rPr>
            </w:pPr>
            <w:r>
              <w:rPr>
                <w:b/>
                <w:sz w:val="14"/>
              </w:rPr>
              <w:t>Hegemonía del</w:t>
            </w:r>
          </w:p>
          <w:p>
            <w:pPr>
              <w:pStyle w:val="TableParagraph"/>
              <w:spacing w:line="237" w:lineRule="auto"/>
              <w:ind w:left="103" w:right="99"/>
              <w:jc w:val="center"/>
              <w:rPr>
                <w:b/>
                <w:sz w:val="14"/>
              </w:rPr>
            </w:pPr>
            <w:r>
              <w:rPr>
                <w:b/>
                <w:sz w:val="14"/>
              </w:rPr>
              <w:t>PNR-PRM-PRI (1929-2000)</w:t>
            </w:r>
          </w:p>
        </w:tc>
        <w:tc>
          <w:tcPr>
            <w:tcW w:w="8088" w:type="dxa"/>
            <w:tcBorders>
              <w:top w:val="single" w:sz="3" w:space="0" w:color="000000"/>
              <w:bottom w:val="single" w:sz="3" w:space="0" w:color="000000"/>
              <w:right w:val="single" w:sz="3" w:space="0" w:color="000000"/>
            </w:tcBorders>
          </w:tcPr>
          <w:p>
            <w:pPr>
              <w:pStyle w:val="TableParagraph"/>
              <w:spacing w:before="16"/>
              <w:ind w:left="556" w:right="102" w:hanging="460"/>
              <w:jc w:val="both"/>
              <w:rPr>
                <w:sz w:val="14"/>
              </w:rPr>
            </w:pPr>
            <w:r>
              <w:rPr>
                <w:sz w:val="14"/>
              </w:rPr>
              <w:t>1932: Mediante las reformas a la Ley de Secretarías de Estado de 1917, se suprimió el Departamento de Contraloría y se transfirieron sus funciones a la Secretaría de Hacienda.</w:t>
            </w:r>
          </w:p>
          <w:p>
            <w:pPr>
              <w:pStyle w:val="TableParagraph"/>
              <w:spacing w:before="3"/>
              <w:ind w:left="556" w:right="100" w:hanging="460"/>
              <w:jc w:val="both"/>
              <w:rPr>
                <w:sz w:val="14"/>
              </w:rPr>
            </w:pPr>
            <w:r>
              <w:rPr>
                <w:sz w:val="14"/>
              </w:rPr>
              <w:t>1935: Se creó la Contaduría de la Federación, encargada de la contabilidad gubernamental, la glosa y el finca miento de responsabilidades.</w:t>
            </w:r>
          </w:p>
          <w:p>
            <w:pPr>
              <w:pStyle w:val="TableParagraph"/>
              <w:spacing w:line="160" w:lineRule="exact"/>
              <w:ind w:left="96" w:right="102"/>
              <w:rPr>
                <w:sz w:val="14"/>
              </w:rPr>
            </w:pPr>
            <w:r>
              <w:rPr>
                <w:sz w:val="14"/>
              </w:rPr>
              <w:t>1947: La Ley de Secretarías estableció la Secretaría de Bienes Nacionales e Inspección Administrativa.</w:t>
            </w:r>
          </w:p>
          <w:p>
            <w:pPr>
              <w:pStyle w:val="TableParagraph"/>
              <w:spacing w:line="244" w:lineRule="auto"/>
              <w:ind w:left="556" w:right="120" w:hanging="460"/>
              <w:jc w:val="both"/>
              <w:rPr>
                <w:sz w:val="14"/>
              </w:rPr>
            </w:pPr>
            <w:r>
              <w:rPr>
                <w:sz w:val="14"/>
              </w:rPr>
              <w:t>1948: Se creó la Comisión Nacional de Inversiones, con funciones de control, vigilancia y coordinación sobre los organismos descentralizados y empresas de participación estatal.</w:t>
            </w:r>
          </w:p>
          <w:p>
            <w:pPr>
              <w:pStyle w:val="TableParagraph"/>
              <w:spacing w:line="237" w:lineRule="auto"/>
              <w:ind w:left="556" w:right="113" w:hanging="460"/>
              <w:jc w:val="both"/>
              <w:rPr>
                <w:sz w:val="14"/>
              </w:rPr>
            </w:pPr>
            <w:r>
              <w:rPr>
                <w:sz w:val="14"/>
              </w:rPr>
              <w:t>1949: Se facultó a la Secretaría de Hacienda para instituir el mecanismo correspondiente para el control de las entidades no financieras,</w:t>
            </w:r>
          </w:p>
          <w:p>
            <w:pPr>
              <w:pStyle w:val="TableParagraph"/>
              <w:ind w:left="556" w:right="102" w:hanging="428"/>
              <w:rPr>
                <w:sz w:val="14"/>
              </w:rPr>
            </w:pPr>
            <w:r>
              <w:rPr>
                <w:sz w:val="14"/>
              </w:rPr>
              <w:t>1958: Se creó la Secretaría de la Presidencia, asignándole la facultad de elaborar </w:t>
            </w:r>
            <w:r>
              <w:rPr>
                <w:spacing w:val="-3"/>
                <w:sz w:val="14"/>
              </w:rPr>
              <w:t>el </w:t>
            </w:r>
            <w:r>
              <w:rPr>
                <w:sz w:val="14"/>
              </w:rPr>
              <w:t>Plan General del Gasto Público e Inversiones del Poder Ejecutivo, así como coordinar y vigilar los programas de inversión de la Administración Pública. La</w:t>
            </w:r>
            <w:r>
              <w:rPr>
                <w:spacing w:val="-15"/>
                <w:sz w:val="14"/>
              </w:rPr>
              <w:t> </w:t>
            </w:r>
            <w:r>
              <w:rPr>
                <w:sz w:val="14"/>
              </w:rPr>
              <w:t>misma</w:t>
            </w:r>
            <w:r>
              <w:rPr>
                <w:spacing w:val="-15"/>
                <w:sz w:val="14"/>
              </w:rPr>
              <w:t> </w:t>
            </w:r>
            <w:r>
              <w:rPr>
                <w:sz w:val="14"/>
              </w:rPr>
              <w:t>Ley</w:t>
            </w:r>
            <w:r>
              <w:rPr>
                <w:spacing w:val="-8"/>
                <w:sz w:val="14"/>
              </w:rPr>
              <w:t> </w:t>
            </w:r>
            <w:r>
              <w:rPr>
                <w:sz w:val="14"/>
              </w:rPr>
              <w:t>estableció</w:t>
            </w:r>
            <w:r>
              <w:rPr>
                <w:spacing w:val="-11"/>
                <w:sz w:val="14"/>
              </w:rPr>
              <w:t> </w:t>
            </w:r>
            <w:r>
              <w:rPr>
                <w:sz w:val="14"/>
              </w:rPr>
              <w:t>que</w:t>
            </w:r>
            <w:r>
              <w:rPr>
                <w:spacing w:val="-11"/>
                <w:sz w:val="14"/>
              </w:rPr>
              <w:t> </w:t>
            </w:r>
            <w:r>
              <w:rPr>
                <w:sz w:val="14"/>
              </w:rPr>
              <w:t>a</w:t>
            </w:r>
            <w:r>
              <w:rPr>
                <w:spacing w:val="-11"/>
                <w:sz w:val="14"/>
              </w:rPr>
              <w:t> </w:t>
            </w:r>
            <w:r>
              <w:rPr>
                <w:sz w:val="14"/>
              </w:rPr>
              <w:t>la</w:t>
            </w:r>
            <w:r>
              <w:rPr>
                <w:spacing w:val="-15"/>
                <w:sz w:val="14"/>
              </w:rPr>
              <w:t> </w:t>
            </w:r>
            <w:r>
              <w:rPr>
                <w:sz w:val="14"/>
              </w:rPr>
              <w:t>Secretaría</w:t>
            </w:r>
            <w:r>
              <w:rPr>
                <w:spacing w:val="-15"/>
                <w:sz w:val="14"/>
              </w:rPr>
              <w:t> </w:t>
            </w:r>
            <w:r>
              <w:rPr>
                <w:sz w:val="14"/>
              </w:rPr>
              <w:t>de</w:t>
            </w:r>
            <w:r>
              <w:rPr>
                <w:spacing w:val="-11"/>
                <w:sz w:val="14"/>
              </w:rPr>
              <w:t> </w:t>
            </w:r>
            <w:r>
              <w:rPr>
                <w:sz w:val="14"/>
              </w:rPr>
              <w:t>Hacienda</w:t>
            </w:r>
            <w:r>
              <w:rPr>
                <w:spacing w:val="-11"/>
                <w:sz w:val="14"/>
              </w:rPr>
              <w:t> </w:t>
            </w:r>
            <w:r>
              <w:rPr>
                <w:sz w:val="14"/>
              </w:rPr>
              <w:t>le</w:t>
            </w:r>
            <w:r>
              <w:rPr>
                <w:spacing w:val="-15"/>
                <w:sz w:val="14"/>
              </w:rPr>
              <w:t> </w:t>
            </w:r>
            <w:r>
              <w:rPr>
                <w:sz w:val="14"/>
              </w:rPr>
              <w:t>compete</w:t>
            </w:r>
            <w:r>
              <w:rPr>
                <w:spacing w:val="-11"/>
                <w:sz w:val="14"/>
              </w:rPr>
              <w:t> </w:t>
            </w:r>
            <w:r>
              <w:rPr>
                <w:sz w:val="14"/>
              </w:rPr>
              <w:t>la</w:t>
            </w:r>
            <w:r>
              <w:rPr>
                <w:spacing w:val="-11"/>
                <w:sz w:val="14"/>
              </w:rPr>
              <w:t> </w:t>
            </w:r>
            <w:r>
              <w:rPr>
                <w:sz w:val="14"/>
              </w:rPr>
              <w:t>glosa</w:t>
            </w:r>
            <w:r>
              <w:rPr>
                <w:spacing w:val="-11"/>
                <w:sz w:val="14"/>
              </w:rPr>
              <w:t> </w:t>
            </w:r>
            <w:r>
              <w:rPr>
                <w:sz w:val="14"/>
              </w:rPr>
              <w:t>preventiva;</w:t>
            </w:r>
            <w:r>
              <w:rPr>
                <w:spacing w:val="-9"/>
                <w:sz w:val="14"/>
              </w:rPr>
              <w:t> </w:t>
            </w:r>
            <w:r>
              <w:rPr>
                <w:sz w:val="14"/>
              </w:rPr>
              <w:t>la</w:t>
            </w:r>
            <w:r>
              <w:rPr>
                <w:spacing w:val="-15"/>
                <w:sz w:val="14"/>
              </w:rPr>
              <w:t> </w:t>
            </w:r>
            <w:r>
              <w:rPr>
                <w:sz w:val="14"/>
              </w:rPr>
              <w:t>formulación</w:t>
            </w:r>
            <w:r>
              <w:rPr>
                <w:spacing w:val="-11"/>
                <w:sz w:val="14"/>
              </w:rPr>
              <w:t> </w:t>
            </w:r>
            <w:r>
              <w:rPr>
                <w:sz w:val="14"/>
              </w:rPr>
              <w:t>del</w:t>
            </w:r>
            <w:r>
              <w:rPr>
                <w:spacing w:val="-9"/>
                <w:sz w:val="14"/>
              </w:rPr>
              <w:t> </w:t>
            </w:r>
            <w:r>
              <w:rPr>
                <w:sz w:val="14"/>
              </w:rPr>
              <w:t>Presupuesto; la</w:t>
            </w:r>
            <w:r>
              <w:rPr>
                <w:spacing w:val="-8"/>
                <w:sz w:val="14"/>
              </w:rPr>
              <w:t> </w:t>
            </w:r>
            <w:r>
              <w:rPr>
                <w:sz w:val="14"/>
              </w:rPr>
              <w:t>contabilidad</w:t>
            </w:r>
            <w:r>
              <w:rPr>
                <w:spacing w:val="-4"/>
                <w:sz w:val="14"/>
              </w:rPr>
              <w:t> </w:t>
            </w:r>
            <w:r>
              <w:rPr>
                <w:sz w:val="14"/>
              </w:rPr>
              <w:t>y</w:t>
            </w:r>
            <w:r>
              <w:rPr>
                <w:spacing w:val="-4"/>
                <w:sz w:val="14"/>
              </w:rPr>
              <w:t> </w:t>
            </w:r>
            <w:r>
              <w:rPr>
                <w:sz w:val="14"/>
              </w:rPr>
              <w:t>la autorización de</w:t>
            </w:r>
            <w:r>
              <w:rPr>
                <w:spacing w:val="-4"/>
                <w:sz w:val="14"/>
              </w:rPr>
              <w:t> </w:t>
            </w:r>
            <w:r>
              <w:rPr>
                <w:sz w:val="14"/>
              </w:rPr>
              <w:t>actos</w:t>
            </w:r>
            <w:r>
              <w:rPr>
                <w:spacing w:val="-1"/>
                <w:sz w:val="14"/>
              </w:rPr>
              <w:t> </w:t>
            </w:r>
            <w:r>
              <w:rPr>
                <w:sz w:val="14"/>
              </w:rPr>
              <w:t>y</w:t>
            </w:r>
            <w:r>
              <w:rPr>
                <w:spacing w:val="-4"/>
                <w:sz w:val="14"/>
              </w:rPr>
              <w:t> </w:t>
            </w:r>
            <w:r>
              <w:rPr>
                <w:sz w:val="14"/>
              </w:rPr>
              <w:t>contratos,</w:t>
            </w:r>
            <w:r>
              <w:rPr>
                <w:spacing w:val="-1"/>
                <w:sz w:val="14"/>
              </w:rPr>
              <w:t> </w:t>
            </w:r>
            <w:r>
              <w:rPr>
                <w:sz w:val="14"/>
              </w:rPr>
              <w:t>conjuntamente</w:t>
            </w:r>
            <w:r>
              <w:rPr>
                <w:spacing w:val="-8"/>
                <w:sz w:val="14"/>
              </w:rPr>
              <w:t> </w:t>
            </w:r>
            <w:r>
              <w:rPr>
                <w:sz w:val="14"/>
              </w:rPr>
              <w:t>con</w:t>
            </w:r>
            <w:r>
              <w:rPr>
                <w:spacing w:val="-4"/>
                <w:sz w:val="14"/>
              </w:rPr>
              <w:t> </w:t>
            </w:r>
            <w:r>
              <w:rPr>
                <w:sz w:val="14"/>
              </w:rPr>
              <w:t>la</w:t>
            </w:r>
            <w:r>
              <w:rPr>
                <w:spacing w:val="-4"/>
                <w:sz w:val="14"/>
              </w:rPr>
              <w:t> </w:t>
            </w:r>
            <w:r>
              <w:rPr>
                <w:sz w:val="14"/>
              </w:rPr>
              <w:t>Secretaría</w:t>
            </w:r>
            <w:r>
              <w:rPr>
                <w:spacing w:val="-8"/>
                <w:sz w:val="14"/>
              </w:rPr>
              <w:t> </w:t>
            </w:r>
            <w:r>
              <w:rPr>
                <w:sz w:val="14"/>
              </w:rPr>
              <w:t>del</w:t>
            </w:r>
            <w:r>
              <w:rPr>
                <w:spacing w:val="-6"/>
                <w:sz w:val="14"/>
              </w:rPr>
              <w:t> </w:t>
            </w:r>
            <w:r>
              <w:rPr>
                <w:sz w:val="14"/>
              </w:rPr>
              <w:t>Patrimonio</w:t>
            </w:r>
            <w:r>
              <w:rPr>
                <w:spacing w:val="-8"/>
                <w:sz w:val="14"/>
              </w:rPr>
              <w:t> </w:t>
            </w:r>
            <w:r>
              <w:rPr>
                <w:sz w:val="14"/>
              </w:rPr>
              <w:t>Nacional.</w:t>
            </w:r>
          </w:p>
          <w:p>
            <w:pPr>
              <w:pStyle w:val="TableParagraph"/>
              <w:spacing w:line="160" w:lineRule="exact"/>
              <w:ind w:left="96" w:right="102"/>
              <w:rPr>
                <w:sz w:val="14"/>
              </w:rPr>
            </w:pPr>
            <w:r>
              <w:rPr>
                <w:sz w:val="14"/>
              </w:rPr>
              <w:t>1976: Las funciones de control y vigilancia quedaron distribuidas de la forma siguiente:</w:t>
            </w:r>
          </w:p>
          <w:p>
            <w:pPr>
              <w:pStyle w:val="TableParagraph"/>
              <w:numPr>
                <w:ilvl w:val="0"/>
                <w:numId w:val="46"/>
              </w:numPr>
              <w:tabs>
                <w:tab w:pos="720" w:val="left" w:leader="none"/>
              </w:tabs>
              <w:spacing w:line="240" w:lineRule="auto" w:before="3" w:after="0"/>
              <w:ind w:left="696" w:right="104" w:hanging="140"/>
              <w:jc w:val="left"/>
              <w:rPr>
                <w:sz w:val="14"/>
              </w:rPr>
            </w:pPr>
            <w:r>
              <w:rPr>
                <w:sz w:val="14"/>
              </w:rPr>
              <w:t>El manejo de la deuda pública y lo referente al avalúo de los bienes muebles nacionales, bajo la responsabilidad de la</w:t>
            </w:r>
            <w:r>
              <w:rPr>
                <w:spacing w:val="-10"/>
                <w:sz w:val="14"/>
              </w:rPr>
              <w:t> </w:t>
            </w:r>
            <w:r>
              <w:rPr>
                <w:sz w:val="14"/>
              </w:rPr>
              <w:t>SHCP;</w:t>
            </w:r>
          </w:p>
          <w:p>
            <w:pPr>
              <w:pStyle w:val="TableParagraph"/>
              <w:numPr>
                <w:ilvl w:val="0"/>
                <w:numId w:val="46"/>
              </w:numPr>
              <w:tabs>
                <w:tab w:pos="732" w:val="left" w:leader="none"/>
              </w:tabs>
              <w:spacing w:line="240" w:lineRule="auto" w:before="0" w:after="0"/>
              <w:ind w:left="696" w:right="114" w:hanging="140"/>
              <w:jc w:val="left"/>
              <w:rPr>
                <w:sz w:val="14"/>
              </w:rPr>
            </w:pPr>
            <w:r>
              <w:rPr>
                <w:sz w:val="14"/>
              </w:rPr>
              <w:t>El control, vigilancia y evaluación del ejercicio del gasto público federal y de los presupuestos, de los contratos de obra</w:t>
            </w:r>
            <w:r>
              <w:rPr>
                <w:spacing w:val="-8"/>
                <w:sz w:val="14"/>
              </w:rPr>
              <w:t> </w:t>
            </w:r>
            <w:r>
              <w:rPr>
                <w:sz w:val="14"/>
              </w:rPr>
              <w:t>pública,</w:t>
            </w:r>
            <w:r>
              <w:rPr>
                <w:spacing w:val="-1"/>
                <w:sz w:val="14"/>
              </w:rPr>
              <w:t> </w:t>
            </w:r>
            <w:r>
              <w:rPr>
                <w:sz w:val="14"/>
              </w:rPr>
              <w:t>de</w:t>
            </w:r>
            <w:r>
              <w:rPr>
                <w:spacing w:val="-4"/>
                <w:sz w:val="14"/>
              </w:rPr>
              <w:t> </w:t>
            </w:r>
            <w:r>
              <w:rPr>
                <w:sz w:val="14"/>
              </w:rPr>
              <w:t>la</w:t>
            </w:r>
            <w:r>
              <w:rPr>
                <w:spacing w:val="-4"/>
                <w:sz w:val="14"/>
              </w:rPr>
              <w:t> </w:t>
            </w:r>
            <w:r>
              <w:rPr>
                <w:sz w:val="14"/>
              </w:rPr>
              <w:t>informática,</w:t>
            </w:r>
            <w:r>
              <w:rPr>
                <w:spacing w:val="-1"/>
                <w:sz w:val="14"/>
              </w:rPr>
              <w:t> </w:t>
            </w:r>
            <w:r>
              <w:rPr>
                <w:sz w:val="14"/>
              </w:rPr>
              <w:t>y</w:t>
            </w:r>
            <w:r>
              <w:rPr>
                <w:spacing w:val="-4"/>
                <w:sz w:val="14"/>
              </w:rPr>
              <w:t> </w:t>
            </w:r>
            <w:r>
              <w:rPr>
                <w:sz w:val="14"/>
              </w:rPr>
              <w:t>de</w:t>
            </w:r>
            <w:r>
              <w:rPr>
                <w:spacing w:val="-4"/>
                <w:sz w:val="14"/>
              </w:rPr>
              <w:t> </w:t>
            </w:r>
            <w:r>
              <w:rPr>
                <w:sz w:val="14"/>
              </w:rPr>
              <w:t>las</w:t>
            </w:r>
            <w:r>
              <w:rPr>
                <w:spacing w:val="3"/>
                <w:sz w:val="14"/>
              </w:rPr>
              <w:t> </w:t>
            </w:r>
            <w:r>
              <w:rPr>
                <w:sz w:val="14"/>
              </w:rPr>
              <w:t>adquisiciones,</w:t>
            </w:r>
            <w:r>
              <w:rPr>
                <w:spacing w:val="2"/>
                <w:sz w:val="14"/>
              </w:rPr>
              <w:t> </w:t>
            </w:r>
            <w:r>
              <w:rPr>
                <w:spacing w:val="-3"/>
                <w:sz w:val="14"/>
              </w:rPr>
              <w:t>en</w:t>
            </w:r>
            <w:r>
              <w:rPr>
                <w:sz w:val="14"/>
              </w:rPr>
              <w:t> la</w:t>
            </w:r>
            <w:r>
              <w:rPr>
                <w:spacing w:val="-8"/>
                <w:sz w:val="14"/>
              </w:rPr>
              <w:t> </w:t>
            </w:r>
            <w:r>
              <w:rPr>
                <w:sz w:val="14"/>
              </w:rPr>
              <w:t>Secretaría</w:t>
            </w:r>
            <w:r>
              <w:rPr>
                <w:spacing w:val="-4"/>
                <w:sz w:val="14"/>
              </w:rPr>
              <w:t> </w:t>
            </w:r>
            <w:r>
              <w:rPr>
                <w:sz w:val="14"/>
              </w:rPr>
              <w:t>de</w:t>
            </w:r>
            <w:r>
              <w:rPr>
                <w:spacing w:val="-8"/>
                <w:sz w:val="14"/>
              </w:rPr>
              <w:t> </w:t>
            </w:r>
            <w:r>
              <w:rPr>
                <w:sz w:val="14"/>
              </w:rPr>
              <w:t>Programación</w:t>
            </w:r>
            <w:r>
              <w:rPr>
                <w:spacing w:val="-4"/>
                <w:sz w:val="14"/>
              </w:rPr>
              <w:t> </w:t>
            </w:r>
            <w:r>
              <w:rPr>
                <w:sz w:val="14"/>
              </w:rPr>
              <w:t>y</w:t>
            </w:r>
            <w:r>
              <w:rPr>
                <w:spacing w:val="-4"/>
                <w:sz w:val="14"/>
              </w:rPr>
              <w:t> </w:t>
            </w:r>
            <w:r>
              <w:rPr>
                <w:sz w:val="14"/>
              </w:rPr>
              <w:t>Presupuesto;</w:t>
            </w:r>
          </w:p>
          <w:p>
            <w:pPr>
              <w:pStyle w:val="TableParagraph"/>
              <w:numPr>
                <w:ilvl w:val="0"/>
                <w:numId w:val="47"/>
              </w:numPr>
              <w:tabs>
                <w:tab w:pos="696" w:val="left" w:leader="none"/>
              </w:tabs>
              <w:spacing w:line="240" w:lineRule="auto" w:before="3" w:after="0"/>
              <w:ind w:left="696" w:right="117" w:hanging="140"/>
              <w:jc w:val="left"/>
              <w:rPr>
                <w:sz w:val="14"/>
              </w:rPr>
            </w:pPr>
            <w:r>
              <w:rPr>
                <w:sz w:val="14"/>
              </w:rPr>
              <w:t>La administración y vigilancia de los bienes de propiedad originaria, los que constituyen recursos naturales no renovables y los de</w:t>
            </w:r>
            <w:r>
              <w:rPr>
                <w:spacing w:val="-3"/>
                <w:sz w:val="14"/>
              </w:rPr>
              <w:t> </w:t>
            </w:r>
            <w:r>
              <w:rPr>
                <w:sz w:val="14"/>
              </w:rPr>
              <w:t>dominio</w:t>
            </w:r>
            <w:r>
              <w:rPr>
                <w:spacing w:val="-3"/>
                <w:sz w:val="14"/>
              </w:rPr>
              <w:t> </w:t>
            </w:r>
            <w:r>
              <w:rPr>
                <w:sz w:val="14"/>
              </w:rPr>
              <w:t>público</w:t>
            </w:r>
            <w:r>
              <w:rPr>
                <w:spacing w:val="-3"/>
                <w:sz w:val="14"/>
              </w:rPr>
              <w:t> </w:t>
            </w:r>
            <w:r>
              <w:rPr>
                <w:sz w:val="14"/>
              </w:rPr>
              <w:t>de</w:t>
            </w:r>
            <w:r>
              <w:rPr>
                <w:spacing w:val="-7"/>
                <w:sz w:val="14"/>
              </w:rPr>
              <w:t> </w:t>
            </w:r>
            <w:r>
              <w:rPr>
                <w:sz w:val="14"/>
              </w:rPr>
              <w:t>uso</w:t>
            </w:r>
            <w:r>
              <w:rPr>
                <w:spacing w:val="-7"/>
                <w:sz w:val="14"/>
              </w:rPr>
              <w:t> </w:t>
            </w:r>
            <w:r>
              <w:rPr>
                <w:sz w:val="14"/>
              </w:rPr>
              <w:t>común,</w:t>
            </w:r>
            <w:r>
              <w:rPr>
                <w:spacing w:val="2"/>
                <w:sz w:val="14"/>
              </w:rPr>
              <w:t> </w:t>
            </w:r>
            <w:r>
              <w:rPr>
                <w:spacing w:val="-3"/>
                <w:sz w:val="14"/>
              </w:rPr>
              <w:t>en</w:t>
            </w:r>
            <w:r>
              <w:rPr>
                <w:sz w:val="14"/>
              </w:rPr>
              <w:t> la</w:t>
            </w:r>
            <w:r>
              <w:rPr>
                <w:spacing w:val="-7"/>
                <w:sz w:val="14"/>
              </w:rPr>
              <w:t> </w:t>
            </w:r>
            <w:r>
              <w:rPr>
                <w:sz w:val="14"/>
              </w:rPr>
              <w:t>Secretaría</w:t>
            </w:r>
            <w:r>
              <w:rPr>
                <w:spacing w:val="-7"/>
                <w:sz w:val="14"/>
              </w:rPr>
              <w:t> </w:t>
            </w:r>
            <w:r>
              <w:rPr>
                <w:sz w:val="14"/>
              </w:rPr>
              <w:t>de</w:t>
            </w:r>
            <w:r>
              <w:rPr>
                <w:spacing w:val="-3"/>
                <w:sz w:val="14"/>
              </w:rPr>
              <w:t> </w:t>
            </w:r>
            <w:r>
              <w:rPr>
                <w:sz w:val="14"/>
              </w:rPr>
              <w:t>Patrimonio</w:t>
            </w:r>
            <w:r>
              <w:rPr>
                <w:spacing w:val="-3"/>
                <w:sz w:val="14"/>
              </w:rPr>
              <w:t> </w:t>
            </w:r>
            <w:r>
              <w:rPr>
                <w:sz w:val="14"/>
              </w:rPr>
              <w:t>y</w:t>
            </w:r>
            <w:r>
              <w:rPr>
                <w:spacing w:val="-3"/>
                <w:sz w:val="14"/>
              </w:rPr>
              <w:t> </w:t>
            </w:r>
            <w:r>
              <w:rPr>
                <w:sz w:val="14"/>
              </w:rPr>
              <w:t>Fomento</w:t>
            </w:r>
            <w:r>
              <w:rPr>
                <w:spacing w:val="-7"/>
                <w:sz w:val="14"/>
              </w:rPr>
              <w:t> </w:t>
            </w:r>
            <w:r>
              <w:rPr>
                <w:sz w:val="14"/>
              </w:rPr>
              <w:t>Industrial; y</w:t>
            </w:r>
          </w:p>
          <w:p>
            <w:pPr>
              <w:pStyle w:val="TableParagraph"/>
              <w:numPr>
                <w:ilvl w:val="0"/>
                <w:numId w:val="47"/>
              </w:numPr>
              <w:tabs>
                <w:tab w:pos="696" w:val="left" w:leader="none"/>
              </w:tabs>
              <w:spacing w:line="160" w:lineRule="exact" w:before="0" w:after="0"/>
              <w:ind w:left="696" w:right="0" w:hanging="140"/>
              <w:jc w:val="left"/>
              <w:rPr>
                <w:sz w:val="14"/>
              </w:rPr>
            </w:pPr>
            <w:r>
              <w:rPr>
                <w:sz w:val="14"/>
              </w:rPr>
              <w:t>La</w:t>
            </w:r>
            <w:r>
              <w:rPr>
                <w:spacing w:val="-5"/>
                <w:sz w:val="14"/>
              </w:rPr>
              <w:t> </w:t>
            </w:r>
            <w:r>
              <w:rPr>
                <w:sz w:val="14"/>
              </w:rPr>
              <w:t>administración</w:t>
            </w:r>
            <w:r>
              <w:rPr>
                <w:spacing w:val="-2"/>
                <w:sz w:val="14"/>
              </w:rPr>
              <w:t> </w:t>
            </w:r>
            <w:r>
              <w:rPr>
                <w:sz w:val="14"/>
              </w:rPr>
              <w:t>y</w:t>
            </w:r>
            <w:r>
              <w:rPr>
                <w:spacing w:val="-4"/>
                <w:sz w:val="14"/>
              </w:rPr>
              <w:t> </w:t>
            </w:r>
            <w:r>
              <w:rPr>
                <w:sz w:val="14"/>
              </w:rPr>
              <w:t>vigilancia</w:t>
            </w:r>
            <w:r>
              <w:rPr>
                <w:spacing w:val="-9"/>
                <w:sz w:val="14"/>
              </w:rPr>
              <w:t> </w:t>
            </w:r>
            <w:r>
              <w:rPr>
                <w:sz w:val="14"/>
              </w:rPr>
              <w:t>de</w:t>
            </w:r>
            <w:r>
              <w:rPr>
                <w:spacing w:val="-5"/>
                <w:sz w:val="14"/>
              </w:rPr>
              <w:t> </w:t>
            </w:r>
            <w:r>
              <w:rPr>
                <w:sz w:val="14"/>
              </w:rPr>
              <w:t>los</w:t>
            </w:r>
            <w:r>
              <w:rPr>
                <w:spacing w:val="1"/>
                <w:sz w:val="14"/>
              </w:rPr>
              <w:t> </w:t>
            </w:r>
            <w:r>
              <w:rPr>
                <w:sz w:val="14"/>
              </w:rPr>
              <w:t>inmuebles</w:t>
            </w:r>
            <w:r>
              <w:rPr>
                <w:spacing w:val="-3"/>
                <w:sz w:val="14"/>
              </w:rPr>
              <w:t> </w:t>
            </w:r>
            <w:r>
              <w:rPr>
                <w:sz w:val="14"/>
              </w:rPr>
              <w:t>de</w:t>
            </w:r>
            <w:r>
              <w:rPr>
                <w:spacing w:val="-9"/>
                <w:sz w:val="14"/>
              </w:rPr>
              <w:t> </w:t>
            </w:r>
            <w:r>
              <w:rPr>
                <w:sz w:val="14"/>
              </w:rPr>
              <w:t>propiedad</w:t>
            </w:r>
            <w:r>
              <w:rPr>
                <w:spacing w:val="-5"/>
                <w:sz w:val="14"/>
              </w:rPr>
              <w:t> </w:t>
            </w:r>
            <w:r>
              <w:rPr>
                <w:sz w:val="14"/>
              </w:rPr>
              <w:t>federal.</w:t>
            </w:r>
          </w:p>
          <w:p>
            <w:pPr>
              <w:pStyle w:val="TableParagraph"/>
              <w:spacing w:line="242" w:lineRule="auto"/>
              <w:ind w:left="556" w:right="104" w:hanging="460"/>
              <w:jc w:val="both"/>
              <w:rPr>
                <w:sz w:val="14"/>
              </w:rPr>
            </w:pPr>
            <w:r>
              <w:rPr>
                <w:sz w:val="14"/>
              </w:rPr>
              <w:t>1982: Se realizaron reformas a la Ley Orgánica de la Administración Pública Federal (LOAPF) y se creó la Secretaría de la Contraloría General de la Federación; para integrar las funciones de control y evaluación global de la gestión pública anteriormente dispersas.</w:t>
            </w:r>
          </w:p>
          <w:p>
            <w:pPr>
              <w:pStyle w:val="TableParagraph"/>
              <w:spacing w:line="242" w:lineRule="auto"/>
              <w:ind w:left="556" w:right="104" w:hanging="460"/>
              <w:jc w:val="both"/>
              <w:rPr>
                <w:sz w:val="14"/>
              </w:rPr>
            </w:pPr>
            <w:r>
              <w:rPr>
                <w:sz w:val="14"/>
              </w:rPr>
              <w:t>1994: Las reformas a la LOAPF fueron realizadas para que tareas de gobierno se realizaran con oportunidad y eficiencia, para evitar duplicidad de funciones y precisar responsabilidades. Se cambió el nombre de SECOGEF a Secretaría de Contraloría y Desarrollo Administrativo (SECODAM).</w:t>
            </w:r>
          </w:p>
          <w:p>
            <w:pPr>
              <w:pStyle w:val="TableParagraph"/>
              <w:spacing w:line="160" w:lineRule="exact"/>
              <w:ind w:left="96"/>
              <w:rPr>
                <w:sz w:val="14"/>
              </w:rPr>
            </w:pPr>
            <w:r>
              <w:rPr>
                <w:sz w:val="14"/>
              </w:rPr>
              <w:t>1996: Las reformas a la LOAPF facultaron a la SECODAM para designar y remover a los contralores internos de la APF y de la Procuraduría General de la República.</w:t>
            </w:r>
          </w:p>
          <w:p>
            <w:pPr>
              <w:pStyle w:val="TableParagraph"/>
              <w:spacing w:line="158" w:lineRule="exact"/>
              <w:ind w:left="96" w:right="102"/>
              <w:rPr>
                <w:sz w:val="14"/>
              </w:rPr>
            </w:pPr>
            <w:r>
              <w:rPr>
                <w:sz w:val="14"/>
              </w:rPr>
              <w:t>1997: Se modificó el Reglamento Interior de la SECODAM.</w:t>
            </w:r>
          </w:p>
        </w:tc>
      </w:tr>
    </w:tbl>
    <w:p>
      <w:pPr>
        <w:pStyle w:val="BodyText"/>
        <w:spacing w:before="7"/>
        <w:rPr>
          <w:sz w:val="12"/>
        </w:rPr>
      </w:pPr>
    </w:p>
    <w:p>
      <w:pPr>
        <w:spacing w:before="0"/>
        <w:ind w:left="320" w:right="0" w:firstLine="0"/>
        <w:jc w:val="left"/>
        <w:rPr>
          <w:sz w:val="12"/>
        </w:rPr>
      </w:pPr>
      <w:r>
        <w:rPr>
          <w:sz w:val="12"/>
        </w:rPr>
        <w:t>FUENTE:   Antecedentes Históricos de la Secretaría de Hacienda y Crédito Público y Manual de Organización General de la Secretaría de la Función Pública.</w:t>
      </w:r>
    </w:p>
    <w:p>
      <w:pPr>
        <w:pStyle w:val="BodyText"/>
        <w:rPr>
          <w:sz w:val="12"/>
        </w:rPr>
      </w:pPr>
    </w:p>
    <w:p>
      <w:pPr>
        <w:pStyle w:val="BodyText"/>
        <w:rPr>
          <w:sz w:val="12"/>
        </w:rPr>
      </w:pPr>
    </w:p>
    <w:p>
      <w:pPr>
        <w:pStyle w:val="BodyText"/>
        <w:spacing w:line="360" w:lineRule="auto" w:before="85"/>
        <w:ind w:left="320" w:right="342" w:firstLine="427"/>
        <w:jc w:val="both"/>
      </w:pPr>
      <w:r>
        <w:rPr/>
        <w:t>Con el objetivo de enfrentar la crisis económica de 1983 el Poder Ejecutivo emprendió</w:t>
      </w:r>
      <w:r>
        <w:rPr>
          <w:spacing w:val="-9"/>
        </w:rPr>
        <w:t> </w:t>
      </w:r>
      <w:r>
        <w:rPr/>
        <w:t>un</w:t>
      </w:r>
      <w:r>
        <w:rPr>
          <w:spacing w:val="-9"/>
        </w:rPr>
        <w:t> </w:t>
      </w:r>
      <w:r>
        <w:rPr/>
        <w:t>plan</w:t>
      </w:r>
      <w:r>
        <w:rPr>
          <w:spacing w:val="-9"/>
        </w:rPr>
        <w:t> </w:t>
      </w:r>
      <w:r>
        <w:rPr/>
        <w:t>nacional.</w:t>
      </w:r>
      <w:r>
        <w:rPr>
          <w:spacing w:val="-6"/>
        </w:rPr>
        <w:t> </w:t>
      </w:r>
      <w:r>
        <w:rPr/>
        <w:t>A</w:t>
      </w:r>
      <w:r>
        <w:rPr>
          <w:spacing w:val="-7"/>
        </w:rPr>
        <w:t> </w:t>
      </w:r>
      <w:r>
        <w:rPr/>
        <w:t>partir</w:t>
      </w:r>
      <w:r>
        <w:rPr>
          <w:spacing w:val="-7"/>
        </w:rPr>
        <w:t> </w:t>
      </w:r>
      <w:r>
        <w:rPr/>
        <w:t>de</w:t>
      </w:r>
      <w:r>
        <w:rPr>
          <w:spacing w:val="-9"/>
        </w:rPr>
        <w:t> </w:t>
      </w:r>
      <w:r>
        <w:rPr/>
        <w:t>ese</w:t>
      </w:r>
      <w:r>
        <w:rPr>
          <w:spacing w:val="-9"/>
        </w:rPr>
        <w:t> </w:t>
      </w:r>
      <w:r>
        <w:rPr/>
        <w:t>año,</w:t>
      </w:r>
      <w:r>
        <w:rPr>
          <w:spacing w:val="-6"/>
        </w:rPr>
        <w:t> </w:t>
      </w:r>
      <w:r>
        <w:rPr/>
        <w:t>cada</w:t>
      </w:r>
      <w:r>
        <w:rPr>
          <w:spacing w:val="-9"/>
        </w:rPr>
        <w:t> </w:t>
      </w:r>
      <w:r>
        <w:rPr/>
        <w:t>sexenio</w:t>
      </w:r>
      <w:r>
        <w:rPr>
          <w:spacing w:val="-9"/>
        </w:rPr>
        <w:t> </w:t>
      </w:r>
      <w:r>
        <w:rPr/>
        <w:t>se</w:t>
      </w:r>
      <w:r>
        <w:rPr>
          <w:spacing w:val="-9"/>
        </w:rPr>
        <w:t> </w:t>
      </w:r>
      <w:r>
        <w:rPr/>
        <w:t>ha</w:t>
      </w:r>
      <w:r>
        <w:rPr>
          <w:spacing w:val="-9"/>
        </w:rPr>
        <w:t> </w:t>
      </w:r>
      <w:r>
        <w:rPr/>
        <w:t>presentado</w:t>
      </w:r>
      <w:r>
        <w:rPr>
          <w:spacing w:val="-9"/>
        </w:rPr>
        <w:t> </w:t>
      </w:r>
      <w:r>
        <w:rPr/>
        <w:t>un plan nacional de desarrollo, basado en el artículo 25 de la Constitución Federal. El Plan Nacional de Desarrollo 1995-2000, en materia de control, buscó promover la probidad y rendición de cuentas como un elemento esencial de la reforma del Estado.</w:t>
      </w:r>
    </w:p>
    <w:p>
      <w:pPr>
        <w:spacing w:after="0" w:line="360" w:lineRule="auto"/>
        <w:jc w:val="both"/>
        <w:sectPr>
          <w:pgSz w:w="12240" w:h="15840"/>
          <w:pgMar w:header="0" w:footer="998" w:top="1360" w:bottom="1180" w:left="1380" w:right="1360"/>
        </w:sectPr>
      </w:pPr>
    </w:p>
    <w:p>
      <w:pPr>
        <w:pStyle w:val="BodyText"/>
        <w:spacing w:line="357" w:lineRule="auto" w:before="55"/>
        <w:ind w:left="120" w:right="98" w:firstLine="427"/>
        <w:jc w:val="both"/>
      </w:pPr>
      <w:r>
        <w:rPr/>
        <w:t>La reforma incluyó cambios en la LOAPF, la Ley Federal de las Entidades Paraestatales y Federal de Responsabilidades de los Servidores Públicos</w:t>
      </w:r>
      <w:r>
        <w:rPr>
          <w:position w:val="8"/>
          <w:sz w:val="16"/>
        </w:rPr>
        <w:t>63 </w:t>
      </w:r>
      <w:r>
        <w:rPr/>
        <w:t>y otorgar autonomía a las contralorías internas.</w:t>
      </w:r>
    </w:p>
    <w:p>
      <w:pPr>
        <w:pStyle w:val="BodyText"/>
        <w:spacing w:line="360" w:lineRule="auto" w:before="8"/>
        <w:ind w:left="120" w:right="98" w:firstLine="427"/>
        <w:jc w:val="both"/>
      </w:pPr>
      <w:r>
        <w:rPr/>
        <w:t>Dentro</w:t>
      </w:r>
      <w:r>
        <w:rPr>
          <w:spacing w:val="-7"/>
        </w:rPr>
        <w:t> </w:t>
      </w:r>
      <w:r>
        <w:rPr/>
        <w:t>de</w:t>
      </w:r>
      <w:r>
        <w:rPr>
          <w:spacing w:val="-7"/>
        </w:rPr>
        <w:t> </w:t>
      </w:r>
      <w:r>
        <w:rPr/>
        <w:t>la</w:t>
      </w:r>
      <w:r>
        <w:rPr>
          <w:spacing w:val="-7"/>
        </w:rPr>
        <w:t> </w:t>
      </w:r>
      <w:r>
        <w:rPr/>
        <w:t>Secretaría</w:t>
      </w:r>
      <w:r>
        <w:rPr>
          <w:spacing w:val="-7"/>
        </w:rPr>
        <w:t> </w:t>
      </w:r>
      <w:r>
        <w:rPr/>
        <w:t>de</w:t>
      </w:r>
      <w:r>
        <w:rPr>
          <w:spacing w:val="-7"/>
        </w:rPr>
        <w:t> </w:t>
      </w:r>
      <w:r>
        <w:rPr/>
        <w:t>Contraloría</w:t>
      </w:r>
      <w:r>
        <w:rPr>
          <w:spacing w:val="-3"/>
        </w:rPr>
        <w:t> </w:t>
      </w:r>
      <w:r>
        <w:rPr/>
        <w:t>y</w:t>
      </w:r>
      <w:r>
        <w:rPr>
          <w:spacing w:val="-9"/>
        </w:rPr>
        <w:t> </w:t>
      </w:r>
      <w:r>
        <w:rPr/>
        <w:t>Desarrollo</w:t>
      </w:r>
      <w:r>
        <w:rPr>
          <w:spacing w:val="-7"/>
        </w:rPr>
        <w:t> </w:t>
      </w:r>
      <w:r>
        <w:rPr/>
        <w:t>Administrativo</w:t>
      </w:r>
      <w:r>
        <w:rPr>
          <w:spacing w:val="-7"/>
        </w:rPr>
        <w:t> </w:t>
      </w:r>
      <w:r>
        <w:rPr/>
        <w:t>(SECODAM) se</w:t>
      </w:r>
      <w:r>
        <w:rPr>
          <w:spacing w:val="-16"/>
        </w:rPr>
        <w:t> </w:t>
      </w:r>
      <w:r>
        <w:rPr/>
        <w:t>creó</w:t>
      </w:r>
      <w:r>
        <w:rPr>
          <w:spacing w:val="-16"/>
        </w:rPr>
        <w:t> </w:t>
      </w:r>
      <w:r>
        <w:rPr/>
        <w:t>la</w:t>
      </w:r>
      <w:r>
        <w:rPr>
          <w:spacing w:val="-16"/>
        </w:rPr>
        <w:t> </w:t>
      </w:r>
      <w:r>
        <w:rPr/>
        <w:t>Secretaría</w:t>
      </w:r>
      <w:r>
        <w:rPr>
          <w:spacing w:val="-16"/>
        </w:rPr>
        <w:t> </w:t>
      </w:r>
      <w:r>
        <w:rPr/>
        <w:t>Ejecutiva</w:t>
      </w:r>
      <w:r>
        <w:rPr>
          <w:spacing w:val="-16"/>
        </w:rPr>
        <w:t> </w:t>
      </w:r>
      <w:r>
        <w:rPr/>
        <w:t>de</w:t>
      </w:r>
      <w:r>
        <w:rPr>
          <w:spacing w:val="-16"/>
        </w:rPr>
        <w:t> </w:t>
      </w:r>
      <w:r>
        <w:rPr/>
        <w:t>la</w:t>
      </w:r>
      <w:r>
        <w:rPr>
          <w:spacing w:val="-16"/>
        </w:rPr>
        <w:t> </w:t>
      </w:r>
      <w:r>
        <w:rPr/>
        <w:t>Comisión</w:t>
      </w:r>
      <w:r>
        <w:rPr>
          <w:spacing w:val="-16"/>
        </w:rPr>
        <w:t> </w:t>
      </w:r>
      <w:r>
        <w:rPr/>
        <w:t>Intersecretarial</w:t>
      </w:r>
      <w:r>
        <w:rPr>
          <w:spacing w:val="-11"/>
        </w:rPr>
        <w:t> </w:t>
      </w:r>
      <w:r>
        <w:rPr/>
        <w:t>para</w:t>
      </w:r>
      <w:r>
        <w:rPr>
          <w:spacing w:val="-16"/>
        </w:rPr>
        <w:t> </w:t>
      </w:r>
      <w:r>
        <w:rPr/>
        <w:t>la</w:t>
      </w:r>
      <w:r>
        <w:rPr>
          <w:spacing w:val="-16"/>
        </w:rPr>
        <w:t> </w:t>
      </w:r>
      <w:r>
        <w:rPr/>
        <w:t>Transparencia y el Combate a la Corrupción en la Administración Pública Federal,</w:t>
      </w:r>
      <w:r>
        <w:rPr>
          <w:position w:val="8"/>
          <w:sz w:val="16"/>
        </w:rPr>
        <w:t>64 </w:t>
      </w:r>
      <w:r>
        <w:rPr/>
        <w:t>creada para coordinar las políticas y acciones para prevenir y combatir la corrupción y fomentar la transparencia en el ejercicio de las atribuciones de las diversas dependencias y entidades de la Administración Pública Federal, así como para dar seguimiento a los programas y acciones en la</w:t>
      </w:r>
      <w:r>
        <w:rPr>
          <w:spacing w:val="-21"/>
        </w:rPr>
        <w:t> </w:t>
      </w:r>
      <w:r>
        <w:rPr/>
        <w:t>materia.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7984;mso-wrap-distance-left:0;mso-wrap-distance-right:0" from="85.025002pt,12.79312pt" to="229.075002pt,12.79312pt" stroked="true" strokeweight=".79999pt" strokecolor="#000000">
            <w10:wrap type="topAndBottom"/>
          </v:line>
        </w:pict>
      </w:r>
    </w:p>
    <w:p>
      <w:pPr>
        <w:spacing w:before="59"/>
        <w:ind w:left="120" w:right="132" w:firstLine="0"/>
        <w:jc w:val="left"/>
        <w:rPr>
          <w:sz w:val="16"/>
        </w:rPr>
      </w:pPr>
      <w:r>
        <w:rPr>
          <w:rFonts w:ascii="Times New Roman"/>
          <w:position w:val="7"/>
          <w:sz w:val="13"/>
        </w:rPr>
        <w:t>63</w:t>
      </w:r>
      <w:r>
        <w:rPr>
          <w:sz w:val="16"/>
        </w:rPr>
        <w:t>Publicado en el DOF el 24 de diciembre de 1996.</w:t>
      </w:r>
    </w:p>
    <w:p>
      <w:pPr>
        <w:spacing w:before="2"/>
        <w:ind w:left="120" w:right="132" w:firstLine="0"/>
        <w:jc w:val="left"/>
        <w:rPr>
          <w:sz w:val="16"/>
        </w:rPr>
      </w:pPr>
      <w:r>
        <w:rPr>
          <w:rFonts w:ascii="Times New Roman" w:hAnsi="Times New Roman"/>
          <w:position w:val="7"/>
          <w:sz w:val="13"/>
        </w:rPr>
        <w:t>64 </w:t>
      </w:r>
      <w:r>
        <w:rPr>
          <w:sz w:val="16"/>
        </w:rPr>
        <w:t>Su creación se realizó con base en lo publicado en el DOF el 4 de diciembre de 2000.</w:t>
      </w:r>
    </w:p>
    <w:p>
      <w:pPr>
        <w:spacing w:after="0"/>
        <w:jc w:val="left"/>
        <w:rPr>
          <w:sz w:val="16"/>
        </w:rPr>
        <w:sectPr>
          <w:pgSz w:w="12240" w:h="15840"/>
          <w:pgMar w:header="0" w:footer="998" w:top="1360" w:bottom="1180" w:left="1580" w:right="1600"/>
        </w:sectPr>
      </w:pPr>
    </w:p>
    <w:p>
      <w:pPr>
        <w:pStyle w:val="Heading1"/>
        <w:spacing w:line="360" w:lineRule="auto"/>
        <w:ind w:left="1933" w:hanging="1613"/>
        <w:jc w:val="left"/>
      </w:pPr>
      <w:bookmarkStart w:name="_bookmark55" w:id="74"/>
      <w:bookmarkEnd w:id="74"/>
      <w:r>
        <w:rPr>
          <w:b w:val="0"/>
        </w:rPr>
      </w:r>
      <w:r>
        <w:rPr/>
        <w:t>CAPÍTULO TERCERO. SISTEMAS POLÍTICOS Y DE RENDICIÓN DE CUENTAS EN AMÉRICA Y EUROPA</w:t>
      </w:r>
    </w:p>
    <w:p>
      <w:pPr>
        <w:pStyle w:val="BodyText"/>
        <w:spacing w:before="8"/>
        <w:rPr>
          <w:b/>
        </w:rPr>
      </w:pPr>
    </w:p>
    <w:p>
      <w:pPr>
        <w:pStyle w:val="Heading2"/>
        <w:numPr>
          <w:ilvl w:val="1"/>
          <w:numId w:val="48"/>
        </w:numPr>
        <w:tabs>
          <w:tab w:pos="553" w:val="left" w:leader="none"/>
        </w:tabs>
        <w:spacing w:line="240" w:lineRule="auto" w:before="0" w:after="0"/>
        <w:ind w:left="552" w:right="0" w:hanging="432"/>
        <w:jc w:val="both"/>
      </w:pPr>
      <w:bookmarkStart w:name="_bookmark56" w:id="75"/>
      <w:bookmarkEnd w:id="75"/>
      <w:r>
        <w:rPr>
          <w:b w:val="0"/>
        </w:rPr>
      </w:r>
      <w:bookmarkStart w:name="_bookmark56" w:id="76"/>
      <w:bookmarkEnd w:id="76"/>
      <w:r>
        <w:rPr/>
        <w:t>E</w:t>
      </w:r>
      <w:r>
        <w:rPr/>
        <w:t>l régimen político</w:t>
      </w:r>
      <w:r>
        <w:rPr>
          <w:spacing w:val="-6"/>
        </w:rPr>
        <w:t> </w:t>
      </w:r>
      <w:r>
        <w:rPr/>
        <w:t>democrático</w:t>
      </w:r>
    </w:p>
    <w:p>
      <w:pPr>
        <w:pStyle w:val="BodyText"/>
        <w:rPr>
          <w:b/>
          <w:sz w:val="26"/>
        </w:rPr>
      </w:pPr>
    </w:p>
    <w:p>
      <w:pPr>
        <w:pStyle w:val="BodyText"/>
        <w:spacing w:before="11"/>
        <w:rPr>
          <w:b/>
          <w:sz w:val="28"/>
        </w:rPr>
      </w:pPr>
    </w:p>
    <w:p>
      <w:pPr>
        <w:pStyle w:val="BodyText"/>
        <w:spacing w:line="360" w:lineRule="auto"/>
        <w:ind w:left="120" w:right="124"/>
        <w:jc w:val="both"/>
      </w:pPr>
      <w:r>
        <w:rPr/>
        <w:t>El control político es imprescindible para cualquier Estado democrático. En el sistema político las demandas de la sociedad exigen la eficiencia del Estado y del equilibrio de los poderes públicos para la atención eficiente de las demandas, y así avanzar hacia el “buen gobierno”.</w:t>
      </w:r>
    </w:p>
    <w:p>
      <w:pPr>
        <w:pStyle w:val="BodyText"/>
        <w:spacing w:line="360" w:lineRule="auto" w:before="6"/>
        <w:ind w:left="120" w:right="117" w:firstLine="427"/>
        <w:jc w:val="both"/>
      </w:pPr>
      <w:r>
        <w:rPr/>
        <w:t>La política, Estado y rendición de cuentas son imprescindibles para el logro del buen gobierno, por lo que el análisis teórico y real, permiten evaluar en cierta medida, el grado de avance del Estado hacia el buen gobierno. En este capítulo se presenta</w:t>
      </w:r>
      <w:r>
        <w:rPr>
          <w:spacing w:val="-4"/>
        </w:rPr>
        <w:t> </w:t>
      </w:r>
      <w:r>
        <w:rPr/>
        <w:t>un</w:t>
      </w:r>
      <w:r>
        <w:rPr>
          <w:spacing w:val="-7"/>
        </w:rPr>
        <w:t> </w:t>
      </w:r>
      <w:r>
        <w:rPr/>
        <w:t>análisis</w:t>
      </w:r>
      <w:r>
        <w:rPr>
          <w:spacing w:val="-6"/>
        </w:rPr>
        <w:t> </w:t>
      </w:r>
      <w:r>
        <w:rPr/>
        <w:t>del</w:t>
      </w:r>
      <w:r>
        <w:rPr>
          <w:spacing w:val="-7"/>
        </w:rPr>
        <w:t> </w:t>
      </w:r>
      <w:r>
        <w:rPr/>
        <w:t>sistema</w:t>
      </w:r>
      <w:r>
        <w:rPr>
          <w:spacing w:val="-8"/>
        </w:rPr>
        <w:t> </w:t>
      </w:r>
      <w:r>
        <w:rPr/>
        <w:t>político</w:t>
      </w:r>
      <w:r>
        <w:rPr>
          <w:spacing w:val="-6"/>
        </w:rPr>
        <w:t> </w:t>
      </w:r>
      <w:r>
        <w:rPr/>
        <w:t>de</w:t>
      </w:r>
      <w:r>
        <w:rPr>
          <w:spacing w:val="-8"/>
        </w:rPr>
        <w:t> </w:t>
      </w:r>
      <w:r>
        <w:rPr/>
        <w:t>algunos</w:t>
      </w:r>
      <w:r>
        <w:rPr>
          <w:spacing w:val="-6"/>
        </w:rPr>
        <w:t> </w:t>
      </w:r>
      <w:r>
        <w:rPr/>
        <w:t>regímenes</w:t>
      </w:r>
      <w:r>
        <w:rPr>
          <w:spacing w:val="-6"/>
        </w:rPr>
        <w:t> </w:t>
      </w:r>
      <w:r>
        <w:rPr/>
        <w:t>de</w:t>
      </w:r>
      <w:r>
        <w:rPr>
          <w:spacing w:val="-8"/>
        </w:rPr>
        <w:t> </w:t>
      </w:r>
      <w:r>
        <w:rPr/>
        <w:t>América</w:t>
      </w:r>
      <w:r>
        <w:rPr>
          <w:spacing w:val="-8"/>
        </w:rPr>
        <w:t> </w:t>
      </w:r>
      <w:r>
        <w:rPr/>
        <w:t>(México y</w:t>
      </w:r>
      <w:r>
        <w:rPr>
          <w:spacing w:val="-18"/>
        </w:rPr>
        <w:t> </w:t>
      </w:r>
      <w:r>
        <w:rPr/>
        <w:t>Estados</w:t>
      </w:r>
      <w:r>
        <w:rPr>
          <w:spacing w:val="-14"/>
        </w:rPr>
        <w:t> </w:t>
      </w:r>
      <w:r>
        <w:rPr/>
        <w:t>Unidos)</w:t>
      </w:r>
      <w:r>
        <w:rPr>
          <w:spacing w:val="-10"/>
        </w:rPr>
        <w:t> </w:t>
      </w:r>
      <w:r>
        <w:rPr/>
        <w:t>y</w:t>
      </w:r>
      <w:r>
        <w:rPr>
          <w:spacing w:val="-18"/>
        </w:rPr>
        <w:t> </w:t>
      </w:r>
      <w:r>
        <w:rPr/>
        <w:t>tres</w:t>
      </w:r>
      <w:r>
        <w:rPr>
          <w:spacing w:val="-14"/>
        </w:rPr>
        <w:t> </w:t>
      </w:r>
      <w:r>
        <w:rPr/>
        <w:t>de</w:t>
      </w:r>
      <w:r>
        <w:rPr>
          <w:spacing w:val="-16"/>
        </w:rPr>
        <w:t> </w:t>
      </w:r>
      <w:r>
        <w:rPr/>
        <w:t>Europa</w:t>
      </w:r>
      <w:r>
        <w:rPr>
          <w:spacing w:val="-16"/>
        </w:rPr>
        <w:t> </w:t>
      </w:r>
      <w:r>
        <w:rPr/>
        <w:t>(Alemania,</w:t>
      </w:r>
      <w:r>
        <w:rPr>
          <w:spacing w:val="-13"/>
        </w:rPr>
        <w:t> </w:t>
      </w:r>
      <w:r>
        <w:rPr/>
        <w:t>España</w:t>
      </w:r>
      <w:r>
        <w:rPr>
          <w:spacing w:val="-16"/>
        </w:rPr>
        <w:t> </w:t>
      </w:r>
      <w:r>
        <w:rPr/>
        <w:t>y</w:t>
      </w:r>
      <w:r>
        <w:rPr>
          <w:spacing w:val="-18"/>
        </w:rPr>
        <w:t> </w:t>
      </w:r>
      <w:r>
        <w:rPr/>
        <w:t>Reino</w:t>
      </w:r>
      <w:r>
        <w:rPr>
          <w:spacing w:val="-16"/>
        </w:rPr>
        <w:t> </w:t>
      </w:r>
      <w:r>
        <w:rPr/>
        <w:t>Unido),</w:t>
      </w:r>
      <w:r>
        <w:rPr>
          <w:spacing w:val="-13"/>
        </w:rPr>
        <w:t> </w:t>
      </w:r>
      <w:r>
        <w:rPr/>
        <w:t>con</w:t>
      </w:r>
      <w:r>
        <w:rPr>
          <w:spacing w:val="-5"/>
        </w:rPr>
        <w:t> </w:t>
      </w:r>
      <w:r>
        <w:rPr/>
        <w:t>especial énfasis en el aspecto</w:t>
      </w:r>
      <w:r>
        <w:rPr>
          <w:spacing w:val="-19"/>
        </w:rPr>
        <w:t> </w:t>
      </w:r>
      <w:r>
        <w:rPr/>
        <w:t>nacional.</w:t>
      </w:r>
    </w:p>
    <w:p>
      <w:pPr>
        <w:pStyle w:val="BodyText"/>
        <w:spacing w:line="360" w:lineRule="auto" w:before="6"/>
        <w:ind w:left="120" w:right="115" w:firstLine="427"/>
        <w:jc w:val="both"/>
        <w:rPr>
          <w:sz w:val="16"/>
        </w:rPr>
      </w:pPr>
      <w:r>
        <w:rPr/>
        <w:t>La selección de las economías se basa en que éstas presentan regímenes políticos</w:t>
      </w:r>
      <w:r>
        <w:rPr>
          <w:spacing w:val="-5"/>
        </w:rPr>
        <w:t> </w:t>
      </w:r>
      <w:r>
        <w:rPr/>
        <w:t>diferenciados,</w:t>
      </w:r>
      <w:r>
        <w:rPr>
          <w:spacing w:val="-8"/>
        </w:rPr>
        <w:t> </w:t>
      </w:r>
      <w:r>
        <w:rPr/>
        <w:t>cuentan</w:t>
      </w:r>
      <w:r>
        <w:rPr>
          <w:spacing w:val="-11"/>
        </w:rPr>
        <w:t> </w:t>
      </w:r>
      <w:r>
        <w:rPr/>
        <w:t>con</w:t>
      </w:r>
      <w:r>
        <w:rPr>
          <w:spacing w:val="-11"/>
        </w:rPr>
        <w:t> </w:t>
      </w:r>
      <w:r>
        <w:rPr/>
        <w:t>diferentes</w:t>
      </w:r>
      <w:r>
        <w:rPr>
          <w:spacing w:val="-5"/>
        </w:rPr>
        <w:t> </w:t>
      </w:r>
      <w:r>
        <w:rPr/>
        <w:t>modelos</w:t>
      </w:r>
      <w:r>
        <w:rPr>
          <w:spacing w:val="-9"/>
        </w:rPr>
        <w:t> </w:t>
      </w:r>
      <w:r>
        <w:rPr/>
        <w:t>institucionales</w:t>
      </w:r>
      <w:r>
        <w:rPr>
          <w:spacing w:val="-9"/>
        </w:rPr>
        <w:t> </w:t>
      </w:r>
      <w:r>
        <w:rPr/>
        <w:t>de</w:t>
      </w:r>
      <w:r>
        <w:rPr>
          <w:spacing w:val="-11"/>
        </w:rPr>
        <w:t> </w:t>
      </w:r>
      <w:r>
        <w:rPr/>
        <w:t>rendición de</w:t>
      </w:r>
      <w:r>
        <w:rPr>
          <w:spacing w:val="-10"/>
        </w:rPr>
        <w:t> </w:t>
      </w:r>
      <w:r>
        <w:rPr/>
        <w:t>cuentas</w:t>
      </w:r>
      <w:r>
        <w:rPr>
          <w:spacing w:val="-4"/>
        </w:rPr>
        <w:t> </w:t>
      </w:r>
      <w:r>
        <w:rPr/>
        <w:t>y</w:t>
      </w:r>
      <w:r>
        <w:rPr>
          <w:spacing w:val="-11"/>
        </w:rPr>
        <w:t> </w:t>
      </w:r>
      <w:r>
        <w:rPr/>
        <w:t>pertenecen</w:t>
      </w:r>
      <w:r>
        <w:rPr>
          <w:spacing w:val="-10"/>
        </w:rPr>
        <w:t> </w:t>
      </w:r>
      <w:r>
        <w:rPr/>
        <w:t>a</w:t>
      </w:r>
      <w:r>
        <w:rPr>
          <w:spacing w:val="-10"/>
        </w:rPr>
        <w:t> </w:t>
      </w:r>
      <w:r>
        <w:rPr/>
        <w:t>las</w:t>
      </w:r>
      <w:r>
        <w:rPr>
          <w:spacing w:val="-8"/>
        </w:rPr>
        <w:t> </w:t>
      </w:r>
      <w:r>
        <w:rPr/>
        <w:t>organizaciones</w:t>
      </w:r>
      <w:r>
        <w:rPr>
          <w:spacing w:val="-8"/>
        </w:rPr>
        <w:t> </w:t>
      </w:r>
      <w:r>
        <w:rPr/>
        <w:t>más</w:t>
      </w:r>
      <w:r>
        <w:rPr>
          <w:spacing w:val="-8"/>
        </w:rPr>
        <w:t> </w:t>
      </w:r>
      <w:r>
        <w:rPr/>
        <w:t>importantes</w:t>
      </w:r>
      <w:r>
        <w:rPr>
          <w:spacing w:val="-8"/>
        </w:rPr>
        <w:t> </w:t>
      </w:r>
      <w:r>
        <w:rPr/>
        <w:t>del</w:t>
      </w:r>
      <w:r>
        <w:rPr>
          <w:spacing w:val="-9"/>
        </w:rPr>
        <w:t> </w:t>
      </w:r>
      <w:r>
        <w:rPr/>
        <w:t>mundo:</w:t>
      </w:r>
      <w:r>
        <w:rPr>
          <w:spacing w:val="-7"/>
        </w:rPr>
        <w:t> </w:t>
      </w:r>
      <w:r>
        <w:rPr/>
        <w:t>la</w:t>
      </w:r>
      <w:r>
        <w:rPr>
          <w:spacing w:val="-10"/>
        </w:rPr>
        <w:t> </w:t>
      </w:r>
      <w:r>
        <w:rPr/>
        <w:t>ONU, la Organización Internacional de las Entidades Fiscalizadoras Superiores</w:t>
      </w:r>
      <w:r>
        <w:rPr>
          <w:position w:val="8"/>
          <w:sz w:val="16"/>
        </w:rPr>
        <w:t>65</w:t>
      </w:r>
      <w:r>
        <w:rPr/>
        <w:t>(INTOSAI) y la</w:t>
      </w:r>
      <w:r>
        <w:rPr>
          <w:spacing w:val="-15"/>
        </w:rPr>
        <w:t> </w:t>
      </w:r>
      <w:r>
        <w:rPr/>
        <w:t>OCDE.</w:t>
      </w:r>
      <w:r>
        <w:rPr>
          <w:position w:val="8"/>
          <w:sz w:val="16"/>
        </w:rPr>
        <w:t>66</w:t>
      </w:r>
    </w:p>
    <w:p>
      <w:pPr>
        <w:pStyle w:val="BodyText"/>
        <w:spacing w:line="360" w:lineRule="auto"/>
        <w:ind w:left="120" w:right="124" w:firstLine="424"/>
        <w:jc w:val="both"/>
      </w:pPr>
      <w:r>
        <w:rPr/>
        <w:t>La historia y</w:t>
      </w:r>
      <w:r>
        <w:rPr>
          <w:spacing w:val="-46"/>
        </w:rPr>
        <w:t> </w:t>
      </w:r>
      <w:r>
        <w:rPr/>
        <w:t>la cultura política de cada Estado hacen que las prioridades de las políticas públicas sean diferentes, así como sus resultados en el impacto y la profundidad</w:t>
      </w:r>
      <w:r>
        <w:rPr>
          <w:spacing w:val="-18"/>
        </w:rPr>
        <w:t> </w:t>
      </w:r>
      <w:r>
        <w:rPr/>
        <w:t>de</w:t>
      </w:r>
      <w:r>
        <w:rPr>
          <w:spacing w:val="-18"/>
        </w:rPr>
        <w:t> </w:t>
      </w:r>
      <w:r>
        <w:rPr/>
        <w:t>su</w:t>
      </w:r>
      <w:r>
        <w:rPr>
          <w:spacing w:val="-18"/>
        </w:rPr>
        <w:t> </w:t>
      </w:r>
      <w:r>
        <w:rPr/>
        <w:t>rendición</w:t>
      </w:r>
      <w:r>
        <w:rPr>
          <w:spacing w:val="-18"/>
        </w:rPr>
        <w:t> </w:t>
      </w:r>
      <w:r>
        <w:rPr/>
        <w:t>de</w:t>
      </w:r>
      <w:r>
        <w:rPr>
          <w:spacing w:val="-18"/>
        </w:rPr>
        <w:t> </w:t>
      </w:r>
      <w:r>
        <w:rPr/>
        <w:t>cuentas.</w:t>
      </w:r>
      <w:r>
        <w:rPr>
          <w:spacing w:val="-15"/>
        </w:rPr>
        <w:t> </w:t>
      </w:r>
      <w:r>
        <w:rPr/>
        <w:t>De</w:t>
      </w:r>
      <w:r>
        <w:rPr>
          <w:spacing w:val="-18"/>
        </w:rPr>
        <w:t> </w:t>
      </w:r>
      <w:r>
        <w:rPr/>
        <w:t>esta</w:t>
      </w:r>
      <w:r>
        <w:rPr>
          <w:spacing w:val="-22"/>
        </w:rPr>
        <w:t> </w:t>
      </w:r>
      <w:r>
        <w:rPr/>
        <w:t>forma,</w:t>
      </w:r>
      <w:r>
        <w:rPr>
          <w:spacing w:val="-15"/>
        </w:rPr>
        <w:t> </w:t>
      </w:r>
      <w:r>
        <w:rPr/>
        <w:t>los</w:t>
      </w:r>
      <w:r>
        <w:rPr>
          <w:spacing w:val="-16"/>
        </w:rPr>
        <w:t> </w:t>
      </w:r>
      <w:r>
        <w:rPr/>
        <w:t>países</w:t>
      </w:r>
      <w:r>
        <w:rPr>
          <w:spacing w:val="-16"/>
        </w:rPr>
        <w:t> </w:t>
      </w:r>
      <w:r>
        <w:rPr/>
        <w:t>avanzados</w:t>
      </w:r>
      <w:r>
        <w:rPr>
          <w:spacing w:val="-16"/>
        </w:rPr>
        <w:t> </w:t>
      </w:r>
      <w:r>
        <w:rPr/>
        <w:t>tienen la característica de tener instituciones políticas ancestrales, mientras que los emergentes cuentan con instituciones relativamente</w:t>
      </w:r>
      <w:r>
        <w:rPr>
          <w:spacing w:val="-38"/>
        </w:rPr>
        <w:t> </w:t>
      </w:r>
      <w:r>
        <w:rPr/>
        <w:t>recientes.</w:t>
      </w:r>
    </w:p>
    <w:p>
      <w:pPr>
        <w:pStyle w:val="BodyText"/>
        <w:spacing w:line="357" w:lineRule="auto" w:before="6"/>
        <w:ind w:left="120" w:right="122" w:firstLine="424"/>
        <w:jc w:val="both"/>
      </w:pPr>
      <w:r>
        <w:rPr/>
        <w:t>De</w:t>
      </w:r>
      <w:r>
        <w:rPr>
          <w:spacing w:val="-20"/>
        </w:rPr>
        <w:t> </w:t>
      </w:r>
      <w:r>
        <w:rPr/>
        <w:t>acuerdo</w:t>
      </w:r>
      <w:r>
        <w:rPr>
          <w:spacing w:val="-20"/>
        </w:rPr>
        <w:t> </w:t>
      </w:r>
      <w:r>
        <w:rPr/>
        <w:t>con</w:t>
      </w:r>
      <w:r>
        <w:rPr>
          <w:spacing w:val="-20"/>
        </w:rPr>
        <w:t> </w:t>
      </w:r>
      <w:r>
        <w:rPr/>
        <w:t>David</w:t>
      </w:r>
      <w:r>
        <w:rPr>
          <w:spacing w:val="-20"/>
        </w:rPr>
        <w:t> </w:t>
      </w:r>
      <w:r>
        <w:rPr/>
        <w:t>Easton,</w:t>
      </w:r>
      <w:r>
        <w:rPr>
          <w:spacing w:val="-18"/>
        </w:rPr>
        <w:t> </w:t>
      </w:r>
      <w:r>
        <w:rPr/>
        <w:t>el</w:t>
      </w:r>
      <w:r>
        <w:rPr>
          <w:spacing w:val="-19"/>
        </w:rPr>
        <w:t> </w:t>
      </w:r>
      <w:r>
        <w:rPr/>
        <w:t>sistema</w:t>
      </w:r>
      <w:r>
        <w:rPr>
          <w:spacing w:val="-20"/>
        </w:rPr>
        <w:t> </w:t>
      </w:r>
      <w:r>
        <w:rPr/>
        <w:t>político</w:t>
      </w:r>
      <w:r>
        <w:rPr>
          <w:spacing w:val="-20"/>
        </w:rPr>
        <w:t> </w:t>
      </w:r>
      <w:r>
        <w:rPr/>
        <w:t>se</w:t>
      </w:r>
      <w:r>
        <w:rPr>
          <w:spacing w:val="-20"/>
        </w:rPr>
        <w:t> </w:t>
      </w:r>
      <w:r>
        <w:rPr/>
        <w:t>equipará</w:t>
      </w:r>
      <w:r>
        <w:rPr>
          <w:spacing w:val="-20"/>
        </w:rPr>
        <w:t> </w:t>
      </w:r>
      <w:r>
        <w:rPr/>
        <w:t>a</w:t>
      </w:r>
      <w:r>
        <w:rPr>
          <w:spacing w:val="-20"/>
        </w:rPr>
        <w:t> </w:t>
      </w:r>
      <w:r>
        <w:rPr/>
        <w:t>las</w:t>
      </w:r>
      <w:r>
        <w:rPr>
          <w:spacing w:val="-19"/>
        </w:rPr>
        <w:t> </w:t>
      </w:r>
      <w:r>
        <w:rPr/>
        <w:t>interacciones de la conducta social mediante la cual se asignan autoritariamente valores en </w:t>
      </w:r>
      <w:r>
        <w:rPr>
          <w:spacing w:val="6"/>
        </w:rPr>
        <w:t> </w:t>
      </w:r>
      <w:r>
        <w:rPr/>
        <w:t>una</w:t>
      </w:r>
    </w:p>
    <w:p>
      <w:pPr>
        <w:pStyle w:val="BodyText"/>
        <w:spacing w:before="5"/>
        <w:rPr>
          <w:sz w:val="29"/>
        </w:rPr>
      </w:pPr>
      <w:r>
        <w:rPr/>
        <w:pict>
          <v:line style="position:absolute;mso-position-horizontal-relative:page;mso-position-vertical-relative:paragraph;z-index:8008;mso-wrap-distance-left:0;mso-wrap-distance-right:0" from="85.025002pt,19.287968pt" to="229.075002pt,19.287968pt" stroked="true" strokeweight=".79999pt" strokecolor="#000000">
            <w10:wrap type="topAndBottom"/>
          </v:line>
        </w:pict>
      </w:r>
    </w:p>
    <w:p>
      <w:pPr>
        <w:spacing w:before="59"/>
        <w:ind w:left="120" w:right="0" w:firstLine="0"/>
        <w:jc w:val="both"/>
        <w:rPr>
          <w:sz w:val="16"/>
        </w:rPr>
      </w:pPr>
      <w:r>
        <w:rPr>
          <w:rFonts w:ascii="Times New Roman"/>
          <w:position w:val="7"/>
          <w:sz w:val="13"/>
        </w:rPr>
        <w:t>65</w:t>
      </w:r>
      <w:r>
        <w:rPr>
          <w:i/>
          <w:sz w:val="16"/>
        </w:rPr>
        <w:t>International Organization of Supreme Audit Institutions (INTOSAI)</w:t>
      </w:r>
      <w:r>
        <w:rPr>
          <w:sz w:val="16"/>
        </w:rPr>
        <w:t>.</w:t>
      </w:r>
    </w:p>
    <w:p>
      <w:pPr>
        <w:spacing w:line="244" w:lineRule="auto" w:before="6"/>
        <w:ind w:left="120" w:right="120" w:firstLine="0"/>
        <w:jc w:val="both"/>
        <w:rPr>
          <w:sz w:val="16"/>
        </w:rPr>
      </w:pPr>
      <w:r>
        <w:rPr>
          <w:rFonts w:ascii="Times New Roman" w:hAnsi="Times New Roman"/>
          <w:position w:val="7"/>
          <w:sz w:val="13"/>
        </w:rPr>
        <w:t>66</w:t>
      </w:r>
      <w:r>
        <w:rPr>
          <w:sz w:val="16"/>
        </w:rPr>
        <w:t>Un criterio económico considerado, de acuerdo con I</w:t>
      </w:r>
      <w:r>
        <w:rPr>
          <w:i/>
          <w:sz w:val="16"/>
        </w:rPr>
        <w:t>nternational MonetaryFound</w:t>
      </w:r>
      <w:r>
        <w:rPr>
          <w:sz w:val="16"/>
        </w:rPr>
        <w:t>, </w:t>
      </w:r>
      <w:r>
        <w:rPr>
          <w:i/>
          <w:sz w:val="16"/>
        </w:rPr>
        <w:t>WorldEconomic Outlook Database, </w:t>
      </w:r>
      <w:r>
        <w:rPr>
          <w:i/>
          <w:sz w:val="16"/>
        </w:rPr>
        <w:t>September 2011, </w:t>
      </w:r>
      <w:r>
        <w:rPr>
          <w:sz w:val="16"/>
        </w:rPr>
        <w:t>es que los países se posicionaron en las primeras 15 economías con el mayor del Producto Interno Bruto mundial 2011 (Estados Unidos, en la posición primera, Alemania en la cuarta, Reino Unido en la séptima, España en la decimoprimera y México en la decimocuarta).</w:t>
      </w:r>
    </w:p>
    <w:p>
      <w:pPr>
        <w:spacing w:after="0" w:line="244" w:lineRule="auto"/>
        <w:jc w:val="both"/>
        <w:rPr>
          <w:sz w:val="16"/>
        </w:rPr>
        <w:sectPr>
          <w:pgSz w:w="12240" w:h="15840"/>
          <w:pgMar w:header="0" w:footer="998" w:top="1360" w:bottom="1180" w:left="1580" w:right="1580"/>
        </w:sectPr>
      </w:pPr>
    </w:p>
    <w:p>
      <w:pPr>
        <w:pStyle w:val="BodyText"/>
        <w:spacing w:line="360" w:lineRule="auto" w:before="55"/>
        <w:ind w:left="120" w:right="101"/>
        <w:jc w:val="both"/>
        <w:rPr>
          <w:b/>
        </w:rPr>
      </w:pPr>
      <w:r>
        <w:rPr/>
        <w:t>sociedad</w:t>
      </w:r>
      <w:r>
        <w:rPr>
          <w:spacing w:val="-8"/>
        </w:rPr>
        <w:t> </w:t>
      </w:r>
      <w:r>
        <w:rPr/>
        <w:t>(Easton,</w:t>
      </w:r>
      <w:r>
        <w:rPr>
          <w:spacing w:val="-5"/>
        </w:rPr>
        <w:t> </w:t>
      </w:r>
      <w:r>
        <w:rPr/>
        <w:t>1999:</w:t>
      </w:r>
      <w:r>
        <w:rPr>
          <w:spacing w:val="-5"/>
        </w:rPr>
        <w:t> </w:t>
      </w:r>
      <w:r>
        <w:rPr/>
        <w:t>88</w:t>
      </w:r>
      <w:r>
        <w:rPr>
          <w:spacing w:val="-4"/>
        </w:rPr>
        <w:t> </w:t>
      </w:r>
      <w:r>
        <w:rPr/>
        <w:t>y</w:t>
      </w:r>
      <w:r>
        <w:rPr>
          <w:spacing w:val="-10"/>
        </w:rPr>
        <w:t> </w:t>
      </w:r>
      <w:r>
        <w:rPr/>
        <w:t>90).</w:t>
      </w:r>
      <w:r>
        <w:rPr>
          <w:spacing w:val="-5"/>
        </w:rPr>
        <w:t> </w:t>
      </w:r>
      <w:r>
        <w:rPr/>
        <w:t>En</w:t>
      </w:r>
      <w:r>
        <w:rPr>
          <w:spacing w:val="-4"/>
        </w:rPr>
        <w:t> </w:t>
      </w:r>
      <w:r>
        <w:rPr/>
        <w:t>la</w:t>
      </w:r>
      <w:r>
        <w:rPr>
          <w:spacing w:val="-8"/>
        </w:rPr>
        <w:t> </w:t>
      </w:r>
      <w:r>
        <w:rPr/>
        <w:t>actualidad,</w:t>
      </w:r>
      <w:r>
        <w:rPr>
          <w:spacing w:val="-5"/>
        </w:rPr>
        <w:t> </w:t>
      </w:r>
      <w:r>
        <w:rPr/>
        <w:t>la</w:t>
      </w:r>
      <w:r>
        <w:rPr>
          <w:spacing w:val="-4"/>
        </w:rPr>
        <w:t> </w:t>
      </w:r>
      <w:r>
        <w:rPr/>
        <w:t>definición</w:t>
      </w:r>
      <w:r>
        <w:rPr>
          <w:spacing w:val="-8"/>
        </w:rPr>
        <w:t> </w:t>
      </w:r>
      <w:r>
        <w:rPr/>
        <w:t>del</w:t>
      </w:r>
      <w:r>
        <w:rPr>
          <w:spacing w:val="-7"/>
        </w:rPr>
        <w:t> </w:t>
      </w:r>
      <w:r>
        <w:rPr/>
        <w:t>sistema</w:t>
      </w:r>
      <w:r>
        <w:rPr>
          <w:spacing w:val="-4"/>
        </w:rPr>
        <w:t> </w:t>
      </w:r>
      <w:r>
        <w:rPr/>
        <w:t>político sigue considerando el planteamiento de Easton, </w:t>
      </w:r>
      <w:r>
        <w:rPr>
          <w:spacing w:val="-3"/>
        </w:rPr>
        <w:t>ya </w:t>
      </w:r>
      <w:r>
        <w:rPr/>
        <w:t>que la interacción de las instituciones y los procesos políticos tienen influencia recíproca con el medio. Lo anterior hace necesaria la intervención del Estado para el logro de los objetivos (atención de demandas sociales), la movilización de recursos, la normativa y la interacción entre el Estado y la sociedad (Espinoza,</w:t>
      </w:r>
      <w:r>
        <w:rPr>
          <w:spacing w:val="-25"/>
        </w:rPr>
        <w:t> </w:t>
      </w:r>
      <w:r>
        <w:rPr/>
        <w:t>2010)</w:t>
      </w:r>
      <w:r>
        <w:rPr>
          <w:b/>
        </w:rPr>
        <w:t>.</w:t>
      </w:r>
    </w:p>
    <w:p>
      <w:pPr>
        <w:pStyle w:val="BodyText"/>
        <w:spacing w:line="360" w:lineRule="auto" w:before="6"/>
        <w:ind w:left="120" w:right="102" w:firstLine="427"/>
        <w:jc w:val="both"/>
      </w:pPr>
      <w:r>
        <w:rPr/>
        <w:t>El estudio del sistema político se orienta al análisis del conjunto de valores sociales e instituciones, y los procesos políticos que rigen y conforman la vida política de una nación. Prácticamente todo sistema se concreta en un pacto social denominado constitución, que le da identidad al régimen político</w:t>
      </w:r>
      <w:r>
        <w:rPr>
          <w:position w:val="8"/>
          <w:sz w:val="16"/>
        </w:rPr>
        <w:t>67 </w:t>
      </w:r>
      <w:r>
        <w:rPr/>
        <w:t>y su estudio dio origen al constitucionalismo, a excepción del sistema inglés.</w:t>
      </w:r>
    </w:p>
    <w:p>
      <w:pPr>
        <w:pStyle w:val="BodyText"/>
        <w:spacing w:line="360" w:lineRule="auto" w:before="5"/>
        <w:ind w:left="120" w:right="99" w:firstLine="427"/>
        <w:jc w:val="both"/>
      </w:pPr>
      <w:r>
        <w:rPr/>
        <w:t>El constitucionalismo es considerado la expresión de la política del Estado democrático, el cual tiene, entre otras características, limitar el poder público y asegurar los derechos fundamentales de las personas (libertad e igualdad). El constitucionalismo democrático es el régimen político y jurídico de un Estado, en el que además de establecer límites al poder, los órganos de gobierno se vuelven populares al expresar (al menos en la constitución) el principio de gobierno del pueblo. Se considera que la democracia representativa es la forma actual de presentar las decisiones de los ciudadanos.</w:t>
      </w:r>
    </w:p>
    <w:p>
      <w:pPr>
        <w:pStyle w:val="BodyText"/>
        <w:spacing w:line="360" w:lineRule="auto" w:before="6"/>
        <w:ind w:left="120" w:right="99" w:firstLine="427"/>
        <w:jc w:val="both"/>
      </w:pPr>
      <w:r>
        <w:rPr/>
        <w:t>Actualmente, los Estados son considerados Estados-nación, ya que cuentan con un territorio delimitado, una población y gobierno. Existen varias formas de organización del Estado, las cuales corresponden a la historia e idiosincrasia de cada país. El régimen constitucional democrático es la forma de organización del poder, que puede adquirir tres modalidades: el presidencial, el parlamentario y el mixto (híbrido, semiparlamentario o semipresidencial), los cuales tienen las características siguientes: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8032;mso-wrap-distance-left:0;mso-wrap-distance-right:0" from="85.025002pt,10.258794pt" to="229.075002pt,10.258794pt" stroked="true" strokeweight=".79999pt" strokecolor="#000000">
            <w10:wrap type="topAndBottom"/>
          </v:line>
        </w:pict>
      </w:r>
    </w:p>
    <w:p>
      <w:pPr>
        <w:spacing w:line="254" w:lineRule="auto" w:before="60"/>
        <w:ind w:left="120" w:right="132" w:firstLine="0"/>
        <w:jc w:val="left"/>
        <w:rPr>
          <w:sz w:val="16"/>
        </w:rPr>
      </w:pPr>
      <w:r>
        <w:rPr>
          <w:rFonts w:ascii="Times New Roman" w:hAnsi="Times New Roman"/>
          <w:position w:val="7"/>
          <w:sz w:val="13"/>
        </w:rPr>
        <w:t>67</w:t>
      </w:r>
      <w:r>
        <w:rPr>
          <w:sz w:val="16"/>
        </w:rPr>
        <w:t>Alexis de Toque ville consideró que los regímenes políticos se desquebrajan, no al ser autoritarios, sino al apertura se, ya que esto evidencia sus deficiencias. FnGM (2012: 12).</w:t>
      </w:r>
    </w:p>
    <w:p>
      <w:pPr>
        <w:spacing w:line="173" w:lineRule="exact" w:before="0"/>
        <w:ind w:left="120" w:right="132" w:firstLine="0"/>
        <w:jc w:val="left"/>
        <w:rPr>
          <w:sz w:val="16"/>
        </w:rPr>
      </w:pPr>
      <w:r>
        <w:rPr>
          <w:sz w:val="16"/>
        </w:rPr>
        <w:t>Disponible en: </w:t>
      </w:r>
      <w:hyperlink r:id="rId34">
        <w:r>
          <w:rPr>
            <w:sz w:val="16"/>
          </w:rPr>
          <w:t>http://www.world-governance.org/IMG/pdf_862_AB_GM_Communs_et_gouvernance_mondiale_ES-3.pdf</w:t>
        </w:r>
      </w:hyperlink>
    </w:p>
    <w:p>
      <w:pPr>
        <w:spacing w:before="0"/>
        <w:ind w:left="120" w:right="132" w:firstLine="0"/>
        <w:jc w:val="left"/>
        <w:rPr>
          <w:sz w:val="16"/>
        </w:rPr>
      </w:pPr>
      <w:r>
        <w:rPr>
          <w:sz w:val="16"/>
        </w:rPr>
        <w:t>[Fecha de consulta: 20 de agosto, 2015].</w:t>
      </w:r>
    </w:p>
    <w:p>
      <w:pPr>
        <w:spacing w:after="0"/>
        <w:jc w:val="left"/>
        <w:rPr>
          <w:sz w:val="16"/>
        </w:rPr>
        <w:sectPr>
          <w:pgSz w:w="12240" w:h="15840"/>
          <w:pgMar w:header="0" w:footer="998" w:top="1360" w:bottom="1180" w:left="1580" w:right="1600"/>
        </w:sectPr>
      </w:pPr>
    </w:p>
    <w:p>
      <w:pPr>
        <w:spacing w:before="53"/>
        <w:ind w:left="1577" w:right="0" w:firstLine="0"/>
        <w:jc w:val="left"/>
        <w:rPr>
          <w:sz w:val="20"/>
        </w:rPr>
      </w:pPr>
      <w:bookmarkStart w:name="_bookmark57" w:id="77"/>
      <w:bookmarkEnd w:id="77"/>
      <w:r>
        <w:rPr/>
      </w:r>
      <w:r>
        <w:rPr>
          <w:sz w:val="20"/>
        </w:rPr>
        <w:t>Cuadro 3. 1. Características principales de los regímenes políticos</w:t>
      </w:r>
    </w:p>
    <w:p>
      <w:pPr>
        <w:pStyle w:val="BodyText"/>
        <w:spacing w:before="10"/>
        <w:rPr>
          <w:sz w:val="17"/>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00"/>
        <w:gridCol w:w="2130"/>
        <w:gridCol w:w="3117"/>
        <w:gridCol w:w="2694"/>
      </w:tblGrid>
      <w:tr>
        <w:trPr>
          <w:trHeight w:val="768" w:hRule="exact"/>
        </w:trPr>
        <w:tc>
          <w:tcPr>
            <w:tcW w:w="1100" w:type="dxa"/>
            <w:tcBorders>
              <w:top w:val="single" w:sz="11" w:space="0" w:color="BEBEBE"/>
              <w:left w:val="single" w:sz="11" w:space="0" w:color="BEBEBE"/>
              <w:bottom w:val="single" w:sz="11" w:space="0" w:color="BEBEBE"/>
              <w:right w:val="single" w:sz="11" w:space="0" w:color="BEBEBE"/>
            </w:tcBorders>
          </w:tcPr>
          <w:p>
            <w:pPr>
              <w:pStyle w:val="TableParagraph"/>
              <w:spacing w:before="8"/>
              <w:rPr>
                <w:sz w:val="15"/>
              </w:rPr>
            </w:pPr>
          </w:p>
          <w:p>
            <w:pPr>
              <w:pStyle w:val="TableParagraph"/>
              <w:spacing w:line="273" w:lineRule="auto"/>
              <w:ind w:left="287" w:right="218" w:hanging="44"/>
              <w:rPr>
                <w:b/>
                <w:sz w:val="14"/>
              </w:rPr>
            </w:pPr>
            <w:r>
              <w:rPr>
                <w:b/>
                <w:sz w:val="14"/>
              </w:rPr>
              <w:t>Régimen político</w:t>
            </w:r>
          </w:p>
        </w:tc>
        <w:tc>
          <w:tcPr>
            <w:tcW w:w="2130"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spacing w:before="123"/>
              <w:ind w:left="640"/>
              <w:rPr>
                <w:b/>
                <w:sz w:val="14"/>
              </w:rPr>
            </w:pPr>
            <w:r>
              <w:rPr>
                <w:b/>
                <w:sz w:val="14"/>
              </w:rPr>
              <w:t>Presidencial</w:t>
            </w:r>
          </w:p>
        </w:tc>
        <w:tc>
          <w:tcPr>
            <w:tcW w:w="3117"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spacing w:before="123"/>
              <w:ind w:left="1057" w:right="1058"/>
              <w:jc w:val="center"/>
              <w:rPr>
                <w:b/>
                <w:sz w:val="14"/>
              </w:rPr>
            </w:pPr>
            <w:r>
              <w:rPr>
                <w:b/>
                <w:sz w:val="14"/>
              </w:rPr>
              <w:t>Parlamentario</w:t>
            </w:r>
          </w:p>
        </w:tc>
        <w:tc>
          <w:tcPr>
            <w:tcW w:w="2694"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spacing w:before="113"/>
              <w:ind w:left="811"/>
              <w:rPr>
                <w:rFonts w:ascii="Calibri" w:hAnsi="Calibri"/>
                <w:sz w:val="14"/>
              </w:rPr>
            </w:pPr>
            <w:r>
              <w:rPr>
                <w:b/>
                <w:sz w:val="14"/>
              </w:rPr>
              <w:t>Mixto (híbrido)</w:t>
            </w:r>
            <w:r>
              <w:rPr>
                <w:rFonts w:ascii="Calibri" w:hAnsi="Calibri"/>
                <w:sz w:val="14"/>
              </w:rPr>
              <w:t>*</w:t>
            </w:r>
          </w:p>
        </w:tc>
      </w:tr>
      <w:tr>
        <w:trPr>
          <w:trHeight w:val="666" w:hRule="exact"/>
        </w:trPr>
        <w:tc>
          <w:tcPr>
            <w:tcW w:w="1100" w:type="dxa"/>
            <w:tcBorders>
              <w:top w:val="single" w:sz="11" w:space="0" w:color="BEBEBE"/>
              <w:left w:val="single" w:sz="11" w:space="0" w:color="BEBEBE"/>
              <w:bottom w:val="single" w:sz="11" w:space="0" w:color="BEBEBE"/>
              <w:right w:val="single" w:sz="11" w:space="0" w:color="BEBEBE"/>
            </w:tcBorders>
          </w:tcPr>
          <w:p>
            <w:pPr>
              <w:pStyle w:val="TableParagraph"/>
              <w:spacing w:before="6"/>
              <w:rPr>
                <w:sz w:val="20"/>
              </w:rPr>
            </w:pPr>
          </w:p>
          <w:p>
            <w:pPr>
              <w:pStyle w:val="TableParagraph"/>
              <w:ind w:left="114" w:right="115"/>
              <w:jc w:val="center"/>
              <w:rPr>
                <w:b/>
                <w:sz w:val="14"/>
              </w:rPr>
            </w:pPr>
            <w:r>
              <w:rPr>
                <w:b/>
                <w:sz w:val="14"/>
              </w:rPr>
              <w:t>Semejanzas</w:t>
            </w:r>
          </w:p>
        </w:tc>
        <w:tc>
          <w:tcPr>
            <w:tcW w:w="7941" w:type="dxa"/>
            <w:gridSpan w:val="3"/>
            <w:tcBorders>
              <w:top w:val="single" w:sz="11" w:space="0" w:color="BEBEBE"/>
              <w:left w:val="single" w:sz="11" w:space="0" w:color="BEBEBE"/>
            </w:tcBorders>
          </w:tcPr>
          <w:p>
            <w:pPr>
              <w:pStyle w:val="TableParagraph"/>
              <w:spacing w:line="160" w:lineRule="exact"/>
              <w:ind w:left="1972" w:right="2788"/>
              <w:rPr>
                <w:sz w:val="14"/>
              </w:rPr>
            </w:pPr>
            <w:r>
              <w:rPr>
                <w:sz w:val="14"/>
              </w:rPr>
              <w:t>División de poderes:</w:t>
            </w:r>
          </w:p>
          <w:p>
            <w:pPr>
              <w:pStyle w:val="TableParagraph"/>
              <w:ind w:left="1972" w:right="2788"/>
              <w:rPr>
                <w:sz w:val="14"/>
              </w:rPr>
            </w:pPr>
            <w:r>
              <w:rPr>
                <w:sz w:val="14"/>
              </w:rPr>
              <w:t>Poder Ejecutivo: Presidente o primer ministro Poder Legislativo: Dos cámaras</w:t>
            </w:r>
          </w:p>
          <w:p>
            <w:pPr>
              <w:pStyle w:val="TableParagraph"/>
              <w:spacing w:before="3"/>
              <w:ind w:left="1972"/>
              <w:rPr>
                <w:sz w:val="14"/>
              </w:rPr>
            </w:pPr>
            <w:r>
              <w:rPr>
                <w:sz w:val="14"/>
              </w:rPr>
              <w:t>Poder Judicial: Resuelve en caso de controversias.</w:t>
            </w:r>
          </w:p>
        </w:tc>
      </w:tr>
      <w:tr>
        <w:trPr>
          <w:trHeight w:val="400" w:hRule="exact"/>
        </w:trPr>
        <w:tc>
          <w:tcPr>
            <w:tcW w:w="1100" w:type="dxa"/>
            <w:tcBorders>
              <w:top w:val="single" w:sz="11" w:space="0" w:color="BEBEBE"/>
              <w:left w:val="single" w:sz="11" w:space="0" w:color="BEBEBE"/>
              <w:bottom w:val="single" w:sz="11" w:space="0" w:color="BEBEBE"/>
              <w:right w:val="single" w:sz="11" w:space="0" w:color="BEBEBE"/>
            </w:tcBorders>
          </w:tcPr>
          <w:p>
            <w:pPr>
              <w:pStyle w:val="TableParagraph"/>
              <w:spacing w:before="98"/>
              <w:ind w:left="114" w:right="114"/>
              <w:jc w:val="center"/>
              <w:rPr>
                <w:b/>
                <w:sz w:val="14"/>
              </w:rPr>
            </w:pPr>
            <w:r>
              <w:rPr>
                <w:b/>
                <w:sz w:val="14"/>
              </w:rPr>
              <w:t>Origen</w:t>
            </w:r>
          </w:p>
        </w:tc>
        <w:tc>
          <w:tcPr>
            <w:tcW w:w="2130" w:type="dxa"/>
            <w:tcBorders>
              <w:left w:val="single" w:sz="11" w:space="0" w:color="BEBEBE"/>
            </w:tcBorders>
          </w:tcPr>
          <w:p>
            <w:pPr>
              <w:pStyle w:val="TableParagraph"/>
              <w:spacing w:line="280" w:lineRule="auto" w:before="16"/>
              <w:ind w:left="96" w:right="860"/>
              <w:rPr>
                <w:sz w:val="14"/>
              </w:rPr>
            </w:pPr>
            <w:r>
              <w:rPr>
                <w:sz w:val="14"/>
              </w:rPr>
              <w:t>Reino Unido (siglos XIII y XIV)</w:t>
            </w:r>
          </w:p>
        </w:tc>
        <w:tc>
          <w:tcPr>
            <w:tcW w:w="3117" w:type="dxa"/>
          </w:tcPr>
          <w:p>
            <w:pPr>
              <w:pStyle w:val="TableParagraph"/>
              <w:spacing w:line="244" w:lineRule="auto" w:before="16"/>
              <w:ind w:left="104" w:right="1686"/>
              <w:rPr>
                <w:sz w:val="14"/>
              </w:rPr>
            </w:pPr>
            <w:r>
              <w:rPr>
                <w:sz w:val="14"/>
              </w:rPr>
              <w:t>Estados Unidos (Siglo XVIII)</w:t>
            </w:r>
          </w:p>
        </w:tc>
        <w:tc>
          <w:tcPr>
            <w:tcW w:w="2694" w:type="dxa"/>
          </w:tcPr>
          <w:p>
            <w:pPr>
              <w:pStyle w:val="TableParagraph"/>
              <w:spacing w:line="280" w:lineRule="auto" w:before="16"/>
              <w:ind w:left="104" w:right="1777"/>
              <w:rPr>
                <w:sz w:val="14"/>
              </w:rPr>
            </w:pPr>
            <w:r>
              <w:rPr>
                <w:sz w:val="14"/>
              </w:rPr>
              <w:t>Francia (Siglo XX)</w:t>
            </w:r>
          </w:p>
        </w:tc>
      </w:tr>
      <w:tr>
        <w:trPr>
          <w:trHeight w:val="584" w:hRule="exact"/>
        </w:trPr>
        <w:tc>
          <w:tcPr>
            <w:tcW w:w="1100" w:type="dxa"/>
            <w:tcBorders>
              <w:top w:val="single" w:sz="11" w:space="0" w:color="BEBEBE"/>
              <w:left w:val="single" w:sz="11" w:space="0" w:color="BEBEBE"/>
              <w:bottom w:val="single" w:sz="11" w:space="0" w:color="BEBEBE"/>
              <w:right w:val="single" w:sz="11" w:space="0" w:color="BEBEBE"/>
            </w:tcBorders>
          </w:tcPr>
          <w:p>
            <w:pPr>
              <w:pStyle w:val="TableParagraph"/>
              <w:spacing w:before="7"/>
              <w:rPr>
                <w:sz w:val="17"/>
              </w:rPr>
            </w:pPr>
          </w:p>
          <w:p>
            <w:pPr>
              <w:pStyle w:val="TableParagraph"/>
              <w:ind w:left="114" w:right="114"/>
              <w:jc w:val="center"/>
              <w:rPr>
                <w:b/>
                <w:sz w:val="14"/>
              </w:rPr>
            </w:pPr>
            <w:r>
              <w:rPr>
                <w:b/>
                <w:sz w:val="14"/>
              </w:rPr>
              <w:t>Soberanía</w:t>
            </w:r>
          </w:p>
        </w:tc>
        <w:tc>
          <w:tcPr>
            <w:tcW w:w="2130" w:type="dxa"/>
            <w:tcBorders>
              <w:left w:val="single" w:sz="11" w:space="0" w:color="BEBEBE"/>
            </w:tcBorders>
          </w:tcPr>
          <w:p>
            <w:pPr>
              <w:pStyle w:val="TableParagraph"/>
              <w:spacing w:before="16"/>
              <w:ind w:left="96" w:right="860"/>
              <w:rPr>
                <w:sz w:val="14"/>
              </w:rPr>
            </w:pPr>
            <w:r>
              <w:rPr>
                <w:sz w:val="14"/>
              </w:rPr>
              <w:t>El presidente</w:t>
            </w:r>
          </w:p>
          <w:p>
            <w:pPr>
              <w:pStyle w:val="TableParagraph"/>
              <w:spacing w:before="3"/>
              <w:ind w:left="96" w:right="711"/>
              <w:rPr>
                <w:sz w:val="14"/>
              </w:rPr>
            </w:pPr>
            <w:r>
              <w:rPr>
                <w:sz w:val="14"/>
              </w:rPr>
              <w:t>(Jefe de Estado y de gobierno).</w:t>
            </w:r>
          </w:p>
        </w:tc>
        <w:tc>
          <w:tcPr>
            <w:tcW w:w="3117" w:type="dxa"/>
          </w:tcPr>
          <w:p>
            <w:pPr>
              <w:pStyle w:val="TableParagraph"/>
              <w:spacing w:before="16"/>
              <w:ind w:left="104" w:right="28"/>
              <w:rPr>
                <w:sz w:val="14"/>
              </w:rPr>
            </w:pPr>
            <w:r>
              <w:rPr>
                <w:sz w:val="14"/>
              </w:rPr>
              <w:t>El parlamento.</w:t>
            </w:r>
          </w:p>
        </w:tc>
        <w:tc>
          <w:tcPr>
            <w:tcW w:w="2694" w:type="dxa"/>
          </w:tcPr>
          <w:p>
            <w:pPr>
              <w:pStyle w:val="TableParagraph"/>
              <w:spacing w:line="278" w:lineRule="auto" w:before="16"/>
              <w:ind w:left="104" w:right="103"/>
              <w:jc w:val="both"/>
              <w:rPr>
                <w:sz w:val="14"/>
              </w:rPr>
            </w:pPr>
            <w:r>
              <w:rPr>
                <w:sz w:val="14"/>
              </w:rPr>
              <w:t>El Presidente (jefe de Estado) y el parlamento (con facultad de cambiar el gobierno).</w:t>
            </w:r>
          </w:p>
        </w:tc>
      </w:tr>
      <w:tr>
        <w:trPr>
          <w:trHeight w:val="2252" w:hRule="exact"/>
        </w:trPr>
        <w:tc>
          <w:tcPr>
            <w:tcW w:w="1100"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20"/>
              </w:rPr>
            </w:pPr>
          </w:p>
          <w:p>
            <w:pPr>
              <w:pStyle w:val="TableParagraph"/>
              <w:ind w:left="114" w:right="114"/>
              <w:jc w:val="center"/>
              <w:rPr>
                <w:b/>
                <w:sz w:val="14"/>
              </w:rPr>
            </w:pPr>
            <w:r>
              <w:rPr>
                <w:b/>
                <w:sz w:val="14"/>
              </w:rPr>
              <w:t>Estado</w:t>
            </w:r>
          </w:p>
        </w:tc>
        <w:tc>
          <w:tcPr>
            <w:tcW w:w="2130" w:type="dxa"/>
            <w:tcBorders>
              <w:left w:val="single" w:sz="11" w:space="0" w:color="BEBEBE"/>
            </w:tcBorders>
          </w:tcPr>
          <w:p>
            <w:pPr>
              <w:pStyle w:val="TableParagraph"/>
              <w:spacing w:line="276" w:lineRule="auto" w:before="20"/>
              <w:ind w:left="96" w:right="101"/>
              <w:jc w:val="both"/>
              <w:rPr>
                <w:sz w:val="14"/>
              </w:rPr>
            </w:pPr>
            <w:r>
              <w:rPr>
                <w:sz w:val="14"/>
              </w:rPr>
              <w:t>El Poder Ejecutivo </w:t>
            </w:r>
            <w:r>
              <w:rPr>
                <w:spacing w:val="-3"/>
                <w:sz w:val="14"/>
              </w:rPr>
              <w:t>es </w:t>
            </w:r>
            <w:r>
              <w:rPr>
                <w:sz w:val="14"/>
              </w:rPr>
              <w:t>unipersonal, por un presidente elegido</w:t>
            </w:r>
            <w:r>
              <w:rPr>
                <w:spacing w:val="-29"/>
                <w:sz w:val="14"/>
              </w:rPr>
              <w:t> </w:t>
            </w:r>
            <w:r>
              <w:rPr>
                <w:sz w:val="14"/>
              </w:rPr>
              <w:t>con base </w:t>
            </w:r>
            <w:r>
              <w:rPr>
                <w:spacing w:val="-3"/>
                <w:sz w:val="14"/>
              </w:rPr>
              <w:t>en </w:t>
            </w:r>
            <w:r>
              <w:rPr>
                <w:sz w:val="14"/>
              </w:rPr>
              <w:t>el sufragio universal.</w:t>
            </w:r>
          </w:p>
          <w:p>
            <w:pPr>
              <w:pStyle w:val="TableParagraph"/>
              <w:spacing w:line="276" w:lineRule="auto"/>
              <w:ind w:left="96" w:right="109"/>
              <w:jc w:val="both"/>
              <w:rPr>
                <w:sz w:val="14"/>
              </w:rPr>
            </w:pPr>
            <w:r>
              <w:rPr>
                <w:sz w:val="14"/>
              </w:rPr>
              <w:t>La elección del presidente es directa o semidirecta.</w:t>
            </w:r>
          </w:p>
          <w:p>
            <w:pPr>
              <w:pStyle w:val="TableParagraph"/>
              <w:spacing w:line="280" w:lineRule="auto"/>
              <w:ind w:left="96" w:right="106"/>
              <w:jc w:val="both"/>
              <w:rPr>
                <w:sz w:val="14"/>
              </w:rPr>
            </w:pPr>
            <w:r>
              <w:rPr>
                <w:sz w:val="14"/>
              </w:rPr>
              <w:t>El presidente designa a su gabinete.</w:t>
            </w:r>
          </w:p>
        </w:tc>
        <w:tc>
          <w:tcPr>
            <w:tcW w:w="3117" w:type="dxa"/>
          </w:tcPr>
          <w:p>
            <w:pPr>
              <w:pStyle w:val="TableParagraph"/>
              <w:spacing w:before="20"/>
              <w:ind w:left="104" w:right="100"/>
              <w:jc w:val="both"/>
              <w:rPr>
                <w:sz w:val="14"/>
              </w:rPr>
            </w:pPr>
            <w:r>
              <w:rPr>
                <w:sz w:val="14"/>
              </w:rPr>
              <w:t>El Poder Ejecutivo se integra por el jefe de Estado (el rey) y el jefe de gobierno (el presidente).</w:t>
            </w:r>
          </w:p>
          <w:p>
            <w:pPr>
              <w:pStyle w:val="TableParagraph"/>
              <w:spacing w:before="3"/>
              <w:ind w:left="104" w:right="99"/>
              <w:jc w:val="both"/>
              <w:rPr>
                <w:sz w:val="14"/>
              </w:rPr>
            </w:pPr>
            <w:r>
              <w:rPr>
                <w:sz w:val="14"/>
              </w:rPr>
              <w:t>Tanto el jefe de Estado como de gobierno pueden ser removidos por el parlamento.</w:t>
            </w:r>
          </w:p>
          <w:p>
            <w:pPr>
              <w:pStyle w:val="TableParagraph"/>
              <w:ind w:left="104" w:right="99"/>
              <w:jc w:val="both"/>
              <w:rPr>
                <w:sz w:val="14"/>
              </w:rPr>
            </w:pPr>
            <w:r>
              <w:rPr>
                <w:sz w:val="14"/>
              </w:rPr>
              <w:t>Tanto el Poder Ejecutivo como el Legislativo están mezclados (se comparten).</w:t>
            </w:r>
          </w:p>
          <w:p>
            <w:pPr>
              <w:pStyle w:val="TableParagraph"/>
              <w:spacing w:before="3"/>
              <w:ind w:left="104" w:right="99"/>
              <w:jc w:val="both"/>
              <w:rPr>
                <w:sz w:val="14"/>
              </w:rPr>
            </w:pPr>
            <w:r>
              <w:rPr>
                <w:sz w:val="14"/>
              </w:rPr>
              <w:t>El</w:t>
            </w:r>
            <w:r>
              <w:rPr>
                <w:spacing w:val="-10"/>
                <w:sz w:val="14"/>
              </w:rPr>
              <w:t> </w:t>
            </w:r>
            <w:r>
              <w:rPr>
                <w:sz w:val="14"/>
              </w:rPr>
              <w:t>Estado</w:t>
            </w:r>
            <w:r>
              <w:rPr>
                <w:spacing w:val="-9"/>
                <w:sz w:val="14"/>
              </w:rPr>
              <w:t> </w:t>
            </w:r>
            <w:r>
              <w:rPr>
                <w:sz w:val="14"/>
              </w:rPr>
              <w:t>está</w:t>
            </w:r>
            <w:r>
              <w:rPr>
                <w:spacing w:val="-9"/>
                <w:sz w:val="14"/>
              </w:rPr>
              <w:t> </w:t>
            </w:r>
            <w:r>
              <w:rPr>
                <w:sz w:val="14"/>
              </w:rPr>
              <w:t>dirigido</w:t>
            </w:r>
            <w:r>
              <w:rPr>
                <w:spacing w:val="-9"/>
                <w:sz w:val="14"/>
              </w:rPr>
              <w:t> </w:t>
            </w:r>
            <w:r>
              <w:rPr>
                <w:sz w:val="14"/>
              </w:rPr>
              <w:t>por</w:t>
            </w:r>
            <w:r>
              <w:rPr>
                <w:spacing w:val="-7"/>
                <w:sz w:val="14"/>
              </w:rPr>
              <w:t> </w:t>
            </w:r>
            <w:r>
              <w:rPr>
                <w:sz w:val="14"/>
              </w:rPr>
              <w:t>el</w:t>
            </w:r>
            <w:r>
              <w:rPr>
                <w:spacing w:val="-10"/>
                <w:sz w:val="14"/>
              </w:rPr>
              <w:t> </w:t>
            </w:r>
            <w:r>
              <w:rPr>
                <w:sz w:val="14"/>
              </w:rPr>
              <w:t>parlamento,</w:t>
            </w:r>
            <w:r>
              <w:rPr>
                <w:spacing w:val="-7"/>
                <w:sz w:val="14"/>
              </w:rPr>
              <w:t> </w:t>
            </w:r>
            <w:r>
              <w:rPr>
                <w:sz w:val="14"/>
              </w:rPr>
              <w:t>por</w:t>
            </w:r>
            <w:r>
              <w:rPr>
                <w:spacing w:val="-7"/>
                <w:sz w:val="14"/>
              </w:rPr>
              <w:t> </w:t>
            </w:r>
            <w:r>
              <w:rPr>
                <w:sz w:val="14"/>
              </w:rPr>
              <w:t>lo que el gobierno y su permanencia dependen del parlamento. El parlamento </w:t>
            </w:r>
            <w:r>
              <w:rPr>
                <w:spacing w:val="-3"/>
                <w:sz w:val="14"/>
              </w:rPr>
              <w:t>es </w:t>
            </w:r>
            <w:r>
              <w:rPr>
                <w:sz w:val="14"/>
              </w:rPr>
              <w:t>exclusivo en la dirección de la</w:t>
            </w:r>
            <w:r>
              <w:rPr>
                <w:spacing w:val="-22"/>
                <w:sz w:val="14"/>
              </w:rPr>
              <w:t> </w:t>
            </w:r>
            <w:r>
              <w:rPr>
                <w:sz w:val="14"/>
              </w:rPr>
              <w:t>política.</w:t>
            </w:r>
          </w:p>
        </w:tc>
        <w:tc>
          <w:tcPr>
            <w:tcW w:w="2694" w:type="dxa"/>
          </w:tcPr>
          <w:p>
            <w:pPr>
              <w:pStyle w:val="TableParagraph"/>
              <w:spacing w:line="276" w:lineRule="auto" w:before="20"/>
              <w:ind w:left="104" w:right="102"/>
              <w:jc w:val="both"/>
              <w:rPr>
                <w:sz w:val="14"/>
              </w:rPr>
            </w:pPr>
            <w:r>
              <w:rPr>
                <w:sz w:val="14"/>
              </w:rPr>
              <w:t>El Poder Ejecutivo </w:t>
            </w:r>
            <w:r>
              <w:rPr>
                <w:spacing w:val="2"/>
                <w:sz w:val="14"/>
              </w:rPr>
              <w:t>se </w:t>
            </w:r>
            <w:r>
              <w:rPr>
                <w:sz w:val="14"/>
              </w:rPr>
              <w:t>divide en presidente (jefe de Estado) electo de manera</w:t>
            </w:r>
            <w:r>
              <w:rPr>
                <w:spacing w:val="-10"/>
                <w:sz w:val="14"/>
              </w:rPr>
              <w:t> </w:t>
            </w:r>
            <w:r>
              <w:rPr>
                <w:sz w:val="14"/>
              </w:rPr>
              <w:t>directa</w:t>
            </w:r>
            <w:r>
              <w:rPr>
                <w:spacing w:val="-10"/>
                <w:sz w:val="14"/>
              </w:rPr>
              <w:t> </w:t>
            </w:r>
            <w:r>
              <w:rPr>
                <w:sz w:val="14"/>
              </w:rPr>
              <w:t>y</w:t>
            </w:r>
            <w:r>
              <w:rPr>
                <w:spacing w:val="-10"/>
                <w:sz w:val="14"/>
              </w:rPr>
              <w:t> </w:t>
            </w:r>
            <w:r>
              <w:rPr>
                <w:sz w:val="14"/>
              </w:rPr>
              <w:t>un</w:t>
            </w:r>
            <w:r>
              <w:rPr>
                <w:spacing w:val="-6"/>
                <w:sz w:val="14"/>
              </w:rPr>
              <w:t> </w:t>
            </w:r>
            <w:r>
              <w:rPr>
                <w:sz w:val="14"/>
              </w:rPr>
              <w:t>primer</w:t>
            </w:r>
            <w:r>
              <w:rPr>
                <w:spacing w:val="-3"/>
                <w:sz w:val="14"/>
              </w:rPr>
              <w:t> </w:t>
            </w:r>
            <w:r>
              <w:rPr>
                <w:sz w:val="14"/>
              </w:rPr>
              <w:t>ministro</w:t>
            </w:r>
            <w:r>
              <w:rPr>
                <w:spacing w:val="-14"/>
                <w:sz w:val="14"/>
              </w:rPr>
              <w:t> </w:t>
            </w:r>
            <w:r>
              <w:rPr>
                <w:sz w:val="14"/>
              </w:rPr>
              <w:t>(jefe de gobierno), nombrado por el parlamento.</w:t>
            </w:r>
          </w:p>
          <w:p>
            <w:pPr>
              <w:pStyle w:val="TableParagraph"/>
              <w:spacing w:line="273" w:lineRule="auto"/>
              <w:ind w:left="104" w:right="107"/>
              <w:jc w:val="both"/>
              <w:rPr>
                <w:sz w:val="14"/>
              </w:rPr>
            </w:pPr>
            <w:r>
              <w:rPr>
                <w:sz w:val="14"/>
              </w:rPr>
              <w:t>El presidente comparte el poder con el (jefe de gobierno) primer ministro.</w:t>
            </w:r>
          </w:p>
          <w:p>
            <w:pPr>
              <w:pStyle w:val="TableParagraph"/>
              <w:spacing w:line="276" w:lineRule="auto" w:before="5"/>
              <w:ind w:left="104" w:right="104"/>
              <w:jc w:val="both"/>
              <w:rPr>
                <w:sz w:val="14"/>
              </w:rPr>
            </w:pPr>
            <w:r>
              <w:rPr>
                <w:sz w:val="14"/>
              </w:rPr>
              <w:t>El presidente tiene como función principal garantizar el funcionamiento regular de las instituciones y dirige la política exterior, la diplomacia y las fuerzas armadas.</w:t>
            </w:r>
          </w:p>
        </w:tc>
      </w:tr>
      <w:tr>
        <w:trPr>
          <w:trHeight w:val="1145" w:hRule="exact"/>
        </w:trPr>
        <w:tc>
          <w:tcPr>
            <w:tcW w:w="1100"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spacing w:before="8"/>
              <w:rPr>
                <w:sz w:val="13"/>
              </w:rPr>
            </w:pPr>
          </w:p>
          <w:p>
            <w:pPr>
              <w:pStyle w:val="TableParagraph"/>
              <w:spacing w:line="242" w:lineRule="auto"/>
              <w:ind w:left="121" w:right="115"/>
              <w:jc w:val="center"/>
              <w:rPr>
                <w:b/>
                <w:sz w:val="14"/>
              </w:rPr>
            </w:pPr>
            <w:r>
              <w:rPr>
                <w:b/>
                <w:sz w:val="14"/>
              </w:rPr>
              <w:t>Relación entre poderes</w:t>
            </w:r>
          </w:p>
        </w:tc>
        <w:tc>
          <w:tcPr>
            <w:tcW w:w="2130" w:type="dxa"/>
            <w:tcBorders>
              <w:left w:val="single" w:sz="11" w:space="0" w:color="BEBEBE"/>
            </w:tcBorders>
          </w:tcPr>
          <w:p>
            <w:pPr>
              <w:pStyle w:val="TableParagraph"/>
              <w:spacing w:before="20"/>
              <w:ind w:left="96" w:right="102"/>
              <w:jc w:val="both"/>
              <w:rPr>
                <w:sz w:val="14"/>
              </w:rPr>
            </w:pPr>
            <w:r>
              <w:rPr>
                <w:sz w:val="14"/>
              </w:rPr>
              <w:t>Se realiza mediante las instituciones políticas y, en caso de controversias o extralimitación de funciones,</w:t>
            </w:r>
            <w:r>
              <w:rPr>
                <w:spacing w:val="-19"/>
                <w:sz w:val="14"/>
              </w:rPr>
              <w:t> </w:t>
            </w:r>
            <w:r>
              <w:rPr>
                <w:sz w:val="14"/>
              </w:rPr>
              <w:t>el Poder Judicial funge como garante de la</w:t>
            </w:r>
            <w:r>
              <w:rPr>
                <w:spacing w:val="-17"/>
                <w:sz w:val="14"/>
              </w:rPr>
              <w:t> </w:t>
            </w:r>
            <w:r>
              <w:rPr>
                <w:sz w:val="14"/>
              </w:rPr>
              <w:t>legalidad.</w:t>
            </w:r>
          </w:p>
        </w:tc>
        <w:tc>
          <w:tcPr>
            <w:tcW w:w="3117" w:type="dxa"/>
          </w:tcPr>
          <w:p>
            <w:pPr>
              <w:pStyle w:val="TableParagraph"/>
              <w:spacing w:before="20"/>
              <w:ind w:left="104" w:right="100"/>
              <w:jc w:val="both"/>
              <w:rPr>
                <w:sz w:val="14"/>
              </w:rPr>
            </w:pPr>
            <w:r>
              <w:rPr>
                <w:sz w:val="14"/>
              </w:rPr>
              <w:t>El jefe de Estado (rey) tiene una función simbólica, que puede ser decisiva en caso de crisis política profunda, pero no dispone de atribuciones políticas.</w:t>
            </w:r>
          </w:p>
          <w:p>
            <w:pPr>
              <w:pStyle w:val="TableParagraph"/>
              <w:spacing w:before="3"/>
              <w:ind w:left="104" w:right="102"/>
              <w:jc w:val="both"/>
              <w:rPr>
                <w:sz w:val="14"/>
              </w:rPr>
            </w:pPr>
            <w:r>
              <w:rPr>
                <w:sz w:val="14"/>
              </w:rPr>
              <w:t>El jefe de Estado acata la decisión del electorado o de la mayoría parlamentaria.</w:t>
            </w:r>
          </w:p>
        </w:tc>
        <w:tc>
          <w:tcPr>
            <w:tcW w:w="2694" w:type="dxa"/>
          </w:tcPr>
          <w:p>
            <w:pPr>
              <w:pStyle w:val="TableParagraph"/>
              <w:spacing w:line="276" w:lineRule="auto" w:before="20"/>
              <w:ind w:left="104" w:right="103"/>
              <w:jc w:val="both"/>
              <w:rPr>
                <w:sz w:val="14"/>
              </w:rPr>
            </w:pPr>
            <w:r>
              <w:rPr>
                <w:sz w:val="14"/>
              </w:rPr>
              <w:t>El</w:t>
            </w:r>
            <w:r>
              <w:rPr>
                <w:spacing w:val="-8"/>
                <w:sz w:val="14"/>
              </w:rPr>
              <w:t> </w:t>
            </w:r>
            <w:r>
              <w:rPr>
                <w:sz w:val="14"/>
              </w:rPr>
              <w:t>presidente</w:t>
            </w:r>
            <w:r>
              <w:rPr>
                <w:spacing w:val="-11"/>
                <w:sz w:val="14"/>
              </w:rPr>
              <w:t> </w:t>
            </w:r>
            <w:r>
              <w:rPr>
                <w:sz w:val="14"/>
              </w:rPr>
              <w:t>mantiene</w:t>
            </w:r>
            <w:r>
              <w:rPr>
                <w:spacing w:val="-7"/>
                <w:sz w:val="14"/>
              </w:rPr>
              <w:t> </w:t>
            </w:r>
            <w:r>
              <w:rPr>
                <w:sz w:val="14"/>
              </w:rPr>
              <w:t>una</w:t>
            </w:r>
            <w:r>
              <w:rPr>
                <w:spacing w:val="-7"/>
                <w:sz w:val="14"/>
              </w:rPr>
              <w:t> </w:t>
            </w:r>
            <w:r>
              <w:rPr>
                <w:sz w:val="14"/>
              </w:rPr>
              <w:t>relación</w:t>
            </w:r>
            <w:r>
              <w:rPr>
                <w:spacing w:val="-7"/>
                <w:sz w:val="14"/>
              </w:rPr>
              <w:t> </w:t>
            </w:r>
            <w:r>
              <w:rPr>
                <w:sz w:val="14"/>
              </w:rPr>
              <w:t>con los dirigentes de los partidos contrarios y favorece el compromiso y la negociación (función de</w:t>
            </w:r>
            <w:r>
              <w:rPr>
                <w:spacing w:val="-20"/>
                <w:sz w:val="14"/>
              </w:rPr>
              <w:t> </w:t>
            </w:r>
            <w:r>
              <w:rPr>
                <w:sz w:val="14"/>
              </w:rPr>
              <w:t>árbitro).</w:t>
            </w:r>
          </w:p>
          <w:p>
            <w:pPr>
              <w:pStyle w:val="TableParagraph"/>
              <w:spacing w:line="273" w:lineRule="auto"/>
              <w:ind w:left="104" w:right="108"/>
              <w:jc w:val="both"/>
              <w:rPr>
                <w:sz w:val="14"/>
              </w:rPr>
            </w:pPr>
            <w:r>
              <w:rPr>
                <w:sz w:val="14"/>
              </w:rPr>
              <w:t>El jefe de gobierno está involucrado en la lucha política cotidiana.</w:t>
            </w:r>
          </w:p>
        </w:tc>
      </w:tr>
    </w:tbl>
    <w:p>
      <w:pPr>
        <w:pStyle w:val="BodyText"/>
        <w:rPr>
          <w:sz w:val="7"/>
        </w:rPr>
      </w:pPr>
    </w:p>
    <w:p>
      <w:pPr>
        <w:spacing w:before="85"/>
        <w:ind w:left="809" w:right="0" w:firstLine="0"/>
        <w:jc w:val="left"/>
        <w:rPr>
          <w:sz w:val="12"/>
        </w:rPr>
      </w:pPr>
      <w:r>
        <w:rPr>
          <w:sz w:val="12"/>
        </w:rPr>
        <w:t>FUENTE:     Elaboración propia con base en Espinoza Toledo, Ricardo. (2010)</w:t>
      </w:r>
    </w:p>
    <w:p>
      <w:pPr>
        <w:pStyle w:val="BodyText"/>
        <w:rPr>
          <w:sz w:val="12"/>
        </w:rPr>
      </w:pPr>
    </w:p>
    <w:p>
      <w:pPr>
        <w:pStyle w:val="BodyText"/>
        <w:rPr>
          <w:sz w:val="12"/>
        </w:rPr>
      </w:pPr>
    </w:p>
    <w:p>
      <w:pPr>
        <w:pStyle w:val="BodyText"/>
        <w:rPr>
          <w:sz w:val="12"/>
        </w:rPr>
      </w:pPr>
    </w:p>
    <w:p>
      <w:pPr>
        <w:pStyle w:val="BodyText"/>
        <w:rPr>
          <w:sz w:val="10"/>
        </w:rPr>
      </w:pPr>
    </w:p>
    <w:p>
      <w:pPr>
        <w:pStyle w:val="BodyText"/>
        <w:spacing w:line="360" w:lineRule="auto"/>
        <w:ind w:left="100" w:right="361" w:firstLine="427"/>
        <w:jc w:val="both"/>
      </w:pPr>
      <w:r>
        <w:rPr/>
        <w:t>El parlamentarismo, el presidencialismo y el sistema mixto se distinguen, en principio, por la relación existente entre los poderes Ejecutivo y Legislativo. En el primero existe una separación funcional, pero están unidos orgánicamente; en el segundo, la separación es tanto funcional como orgánica y en el tercero, hay una mezcla de separación orgánica y funcional.</w:t>
      </w:r>
    </w:p>
    <w:p>
      <w:pPr>
        <w:pStyle w:val="BodyText"/>
        <w:spacing w:line="360" w:lineRule="auto" w:before="5"/>
        <w:ind w:left="100" w:right="364" w:firstLine="427"/>
        <w:jc w:val="both"/>
      </w:pPr>
      <w:r>
        <w:rPr/>
        <w:t>El análisis de la relación entre los poderes Ejecutivo y Legislativo y el modo en que éstos se organizan responde a historias y culturas políticas particulares; el estudio</w:t>
      </w:r>
      <w:r>
        <w:rPr>
          <w:spacing w:val="-13"/>
        </w:rPr>
        <w:t> </w:t>
      </w:r>
      <w:r>
        <w:rPr/>
        <w:t>de</w:t>
      </w:r>
      <w:r>
        <w:rPr>
          <w:spacing w:val="-13"/>
        </w:rPr>
        <w:t> </w:t>
      </w:r>
      <w:r>
        <w:rPr/>
        <w:t>los</w:t>
      </w:r>
      <w:r>
        <w:rPr>
          <w:spacing w:val="-12"/>
        </w:rPr>
        <w:t> </w:t>
      </w:r>
      <w:r>
        <w:rPr/>
        <w:t>principales</w:t>
      </w:r>
      <w:r>
        <w:rPr>
          <w:spacing w:val="-12"/>
        </w:rPr>
        <w:t> </w:t>
      </w:r>
      <w:r>
        <w:rPr/>
        <w:t>regímenes</w:t>
      </w:r>
      <w:r>
        <w:rPr>
          <w:spacing w:val="-12"/>
        </w:rPr>
        <w:t> </w:t>
      </w:r>
      <w:r>
        <w:rPr/>
        <w:t>políticos</w:t>
      </w:r>
      <w:r>
        <w:rPr>
          <w:spacing w:val="-12"/>
        </w:rPr>
        <w:t> </w:t>
      </w:r>
      <w:r>
        <w:rPr/>
        <w:t>de</w:t>
      </w:r>
      <w:r>
        <w:rPr>
          <w:spacing w:val="-13"/>
        </w:rPr>
        <w:t> </w:t>
      </w:r>
      <w:r>
        <w:rPr/>
        <w:t>democracia</w:t>
      </w:r>
      <w:r>
        <w:rPr>
          <w:spacing w:val="-13"/>
        </w:rPr>
        <w:t> </w:t>
      </w:r>
      <w:r>
        <w:rPr/>
        <w:t>pluralista</w:t>
      </w:r>
      <w:r>
        <w:rPr>
          <w:spacing w:val="-13"/>
        </w:rPr>
        <w:t> </w:t>
      </w:r>
      <w:r>
        <w:rPr/>
        <w:t>corresponde al parlamentarismo británico, </w:t>
      </w:r>
      <w:r>
        <w:rPr>
          <w:spacing w:val="-3"/>
        </w:rPr>
        <w:t>ya </w:t>
      </w:r>
      <w:r>
        <w:rPr/>
        <w:t>que es ahí donde aparece históricamente el principio de separación de poderes y la elección de los</w:t>
      </w:r>
      <w:r>
        <w:rPr>
          <w:spacing w:val="-35"/>
        </w:rPr>
        <w:t> </w:t>
      </w:r>
      <w:r>
        <w:rPr/>
        <w:t>gobernantes.</w:t>
      </w:r>
    </w:p>
    <w:p>
      <w:pPr>
        <w:pStyle w:val="BodyText"/>
        <w:spacing w:line="360" w:lineRule="auto" w:before="2"/>
        <w:ind w:left="100" w:right="362" w:firstLine="427"/>
        <w:jc w:val="both"/>
      </w:pPr>
      <w:r>
        <w:rPr/>
        <w:t>En todo sistema político democrático, el diseño y la ejecución de las políticas públicas</w:t>
      </w:r>
      <w:r>
        <w:rPr>
          <w:spacing w:val="-4"/>
        </w:rPr>
        <w:t> </w:t>
      </w:r>
      <w:r>
        <w:rPr/>
        <w:t>se</w:t>
      </w:r>
      <w:r>
        <w:rPr>
          <w:spacing w:val="-5"/>
        </w:rPr>
        <w:t> </w:t>
      </w:r>
      <w:r>
        <w:rPr/>
        <w:t>encuentra</w:t>
      </w:r>
      <w:r>
        <w:rPr>
          <w:spacing w:val="-5"/>
        </w:rPr>
        <w:t> </w:t>
      </w:r>
      <w:r>
        <w:rPr/>
        <w:t>a</w:t>
      </w:r>
      <w:r>
        <w:rPr>
          <w:spacing w:val="-5"/>
        </w:rPr>
        <w:t> </w:t>
      </w:r>
      <w:r>
        <w:rPr/>
        <w:t>cargo</w:t>
      </w:r>
      <w:r>
        <w:rPr>
          <w:spacing w:val="-5"/>
        </w:rPr>
        <w:t> </w:t>
      </w:r>
      <w:r>
        <w:rPr/>
        <w:t>del</w:t>
      </w:r>
      <w:r>
        <w:rPr>
          <w:spacing w:val="-5"/>
        </w:rPr>
        <w:t> </w:t>
      </w:r>
      <w:r>
        <w:rPr/>
        <w:t>Poder</w:t>
      </w:r>
      <w:r>
        <w:rPr>
          <w:spacing w:val="-4"/>
        </w:rPr>
        <w:t> </w:t>
      </w:r>
      <w:r>
        <w:rPr/>
        <w:t>Ejecutivo,</w:t>
      </w:r>
      <w:r>
        <w:rPr>
          <w:spacing w:val="-4"/>
        </w:rPr>
        <w:t> </w:t>
      </w:r>
      <w:r>
        <w:rPr/>
        <w:t>que</w:t>
      </w:r>
      <w:r>
        <w:rPr>
          <w:spacing w:val="-5"/>
        </w:rPr>
        <w:t> </w:t>
      </w:r>
      <w:r>
        <w:rPr/>
        <w:t>implica</w:t>
      </w:r>
      <w:r>
        <w:rPr>
          <w:spacing w:val="-5"/>
        </w:rPr>
        <w:t> </w:t>
      </w:r>
      <w:r>
        <w:rPr/>
        <w:t>el</w:t>
      </w:r>
      <w:r>
        <w:rPr>
          <w:spacing w:val="-5"/>
        </w:rPr>
        <w:t> </w:t>
      </w:r>
      <w:r>
        <w:rPr/>
        <w:t>mayor</w:t>
      </w:r>
      <w:r>
        <w:rPr>
          <w:spacing w:val="-4"/>
        </w:rPr>
        <w:t> </w:t>
      </w:r>
      <w:r>
        <w:rPr/>
        <w:t>empleo</w:t>
      </w:r>
      <w:r>
        <w:rPr>
          <w:spacing w:val="-5"/>
        </w:rPr>
        <w:t> </w:t>
      </w:r>
      <w:r>
        <w:rPr/>
        <w:t>de recursos humanos, materiales y económicos, lo que hace necesaria una</w:t>
      </w:r>
      <w:r>
        <w:rPr>
          <w:spacing w:val="48"/>
        </w:rPr>
        <w:t> </w:t>
      </w:r>
      <w:r>
        <w:rPr/>
        <w:t>vigilancia</w:t>
      </w:r>
    </w:p>
    <w:p>
      <w:pPr>
        <w:spacing w:after="0" w:line="360" w:lineRule="auto"/>
        <w:jc w:val="both"/>
        <w:sectPr>
          <w:pgSz w:w="12240" w:h="15840"/>
          <w:pgMar w:header="0" w:footer="998" w:top="1360" w:bottom="1180" w:left="1600" w:right="1340"/>
        </w:sectPr>
      </w:pPr>
    </w:p>
    <w:p>
      <w:pPr>
        <w:pStyle w:val="BodyText"/>
        <w:spacing w:line="362" w:lineRule="auto" w:before="55"/>
        <w:ind w:left="120" w:right="120"/>
        <w:jc w:val="both"/>
      </w:pPr>
      <w:r>
        <w:rPr/>
        <w:t>permanente de sus actividades por parte del Estado. El peso del Poder Ejecutivo debe equilibrarse con los otros dos para evitar excesos de poder.</w:t>
      </w:r>
    </w:p>
    <w:p>
      <w:pPr>
        <w:pStyle w:val="BodyText"/>
        <w:spacing w:before="6"/>
        <w:rPr>
          <w:sz w:val="35"/>
        </w:rPr>
      </w:pPr>
    </w:p>
    <w:p>
      <w:pPr>
        <w:pStyle w:val="Heading2"/>
        <w:numPr>
          <w:ilvl w:val="1"/>
          <w:numId w:val="48"/>
        </w:numPr>
        <w:tabs>
          <w:tab w:pos="553" w:val="left" w:leader="none"/>
        </w:tabs>
        <w:spacing w:line="240" w:lineRule="auto" w:before="0" w:after="0"/>
        <w:ind w:left="552" w:right="0" w:hanging="432"/>
        <w:jc w:val="both"/>
      </w:pPr>
      <w:bookmarkStart w:name="_bookmark58" w:id="78"/>
      <w:bookmarkEnd w:id="78"/>
      <w:r>
        <w:rPr>
          <w:b w:val="0"/>
        </w:rPr>
      </w:r>
      <w:bookmarkStart w:name="_bookmark58" w:id="79"/>
      <w:bookmarkEnd w:id="79"/>
      <w:r>
        <w:rPr/>
        <w:t>E</w:t>
      </w:r>
      <w:r>
        <w:rPr/>
        <w:t>l control político mediante </w:t>
      </w:r>
      <w:r>
        <w:rPr>
          <w:spacing w:val="-3"/>
        </w:rPr>
        <w:t>la </w:t>
      </w:r>
      <w:r>
        <w:rPr/>
        <w:t>división de</w:t>
      </w:r>
      <w:r>
        <w:rPr>
          <w:spacing w:val="-12"/>
        </w:rPr>
        <w:t> </w:t>
      </w:r>
      <w:r>
        <w:rPr/>
        <w:t>poderes</w:t>
      </w:r>
    </w:p>
    <w:p>
      <w:pPr>
        <w:pStyle w:val="BodyText"/>
        <w:rPr>
          <w:b/>
          <w:sz w:val="26"/>
        </w:rPr>
      </w:pPr>
    </w:p>
    <w:p>
      <w:pPr>
        <w:pStyle w:val="BodyText"/>
        <w:rPr>
          <w:b/>
          <w:sz w:val="26"/>
        </w:rPr>
      </w:pPr>
    </w:p>
    <w:p>
      <w:pPr>
        <w:pStyle w:val="BodyText"/>
        <w:spacing w:line="357" w:lineRule="auto" w:before="165"/>
        <w:ind w:left="120" w:right="122"/>
        <w:jc w:val="both"/>
        <w:rPr>
          <w:sz w:val="16"/>
        </w:rPr>
      </w:pPr>
      <w:r>
        <w:rPr/>
        <w:t>Para ejercerse en forma equilibrada, la soberanía</w:t>
      </w:r>
      <w:r>
        <w:rPr>
          <w:position w:val="8"/>
          <w:sz w:val="16"/>
        </w:rPr>
        <w:t>68 </w:t>
      </w:r>
      <w:r>
        <w:rPr/>
        <w:t>del poder supremo debe dividirse</w:t>
      </w:r>
      <w:r>
        <w:rPr>
          <w:spacing w:val="-16"/>
        </w:rPr>
        <w:t> </w:t>
      </w:r>
      <w:r>
        <w:rPr/>
        <w:t>en</w:t>
      </w:r>
      <w:r>
        <w:rPr>
          <w:spacing w:val="-16"/>
        </w:rPr>
        <w:t> </w:t>
      </w:r>
      <w:r>
        <w:rPr/>
        <w:t>poderes.</w:t>
      </w:r>
      <w:r>
        <w:rPr>
          <w:spacing w:val="-12"/>
        </w:rPr>
        <w:t> </w:t>
      </w:r>
      <w:r>
        <w:rPr/>
        <w:t>La</w:t>
      </w:r>
      <w:r>
        <w:rPr>
          <w:spacing w:val="-16"/>
        </w:rPr>
        <w:t> </w:t>
      </w:r>
      <w:r>
        <w:rPr/>
        <w:t>división</w:t>
      </w:r>
      <w:r>
        <w:rPr>
          <w:spacing w:val="-16"/>
        </w:rPr>
        <w:t> </w:t>
      </w:r>
      <w:r>
        <w:rPr/>
        <w:t>de</w:t>
      </w:r>
      <w:r>
        <w:rPr>
          <w:spacing w:val="-16"/>
        </w:rPr>
        <w:t> </w:t>
      </w:r>
      <w:r>
        <w:rPr/>
        <w:t>poderes</w:t>
      </w:r>
      <w:r>
        <w:rPr>
          <w:position w:val="8"/>
          <w:sz w:val="16"/>
        </w:rPr>
        <w:t>69</w:t>
      </w:r>
      <w:r>
        <w:rPr>
          <w:spacing w:val="7"/>
          <w:position w:val="8"/>
          <w:sz w:val="16"/>
        </w:rPr>
        <w:t> </w:t>
      </w:r>
      <w:r>
        <w:rPr/>
        <w:t>busca</w:t>
      </w:r>
      <w:r>
        <w:rPr>
          <w:spacing w:val="-12"/>
        </w:rPr>
        <w:t> </w:t>
      </w:r>
      <w:r>
        <w:rPr/>
        <w:t>moderar</w:t>
      </w:r>
      <w:r>
        <w:rPr>
          <w:spacing w:val="-10"/>
        </w:rPr>
        <w:t> </w:t>
      </w:r>
      <w:r>
        <w:rPr/>
        <w:t>y</w:t>
      </w:r>
      <w:r>
        <w:rPr>
          <w:spacing w:val="-14"/>
        </w:rPr>
        <w:t> </w:t>
      </w:r>
      <w:r>
        <w:rPr/>
        <w:t>equilibrar</w:t>
      </w:r>
      <w:r>
        <w:rPr>
          <w:spacing w:val="-14"/>
        </w:rPr>
        <w:t> </w:t>
      </w:r>
      <w:r>
        <w:rPr/>
        <w:t>el</w:t>
      </w:r>
      <w:r>
        <w:rPr>
          <w:spacing w:val="-15"/>
        </w:rPr>
        <w:t> </w:t>
      </w:r>
      <w:r>
        <w:rPr/>
        <w:t>ejercicio del poder. Se considera que el principio de división de poderes fue planteado originalmente por Aristóteles y formulado </w:t>
      </w:r>
      <w:r>
        <w:rPr>
          <w:spacing w:val="-2"/>
        </w:rPr>
        <w:t>más </w:t>
      </w:r>
      <w:r>
        <w:rPr/>
        <w:t>detalladamente por Montesquieu.</w:t>
      </w:r>
      <w:r>
        <w:rPr>
          <w:spacing w:val="-29"/>
        </w:rPr>
        <w:t> </w:t>
      </w:r>
      <w:r>
        <w:rPr>
          <w:position w:val="8"/>
          <w:sz w:val="16"/>
        </w:rPr>
        <w:t>70</w:t>
      </w:r>
    </w:p>
    <w:p>
      <w:pPr>
        <w:pStyle w:val="BodyText"/>
        <w:spacing w:line="360" w:lineRule="auto" w:before="1"/>
        <w:ind w:left="120" w:right="118" w:firstLine="424"/>
        <w:jc w:val="both"/>
      </w:pPr>
      <w:r>
        <w:rPr/>
        <w:t>Se considera que el principio político que guía esta necesidad de separar y dividir las funciones ejecutivas, de justicia y del senado (Montesquieu) es aquél según el cual el poder modera al mismo poder, por lo que los poderes deben moderarse a sí mismos.</w:t>
      </w:r>
    </w:p>
    <w:p>
      <w:pPr>
        <w:pStyle w:val="BodyText"/>
        <w:spacing w:line="360" w:lineRule="auto" w:before="2"/>
        <w:ind w:left="120" w:right="119" w:firstLine="424"/>
        <w:jc w:val="both"/>
      </w:pPr>
      <w:r>
        <w:rPr/>
        <w:t>Siempre se ha considerado necesario el poder coercitivo del Estado para mantener el orden político y económico de la sociedad; sin embargo, John Stuart Mill advirtió sobre el abuso del poder del Estado para beneficio propio.</w:t>
      </w:r>
      <w:r>
        <w:rPr>
          <w:position w:val="8"/>
          <w:sz w:val="16"/>
        </w:rPr>
        <w:t>71 </w:t>
      </w:r>
      <w:r>
        <w:rPr/>
        <w:t>Cuando una nación tiene una división del poder efectiva (no sólo establecida en el pacto social, sino llevada también a la práctica) le es más fácil tener una vigilancia del poder. La división de poderes constituye el eje central de la democracia, pues es a través de ella que es posible lograr el buen gobierno, es decir, sincronizar la gobernanza, gobernabilidad y el sistema político. La idea central del control gubernamental es frenar el abuso del poder.</w:t>
      </w:r>
    </w:p>
    <w:p>
      <w:pPr>
        <w:pStyle w:val="BodyText"/>
        <w:spacing w:line="360" w:lineRule="auto" w:before="6"/>
        <w:ind w:left="120" w:right="121" w:firstLine="427"/>
        <w:jc w:val="both"/>
      </w:pPr>
      <w:r>
        <w:rPr/>
        <w:t>Si</w:t>
      </w:r>
      <w:r>
        <w:rPr>
          <w:spacing w:val="-8"/>
        </w:rPr>
        <w:t> </w:t>
      </w:r>
      <w:r>
        <w:rPr/>
        <w:t>la</w:t>
      </w:r>
      <w:r>
        <w:rPr>
          <w:spacing w:val="-9"/>
        </w:rPr>
        <w:t> </w:t>
      </w:r>
      <w:r>
        <w:rPr/>
        <w:t>división</w:t>
      </w:r>
      <w:r>
        <w:rPr>
          <w:spacing w:val="-9"/>
        </w:rPr>
        <w:t> </w:t>
      </w:r>
      <w:r>
        <w:rPr/>
        <w:t>de</w:t>
      </w:r>
      <w:r>
        <w:rPr>
          <w:spacing w:val="-9"/>
        </w:rPr>
        <w:t> </w:t>
      </w:r>
      <w:r>
        <w:rPr/>
        <w:t>poderes</w:t>
      </w:r>
      <w:r>
        <w:rPr>
          <w:spacing w:val="-7"/>
        </w:rPr>
        <w:t> </w:t>
      </w:r>
      <w:r>
        <w:rPr/>
        <w:t>es</w:t>
      </w:r>
      <w:r>
        <w:rPr>
          <w:spacing w:val="-7"/>
        </w:rPr>
        <w:t> </w:t>
      </w:r>
      <w:r>
        <w:rPr/>
        <w:t>inefectiva,</w:t>
      </w:r>
      <w:r>
        <w:rPr>
          <w:spacing w:val="-6"/>
        </w:rPr>
        <w:t> </w:t>
      </w:r>
      <w:r>
        <w:rPr/>
        <w:t>se</w:t>
      </w:r>
      <w:r>
        <w:rPr>
          <w:spacing w:val="-9"/>
        </w:rPr>
        <w:t> </w:t>
      </w:r>
      <w:r>
        <w:rPr/>
        <w:t>inhibe</w:t>
      </w:r>
      <w:r>
        <w:rPr>
          <w:spacing w:val="-9"/>
        </w:rPr>
        <w:t> </w:t>
      </w:r>
      <w:r>
        <w:rPr/>
        <w:t>la</w:t>
      </w:r>
      <w:r>
        <w:rPr>
          <w:spacing w:val="-9"/>
        </w:rPr>
        <w:t> </w:t>
      </w:r>
      <w:r>
        <w:rPr/>
        <w:t>rendición</w:t>
      </w:r>
      <w:r>
        <w:rPr>
          <w:spacing w:val="-9"/>
        </w:rPr>
        <w:t> </w:t>
      </w:r>
      <w:r>
        <w:rPr/>
        <w:t>de</w:t>
      </w:r>
      <w:r>
        <w:rPr>
          <w:spacing w:val="-9"/>
        </w:rPr>
        <w:t> </w:t>
      </w:r>
      <w:r>
        <w:rPr/>
        <w:t>cuentas,</w:t>
      </w:r>
      <w:r>
        <w:rPr>
          <w:spacing w:val="-6"/>
        </w:rPr>
        <w:t> </w:t>
      </w:r>
      <w:r>
        <w:rPr>
          <w:spacing w:val="-3"/>
        </w:rPr>
        <w:t>ya</w:t>
      </w:r>
      <w:r>
        <w:rPr>
          <w:spacing w:val="-5"/>
        </w:rPr>
        <w:t> </w:t>
      </w:r>
      <w:r>
        <w:rPr/>
        <w:t>que el grupo político actuaría simultáneamente como juez y parte, lo que da lugar a la corrupción</w:t>
      </w:r>
      <w:r>
        <w:rPr>
          <w:spacing w:val="24"/>
        </w:rPr>
        <w:t> </w:t>
      </w:r>
      <w:r>
        <w:rPr/>
        <w:t>y</w:t>
      </w:r>
      <w:r>
        <w:rPr>
          <w:spacing w:val="17"/>
        </w:rPr>
        <w:t> </w:t>
      </w:r>
      <w:r>
        <w:rPr/>
        <w:t>la</w:t>
      </w:r>
      <w:r>
        <w:rPr>
          <w:spacing w:val="20"/>
        </w:rPr>
        <w:t> </w:t>
      </w:r>
      <w:r>
        <w:rPr/>
        <w:t>impunidad,</w:t>
      </w:r>
      <w:r>
        <w:rPr>
          <w:spacing w:val="22"/>
        </w:rPr>
        <w:t> </w:t>
      </w:r>
      <w:r>
        <w:rPr/>
        <w:t>tal</w:t>
      </w:r>
      <w:r>
        <w:rPr>
          <w:spacing w:val="20"/>
        </w:rPr>
        <w:t> </w:t>
      </w:r>
      <w:r>
        <w:rPr/>
        <w:t>como</w:t>
      </w:r>
      <w:r>
        <w:rPr>
          <w:spacing w:val="20"/>
        </w:rPr>
        <w:t> </w:t>
      </w:r>
      <w:r>
        <w:rPr/>
        <w:t>lo</w:t>
      </w:r>
      <w:r>
        <w:rPr>
          <w:spacing w:val="20"/>
        </w:rPr>
        <w:t> </w:t>
      </w:r>
      <w:r>
        <w:rPr/>
        <w:t>advirtió</w:t>
      </w:r>
      <w:r>
        <w:rPr>
          <w:spacing w:val="20"/>
        </w:rPr>
        <w:t> </w:t>
      </w:r>
      <w:r>
        <w:rPr/>
        <w:t>Hobbes</w:t>
      </w:r>
      <w:r>
        <w:rPr>
          <w:spacing w:val="26"/>
        </w:rPr>
        <w:t> </w:t>
      </w:r>
      <w:r>
        <w:rPr/>
        <w:t>al</w:t>
      </w:r>
      <w:r>
        <w:rPr>
          <w:spacing w:val="24"/>
        </w:rPr>
        <w:t> </w:t>
      </w:r>
      <w:r>
        <w:rPr/>
        <w:t>mencionar:</w:t>
      </w:r>
      <w:r>
        <w:rPr>
          <w:spacing w:val="23"/>
        </w:rPr>
        <w:t> </w:t>
      </w:r>
      <w:r>
        <w:rPr/>
        <w:t>“cuando</w:t>
      </w:r>
      <w:r>
        <w:rPr>
          <w:spacing w:val="20"/>
        </w:rPr>
        <w:t> </w:t>
      </w:r>
      <w:r>
        <w:rPr/>
        <w:t>un</w:t>
      </w:r>
    </w:p>
    <w:p>
      <w:pPr>
        <w:pStyle w:val="BodyText"/>
        <w:rPr>
          <w:sz w:val="20"/>
        </w:rPr>
      </w:pPr>
    </w:p>
    <w:p>
      <w:pPr>
        <w:pStyle w:val="BodyText"/>
        <w:spacing w:before="1"/>
        <w:rPr>
          <w:sz w:val="14"/>
        </w:rPr>
      </w:pPr>
      <w:r>
        <w:rPr/>
        <w:pict>
          <v:line style="position:absolute;mso-position-horizontal-relative:page;mso-position-vertical-relative:paragraph;z-index:8056;mso-wrap-distance-left:0;mso-wrap-distance-right:0" from="85.025002pt,10.454858pt" to="229.075002pt,10.454858pt" stroked="true" strokeweight=".80005pt" strokecolor="#000000">
            <w10:wrap type="topAndBottom"/>
          </v:line>
        </w:pict>
      </w:r>
    </w:p>
    <w:p>
      <w:pPr>
        <w:spacing w:line="256" w:lineRule="auto" w:before="59"/>
        <w:ind w:left="120" w:right="112" w:firstLine="0"/>
        <w:jc w:val="both"/>
        <w:rPr>
          <w:sz w:val="16"/>
        </w:rPr>
      </w:pPr>
      <w:r>
        <w:rPr>
          <w:rFonts w:ascii="Times New Roman" w:hAnsi="Times New Roman"/>
          <w:position w:val="7"/>
          <w:sz w:val="13"/>
        </w:rPr>
        <w:t>68</w:t>
      </w:r>
      <w:r>
        <w:rPr>
          <w:sz w:val="16"/>
        </w:rPr>
        <w:t>Los artículos 39, 40 y 41 de la Constitución Política de los Estados Unidos Mexicanos consideran la soberanía como un poder de voluntad superior, como un derecho cuyo titular es la Nación.</w:t>
      </w:r>
    </w:p>
    <w:p>
      <w:pPr>
        <w:spacing w:line="207" w:lineRule="exact" w:before="0"/>
        <w:ind w:left="120" w:right="0" w:firstLine="0"/>
        <w:jc w:val="both"/>
        <w:rPr>
          <w:sz w:val="16"/>
        </w:rPr>
      </w:pPr>
      <w:r>
        <w:rPr>
          <w:rFonts w:ascii="Times New Roman" w:hAnsi="Times New Roman"/>
          <w:position w:val="7"/>
          <w:sz w:val="13"/>
        </w:rPr>
        <w:t>69</w:t>
      </w:r>
      <w:r>
        <w:rPr>
          <w:sz w:val="16"/>
        </w:rPr>
        <w:t>La división de poderes se expresa en términos jurídico-políticos y en la acción del Estado.</w:t>
      </w:r>
    </w:p>
    <w:p>
      <w:pPr>
        <w:spacing w:line="254" w:lineRule="auto" w:before="8"/>
        <w:ind w:left="120" w:right="117" w:firstLine="0"/>
        <w:jc w:val="both"/>
        <w:rPr>
          <w:sz w:val="16"/>
        </w:rPr>
      </w:pPr>
      <w:r>
        <w:rPr>
          <w:rFonts w:ascii="Calibri" w:hAnsi="Calibri"/>
          <w:position w:val="8"/>
          <w:sz w:val="14"/>
        </w:rPr>
        <w:t>70</w:t>
      </w:r>
      <w:r>
        <w:rPr>
          <w:sz w:val="16"/>
        </w:rPr>
        <w:t>Montesquieu (1748) consideró que las funciones del Legislativo deben estar limitadas: “</w:t>
      </w:r>
      <w:r>
        <w:rPr>
          <w:i/>
          <w:sz w:val="16"/>
        </w:rPr>
        <w:t>Pero si el poder legislativo, en un </w:t>
      </w:r>
      <w:r>
        <w:rPr>
          <w:i/>
          <w:sz w:val="16"/>
        </w:rPr>
        <w:t>Estado libre, no debe inmiscuirse en las funciones del ejecutivo ni paralizarlas, tiene el derecho y debe tener la facultad de examinar de qué manera las leyes que él ha hecho han sido ejecutadas</w:t>
      </w:r>
      <w:r>
        <w:rPr>
          <w:sz w:val="16"/>
        </w:rPr>
        <w:t>.”</w:t>
      </w:r>
    </w:p>
    <w:p>
      <w:pPr>
        <w:spacing w:line="209" w:lineRule="exact" w:before="0"/>
        <w:ind w:left="120" w:right="0" w:firstLine="0"/>
        <w:jc w:val="both"/>
        <w:rPr>
          <w:i/>
          <w:sz w:val="16"/>
        </w:rPr>
      </w:pPr>
      <w:r>
        <w:rPr>
          <w:rFonts w:ascii="Times New Roman" w:hAnsi="Times New Roman"/>
          <w:position w:val="7"/>
          <w:sz w:val="13"/>
        </w:rPr>
        <w:t>71</w:t>
      </w:r>
      <w:r>
        <w:rPr>
          <w:sz w:val="16"/>
        </w:rPr>
        <w:t>Mill</w:t>
      </w:r>
      <w:r>
        <w:rPr>
          <w:spacing w:val="-14"/>
          <w:sz w:val="16"/>
        </w:rPr>
        <w:t> </w:t>
      </w:r>
      <w:r>
        <w:rPr>
          <w:sz w:val="16"/>
        </w:rPr>
        <w:t>(1860:</w:t>
      </w:r>
      <w:r>
        <w:rPr>
          <w:spacing w:val="-11"/>
          <w:sz w:val="16"/>
        </w:rPr>
        <w:t> </w:t>
      </w:r>
      <w:r>
        <w:rPr>
          <w:sz w:val="16"/>
        </w:rPr>
        <w:t>347)</w:t>
      </w:r>
      <w:r>
        <w:rPr>
          <w:spacing w:val="-11"/>
          <w:sz w:val="16"/>
        </w:rPr>
        <w:t> </w:t>
      </w:r>
      <w:r>
        <w:rPr>
          <w:sz w:val="16"/>
        </w:rPr>
        <w:t>mencionó:</w:t>
      </w:r>
      <w:r>
        <w:rPr>
          <w:spacing w:val="-11"/>
          <w:sz w:val="16"/>
        </w:rPr>
        <w:t> </w:t>
      </w:r>
      <w:r>
        <w:rPr>
          <w:sz w:val="16"/>
        </w:rPr>
        <w:t>“</w:t>
      </w:r>
      <w:r>
        <w:rPr>
          <w:i/>
          <w:sz w:val="16"/>
        </w:rPr>
        <w:t>El</w:t>
      </w:r>
      <w:r>
        <w:rPr>
          <w:i/>
          <w:spacing w:val="-11"/>
          <w:sz w:val="16"/>
        </w:rPr>
        <w:t> </w:t>
      </w:r>
      <w:r>
        <w:rPr>
          <w:i/>
          <w:sz w:val="16"/>
        </w:rPr>
        <w:t>principio</w:t>
      </w:r>
      <w:r>
        <w:rPr>
          <w:i/>
          <w:spacing w:val="-12"/>
          <w:sz w:val="16"/>
        </w:rPr>
        <w:t> </w:t>
      </w:r>
      <w:r>
        <w:rPr>
          <w:i/>
          <w:sz w:val="16"/>
        </w:rPr>
        <w:t>mismo</w:t>
      </w:r>
      <w:r>
        <w:rPr>
          <w:i/>
          <w:spacing w:val="-12"/>
          <w:sz w:val="16"/>
        </w:rPr>
        <w:t> </w:t>
      </w:r>
      <w:r>
        <w:rPr>
          <w:i/>
          <w:sz w:val="16"/>
        </w:rPr>
        <w:t>del</w:t>
      </w:r>
      <w:r>
        <w:rPr>
          <w:i/>
          <w:spacing w:val="-11"/>
          <w:sz w:val="16"/>
        </w:rPr>
        <w:t> </w:t>
      </w:r>
      <w:r>
        <w:rPr>
          <w:i/>
          <w:sz w:val="16"/>
        </w:rPr>
        <w:t>gobierno</w:t>
      </w:r>
      <w:r>
        <w:rPr>
          <w:i/>
          <w:spacing w:val="-12"/>
          <w:sz w:val="16"/>
        </w:rPr>
        <w:t> </w:t>
      </w:r>
      <w:r>
        <w:rPr>
          <w:i/>
          <w:sz w:val="16"/>
        </w:rPr>
        <w:t>representativo</w:t>
      </w:r>
      <w:r>
        <w:rPr>
          <w:i/>
          <w:spacing w:val="-8"/>
          <w:sz w:val="16"/>
        </w:rPr>
        <w:t> </w:t>
      </w:r>
      <w:r>
        <w:rPr>
          <w:i/>
          <w:sz w:val="16"/>
        </w:rPr>
        <w:t>descansa</w:t>
      </w:r>
      <w:r>
        <w:rPr>
          <w:i/>
          <w:spacing w:val="-12"/>
          <w:sz w:val="16"/>
        </w:rPr>
        <w:t> </w:t>
      </w:r>
      <w:r>
        <w:rPr>
          <w:i/>
          <w:sz w:val="16"/>
        </w:rPr>
        <w:t>en</w:t>
      </w:r>
      <w:r>
        <w:rPr>
          <w:i/>
          <w:spacing w:val="-12"/>
          <w:sz w:val="16"/>
        </w:rPr>
        <w:t> </w:t>
      </w:r>
      <w:r>
        <w:rPr>
          <w:i/>
          <w:sz w:val="16"/>
        </w:rPr>
        <w:t>la</w:t>
      </w:r>
      <w:r>
        <w:rPr>
          <w:i/>
          <w:spacing w:val="-12"/>
          <w:sz w:val="16"/>
        </w:rPr>
        <w:t> </w:t>
      </w:r>
      <w:r>
        <w:rPr>
          <w:i/>
          <w:sz w:val="16"/>
        </w:rPr>
        <w:t>presunción</w:t>
      </w:r>
      <w:r>
        <w:rPr>
          <w:i/>
          <w:spacing w:val="-12"/>
          <w:sz w:val="16"/>
        </w:rPr>
        <w:t> </w:t>
      </w:r>
      <w:r>
        <w:rPr>
          <w:i/>
          <w:sz w:val="16"/>
        </w:rPr>
        <w:t>de</w:t>
      </w:r>
      <w:r>
        <w:rPr>
          <w:i/>
          <w:spacing w:val="-12"/>
          <w:sz w:val="16"/>
        </w:rPr>
        <w:t> </w:t>
      </w:r>
      <w:r>
        <w:rPr>
          <w:i/>
          <w:sz w:val="16"/>
        </w:rPr>
        <w:t>que</w:t>
      </w:r>
      <w:r>
        <w:rPr>
          <w:i/>
          <w:spacing w:val="-12"/>
          <w:sz w:val="16"/>
        </w:rPr>
        <w:t> </w:t>
      </w:r>
      <w:r>
        <w:rPr>
          <w:i/>
          <w:sz w:val="16"/>
        </w:rPr>
        <w:t>los</w:t>
      </w:r>
      <w:r>
        <w:rPr>
          <w:i/>
          <w:spacing w:val="-11"/>
          <w:sz w:val="16"/>
        </w:rPr>
        <w:t> </w:t>
      </w:r>
      <w:r>
        <w:rPr>
          <w:i/>
          <w:sz w:val="16"/>
        </w:rPr>
        <w:t>que</w:t>
      </w:r>
      <w:r>
        <w:rPr>
          <w:i/>
          <w:spacing w:val="-12"/>
          <w:sz w:val="16"/>
        </w:rPr>
        <w:t> </w:t>
      </w:r>
      <w:r>
        <w:rPr>
          <w:i/>
          <w:sz w:val="16"/>
        </w:rPr>
        <w:t>poseen</w:t>
      </w:r>
    </w:p>
    <w:p>
      <w:pPr>
        <w:spacing w:before="12"/>
        <w:ind w:left="120" w:right="120" w:firstLine="0"/>
        <w:jc w:val="both"/>
        <w:rPr>
          <w:sz w:val="16"/>
        </w:rPr>
      </w:pPr>
      <w:r>
        <w:rPr>
          <w:i/>
          <w:sz w:val="16"/>
        </w:rPr>
        <w:t>el poder abusarán de él en provecho propio, no porque siempre sea así, sino por ser la tendencia natural de las cosas, </w:t>
      </w:r>
      <w:r>
        <w:rPr>
          <w:i/>
          <w:sz w:val="16"/>
        </w:rPr>
        <w:t>tendencia que las instituciones libres tienen por objeto regular.</w:t>
      </w:r>
      <w:r>
        <w:rPr>
          <w:sz w:val="16"/>
        </w:rPr>
        <w:t>”</w:t>
      </w:r>
    </w:p>
    <w:p>
      <w:pPr>
        <w:spacing w:after="0"/>
        <w:jc w:val="both"/>
        <w:rPr>
          <w:sz w:val="16"/>
        </w:rPr>
        <w:sectPr>
          <w:pgSz w:w="12240" w:h="15840"/>
          <w:pgMar w:header="0" w:footer="998" w:top="1360" w:bottom="1180" w:left="1580" w:right="1580"/>
        </w:sectPr>
      </w:pPr>
    </w:p>
    <w:p>
      <w:pPr>
        <w:pStyle w:val="BodyText"/>
        <w:spacing w:line="360" w:lineRule="auto" w:before="55"/>
        <w:ind w:left="120" w:right="440"/>
        <w:jc w:val="both"/>
      </w:pPr>
      <w:r>
        <w:rPr/>
        <w:t>hombre es juez, no hay lugar para la acusación, ya que nadie está obligado a acusarse a sí mismo por razón de un pacto.”</w:t>
      </w:r>
      <w:r>
        <w:rPr>
          <w:position w:val="8"/>
          <w:sz w:val="16"/>
        </w:rPr>
        <w:t>72</w:t>
      </w:r>
      <w:r>
        <w:rPr/>
        <w:t>La democracia es semejante a un sistema de pesos (del Poder Ejecutivo) y contrapesos (Poder Legislativo y Poder Judicial), que requiere un cálculo preciso del poder para lograr el equilibrio. Cualquier desviación del equilibrio provoca anarquía (ingobernabilidad o mal gobierno) o absolutismo (dictadura o supremacía del Poder Ejecutivo).</w:t>
      </w:r>
    </w:p>
    <w:p>
      <w:pPr>
        <w:pStyle w:val="BodyText"/>
        <w:spacing w:before="1"/>
        <w:rPr>
          <w:sz w:val="20"/>
        </w:rPr>
      </w:pPr>
    </w:p>
    <w:p>
      <w:pPr>
        <w:spacing w:before="0"/>
        <w:ind w:left="3109" w:right="823" w:firstLine="0"/>
        <w:jc w:val="left"/>
        <w:rPr>
          <w:sz w:val="20"/>
        </w:rPr>
      </w:pPr>
      <w:bookmarkStart w:name="_bookmark59" w:id="80"/>
      <w:bookmarkEnd w:id="80"/>
      <w:r>
        <w:rPr/>
      </w:r>
      <w:r>
        <w:rPr>
          <w:sz w:val="20"/>
        </w:rPr>
        <w:t>Esquema 3. 1. Equilibrio político</w:t>
      </w:r>
    </w:p>
    <w:p>
      <w:pPr>
        <w:pStyle w:val="BodyText"/>
        <w:rPr>
          <w:sz w:val="14"/>
        </w:rPr>
      </w:pPr>
      <w:r>
        <w:rPr/>
        <w:pict>
          <v:group style="position:absolute;margin-left:104.599998pt;margin-top:10.030884pt;width:439.2pt;height:187.6pt;mso-position-horizontal-relative:page;mso-position-vertical-relative:paragraph;z-index:8224;mso-wrap-distance-left:0;mso-wrap-distance-right:0" coordorigin="2092,201" coordsize="8784,3752">
            <v:shape style="position:absolute;left:2092;top:201;width:8784;height:3752" type="#_x0000_t75" stroked="false">
              <v:imagedata r:id="rId115" o:title=""/>
            </v:shape>
            <v:rect style="position:absolute;left:2217;top:231;width:8619;height:3615" filled="true" fillcolor="#edebe0" stroked="false">
              <v:fill type="solid"/>
            </v:rect>
            <v:shape style="position:absolute;left:4894;top:557;width:3010;height:2241" type="#_x0000_t75" stroked="false">
              <v:imagedata r:id="rId116" o:title=""/>
            </v:shape>
            <v:shape style="position:absolute;left:8139;top:1318;width:909;height:820" type="#_x0000_t75" stroked="false">
              <v:imagedata r:id="rId117" o:title=""/>
            </v:shape>
            <v:shape style="position:absolute;left:8217;top:1394;width:743;height:635" coordorigin="8217,1394" coordsize="743,635" path="m8240,1552l8217,1552,8217,1869,8240,1869,8240,1552xm8308,1552l8263,1552,8263,1869,8308,1869,8308,1552xm8593,1394l8593,1552,8331,1552,8331,1869,8593,1869,8593,2028,8960,1711,8593,1394xe" filled="true" fillcolor="#000000" stroked="false">
              <v:path arrowok="t"/>
              <v:fill type="solid"/>
            </v:shape>
            <v:shape style="position:absolute;left:8197;top:1353;width:790;height:716" coordorigin="8197,1353" coordsize="790,716" path="m8573,1869l8573,2069,8621,2028,8613,2028,8579,2016,8613,1987,8613,1886,8593,1886,8573,1869xm8613,1987l8579,2016,8613,2028,8613,1987xm8932,1711l8613,1987,8613,2028,8621,2028,8973,1723,8946,1723,8932,1711xm8243,1535l8197,1535,8197,1886,8243,1886,8243,1869,8220,1869,8220,1855,8217,1853,8220,1853,8220,1569,8217,1569,8220,1566,8220,1552,8243,1552,8243,1535xm8259,1535l8243,1535,8243,1886,8259,1886,8259,1535xm8312,1535l8259,1535,8259,1886,8312,1886,8312,1869,8282,1869,8263,1853,8282,1853,8282,1569,8263,1569,8282,1552,8312,1552,8312,1535xm8328,1535l8312,1535,8312,1886,8328,1886,8328,1535xm8573,1535l8328,1535,8328,1886,8573,1886,8573,1869,8351,1869,8331,1853,8351,1853,8351,1569,8331,1569,8351,1552,8573,1552,8573,1535xm8613,1853l8351,1853,8351,1869,8573,1869,8593,1886,8613,1886,8613,1853xm8220,1855l8220,1869,8228,1862,8220,1855xm8228,1862l8220,1869,8236,1869,8228,1862xm8236,1855l8228,1862,8236,1869,8236,1855xm8243,1853l8240,1853,8236,1855,8236,1869,8243,1869,8243,1853xm8282,1853l8263,1853,8282,1869,8282,1853xm8289,1853l8282,1853,8282,1869,8289,1869,8289,1853xm8289,1552l8289,1869,8308,1853,8312,1853,8312,1569,8308,1569,8289,1552xm8312,1853l8308,1853,8289,1869,8312,1869,8312,1853xm8351,1853l8331,1853,8351,1869,8351,1853xm8228,1559l8220,1566,8220,1855,8228,1862,8236,1855,8236,1566,8228,1559xm8220,1853l8217,1853,8220,1855,8220,1853xm8236,1566l8236,1855,8240,1853,8243,1853,8243,1569,8240,1569,8236,1566xm8946,1699l8932,1711,8946,1723,8946,1699xm8973,1699l8946,1699,8946,1723,8973,1723,8987,1711,8973,1699xm8621,1394l8613,1394,8613,1435,8932,1711,8946,1699,8973,1699,8621,1394xm8220,1566l8217,1569,8220,1569,8220,1566xm8243,1552l8236,1552,8236,1566,8240,1569,8243,1569,8243,1552xm8282,1552l8263,1569,8282,1569,8282,1552xm8289,1552l8282,1552,8282,1569,8289,1569,8289,1552xm8312,1552l8289,1552,8308,1569,8312,1569,8312,1552xm8351,1552l8331,1569,8351,1569,8351,1552xm8613,1535l8593,1535,8573,1552,8351,1552,8351,1569,8613,1569,8613,1535xm8220,1552l8220,1566,8228,1559,8220,1552xm8236,1552l8228,1559,8236,1566,8236,1552xm8236,1552l8220,1552,8228,1559,8236,1552xm8573,1353l8573,1552,8593,1535,8613,1535,8613,1435,8579,1406,8613,1394,8621,1394,8573,1353xm8613,1394l8579,1406,8613,1435,8613,1394xe" filled="true" fillcolor="#ffffff" stroked="false">
              <v:path arrowok="t"/>
              <v:fill type="solid"/>
            </v:shape>
            <v:rect style="position:absolute;left:2241;top:1271;width:1476;height:1226" filled="true" fillcolor="#ffffff" stroked="false">
              <v:fill type="solid"/>
            </v:rect>
            <v:rect style="position:absolute;left:2241;top:1271;width:1476;height:1226" filled="false" stroked="true" strokeweight="1.349023pt" strokecolor="#000000"/>
            <v:rect style="position:absolute;left:8964;top:1525;width:1847;height:736" filled="true" fillcolor="#ffffff" stroked="false">
              <v:fill type="solid"/>
            </v:rect>
            <v:rect style="position:absolute;left:8964;top:1525;width:1847;height:736" filled="false" stroked="true" strokeweight="1.295437pt" strokecolor="#000000"/>
            <v:shape style="position:absolute;left:3780;top:1318;width:909;height:820" type="#_x0000_t75" stroked="false">
              <v:imagedata r:id="rId117" o:title=""/>
            </v:shape>
            <v:shape style="position:absolute;left:3859;top:1394;width:743;height:635" coordorigin="3859,1394" coordsize="743,635" path="m3882,1552l3859,1552,3859,1869,3882,1869,3882,1552xm3950,1552l3905,1552,3905,1869,3950,1869,3950,1552xm4235,1394l4235,1552,3973,1552,3973,1869,4235,1869,4235,2028,4601,1711,4235,1394xe" filled="true" fillcolor="#000000" stroked="false">
              <v:path arrowok="t"/>
              <v:fill type="solid"/>
            </v:shape>
            <v:shape style="position:absolute;left:3839;top:1353;width:790;height:716" coordorigin="3839,1353" coordsize="790,716" path="m4215,1869l4215,2069,4262,2028,4254,2028,4221,2016,4254,1987,4254,1886,4235,1886,4215,1869xm4254,1987l4221,2016,4254,2028,4254,1987xm4574,1711l4254,1987,4254,2028,4262,2028,4615,1723,4587,1723,4574,1711xm3885,1535l3839,1535,3839,1886,3885,1886,3885,1869,3862,1869,3862,1855,3859,1853,3862,1853,3862,1569,3859,1569,3862,1566,3862,1552,3885,1552,3885,1535xm3901,1535l3885,1535,3885,1886,3901,1886,3901,1535xm3954,1535l3901,1535,3901,1886,3954,1886,3954,1869,3924,1869,3905,1853,3924,1853,3924,1569,3905,1569,3924,1552,3954,1552,3954,1535xm3970,1535l3954,1535,3954,1886,3970,1886,3970,1535xm4215,1535l3970,1535,3970,1886,4215,1886,4215,1869,3993,1869,3973,1853,3993,1853,3993,1569,3973,1569,3993,1552,4215,1552,4215,1535xm4254,1853l3993,1853,3993,1869,4215,1869,4235,1886,4254,1886,4254,1853xm3862,1855l3862,1869,3870,1862,3862,1855xm3870,1862l3862,1869,3878,1869,3870,1862xm3878,1855l3870,1862,3878,1869,3878,1855xm3885,1853l3882,1853,3878,1855,3878,1869,3885,1869,3885,1853xm3924,1853l3905,1853,3924,1869,3924,1853xm3931,1853l3924,1853,3924,1869,3931,1869,3931,1853xm3931,1552l3931,1869,3950,1853,3954,1853,3954,1569,3950,1569,3931,1552xm3954,1853l3950,1853,3931,1869,3954,1869,3954,1853xm3993,1853l3973,1853,3993,1869,3993,1853xm3870,1559l3862,1566,3862,1855,3870,1862,3878,1855,3878,1566,3870,1559xm3862,1853l3859,1853,3862,1855,3862,1853xm3878,1566l3878,1855,3882,1853,3885,1853,3885,1569,3882,1569,3878,1566xm4587,1699l4574,1711,4587,1723,4587,1699xm4615,1699l4587,1699,4587,1723,4615,1723,4629,1711,4615,1699xm4263,1394l4254,1394,4254,1435,4574,1711,4587,1699,4615,1699,4263,1394xm3862,1566l3859,1569,3862,1569,3862,1566xm3885,1552l3878,1552,3878,1566,3882,1569,3885,1569,3885,1552xm3924,1552l3905,1569,3924,1569,3924,1552xm3931,1552l3924,1552,3924,1569,3931,1569,3931,1552xm3954,1552l3931,1552,3950,1569,3954,1569,3954,1552xm3993,1552l3973,1569,3993,1569,3993,1552xm4254,1535l4235,1535,4215,1552,3993,1552,3993,1569,4254,1569,4254,1535xm3862,1552l3862,1566,3870,1559,3862,1552xm3878,1552l3870,1559,3878,1566,3878,1552xm3878,1552l3862,1552,3870,1559,3878,1552xm4215,1353l4215,1552,4235,1535,4254,1535,4254,1435,4221,1406,4254,1394,4263,1394,4215,1353xm4254,1394l4221,1406,4254,1435,4254,1394xe" filled="true" fillcolor="#ffffff" stroked="false">
              <v:path arrowok="t"/>
              <v:fill type="solid"/>
            </v:shape>
            <v:shape style="position:absolute;left:4679;top:2992;width:1329;height:313" coordorigin="4679,2992" coordsize="1329,313" path="m5374,3148l5314,3148,5326,3161,5335,3194,5342,3244,5344,3305,5346,3244,5353,3194,5362,3161,5374,3148xm6008,2992l4679,2992,4682,3053,4688,3103,4698,3136,4710,3148,5978,3148,5990,3136,6000,3103,6006,3053,6008,2992xe" filled="true" fillcolor="#f1f1f1" stroked="false">
              <v:path arrowok="t"/>
              <v:fill type="solid"/>
            </v:shape>
            <v:shape style="position:absolute;left:4679;top:2992;width:1329;height:313" coordorigin="4679,2992" coordsize="1329,313" path="m6008,2992l6006,3053,6000,3103,5990,3136,5978,3148,5374,3148,5362,3161,5353,3194,5346,3244,5344,3305,5342,3244,5335,3194,5326,3161,5314,3148,4710,3148,4698,3136,4688,3103,4682,3053,4679,2992e" filled="false" stroked="true" strokeweight="1.705033pt" strokecolor="#000000">
              <v:path arrowok="t"/>
            </v:shape>
            <v:shape style="position:absolute;left:6966;top:2992;width:1329;height:313" coordorigin="6966,2992" coordsize="1329,313" path="m7661,3148l7600,3148,7612,3161,7622,3194,7628,3244,7631,3305,7633,3244,7639,3194,7649,3161,7661,3148xm8295,2992l6966,2992,6968,3053,6975,3103,6984,3136,6996,3148,8265,3148,8277,3136,8286,3103,8293,3053,8295,2992xe" filled="true" fillcolor="#f1f1f1" stroked="false">
              <v:path arrowok="t"/>
              <v:fill type="solid"/>
            </v:shape>
            <v:shape style="position:absolute;left:6966;top:2992;width:1329;height:313" coordorigin="6966,2992" coordsize="1329,313" path="m8295,2992l8293,3053,8286,3103,8277,3136,8265,3148,7661,3148,7649,3161,7639,3194,7633,3244,7631,3305,7628,3244,7622,3194,7612,3161,7600,3148,6996,3148,6984,3136,6975,3103,6968,3053,6966,2992e" filled="false" stroked="true" strokeweight="1.705033pt" strokecolor="#000000">
              <v:path arrowok="t"/>
            </v:shape>
            <v:shape style="position:absolute;left:2217;top:1271;width:1500;height:1227" type="#_x0000_t202" filled="false" stroked="false">
              <v:textbox inset="0,0,0,0">
                <w:txbxContent>
                  <w:p>
                    <w:pPr>
                      <w:spacing w:line="259" w:lineRule="auto" w:before="49"/>
                      <w:ind w:left="114" w:right="0" w:firstLine="0"/>
                      <w:jc w:val="left"/>
                      <w:rPr>
                        <w:b/>
                        <w:sz w:val="13"/>
                      </w:rPr>
                    </w:pPr>
                    <w:r>
                      <w:rPr>
                        <w:b/>
                        <w:w w:val="120"/>
                        <w:sz w:val="13"/>
                      </w:rPr>
                      <w:t>Autonomía de poderes</w:t>
                    </w:r>
                  </w:p>
                  <w:p>
                    <w:pPr>
                      <w:spacing w:line="240" w:lineRule="auto" w:before="11"/>
                      <w:rPr>
                        <w:sz w:val="13"/>
                      </w:rPr>
                    </w:pPr>
                  </w:p>
                  <w:p>
                    <w:pPr>
                      <w:spacing w:line="259" w:lineRule="auto" w:before="0"/>
                      <w:ind w:left="114" w:right="0" w:firstLine="0"/>
                      <w:jc w:val="left"/>
                      <w:rPr>
                        <w:b/>
                        <w:sz w:val="13"/>
                      </w:rPr>
                    </w:pPr>
                    <w:r>
                      <w:rPr>
                        <w:b/>
                        <w:w w:val="120"/>
                        <w:sz w:val="13"/>
                      </w:rPr>
                      <w:t>Diseño institucional</w:t>
                    </w:r>
                  </w:p>
                </w:txbxContent>
              </v:textbox>
              <w10:wrap type="none"/>
            </v:shape>
            <v:shape style="position:absolute;left:8964;top:1525;width:1872;height:736" type="#_x0000_t202" filled="false" stroked="false">
              <v:textbox inset="0,0,0,0">
                <w:txbxContent>
                  <w:p>
                    <w:pPr>
                      <w:spacing w:line="259" w:lineRule="auto" w:before="52"/>
                      <w:ind w:left="97" w:right="78" w:firstLine="0"/>
                      <w:jc w:val="left"/>
                      <w:rPr>
                        <w:b/>
                        <w:sz w:val="13"/>
                      </w:rPr>
                    </w:pPr>
                    <w:r>
                      <w:rPr>
                        <w:b/>
                        <w:w w:val="120"/>
                        <w:sz w:val="13"/>
                      </w:rPr>
                      <w:t>Vigilancia de la división del poder mediante la rendición de cuentas</w:t>
                    </w:r>
                  </w:p>
                </w:txbxContent>
              </v:textbox>
              <w10:wrap type="none"/>
            </v:shape>
            <v:shape style="position:absolute;left:5068;top:1845;width:701;height:297" type="#_x0000_t202" filled="false" stroked="false">
              <v:textbox inset="0,0,0,0">
                <w:txbxContent>
                  <w:p>
                    <w:pPr>
                      <w:spacing w:line="137" w:lineRule="exact" w:before="0"/>
                      <w:ind w:left="108" w:right="109" w:firstLine="0"/>
                      <w:jc w:val="center"/>
                      <w:rPr>
                        <w:b/>
                        <w:sz w:val="13"/>
                      </w:rPr>
                    </w:pPr>
                    <w:r>
                      <w:rPr>
                        <w:b/>
                        <w:w w:val="120"/>
                        <w:sz w:val="13"/>
                      </w:rPr>
                      <w:t>Poder</w:t>
                    </w:r>
                  </w:p>
                  <w:p>
                    <w:pPr>
                      <w:spacing w:line="148" w:lineRule="exact" w:before="11"/>
                      <w:ind w:left="-1" w:right="0" w:firstLine="0"/>
                      <w:jc w:val="center"/>
                      <w:rPr>
                        <w:b/>
                        <w:sz w:val="13"/>
                      </w:rPr>
                    </w:pPr>
                    <w:r>
                      <w:rPr>
                        <w:b/>
                        <w:w w:val="120"/>
                        <w:sz w:val="13"/>
                      </w:rPr>
                      <w:t>Ejecutivo</w:t>
                    </w:r>
                  </w:p>
                </w:txbxContent>
              </v:textbox>
              <w10:wrap type="none"/>
            </v:shape>
            <v:shape style="position:absolute;left:6621;top:1845;width:1287;height:297" type="#_x0000_t202" filled="false" stroked="false">
              <v:textbox inset="0,0,0,0">
                <w:txbxContent>
                  <w:p>
                    <w:pPr>
                      <w:spacing w:line="137" w:lineRule="exact" w:before="0"/>
                      <w:ind w:left="0" w:right="-11" w:firstLine="0"/>
                      <w:jc w:val="left"/>
                      <w:rPr>
                        <w:b/>
                        <w:sz w:val="13"/>
                      </w:rPr>
                    </w:pPr>
                    <w:r>
                      <w:rPr>
                        <w:b/>
                        <w:w w:val="120"/>
                        <w:sz w:val="13"/>
                      </w:rPr>
                      <w:t>Poder</w:t>
                    </w:r>
                    <w:r>
                      <w:rPr>
                        <w:b/>
                        <w:spacing w:val="-23"/>
                        <w:w w:val="120"/>
                        <w:sz w:val="13"/>
                      </w:rPr>
                      <w:t> </w:t>
                    </w:r>
                    <w:r>
                      <w:rPr>
                        <w:b/>
                        <w:w w:val="120"/>
                        <w:sz w:val="13"/>
                      </w:rPr>
                      <w:t>Legislativo</w:t>
                    </w:r>
                  </w:p>
                  <w:p>
                    <w:pPr>
                      <w:spacing w:line="148" w:lineRule="exact" w:before="11"/>
                      <w:ind w:left="0" w:right="-11" w:firstLine="0"/>
                      <w:jc w:val="left"/>
                      <w:rPr>
                        <w:b/>
                        <w:sz w:val="13"/>
                      </w:rPr>
                    </w:pPr>
                    <w:r>
                      <w:rPr>
                        <w:b/>
                        <w:w w:val="120"/>
                        <w:sz w:val="13"/>
                      </w:rPr>
                      <w:t>Poder Judicial</w:t>
                    </w:r>
                  </w:p>
                </w:txbxContent>
              </v:textbox>
              <w10:wrap type="none"/>
            </v:shape>
            <v:shape style="position:absolute;left:4963;top:3635;width:456;height:161" type="#_x0000_t202" filled="false" stroked="false">
              <v:textbox inset="0,0,0,0">
                <w:txbxContent>
                  <w:p>
                    <w:pPr>
                      <w:spacing w:line="161" w:lineRule="exact" w:before="0"/>
                      <w:ind w:left="0" w:right="-4" w:firstLine="0"/>
                      <w:jc w:val="left"/>
                      <w:rPr>
                        <w:b/>
                        <w:sz w:val="16"/>
                      </w:rPr>
                    </w:pPr>
                    <w:r>
                      <w:rPr>
                        <w:b/>
                        <w:w w:val="115"/>
                        <w:sz w:val="16"/>
                      </w:rPr>
                      <w:t>Peso</w:t>
                    </w:r>
                  </w:p>
                </w:txbxContent>
              </v:textbox>
              <w10:wrap type="none"/>
            </v:shape>
            <v:shape style="position:absolute;left:7114;top:3635;width:1044;height:161" type="#_x0000_t202" filled="false" stroked="false">
              <v:textbox inset="0,0,0,0">
                <w:txbxContent>
                  <w:p>
                    <w:pPr>
                      <w:spacing w:line="161" w:lineRule="exact" w:before="0"/>
                      <w:ind w:left="0" w:right="0" w:firstLine="0"/>
                      <w:jc w:val="left"/>
                      <w:rPr>
                        <w:b/>
                        <w:sz w:val="16"/>
                      </w:rPr>
                    </w:pPr>
                    <w:r>
                      <w:rPr>
                        <w:b/>
                        <w:w w:val="115"/>
                        <w:sz w:val="16"/>
                      </w:rPr>
                      <w:t>Contrapeso</w:t>
                    </w:r>
                  </w:p>
                </w:txbxContent>
              </v:textbox>
              <w10:wrap type="none"/>
            </v:shape>
            <w10:wrap type="topAndBottom"/>
          </v:group>
        </w:pict>
      </w:r>
    </w:p>
    <w:p>
      <w:pPr>
        <w:spacing w:before="0"/>
        <w:ind w:left="120" w:right="0" w:firstLine="0"/>
        <w:jc w:val="both"/>
        <w:rPr>
          <w:sz w:val="12"/>
        </w:rPr>
      </w:pPr>
      <w:r>
        <w:rPr>
          <w:sz w:val="12"/>
        </w:rPr>
        <w:t>FUENTE:      Solares (2003).</w:t>
      </w:r>
    </w:p>
    <w:p>
      <w:pPr>
        <w:pStyle w:val="BodyText"/>
        <w:rPr>
          <w:sz w:val="12"/>
        </w:rPr>
      </w:pPr>
    </w:p>
    <w:p>
      <w:pPr>
        <w:pStyle w:val="BodyText"/>
        <w:rPr>
          <w:sz w:val="12"/>
        </w:rPr>
      </w:pPr>
    </w:p>
    <w:p>
      <w:pPr>
        <w:pStyle w:val="BodyText"/>
        <w:rPr>
          <w:sz w:val="12"/>
        </w:rPr>
      </w:pPr>
    </w:p>
    <w:p>
      <w:pPr>
        <w:pStyle w:val="BodyText"/>
        <w:rPr>
          <w:sz w:val="10"/>
        </w:rPr>
      </w:pPr>
    </w:p>
    <w:p>
      <w:pPr>
        <w:pStyle w:val="BodyText"/>
        <w:spacing w:line="360" w:lineRule="auto"/>
        <w:ind w:left="120" w:right="442" w:firstLine="427"/>
        <w:jc w:val="both"/>
      </w:pPr>
      <w:r>
        <w:rPr/>
        <w:t>El equilibrio es difícil de sostener si no existe la voluntad política de respetar la división</w:t>
      </w:r>
      <w:r>
        <w:rPr>
          <w:spacing w:val="-17"/>
        </w:rPr>
        <w:t> </w:t>
      </w:r>
      <w:r>
        <w:rPr/>
        <w:t>de</w:t>
      </w:r>
      <w:r>
        <w:rPr>
          <w:spacing w:val="-17"/>
        </w:rPr>
        <w:t> </w:t>
      </w:r>
      <w:r>
        <w:rPr/>
        <w:t>poderes</w:t>
      </w:r>
      <w:r>
        <w:rPr>
          <w:spacing w:val="-15"/>
        </w:rPr>
        <w:t> </w:t>
      </w:r>
      <w:r>
        <w:rPr/>
        <w:t>y</w:t>
      </w:r>
      <w:r>
        <w:rPr>
          <w:spacing w:val="-19"/>
        </w:rPr>
        <w:t> </w:t>
      </w:r>
      <w:r>
        <w:rPr/>
        <w:t>si</w:t>
      </w:r>
      <w:r>
        <w:rPr>
          <w:spacing w:val="-16"/>
        </w:rPr>
        <w:t> </w:t>
      </w:r>
      <w:r>
        <w:rPr/>
        <w:t>el</w:t>
      </w:r>
      <w:r>
        <w:rPr>
          <w:spacing w:val="-16"/>
        </w:rPr>
        <w:t> </w:t>
      </w:r>
      <w:r>
        <w:rPr/>
        <w:t>Estado</w:t>
      </w:r>
      <w:r>
        <w:rPr>
          <w:spacing w:val="-17"/>
        </w:rPr>
        <w:t> </w:t>
      </w:r>
      <w:r>
        <w:rPr/>
        <w:t>es</w:t>
      </w:r>
      <w:r>
        <w:rPr>
          <w:spacing w:val="-15"/>
        </w:rPr>
        <w:t> </w:t>
      </w:r>
      <w:r>
        <w:rPr/>
        <w:t>democráticamente</w:t>
      </w:r>
      <w:r>
        <w:rPr>
          <w:spacing w:val="-17"/>
        </w:rPr>
        <w:t> </w:t>
      </w:r>
      <w:r>
        <w:rPr/>
        <w:t>frágil.</w:t>
      </w:r>
      <w:r>
        <w:rPr>
          <w:spacing w:val="-14"/>
        </w:rPr>
        <w:t> </w:t>
      </w:r>
      <w:r>
        <w:rPr/>
        <w:t>Cuando</w:t>
      </w:r>
      <w:r>
        <w:rPr>
          <w:spacing w:val="-17"/>
        </w:rPr>
        <w:t> </w:t>
      </w:r>
      <w:r>
        <w:rPr/>
        <w:t>el</w:t>
      </w:r>
      <w:r>
        <w:rPr>
          <w:spacing w:val="-11"/>
        </w:rPr>
        <w:t> </w:t>
      </w:r>
      <w:r>
        <w:rPr/>
        <w:t>contrapeso no es efectivo y la democracia es endeble, le es </w:t>
      </w:r>
      <w:r>
        <w:rPr>
          <w:spacing w:val="-2"/>
        </w:rPr>
        <w:t>más </w:t>
      </w:r>
      <w:r>
        <w:rPr/>
        <w:t>conveniente al poder político promover</w:t>
      </w:r>
      <w:r>
        <w:rPr>
          <w:spacing w:val="-5"/>
        </w:rPr>
        <w:t> </w:t>
      </w:r>
      <w:r>
        <w:rPr/>
        <w:t>la</w:t>
      </w:r>
      <w:r>
        <w:rPr>
          <w:spacing w:val="-6"/>
        </w:rPr>
        <w:t> </w:t>
      </w:r>
      <w:r>
        <w:rPr/>
        <w:t>civilidad</w:t>
      </w:r>
      <w:r>
        <w:rPr>
          <w:spacing w:val="-6"/>
        </w:rPr>
        <w:t> </w:t>
      </w:r>
      <w:r>
        <w:rPr/>
        <w:t>política</w:t>
      </w:r>
      <w:r>
        <w:rPr>
          <w:spacing w:val="-6"/>
        </w:rPr>
        <w:t> </w:t>
      </w:r>
      <w:r>
        <w:rPr/>
        <w:t>mediante</w:t>
      </w:r>
      <w:r>
        <w:rPr>
          <w:spacing w:val="-3"/>
        </w:rPr>
        <w:t> </w:t>
      </w:r>
      <w:r>
        <w:rPr/>
        <w:t>la</w:t>
      </w:r>
      <w:r>
        <w:rPr>
          <w:spacing w:val="-6"/>
        </w:rPr>
        <w:t> </w:t>
      </w:r>
      <w:r>
        <w:rPr/>
        <w:t>conveniencia</w:t>
      </w:r>
      <w:r>
        <w:rPr>
          <w:spacing w:val="-3"/>
        </w:rPr>
        <w:t> </w:t>
      </w:r>
      <w:r>
        <w:rPr/>
        <w:t>mutua</w:t>
      </w:r>
      <w:r>
        <w:rPr>
          <w:spacing w:val="-6"/>
        </w:rPr>
        <w:t> </w:t>
      </w:r>
      <w:r>
        <w:rPr/>
        <w:t>que</w:t>
      </w:r>
      <w:r>
        <w:rPr>
          <w:spacing w:val="-3"/>
        </w:rPr>
        <w:t> </w:t>
      </w:r>
      <w:r>
        <w:rPr/>
        <w:t>por</w:t>
      </w:r>
      <w:r>
        <w:rPr>
          <w:spacing w:val="-5"/>
        </w:rPr>
        <w:t> </w:t>
      </w:r>
      <w:r>
        <w:rPr/>
        <w:t>la</w:t>
      </w:r>
      <w:r>
        <w:rPr>
          <w:spacing w:val="-6"/>
        </w:rPr>
        <w:t> </w:t>
      </w:r>
      <w:r>
        <w:rPr/>
        <w:t>fuerza.</w:t>
      </w:r>
    </w:p>
    <w:p>
      <w:pPr>
        <w:pStyle w:val="BodyText"/>
        <w:spacing w:line="362" w:lineRule="auto"/>
        <w:ind w:left="120" w:right="445" w:firstLine="427"/>
        <w:jc w:val="both"/>
      </w:pPr>
      <w:r>
        <w:rPr/>
        <w:t>La acción de la </w:t>
      </w:r>
      <w:r>
        <w:rPr>
          <w:i/>
        </w:rPr>
        <w:t>res publica</w:t>
      </w:r>
      <w:r>
        <w:rPr>
          <w:position w:val="8"/>
          <w:sz w:val="16"/>
        </w:rPr>
        <w:t>73 </w:t>
      </w:r>
      <w:r>
        <w:rPr/>
        <w:t>recae en la clase política</w:t>
      </w:r>
      <w:r>
        <w:rPr>
          <w:position w:val="8"/>
          <w:sz w:val="16"/>
        </w:rPr>
        <w:t>74 </w:t>
      </w:r>
      <w:r>
        <w:rPr/>
        <w:t>que está integrada por los funcionarios públicos de un Estado. De acuerdo con Gaetano Mosca (1896), algunas características de esta clase son las siguientes:</w:t>
      </w:r>
    </w:p>
    <w:p>
      <w:pPr>
        <w:pStyle w:val="BodyText"/>
        <w:spacing w:before="3"/>
        <w:rPr>
          <w:sz w:val="20"/>
        </w:rPr>
      </w:pPr>
      <w:r>
        <w:rPr/>
        <w:pict>
          <v:line style="position:absolute;mso-position-horizontal-relative:page;mso-position-vertical-relative:paragraph;z-index:8248;mso-wrap-distance-left:0;mso-wrap-distance-right:0" from="85.025002pt,14.019843pt" to="229.075002pt,14.019843pt" stroked="true" strokeweight=".79999pt" strokecolor="#000000">
            <w10:wrap type="topAndBottom"/>
          </v:line>
        </w:pict>
      </w:r>
    </w:p>
    <w:p>
      <w:pPr>
        <w:spacing w:line="256" w:lineRule="auto" w:before="59"/>
        <w:ind w:left="120" w:right="823" w:firstLine="0"/>
        <w:jc w:val="left"/>
        <w:rPr>
          <w:sz w:val="16"/>
        </w:rPr>
      </w:pPr>
      <w:r>
        <w:rPr>
          <w:rFonts w:ascii="Times New Roman"/>
          <w:position w:val="7"/>
          <w:sz w:val="13"/>
        </w:rPr>
        <w:t>72</w:t>
      </w:r>
      <w:r>
        <w:rPr>
          <w:sz w:val="16"/>
        </w:rPr>
        <w:t>Disponible en: </w:t>
      </w:r>
      <w:hyperlink r:id="rId118">
        <w:r>
          <w:rPr>
            <w:sz w:val="16"/>
            <w:u w:val="single"/>
          </w:rPr>
          <w:t>http://www.laeditorialvirtual.com.ar/Pages/Hobbes/ElEstado_01.htm </w:t>
        </w:r>
      </w:hyperlink>
      <w:r>
        <w:rPr>
          <w:sz w:val="16"/>
        </w:rPr>
        <w:t>[Fecha de consulta: 23 de agosto, 2015]</w:t>
      </w:r>
    </w:p>
    <w:p>
      <w:pPr>
        <w:spacing w:line="192" w:lineRule="exact" w:before="20"/>
        <w:ind w:left="120" w:right="432" w:firstLine="0"/>
        <w:jc w:val="both"/>
        <w:rPr>
          <w:sz w:val="16"/>
        </w:rPr>
      </w:pPr>
      <w:r>
        <w:rPr>
          <w:rFonts w:ascii="Times New Roman" w:hAnsi="Times New Roman"/>
          <w:position w:val="7"/>
          <w:sz w:val="13"/>
        </w:rPr>
        <w:t>73</w:t>
      </w:r>
      <w:r>
        <w:rPr>
          <w:sz w:val="16"/>
        </w:rPr>
        <w:t>Pimentel (2004: 676) mencionó que Por</w:t>
      </w:r>
      <w:r>
        <w:rPr>
          <w:i/>
          <w:sz w:val="16"/>
        </w:rPr>
        <w:t>res pública </w:t>
      </w:r>
      <w:r>
        <w:rPr>
          <w:sz w:val="16"/>
        </w:rPr>
        <w:t>entiende la cosa pública, la república, el Estado, administración del Estado, asuntos públicos, interés público.</w:t>
      </w:r>
    </w:p>
    <w:p>
      <w:pPr>
        <w:spacing w:line="216" w:lineRule="exact" w:before="0"/>
        <w:ind w:left="120" w:right="0" w:firstLine="0"/>
        <w:jc w:val="both"/>
        <w:rPr>
          <w:i/>
          <w:sz w:val="16"/>
        </w:rPr>
      </w:pPr>
      <w:r>
        <w:rPr>
          <w:rFonts w:ascii="Times New Roman" w:hAnsi="Times New Roman"/>
          <w:position w:val="7"/>
          <w:sz w:val="13"/>
        </w:rPr>
        <w:t>74</w:t>
      </w:r>
      <w:r>
        <w:rPr>
          <w:sz w:val="16"/>
        </w:rPr>
        <w:t>Sierra Rojas (2001: 195) mencionó que la clase política es una expresión acuñada por Gaetano Mosca, de su obra </w:t>
      </w:r>
      <w:r>
        <w:rPr>
          <w:i/>
          <w:sz w:val="16"/>
        </w:rPr>
        <w:t>Elementi</w:t>
      </w:r>
    </w:p>
    <w:p>
      <w:pPr>
        <w:spacing w:before="12"/>
        <w:ind w:left="120" w:right="440" w:firstLine="0"/>
        <w:jc w:val="both"/>
        <w:rPr>
          <w:sz w:val="16"/>
        </w:rPr>
      </w:pPr>
      <w:r>
        <w:rPr>
          <w:i/>
          <w:sz w:val="16"/>
        </w:rPr>
        <w:t>di</w:t>
      </w:r>
      <w:r>
        <w:rPr>
          <w:i/>
          <w:spacing w:val="-3"/>
          <w:sz w:val="16"/>
        </w:rPr>
        <w:t> </w:t>
      </w:r>
      <w:r>
        <w:rPr>
          <w:i/>
          <w:sz w:val="16"/>
        </w:rPr>
        <w:t>Scienza</w:t>
      </w:r>
      <w:r>
        <w:rPr>
          <w:i/>
          <w:spacing w:val="-4"/>
          <w:sz w:val="16"/>
        </w:rPr>
        <w:t> </w:t>
      </w:r>
      <w:r>
        <w:rPr>
          <w:i/>
          <w:sz w:val="16"/>
        </w:rPr>
        <w:t>Política</w:t>
      </w:r>
      <w:r>
        <w:rPr>
          <w:sz w:val="16"/>
        </w:rPr>
        <w:t>,</w:t>
      </w:r>
      <w:r>
        <w:rPr>
          <w:spacing w:val="-1"/>
          <w:sz w:val="16"/>
        </w:rPr>
        <w:t> </w:t>
      </w:r>
      <w:r>
        <w:rPr>
          <w:sz w:val="16"/>
        </w:rPr>
        <w:t>para</w:t>
      </w:r>
      <w:r>
        <w:rPr>
          <w:spacing w:val="-1"/>
          <w:sz w:val="16"/>
        </w:rPr>
        <w:t> </w:t>
      </w:r>
      <w:r>
        <w:rPr>
          <w:sz w:val="16"/>
        </w:rPr>
        <w:t>designar</w:t>
      </w:r>
      <w:r>
        <w:rPr>
          <w:spacing w:val="-5"/>
          <w:sz w:val="16"/>
        </w:rPr>
        <w:t> </w:t>
      </w:r>
      <w:r>
        <w:rPr>
          <w:sz w:val="16"/>
        </w:rPr>
        <w:t>a</w:t>
      </w:r>
      <w:r>
        <w:rPr>
          <w:spacing w:val="-2"/>
          <w:sz w:val="16"/>
        </w:rPr>
        <w:t> </w:t>
      </w:r>
      <w:r>
        <w:rPr>
          <w:sz w:val="16"/>
        </w:rPr>
        <w:t>la</w:t>
      </w:r>
      <w:r>
        <w:rPr>
          <w:spacing w:val="-4"/>
          <w:sz w:val="16"/>
        </w:rPr>
        <w:t> </w:t>
      </w:r>
      <w:r>
        <w:rPr>
          <w:sz w:val="16"/>
        </w:rPr>
        <w:t>clase</w:t>
      </w:r>
      <w:r>
        <w:rPr>
          <w:spacing w:val="-4"/>
          <w:sz w:val="16"/>
        </w:rPr>
        <w:t> </w:t>
      </w:r>
      <w:r>
        <w:rPr>
          <w:sz w:val="16"/>
        </w:rPr>
        <w:t>dominante.</w:t>
      </w:r>
      <w:r>
        <w:rPr>
          <w:spacing w:val="-4"/>
          <w:sz w:val="16"/>
        </w:rPr>
        <w:t> </w:t>
      </w:r>
      <w:r>
        <w:rPr>
          <w:sz w:val="16"/>
        </w:rPr>
        <w:t>Originalmente</w:t>
      </w:r>
      <w:r>
        <w:rPr>
          <w:spacing w:val="-5"/>
          <w:sz w:val="16"/>
        </w:rPr>
        <w:t> </w:t>
      </w:r>
      <w:r>
        <w:rPr>
          <w:sz w:val="16"/>
        </w:rPr>
        <w:t>el</w:t>
      </w:r>
      <w:r>
        <w:rPr>
          <w:spacing w:val="-7"/>
          <w:sz w:val="16"/>
        </w:rPr>
        <w:t> </w:t>
      </w:r>
      <w:r>
        <w:rPr>
          <w:sz w:val="16"/>
        </w:rPr>
        <w:t>autor</w:t>
      </w:r>
      <w:r>
        <w:rPr>
          <w:spacing w:val="-1"/>
          <w:sz w:val="16"/>
        </w:rPr>
        <w:t> </w:t>
      </w:r>
      <w:r>
        <w:rPr>
          <w:sz w:val="16"/>
        </w:rPr>
        <w:t>se</w:t>
      </w:r>
      <w:r>
        <w:rPr>
          <w:spacing w:val="-4"/>
          <w:sz w:val="16"/>
        </w:rPr>
        <w:t> </w:t>
      </w:r>
      <w:r>
        <w:rPr>
          <w:sz w:val="16"/>
        </w:rPr>
        <w:t>refiere</w:t>
      </w:r>
      <w:r>
        <w:rPr>
          <w:spacing w:val="-4"/>
          <w:sz w:val="16"/>
        </w:rPr>
        <w:t> </w:t>
      </w:r>
      <w:r>
        <w:rPr>
          <w:sz w:val="16"/>
        </w:rPr>
        <w:t>a</w:t>
      </w:r>
      <w:r>
        <w:rPr>
          <w:spacing w:val="-2"/>
          <w:sz w:val="16"/>
        </w:rPr>
        <w:t> </w:t>
      </w:r>
      <w:r>
        <w:rPr>
          <w:sz w:val="16"/>
        </w:rPr>
        <w:t>la</w:t>
      </w:r>
      <w:r>
        <w:rPr>
          <w:spacing w:val="-4"/>
          <w:sz w:val="16"/>
        </w:rPr>
        <w:t> </w:t>
      </w:r>
      <w:r>
        <w:rPr>
          <w:sz w:val="16"/>
        </w:rPr>
        <w:t>clase</w:t>
      </w:r>
      <w:r>
        <w:rPr>
          <w:spacing w:val="-4"/>
          <w:sz w:val="16"/>
        </w:rPr>
        <w:t> </w:t>
      </w:r>
      <w:r>
        <w:rPr>
          <w:sz w:val="16"/>
        </w:rPr>
        <w:t>política,</w:t>
      </w:r>
      <w:r>
        <w:rPr>
          <w:spacing w:val="-1"/>
          <w:sz w:val="16"/>
        </w:rPr>
        <w:t> </w:t>
      </w:r>
      <w:r>
        <w:rPr>
          <w:sz w:val="16"/>
        </w:rPr>
        <w:t>pero</w:t>
      </w:r>
      <w:r>
        <w:rPr>
          <w:spacing w:val="-4"/>
          <w:sz w:val="16"/>
        </w:rPr>
        <w:t> </w:t>
      </w:r>
      <w:r>
        <w:rPr>
          <w:sz w:val="16"/>
        </w:rPr>
        <w:t>al</w:t>
      </w:r>
      <w:r>
        <w:rPr>
          <w:spacing w:val="-7"/>
          <w:sz w:val="16"/>
        </w:rPr>
        <w:t> </w:t>
      </w:r>
      <w:r>
        <w:rPr>
          <w:sz w:val="16"/>
        </w:rPr>
        <w:t>traducir</w:t>
      </w:r>
      <w:r>
        <w:rPr>
          <w:spacing w:val="-1"/>
          <w:sz w:val="16"/>
        </w:rPr>
        <w:t> </w:t>
      </w:r>
      <w:r>
        <w:rPr>
          <w:sz w:val="16"/>
        </w:rPr>
        <w:t>la obra al inglés y al alemán se convierte en clase dominante. Es el conjunto de personas que ejercen efectivamente el poder en un Estado. </w:t>
      </w:r>
      <w:r>
        <w:rPr>
          <w:spacing w:val="2"/>
          <w:sz w:val="16"/>
        </w:rPr>
        <w:t>En </w:t>
      </w:r>
      <w:r>
        <w:rPr>
          <w:sz w:val="16"/>
        </w:rPr>
        <w:t>el estado capitalista es la burguesía. Sierra advirtió que el término no debe confundirse clase dominante con</w:t>
      </w:r>
      <w:r>
        <w:rPr>
          <w:spacing w:val="-7"/>
          <w:sz w:val="16"/>
        </w:rPr>
        <w:t> </w:t>
      </w:r>
      <w:r>
        <w:rPr>
          <w:sz w:val="16"/>
        </w:rPr>
        <w:t>el</w:t>
      </w:r>
      <w:r>
        <w:rPr>
          <w:spacing w:val="-6"/>
          <w:sz w:val="16"/>
        </w:rPr>
        <w:t> </w:t>
      </w:r>
      <w:r>
        <w:rPr>
          <w:sz w:val="16"/>
        </w:rPr>
        <w:t>sector</w:t>
      </w:r>
      <w:r>
        <w:rPr>
          <w:spacing w:val="-7"/>
          <w:sz w:val="16"/>
        </w:rPr>
        <w:t> </w:t>
      </w:r>
      <w:r>
        <w:rPr>
          <w:sz w:val="16"/>
        </w:rPr>
        <w:t>dominante,</w:t>
      </w:r>
      <w:r>
        <w:rPr>
          <w:spacing w:val="-7"/>
          <w:sz w:val="16"/>
        </w:rPr>
        <w:t> </w:t>
      </w:r>
      <w:r>
        <w:rPr>
          <w:sz w:val="16"/>
        </w:rPr>
        <w:t>que</w:t>
      </w:r>
      <w:r>
        <w:rPr>
          <w:spacing w:val="-7"/>
          <w:sz w:val="16"/>
        </w:rPr>
        <w:t> </w:t>
      </w:r>
      <w:r>
        <w:rPr>
          <w:sz w:val="16"/>
        </w:rPr>
        <w:t>es</w:t>
      </w:r>
      <w:r>
        <w:rPr>
          <w:spacing w:val="-6"/>
          <w:sz w:val="16"/>
        </w:rPr>
        <w:t> </w:t>
      </w:r>
      <w:r>
        <w:rPr>
          <w:sz w:val="16"/>
        </w:rPr>
        <w:t>la</w:t>
      </w:r>
      <w:r>
        <w:rPr>
          <w:spacing w:val="-7"/>
          <w:sz w:val="16"/>
        </w:rPr>
        <w:t> </w:t>
      </w:r>
      <w:r>
        <w:rPr>
          <w:sz w:val="16"/>
        </w:rPr>
        <w:t>fracción</w:t>
      </w:r>
      <w:r>
        <w:rPr>
          <w:spacing w:val="-7"/>
          <w:sz w:val="16"/>
        </w:rPr>
        <w:t> </w:t>
      </w:r>
      <w:r>
        <w:rPr>
          <w:sz w:val="16"/>
        </w:rPr>
        <w:t>de</w:t>
      </w:r>
      <w:r>
        <w:rPr>
          <w:spacing w:val="-3"/>
          <w:sz w:val="16"/>
        </w:rPr>
        <w:t> </w:t>
      </w:r>
      <w:r>
        <w:rPr>
          <w:sz w:val="16"/>
        </w:rPr>
        <w:t>la</w:t>
      </w:r>
      <w:r>
        <w:rPr>
          <w:spacing w:val="-7"/>
          <w:sz w:val="16"/>
        </w:rPr>
        <w:t> </w:t>
      </w:r>
      <w:r>
        <w:rPr>
          <w:sz w:val="16"/>
        </w:rPr>
        <w:t>clase</w:t>
      </w:r>
      <w:r>
        <w:rPr>
          <w:spacing w:val="-7"/>
          <w:sz w:val="16"/>
        </w:rPr>
        <w:t> </w:t>
      </w:r>
      <w:r>
        <w:rPr>
          <w:sz w:val="16"/>
        </w:rPr>
        <w:t>dominante</w:t>
      </w:r>
      <w:r>
        <w:rPr>
          <w:spacing w:val="-7"/>
          <w:sz w:val="16"/>
        </w:rPr>
        <w:t> </w:t>
      </w:r>
      <w:r>
        <w:rPr>
          <w:sz w:val="16"/>
        </w:rPr>
        <w:t>que</w:t>
      </w:r>
      <w:r>
        <w:rPr>
          <w:spacing w:val="-7"/>
          <w:sz w:val="16"/>
        </w:rPr>
        <w:t> </w:t>
      </w:r>
      <w:r>
        <w:rPr>
          <w:sz w:val="16"/>
        </w:rPr>
        <w:t>en</w:t>
      </w:r>
      <w:r>
        <w:rPr>
          <w:spacing w:val="-7"/>
          <w:sz w:val="16"/>
        </w:rPr>
        <w:t> </w:t>
      </w:r>
      <w:r>
        <w:rPr>
          <w:sz w:val="16"/>
        </w:rPr>
        <w:t>un</w:t>
      </w:r>
      <w:r>
        <w:rPr>
          <w:spacing w:val="-7"/>
          <w:sz w:val="16"/>
        </w:rPr>
        <w:t> </w:t>
      </w:r>
      <w:r>
        <w:rPr>
          <w:sz w:val="16"/>
        </w:rPr>
        <w:t>momento</w:t>
      </w:r>
      <w:r>
        <w:rPr>
          <w:spacing w:val="-7"/>
          <w:sz w:val="16"/>
        </w:rPr>
        <w:t> </w:t>
      </w:r>
      <w:r>
        <w:rPr>
          <w:sz w:val="16"/>
        </w:rPr>
        <w:t>dado</w:t>
      </w:r>
      <w:r>
        <w:rPr>
          <w:spacing w:val="-7"/>
          <w:sz w:val="16"/>
        </w:rPr>
        <w:t> </w:t>
      </w:r>
      <w:r>
        <w:rPr>
          <w:sz w:val="16"/>
        </w:rPr>
        <w:t>controla</w:t>
      </w:r>
      <w:r>
        <w:rPr>
          <w:spacing w:val="-7"/>
          <w:sz w:val="16"/>
        </w:rPr>
        <w:t> </w:t>
      </w:r>
      <w:r>
        <w:rPr>
          <w:sz w:val="16"/>
        </w:rPr>
        <w:t>en</w:t>
      </w:r>
      <w:r>
        <w:rPr>
          <w:spacing w:val="-11"/>
          <w:sz w:val="16"/>
        </w:rPr>
        <w:t> </w:t>
      </w:r>
      <w:r>
        <w:rPr>
          <w:sz w:val="16"/>
        </w:rPr>
        <w:t>forma</w:t>
      </w:r>
      <w:r>
        <w:rPr>
          <w:spacing w:val="-7"/>
          <w:sz w:val="16"/>
        </w:rPr>
        <w:t> </w:t>
      </w:r>
      <w:r>
        <w:rPr>
          <w:sz w:val="16"/>
        </w:rPr>
        <w:t>directa</w:t>
      </w:r>
      <w:r>
        <w:rPr>
          <w:spacing w:val="-7"/>
          <w:sz w:val="16"/>
        </w:rPr>
        <w:t> </w:t>
      </w:r>
      <w:r>
        <w:rPr>
          <w:sz w:val="16"/>
        </w:rPr>
        <w:t>el</w:t>
      </w:r>
      <w:r>
        <w:rPr>
          <w:spacing w:val="-9"/>
          <w:sz w:val="16"/>
        </w:rPr>
        <w:t> </w:t>
      </w:r>
      <w:r>
        <w:rPr>
          <w:sz w:val="16"/>
        </w:rPr>
        <w:t>poder político, o con un grupo gobernante que es el conjunto de personas elegidas o nombradas para que ocupen los más altos cargos</w:t>
      </w:r>
      <w:r>
        <w:rPr>
          <w:spacing w:val="-10"/>
          <w:sz w:val="16"/>
        </w:rPr>
        <w:t> </w:t>
      </w:r>
      <w:r>
        <w:rPr>
          <w:sz w:val="16"/>
        </w:rPr>
        <w:t>públicos.</w:t>
      </w:r>
    </w:p>
    <w:p>
      <w:pPr>
        <w:spacing w:after="0"/>
        <w:jc w:val="both"/>
        <w:rPr>
          <w:sz w:val="16"/>
        </w:rPr>
        <w:sectPr>
          <w:pgSz w:w="12240" w:h="15840"/>
          <w:pgMar w:header="0" w:footer="998" w:top="1360" w:bottom="1180" w:left="1580" w:right="1260"/>
        </w:sectPr>
      </w:pPr>
    </w:p>
    <w:p>
      <w:pPr>
        <w:pStyle w:val="BodyText"/>
        <w:spacing w:before="9"/>
        <w:rPr>
          <w:sz w:val="22"/>
        </w:rPr>
      </w:pPr>
    </w:p>
    <w:p>
      <w:pPr>
        <w:pStyle w:val="ListParagraph"/>
        <w:numPr>
          <w:ilvl w:val="2"/>
          <w:numId w:val="48"/>
        </w:numPr>
        <w:tabs>
          <w:tab w:pos="841" w:val="left" w:leader="none"/>
        </w:tabs>
        <w:spacing w:line="240" w:lineRule="auto" w:before="69" w:after="0"/>
        <w:ind w:left="841" w:right="0" w:hanging="361"/>
        <w:jc w:val="left"/>
        <w:rPr>
          <w:sz w:val="24"/>
        </w:rPr>
      </w:pPr>
      <w:r>
        <w:rPr>
          <w:sz w:val="24"/>
        </w:rPr>
        <w:t>Está compuesto por una minoría de personas</w:t>
      </w:r>
      <w:r>
        <w:rPr>
          <w:spacing w:val="-27"/>
          <w:sz w:val="24"/>
        </w:rPr>
        <w:t> </w:t>
      </w:r>
      <w:r>
        <w:rPr>
          <w:sz w:val="24"/>
        </w:rPr>
        <w:t>influyentes.</w:t>
      </w:r>
    </w:p>
    <w:p>
      <w:pPr>
        <w:pStyle w:val="ListParagraph"/>
        <w:numPr>
          <w:ilvl w:val="2"/>
          <w:numId w:val="48"/>
        </w:numPr>
        <w:tabs>
          <w:tab w:pos="841" w:val="left" w:leader="none"/>
        </w:tabs>
        <w:spacing w:line="362" w:lineRule="auto" w:before="136" w:after="0"/>
        <w:ind w:left="841" w:right="98" w:hanging="361"/>
        <w:jc w:val="both"/>
        <w:rPr>
          <w:sz w:val="24"/>
        </w:rPr>
      </w:pPr>
      <w:r>
        <w:rPr>
          <w:sz w:val="24"/>
        </w:rPr>
        <w:t>Existe una persona que encabeza la clase política y se encuentra al mando del</w:t>
      </w:r>
      <w:r>
        <w:rPr>
          <w:spacing w:val="-8"/>
          <w:sz w:val="24"/>
        </w:rPr>
        <w:t> </w:t>
      </w:r>
      <w:r>
        <w:rPr>
          <w:sz w:val="24"/>
        </w:rPr>
        <w:t>Estado.</w:t>
      </w:r>
    </w:p>
    <w:p>
      <w:pPr>
        <w:pStyle w:val="ListParagraph"/>
        <w:numPr>
          <w:ilvl w:val="2"/>
          <w:numId w:val="48"/>
        </w:numPr>
        <w:tabs>
          <w:tab w:pos="841" w:val="left" w:leader="none"/>
        </w:tabs>
        <w:spacing w:line="360" w:lineRule="auto" w:before="0" w:after="0"/>
        <w:ind w:left="841" w:right="105" w:hanging="361"/>
        <w:jc w:val="both"/>
        <w:rPr>
          <w:sz w:val="24"/>
        </w:rPr>
      </w:pPr>
      <w:r>
        <w:rPr>
          <w:sz w:val="24"/>
        </w:rPr>
        <w:t>En ocasiones el poder supremo comparte el poder con el rey o un primer ministro o administrador más poderoso; otras veces, en lugar del presidente electo,</w:t>
      </w:r>
      <w:r>
        <w:rPr>
          <w:spacing w:val="-11"/>
          <w:sz w:val="24"/>
        </w:rPr>
        <w:t> </w:t>
      </w:r>
      <w:r>
        <w:rPr>
          <w:sz w:val="24"/>
        </w:rPr>
        <w:t>gobernará</w:t>
      </w:r>
      <w:r>
        <w:rPr>
          <w:spacing w:val="-13"/>
          <w:sz w:val="24"/>
        </w:rPr>
        <w:t> </w:t>
      </w:r>
      <w:r>
        <w:rPr>
          <w:sz w:val="24"/>
        </w:rPr>
        <w:t>el</w:t>
      </w:r>
      <w:r>
        <w:rPr>
          <w:spacing w:val="-12"/>
          <w:sz w:val="24"/>
        </w:rPr>
        <w:t> </w:t>
      </w:r>
      <w:r>
        <w:rPr>
          <w:sz w:val="24"/>
        </w:rPr>
        <w:t>hombre</w:t>
      </w:r>
      <w:r>
        <w:rPr>
          <w:spacing w:val="-13"/>
          <w:sz w:val="24"/>
        </w:rPr>
        <w:t> </w:t>
      </w:r>
      <w:r>
        <w:rPr>
          <w:sz w:val="24"/>
        </w:rPr>
        <w:t>político</w:t>
      </w:r>
      <w:r>
        <w:rPr>
          <w:spacing w:val="-10"/>
          <w:sz w:val="24"/>
        </w:rPr>
        <w:t> </w:t>
      </w:r>
      <w:r>
        <w:rPr>
          <w:sz w:val="24"/>
        </w:rPr>
        <w:t>más</w:t>
      </w:r>
      <w:r>
        <w:rPr>
          <w:spacing w:val="-11"/>
          <w:sz w:val="24"/>
        </w:rPr>
        <w:t> </w:t>
      </w:r>
      <w:r>
        <w:rPr>
          <w:sz w:val="24"/>
        </w:rPr>
        <w:t>influyente</w:t>
      </w:r>
      <w:r>
        <w:rPr>
          <w:spacing w:val="-13"/>
          <w:sz w:val="24"/>
        </w:rPr>
        <w:t> </w:t>
      </w:r>
      <w:r>
        <w:rPr>
          <w:sz w:val="24"/>
        </w:rPr>
        <w:t>que</w:t>
      </w:r>
      <w:r>
        <w:rPr>
          <w:spacing w:val="-13"/>
          <w:sz w:val="24"/>
        </w:rPr>
        <w:t> </w:t>
      </w:r>
      <w:r>
        <w:rPr>
          <w:sz w:val="24"/>
        </w:rPr>
        <w:t>procuró</w:t>
      </w:r>
      <w:r>
        <w:rPr>
          <w:spacing w:val="-13"/>
          <w:sz w:val="24"/>
        </w:rPr>
        <w:t> </w:t>
      </w:r>
      <w:r>
        <w:rPr>
          <w:sz w:val="24"/>
        </w:rPr>
        <w:t>su</w:t>
      </w:r>
      <w:r>
        <w:rPr>
          <w:spacing w:val="-10"/>
          <w:sz w:val="24"/>
        </w:rPr>
        <w:t> </w:t>
      </w:r>
      <w:r>
        <w:rPr>
          <w:sz w:val="24"/>
        </w:rPr>
        <w:t>elección.</w:t>
      </w:r>
    </w:p>
    <w:p>
      <w:pPr>
        <w:pStyle w:val="ListParagraph"/>
        <w:numPr>
          <w:ilvl w:val="2"/>
          <w:numId w:val="48"/>
        </w:numPr>
        <w:tabs>
          <w:tab w:pos="841" w:val="left" w:leader="none"/>
        </w:tabs>
        <w:spacing w:line="357" w:lineRule="auto" w:before="6" w:after="0"/>
        <w:ind w:left="841" w:right="106" w:hanging="361"/>
        <w:jc w:val="both"/>
        <w:rPr>
          <w:sz w:val="24"/>
        </w:rPr>
      </w:pPr>
      <w:r>
        <w:rPr>
          <w:sz w:val="24"/>
        </w:rPr>
        <w:t>Bajo circunstancias especiales, puede haber, en lugar de una sola persona, dos o tres que desempeñan las funciones de suprema</w:t>
      </w:r>
      <w:r>
        <w:rPr>
          <w:spacing w:val="-32"/>
          <w:sz w:val="24"/>
        </w:rPr>
        <w:t> </w:t>
      </w:r>
      <w:r>
        <w:rPr>
          <w:sz w:val="24"/>
        </w:rPr>
        <w:t>dirección.</w:t>
      </w:r>
    </w:p>
    <w:p>
      <w:pPr>
        <w:pStyle w:val="ListParagraph"/>
        <w:numPr>
          <w:ilvl w:val="2"/>
          <w:numId w:val="48"/>
        </w:numPr>
        <w:tabs>
          <w:tab w:pos="841" w:val="left" w:leader="none"/>
        </w:tabs>
        <w:spacing w:line="357" w:lineRule="auto" w:before="9" w:after="0"/>
        <w:ind w:left="841" w:right="105" w:hanging="361"/>
        <w:jc w:val="both"/>
        <w:rPr>
          <w:sz w:val="24"/>
        </w:rPr>
      </w:pPr>
      <w:r>
        <w:rPr>
          <w:sz w:val="24"/>
        </w:rPr>
        <w:t>En cualquier organización social, las presiones de la población ejercen una cierta influencia sobre la acción de la clase</w:t>
      </w:r>
      <w:r>
        <w:rPr>
          <w:spacing w:val="-24"/>
          <w:sz w:val="24"/>
        </w:rPr>
        <w:t> </w:t>
      </w:r>
      <w:r>
        <w:rPr>
          <w:sz w:val="24"/>
        </w:rPr>
        <w:t>política.</w:t>
      </w:r>
    </w:p>
    <w:p>
      <w:pPr>
        <w:pStyle w:val="BodyText"/>
        <w:spacing w:before="4"/>
      </w:pPr>
    </w:p>
    <w:p>
      <w:pPr>
        <w:pStyle w:val="BodyText"/>
        <w:spacing w:line="357" w:lineRule="auto"/>
        <w:ind w:left="120" w:right="98" w:firstLine="424"/>
        <w:jc w:val="both"/>
        <w:rPr>
          <w:sz w:val="16"/>
        </w:rPr>
      </w:pPr>
      <w:r>
        <w:rPr/>
        <w:t>El</w:t>
      </w:r>
      <w:r>
        <w:rPr>
          <w:spacing w:val="-16"/>
        </w:rPr>
        <w:t> </w:t>
      </w:r>
      <w:r>
        <w:rPr/>
        <w:t>poder</w:t>
      </w:r>
      <w:r>
        <w:rPr>
          <w:spacing w:val="-14"/>
        </w:rPr>
        <w:t> </w:t>
      </w:r>
      <w:r>
        <w:rPr/>
        <w:t>siempre</w:t>
      </w:r>
      <w:r>
        <w:rPr>
          <w:spacing w:val="-16"/>
        </w:rPr>
        <w:t> </w:t>
      </w:r>
      <w:r>
        <w:rPr/>
        <w:t>genera</w:t>
      </w:r>
      <w:r>
        <w:rPr>
          <w:spacing w:val="-16"/>
        </w:rPr>
        <w:t> </w:t>
      </w:r>
      <w:r>
        <w:rPr/>
        <w:t>la</w:t>
      </w:r>
      <w:r>
        <w:rPr>
          <w:spacing w:val="-16"/>
        </w:rPr>
        <w:t> </w:t>
      </w:r>
      <w:r>
        <w:rPr/>
        <w:t>ambición</w:t>
      </w:r>
      <w:r>
        <w:rPr>
          <w:spacing w:val="-12"/>
        </w:rPr>
        <w:t> </w:t>
      </w:r>
      <w:r>
        <w:rPr/>
        <w:t>de</w:t>
      </w:r>
      <w:r>
        <w:rPr>
          <w:spacing w:val="-16"/>
        </w:rPr>
        <w:t> </w:t>
      </w:r>
      <w:r>
        <w:rPr/>
        <w:t>la</w:t>
      </w:r>
      <w:r>
        <w:rPr>
          <w:spacing w:val="-16"/>
        </w:rPr>
        <w:t> </w:t>
      </w:r>
      <w:r>
        <w:rPr/>
        <w:t>clase</w:t>
      </w:r>
      <w:r>
        <w:rPr>
          <w:spacing w:val="-16"/>
        </w:rPr>
        <w:t> </w:t>
      </w:r>
      <w:r>
        <w:rPr/>
        <w:t>política,</w:t>
      </w:r>
      <w:r>
        <w:rPr>
          <w:spacing w:val="-13"/>
        </w:rPr>
        <w:t> </w:t>
      </w:r>
      <w:r>
        <w:rPr/>
        <w:t>por</w:t>
      </w:r>
      <w:r>
        <w:rPr>
          <w:spacing w:val="-14"/>
        </w:rPr>
        <w:t> </w:t>
      </w:r>
      <w:r>
        <w:rPr/>
        <w:t>lo</w:t>
      </w:r>
      <w:r>
        <w:rPr>
          <w:spacing w:val="-16"/>
        </w:rPr>
        <w:t> </w:t>
      </w:r>
      <w:r>
        <w:rPr/>
        <w:t>que</w:t>
      </w:r>
      <w:r>
        <w:rPr>
          <w:spacing w:val="-16"/>
        </w:rPr>
        <w:t> </w:t>
      </w:r>
      <w:r>
        <w:rPr/>
        <w:t>es</w:t>
      </w:r>
      <w:r>
        <w:rPr>
          <w:spacing w:val="-14"/>
        </w:rPr>
        <w:t> </w:t>
      </w:r>
      <w:r>
        <w:rPr/>
        <w:t>necesario que el mismo Estado obligue a la clase política a frenar esa ambición. Esta fuerza es la que ejerce Estado para contrarrestar los posibles excesos del Poder Ejecutivo.</w:t>
      </w:r>
      <w:r>
        <w:rPr>
          <w:position w:val="8"/>
          <w:sz w:val="16"/>
        </w:rPr>
        <w:t>75</w:t>
      </w:r>
    </w:p>
    <w:p>
      <w:pPr>
        <w:pStyle w:val="BodyText"/>
        <w:spacing w:line="360" w:lineRule="auto" w:before="5"/>
        <w:ind w:left="120" w:right="100" w:firstLine="424"/>
        <w:jc w:val="both"/>
      </w:pPr>
      <w:r>
        <w:rPr/>
        <w:t>Cuando hay un efectivo equilibrio de poderes, el resultado es el buen gobierno (buena</w:t>
      </w:r>
      <w:r>
        <w:rPr>
          <w:spacing w:val="-20"/>
        </w:rPr>
        <w:t> </w:t>
      </w:r>
      <w:r>
        <w:rPr/>
        <w:t>gobernanza).</w:t>
      </w:r>
      <w:r>
        <w:rPr>
          <w:spacing w:val="-14"/>
        </w:rPr>
        <w:t> </w:t>
      </w:r>
      <w:r>
        <w:rPr/>
        <w:t>Maquiavelo</w:t>
      </w:r>
      <w:r>
        <w:rPr>
          <w:spacing w:val="-17"/>
        </w:rPr>
        <w:t> </w:t>
      </w:r>
      <w:r>
        <w:rPr/>
        <w:t>(1512-1517:</w:t>
      </w:r>
      <w:r>
        <w:rPr>
          <w:spacing w:val="-18"/>
        </w:rPr>
        <w:t> </w:t>
      </w:r>
      <w:r>
        <w:rPr/>
        <w:t>13)</w:t>
      </w:r>
      <w:r>
        <w:rPr>
          <w:spacing w:val="-19"/>
        </w:rPr>
        <w:t> </w:t>
      </w:r>
      <w:r>
        <w:rPr/>
        <w:t>comentó</w:t>
      </w:r>
      <w:r>
        <w:rPr>
          <w:spacing w:val="-20"/>
        </w:rPr>
        <w:t> </w:t>
      </w:r>
      <w:r>
        <w:rPr/>
        <w:t>que</w:t>
      </w:r>
      <w:r>
        <w:rPr>
          <w:spacing w:val="-20"/>
        </w:rPr>
        <w:t> </w:t>
      </w:r>
      <w:r>
        <w:rPr/>
        <w:t>“en</w:t>
      </w:r>
      <w:r>
        <w:rPr>
          <w:spacing w:val="-20"/>
        </w:rPr>
        <w:t> </w:t>
      </w:r>
      <w:r>
        <w:rPr/>
        <w:t>una</w:t>
      </w:r>
      <w:r>
        <w:rPr>
          <w:spacing w:val="-20"/>
        </w:rPr>
        <w:t> </w:t>
      </w:r>
      <w:r>
        <w:rPr/>
        <w:t>constitución donde</w:t>
      </w:r>
      <w:r>
        <w:rPr>
          <w:spacing w:val="-6"/>
        </w:rPr>
        <w:t> </w:t>
      </w:r>
      <w:r>
        <w:rPr/>
        <w:t>coexistan</w:t>
      </w:r>
      <w:r>
        <w:rPr>
          <w:spacing w:val="-6"/>
        </w:rPr>
        <w:t> </w:t>
      </w:r>
      <w:r>
        <w:rPr/>
        <w:t>la</w:t>
      </w:r>
      <w:r>
        <w:rPr>
          <w:spacing w:val="-6"/>
        </w:rPr>
        <w:t> </w:t>
      </w:r>
      <w:r>
        <w:rPr/>
        <w:t>monarquía</w:t>
      </w:r>
      <w:r>
        <w:rPr>
          <w:spacing w:val="-6"/>
        </w:rPr>
        <w:t> </w:t>
      </w:r>
      <w:r>
        <w:rPr/>
        <w:t>[Poder</w:t>
      </w:r>
      <w:r>
        <w:rPr>
          <w:spacing w:val="-5"/>
        </w:rPr>
        <w:t> </w:t>
      </w:r>
      <w:r>
        <w:rPr/>
        <w:t>Ejecutivo],</w:t>
      </w:r>
      <w:r>
        <w:rPr>
          <w:spacing w:val="-5"/>
        </w:rPr>
        <w:t> </w:t>
      </w:r>
      <w:r>
        <w:rPr/>
        <w:t>la</w:t>
      </w:r>
      <w:r>
        <w:rPr>
          <w:spacing w:val="-6"/>
        </w:rPr>
        <w:t> </w:t>
      </w:r>
      <w:r>
        <w:rPr/>
        <w:t>aristocracia</w:t>
      </w:r>
      <w:r>
        <w:rPr>
          <w:spacing w:val="-6"/>
        </w:rPr>
        <w:t> </w:t>
      </w:r>
      <w:r>
        <w:rPr/>
        <w:t>[Poder</w:t>
      </w:r>
      <w:r>
        <w:rPr>
          <w:spacing w:val="-5"/>
        </w:rPr>
        <w:t> </w:t>
      </w:r>
      <w:r>
        <w:rPr/>
        <w:t>Judicial]</w:t>
      </w:r>
      <w:r>
        <w:rPr>
          <w:spacing w:val="-5"/>
        </w:rPr>
        <w:t> </w:t>
      </w:r>
      <w:r>
        <w:rPr/>
        <w:t>y</w:t>
      </w:r>
      <w:r>
        <w:rPr>
          <w:spacing w:val="-9"/>
        </w:rPr>
        <w:t> </w:t>
      </w:r>
      <w:r>
        <w:rPr/>
        <w:t>la democracia [Poder Legislativo], cada uno de estos poderes vigila y contrarresta los abusos de los otros” (Solares, 2004:</w:t>
      </w:r>
      <w:r>
        <w:rPr>
          <w:spacing w:val="-21"/>
        </w:rPr>
        <w:t> </w:t>
      </w:r>
      <w:r>
        <w:rPr/>
        <w:t>123).</w:t>
      </w:r>
    </w:p>
    <w:p>
      <w:pPr>
        <w:pStyle w:val="BodyText"/>
        <w:spacing w:line="360" w:lineRule="auto" w:before="2"/>
        <w:ind w:left="120" w:right="99" w:firstLine="427"/>
        <w:jc w:val="both"/>
      </w:pPr>
      <w:r>
        <w:rPr/>
        <w:t>Se considera que el buen gobierno es resultado, entre otros aspectos, de un buen diseño institucional que aplique sanciones ejemplares en casos de abuso del poder. Así como en sentido económico la libre competencia impide la formación de monopolios, en la política el equilibrio de poderes impide la anarquía, ya que el interés colectivo se sobrepondrá al individual en ambas esferas.</w:t>
      </w:r>
    </w:p>
    <w:p>
      <w:pPr>
        <w:pStyle w:val="BodyText"/>
      </w:pPr>
    </w:p>
    <w:p>
      <w:pPr>
        <w:pStyle w:val="BodyText"/>
        <w:spacing w:line="360" w:lineRule="auto" w:before="142"/>
        <w:ind w:left="120" w:right="104" w:firstLine="427"/>
        <w:jc w:val="both"/>
      </w:pPr>
      <w:r>
        <w:rPr/>
        <w:t>La división de poderes depende de una verdadera autonomía política del Estado, el cual, a su vez usa como herramienta básica la rendición de cuentas, y esta</w:t>
      </w:r>
      <w:r>
        <w:rPr>
          <w:spacing w:val="-16"/>
        </w:rPr>
        <w:t> </w:t>
      </w:r>
      <w:r>
        <w:rPr/>
        <w:t>última</w:t>
      </w:r>
      <w:r>
        <w:rPr>
          <w:spacing w:val="-16"/>
        </w:rPr>
        <w:t> </w:t>
      </w:r>
      <w:r>
        <w:rPr/>
        <w:t>también</w:t>
      </w:r>
      <w:r>
        <w:rPr>
          <w:spacing w:val="-16"/>
        </w:rPr>
        <w:t> </w:t>
      </w:r>
      <w:r>
        <w:rPr/>
        <w:t>está</w:t>
      </w:r>
      <w:r>
        <w:rPr>
          <w:spacing w:val="-16"/>
        </w:rPr>
        <w:t> </w:t>
      </w:r>
      <w:r>
        <w:rPr/>
        <w:t>supeditada</w:t>
      </w:r>
      <w:r>
        <w:rPr>
          <w:spacing w:val="-16"/>
        </w:rPr>
        <w:t> </w:t>
      </w:r>
      <w:r>
        <w:rPr/>
        <w:t>a</w:t>
      </w:r>
      <w:r>
        <w:rPr>
          <w:spacing w:val="-12"/>
        </w:rPr>
        <w:t> </w:t>
      </w:r>
      <w:r>
        <w:rPr/>
        <w:t>la</w:t>
      </w:r>
      <w:r>
        <w:rPr>
          <w:spacing w:val="-16"/>
        </w:rPr>
        <w:t> </w:t>
      </w:r>
      <w:r>
        <w:rPr/>
        <w:t>autonomía</w:t>
      </w:r>
      <w:r>
        <w:rPr>
          <w:spacing w:val="-16"/>
        </w:rPr>
        <w:t> </w:t>
      </w:r>
      <w:r>
        <w:rPr/>
        <w:t>de</w:t>
      </w:r>
      <w:r>
        <w:rPr>
          <w:spacing w:val="-16"/>
        </w:rPr>
        <w:t> </w:t>
      </w:r>
      <w:r>
        <w:rPr/>
        <w:t>poderes,</w:t>
      </w:r>
      <w:r>
        <w:rPr>
          <w:spacing w:val="-13"/>
        </w:rPr>
        <w:t> </w:t>
      </w:r>
      <w:r>
        <w:rPr/>
        <w:t>por</w:t>
      </w:r>
      <w:r>
        <w:rPr>
          <w:spacing w:val="-14"/>
        </w:rPr>
        <w:t> </w:t>
      </w:r>
      <w:r>
        <w:rPr/>
        <w:t>lo</w:t>
      </w:r>
      <w:r>
        <w:rPr>
          <w:spacing w:val="-12"/>
        </w:rPr>
        <w:t> </w:t>
      </w:r>
      <w:r>
        <w:rPr/>
        <w:t>que</w:t>
      </w:r>
      <w:r>
        <w:rPr>
          <w:spacing w:val="-12"/>
        </w:rPr>
        <w:t> </w:t>
      </w:r>
      <w:r>
        <w:rPr/>
        <w:t>el</w:t>
      </w:r>
      <w:r>
        <w:rPr>
          <w:spacing w:val="-11"/>
        </w:rPr>
        <w:t> </w:t>
      </w:r>
      <w:r>
        <w:rPr/>
        <w:t>círculo</w:t>
      </w:r>
    </w:p>
    <w:p>
      <w:pPr>
        <w:pStyle w:val="BodyText"/>
        <w:spacing w:before="3"/>
        <w:rPr>
          <w:sz w:val="14"/>
        </w:rPr>
      </w:pPr>
      <w:r>
        <w:rPr/>
        <w:pict>
          <v:line style="position:absolute;mso-position-horizontal-relative:page;mso-position-vertical-relative:paragraph;z-index:8272;mso-wrap-distance-left:0;mso-wrap-distance-right:0" from="85.025002pt,10.578913pt" to="229.075002pt,10.578913pt" stroked="true" strokeweight=".79999pt" strokecolor="#000000">
            <w10:wrap type="topAndBottom"/>
          </v:line>
        </w:pict>
      </w:r>
    </w:p>
    <w:p>
      <w:pPr>
        <w:spacing w:line="256" w:lineRule="auto" w:before="59"/>
        <w:ind w:left="120" w:right="2" w:firstLine="0"/>
        <w:jc w:val="left"/>
        <w:rPr>
          <w:sz w:val="16"/>
        </w:rPr>
      </w:pPr>
      <w:r>
        <w:rPr>
          <w:rFonts w:ascii="Times New Roman" w:hAnsi="Times New Roman"/>
          <w:position w:val="7"/>
          <w:sz w:val="13"/>
        </w:rPr>
        <w:t>75</w:t>
      </w:r>
      <w:r>
        <w:rPr>
          <w:sz w:val="16"/>
        </w:rPr>
        <w:t>Un principio político resaltado por Hans Kelsen relativo a la clase política, es que el individuo que obra como órgano estatal, solamente puede hacer lo que el orden jurídico le autoriza a realizar.</w:t>
      </w:r>
    </w:p>
    <w:p>
      <w:pPr>
        <w:spacing w:after="0" w:line="256" w:lineRule="auto"/>
        <w:jc w:val="left"/>
        <w:rPr>
          <w:sz w:val="16"/>
        </w:rPr>
        <w:sectPr>
          <w:pgSz w:w="12240" w:h="15840"/>
          <w:pgMar w:header="0" w:footer="998" w:top="1500" w:bottom="1180" w:left="1580" w:right="1600"/>
        </w:sectPr>
      </w:pPr>
    </w:p>
    <w:p>
      <w:pPr>
        <w:pStyle w:val="BodyText"/>
        <w:spacing w:line="362" w:lineRule="auto" w:before="55"/>
        <w:ind w:left="100"/>
      </w:pPr>
      <w:r>
        <w:rPr/>
        <w:pict>
          <v:line style="position:absolute;mso-position-horizontal-relative:page;mso-position-vertical-relative:page;z-index:-350008" from="126.650002pt,454pt" to="130.450002pt,454pt" stroked="true" strokeweight=".600010pt" strokecolor="#0000ff">
            <w10:wrap type="none"/>
          </v:line>
        </w:pict>
      </w:r>
      <w:r>
        <w:rPr/>
        <w:pict>
          <v:line style="position:absolute;mso-position-horizontal-relative:page;mso-position-vertical-relative:page;z-index:-349984" from="163.449997pt,470pt" to="197.649997pt,470pt" stroked="true" strokeweight=".600010pt" strokecolor="#0000ff">
            <w10:wrap type="none"/>
          </v:line>
        </w:pict>
      </w:r>
      <w:r>
        <w:rPr/>
        <w:t>política-Estado-rendición de cuentas requiere de la efectiva aplicación del principio de división de poderes.</w:t>
      </w:r>
    </w:p>
    <w:p>
      <w:pPr>
        <w:pStyle w:val="BodyText"/>
        <w:spacing w:line="360" w:lineRule="auto"/>
        <w:ind w:left="100" w:right="102" w:firstLine="427"/>
        <w:jc w:val="both"/>
      </w:pPr>
      <w:r>
        <w:rPr/>
        <w:t>En</w:t>
      </w:r>
      <w:r>
        <w:rPr>
          <w:spacing w:val="-20"/>
        </w:rPr>
        <w:t> </w:t>
      </w:r>
      <w:r>
        <w:rPr/>
        <w:t>el</w:t>
      </w:r>
      <w:r>
        <w:rPr>
          <w:spacing w:val="-19"/>
        </w:rPr>
        <w:t> </w:t>
      </w:r>
      <w:r>
        <w:rPr/>
        <w:t>siguiente</w:t>
      </w:r>
      <w:r>
        <w:rPr>
          <w:spacing w:val="-20"/>
        </w:rPr>
        <w:t> </w:t>
      </w:r>
      <w:r>
        <w:rPr/>
        <w:t>cuadro</w:t>
      </w:r>
      <w:r>
        <w:rPr>
          <w:spacing w:val="-20"/>
        </w:rPr>
        <w:t> </w:t>
      </w:r>
      <w:r>
        <w:rPr/>
        <w:t>se</w:t>
      </w:r>
      <w:r>
        <w:rPr>
          <w:spacing w:val="-20"/>
        </w:rPr>
        <w:t> </w:t>
      </w:r>
      <w:r>
        <w:rPr/>
        <w:t>presentan</w:t>
      </w:r>
      <w:r>
        <w:rPr>
          <w:spacing w:val="-16"/>
        </w:rPr>
        <w:t> </w:t>
      </w:r>
      <w:r>
        <w:rPr/>
        <w:t>los</w:t>
      </w:r>
      <w:r>
        <w:rPr>
          <w:spacing w:val="-18"/>
        </w:rPr>
        <w:t> </w:t>
      </w:r>
      <w:r>
        <w:rPr/>
        <w:t>sistemas</w:t>
      </w:r>
      <w:r>
        <w:rPr>
          <w:spacing w:val="-18"/>
        </w:rPr>
        <w:t> </w:t>
      </w:r>
      <w:r>
        <w:rPr/>
        <w:t>políticos</w:t>
      </w:r>
      <w:r>
        <w:rPr>
          <w:spacing w:val="-18"/>
        </w:rPr>
        <w:t> </w:t>
      </w:r>
      <w:r>
        <w:rPr/>
        <w:t>de</w:t>
      </w:r>
      <w:r>
        <w:rPr>
          <w:spacing w:val="-20"/>
        </w:rPr>
        <w:t> </w:t>
      </w:r>
      <w:r>
        <w:rPr/>
        <w:t>Alemania,</w:t>
      </w:r>
      <w:r>
        <w:rPr>
          <w:spacing w:val="-17"/>
        </w:rPr>
        <w:t> </w:t>
      </w:r>
      <w:r>
        <w:rPr/>
        <w:t>España, Estados Unidos, México y Reino Unido, en el que se describen en términos generales la división de poderes de su</w:t>
      </w:r>
      <w:r>
        <w:rPr>
          <w:spacing w:val="-24"/>
        </w:rPr>
        <w:t> </w:t>
      </w:r>
      <w:r>
        <w:rPr/>
        <w:t>Estado.</w:t>
      </w:r>
    </w:p>
    <w:p>
      <w:pPr>
        <w:pStyle w:val="BodyText"/>
        <w:spacing w:before="3"/>
        <w:rPr>
          <w:sz w:val="23"/>
        </w:rPr>
      </w:pPr>
    </w:p>
    <w:p>
      <w:pPr>
        <w:spacing w:line="446" w:lineRule="auto" w:before="0"/>
        <w:ind w:left="3485" w:right="1552" w:hanging="1921"/>
        <w:jc w:val="left"/>
        <w:rPr>
          <w:sz w:val="20"/>
        </w:rPr>
      </w:pPr>
      <w:bookmarkStart w:name="_bookmark60" w:id="81"/>
      <w:bookmarkEnd w:id="81"/>
      <w:r>
        <w:rPr/>
      </w:r>
      <w:r>
        <w:rPr>
          <w:sz w:val="20"/>
        </w:rPr>
        <w:t>Cuadro 3. 2. Marco político de los Estados americanos y europeos (Países seleccionados)</w:t>
      </w:r>
    </w:p>
    <w:p>
      <w:pPr>
        <w:pStyle w:val="BodyText"/>
        <w:rPr>
          <w:sz w:val="20"/>
        </w:rPr>
      </w:pPr>
    </w:p>
    <w:p>
      <w:pPr>
        <w:pStyle w:val="BodyText"/>
        <w:spacing w:before="5"/>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09"/>
        <w:gridCol w:w="1647"/>
        <w:gridCol w:w="1280"/>
        <w:gridCol w:w="1461"/>
        <w:gridCol w:w="1713"/>
        <w:gridCol w:w="1732"/>
      </w:tblGrid>
      <w:tr>
        <w:trPr>
          <w:trHeight w:val="1175" w:hRule="exact"/>
        </w:trPr>
        <w:tc>
          <w:tcPr>
            <w:tcW w:w="2355" w:type="dxa"/>
            <w:gridSpan w:val="2"/>
            <w:tcBorders>
              <w:top w:val="single" w:sz="11" w:space="0" w:color="BEBEBE"/>
              <w:left w:val="single" w:sz="11" w:space="0" w:color="BEBEBE"/>
              <w:bottom w:val="single" w:sz="18" w:space="0" w:color="D9D9D9"/>
              <w:right w:val="single" w:sz="18" w:space="0" w:color="D9D9D9"/>
            </w:tcBorders>
          </w:tcPr>
          <w:p>
            <w:pPr>
              <w:pStyle w:val="TableParagraph"/>
              <w:spacing w:before="6"/>
              <w:rPr>
                <w:sz w:val="14"/>
              </w:rPr>
            </w:pPr>
          </w:p>
          <w:p>
            <w:pPr>
              <w:pStyle w:val="TableParagraph"/>
              <w:ind w:left="885" w:right="174"/>
              <w:jc w:val="center"/>
              <w:rPr>
                <w:b/>
                <w:sz w:val="14"/>
              </w:rPr>
            </w:pPr>
            <w:r>
              <w:rPr>
                <w:b/>
                <w:sz w:val="14"/>
              </w:rPr>
              <w:t>Alemania</w:t>
            </w:r>
          </w:p>
          <w:p>
            <w:pPr>
              <w:pStyle w:val="TableParagraph"/>
              <w:spacing w:before="9"/>
              <w:rPr>
                <w:sz w:val="13"/>
              </w:rPr>
            </w:pPr>
          </w:p>
          <w:p>
            <w:pPr>
              <w:pStyle w:val="TableParagraph"/>
              <w:spacing w:line="244" w:lineRule="auto"/>
              <w:ind w:left="892" w:right="174"/>
              <w:jc w:val="center"/>
              <w:rPr>
                <w:b/>
                <w:sz w:val="14"/>
              </w:rPr>
            </w:pPr>
            <w:r>
              <w:rPr>
                <w:b/>
                <w:sz w:val="14"/>
              </w:rPr>
              <w:t>(República Federal Alemana)</w:t>
            </w:r>
          </w:p>
        </w:tc>
        <w:tc>
          <w:tcPr>
            <w:tcW w:w="1280" w:type="dxa"/>
            <w:tcBorders>
              <w:top w:val="single" w:sz="10" w:space="0" w:color="FFFFFF"/>
              <w:left w:val="single" w:sz="18" w:space="0" w:color="D9D9D9"/>
              <w:bottom w:val="single" w:sz="18" w:space="0" w:color="D9D9D9"/>
              <w:right w:val="single" w:sz="18" w:space="0" w:color="D9D9D9"/>
            </w:tcBorders>
          </w:tcPr>
          <w:p>
            <w:pPr>
              <w:pStyle w:val="TableParagraph"/>
              <w:rPr>
                <w:sz w:val="14"/>
              </w:rPr>
            </w:pPr>
          </w:p>
          <w:p>
            <w:pPr>
              <w:pStyle w:val="TableParagraph"/>
              <w:spacing w:before="7"/>
              <w:rPr>
                <w:sz w:val="14"/>
              </w:rPr>
            </w:pPr>
          </w:p>
          <w:p>
            <w:pPr>
              <w:pStyle w:val="TableParagraph"/>
              <w:ind w:left="370"/>
              <w:rPr>
                <w:b/>
                <w:sz w:val="14"/>
              </w:rPr>
            </w:pPr>
            <w:r>
              <w:rPr>
                <w:b/>
                <w:sz w:val="14"/>
              </w:rPr>
              <w:t>España</w:t>
            </w:r>
          </w:p>
        </w:tc>
        <w:tc>
          <w:tcPr>
            <w:tcW w:w="1461" w:type="dxa"/>
            <w:tcBorders>
              <w:top w:val="single" w:sz="10" w:space="0" w:color="FFFFFF"/>
              <w:left w:val="single" w:sz="18" w:space="0" w:color="D9D9D9"/>
              <w:bottom w:val="single" w:sz="18" w:space="0" w:color="D9D9D9"/>
              <w:right w:val="single" w:sz="18" w:space="0" w:color="D9D9D9"/>
            </w:tcBorders>
          </w:tcPr>
          <w:p>
            <w:pPr>
              <w:pStyle w:val="TableParagraph"/>
              <w:rPr>
                <w:sz w:val="14"/>
              </w:rPr>
            </w:pPr>
          </w:p>
          <w:p>
            <w:pPr>
              <w:pStyle w:val="TableParagraph"/>
              <w:spacing w:before="7"/>
              <w:rPr>
                <w:sz w:val="14"/>
              </w:rPr>
            </w:pPr>
          </w:p>
          <w:p>
            <w:pPr>
              <w:pStyle w:val="TableParagraph"/>
              <w:ind w:left="330" w:right="34" w:hanging="149"/>
              <w:rPr>
                <w:b/>
                <w:sz w:val="14"/>
              </w:rPr>
            </w:pPr>
            <w:r>
              <w:rPr>
                <w:b/>
                <w:sz w:val="14"/>
              </w:rPr>
              <w:t>Estados Unidos de América</w:t>
            </w:r>
          </w:p>
        </w:tc>
        <w:tc>
          <w:tcPr>
            <w:tcW w:w="1713" w:type="dxa"/>
            <w:tcBorders>
              <w:top w:val="single" w:sz="10" w:space="0" w:color="FFFFFF"/>
              <w:left w:val="single" w:sz="18" w:space="0" w:color="D9D9D9"/>
              <w:bottom w:val="single" w:sz="18" w:space="0" w:color="D9D9D9"/>
              <w:right w:val="single" w:sz="18" w:space="0" w:color="D9D9D9"/>
            </w:tcBorders>
          </w:tcPr>
          <w:p>
            <w:pPr>
              <w:pStyle w:val="TableParagraph"/>
              <w:spacing w:line="320" w:lineRule="atLeast" w:before="10"/>
              <w:ind w:left="282" w:right="28" w:firstLine="312"/>
              <w:rPr>
                <w:b/>
                <w:sz w:val="14"/>
              </w:rPr>
            </w:pPr>
            <w:r>
              <w:rPr>
                <w:b/>
                <w:sz w:val="14"/>
              </w:rPr>
              <w:t>México (Estados Unidos</w:t>
            </w:r>
          </w:p>
          <w:p>
            <w:pPr>
              <w:pStyle w:val="TableParagraph"/>
              <w:spacing w:before="3"/>
              <w:ind w:left="450" w:right="28"/>
              <w:rPr>
                <w:b/>
                <w:sz w:val="14"/>
              </w:rPr>
            </w:pPr>
            <w:r>
              <w:rPr>
                <w:b/>
                <w:sz w:val="14"/>
              </w:rPr>
              <w:t>Mexicanos)</w:t>
            </w:r>
          </w:p>
        </w:tc>
        <w:tc>
          <w:tcPr>
            <w:tcW w:w="1732" w:type="dxa"/>
            <w:tcBorders>
              <w:top w:val="single" w:sz="10" w:space="0" w:color="FFFFFF"/>
              <w:left w:val="single" w:sz="18" w:space="0" w:color="D9D9D9"/>
              <w:bottom w:val="single" w:sz="18" w:space="0" w:color="D9D9D9"/>
              <w:right w:val="single" w:sz="18" w:space="0" w:color="D9D9D9"/>
            </w:tcBorders>
          </w:tcPr>
          <w:p>
            <w:pPr>
              <w:pStyle w:val="TableParagraph"/>
              <w:spacing w:line="320" w:lineRule="atLeast" w:before="10"/>
              <w:ind w:left="233" w:right="227" w:hanging="3"/>
              <w:jc w:val="center"/>
              <w:rPr>
                <w:b/>
                <w:sz w:val="14"/>
              </w:rPr>
            </w:pPr>
            <w:r>
              <w:rPr>
                <w:b/>
                <w:sz w:val="14"/>
              </w:rPr>
              <w:t>Reino Unido (Reino Unido de</w:t>
            </w:r>
            <w:r>
              <w:rPr>
                <w:b/>
                <w:spacing w:val="-10"/>
                <w:sz w:val="14"/>
              </w:rPr>
              <w:t> </w:t>
            </w:r>
            <w:r>
              <w:rPr>
                <w:b/>
                <w:sz w:val="14"/>
              </w:rPr>
              <w:t>la</w:t>
            </w:r>
          </w:p>
          <w:p>
            <w:pPr>
              <w:pStyle w:val="TableParagraph"/>
              <w:spacing w:before="3"/>
              <w:ind w:left="77" w:right="70"/>
              <w:jc w:val="center"/>
              <w:rPr>
                <w:b/>
                <w:sz w:val="14"/>
              </w:rPr>
            </w:pPr>
            <w:r>
              <w:rPr>
                <w:b/>
                <w:sz w:val="14"/>
              </w:rPr>
              <w:t>Gran Bretaña e Irlanda del Norte)</w:t>
            </w:r>
          </w:p>
        </w:tc>
      </w:tr>
      <w:tr>
        <w:trPr>
          <w:trHeight w:val="994" w:hRule="exact"/>
        </w:trPr>
        <w:tc>
          <w:tcPr>
            <w:tcW w:w="709" w:type="dxa"/>
            <w:tcBorders>
              <w:top w:val="single" w:sz="11" w:space="0" w:color="BEBEBE"/>
              <w:left w:val="single" w:sz="11" w:space="0" w:color="BEBEBE"/>
              <w:bottom w:val="single" w:sz="11" w:space="0" w:color="BEBEBE"/>
              <w:right w:val="single" w:sz="11" w:space="0" w:color="BEBEBE"/>
            </w:tcBorders>
          </w:tcPr>
          <w:p>
            <w:pPr>
              <w:pStyle w:val="TableParagraph"/>
              <w:spacing w:before="3"/>
              <w:rPr>
                <w:sz w:val="14"/>
              </w:rPr>
            </w:pPr>
          </w:p>
          <w:p>
            <w:pPr>
              <w:pStyle w:val="TableParagraph"/>
              <w:ind w:left="109" w:right="108"/>
              <w:jc w:val="center"/>
              <w:rPr>
                <w:b/>
                <w:sz w:val="14"/>
              </w:rPr>
            </w:pPr>
            <w:r>
              <w:rPr>
                <w:b/>
                <w:sz w:val="14"/>
              </w:rPr>
              <w:t>Régim en polític o</w:t>
            </w:r>
          </w:p>
        </w:tc>
        <w:tc>
          <w:tcPr>
            <w:tcW w:w="1647" w:type="dxa"/>
            <w:tcBorders>
              <w:top w:val="single" w:sz="18" w:space="0" w:color="D9D9D9"/>
              <w:left w:val="single" w:sz="11" w:space="0" w:color="BEBEBE"/>
            </w:tcBorders>
          </w:tcPr>
          <w:p>
            <w:pPr>
              <w:pStyle w:val="TableParagraph"/>
              <w:ind w:left="475" w:right="102" w:hanging="48"/>
              <w:rPr>
                <w:sz w:val="14"/>
              </w:rPr>
            </w:pPr>
            <w:r>
              <w:rPr>
                <w:sz w:val="14"/>
              </w:rPr>
              <w:t>Presidencial</w:t>
            </w:r>
          </w:p>
          <w:p>
            <w:pPr>
              <w:pStyle w:val="TableParagraph"/>
              <w:spacing w:before="9"/>
              <w:rPr>
                <w:sz w:val="13"/>
              </w:rPr>
            </w:pPr>
          </w:p>
          <w:p>
            <w:pPr>
              <w:pStyle w:val="TableParagraph"/>
              <w:ind w:left="155" w:right="102" w:firstLine="320"/>
              <w:rPr>
                <w:sz w:val="14"/>
              </w:rPr>
            </w:pPr>
            <w:r>
              <w:rPr>
                <w:sz w:val="14"/>
              </w:rPr>
              <w:t>(R</w:t>
            </w:r>
            <w:hyperlink r:id="rId120">
              <w:r>
                <w:rPr>
                  <w:sz w:val="14"/>
                </w:rPr>
                <w:t>epública</w:t>
              </w:r>
            </w:hyperlink>
            <w:r>
              <w:rPr>
                <w:sz w:val="14"/>
              </w:rPr>
              <w:t> </w:t>
            </w:r>
            <w:hyperlink r:id="rId120">
              <w:r>
                <w:rPr>
                  <w:sz w:val="14"/>
                </w:rPr>
                <w:t>federal,</w:t>
              </w:r>
            </w:hyperlink>
            <w:r>
              <w:rPr>
                <w:sz w:val="14"/>
              </w:rPr>
              <w:t> </w:t>
            </w:r>
            <w:hyperlink r:id="rId121">
              <w:r>
                <w:rPr>
                  <w:sz w:val="14"/>
                </w:rPr>
                <w:t>democrática,</w:t>
              </w:r>
            </w:hyperlink>
          </w:p>
          <w:p>
            <w:pPr>
              <w:pStyle w:val="TableParagraph"/>
              <w:spacing w:line="244" w:lineRule="auto"/>
              <w:ind w:left="312" w:right="320"/>
              <w:jc w:val="center"/>
              <w:rPr>
                <w:sz w:val="14"/>
              </w:rPr>
            </w:pPr>
            <w:hyperlink r:id="rId121">
              <w:r>
                <w:rPr>
                  <w:sz w:val="14"/>
                </w:rPr>
                <w:t>representativa</w:t>
              </w:r>
            </w:hyperlink>
            <w:r>
              <w:rPr>
                <w:sz w:val="14"/>
              </w:rPr>
              <w:t> y </w:t>
            </w:r>
            <w:hyperlink r:id="rId122">
              <w:r>
                <w:rPr>
                  <w:sz w:val="14"/>
                </w:rPr>
                <w:t>parlamentaria)</w:t>
              </w:r>
            </w:hyperlink>
          </w:p>
        </w:tc>
        <w:tc>
          <w:tcPr>
            <w:tcW w:w="1280" w:type="dxa"/>
            <w:tcBorders>
              <w:top w:val="single" w:sz="18" w:space="0" w:color="D9D9D9"/>
            </w:tcBorders>
          </w:tcPr>
          <w:p>
            <w:pPr>
              <w:pStyle w:val="TableParagraph"/>
              <w:ind w:left="280" w:right="100" w:hanging="80"/>
              <w:rPr>
                <w:sz w:val="14"/>
              </w:rPr>
            </w:pPr>
            <w:r>
              <w:rPr>
                <w:sz w:val="14"/>
              </w:rPr>
              <w:t>Parlamentario</w:t>
            </w:r>
          </w:p>
          <w:p>
            <w:pPr>
              <w:pStyle w:val="TableParagraph"/>
              <w:spacing w:before="9"/>
              <w:rPr>
                <w:sz w:val="13"/>
              </w:rPr>
            </w:pPr>
          </w:p>
          <w:p>
            <w:pPr>
              <w:pStyle w:val="TableParagraph"/>
              <w:ind w:left="184" w:right="100" w:firstLine="96"/>
              <w:rPr>
                <w:sz w:val="14"/>
              </w:rPr>
            </w:pPr>
            <w:r>
              <w:rPr>
                <w:sz w:val="14"/>
              </w:rPr>
              <w:t>(Monarquía parlamentaria)</w:t>
            </w:r>
          </w:p>
        </w:tc>
        <w:tc>
          <w:tcPr>
            <w:tcW w:w="1461" w:type="dxa"/>
            <w:tcBorders>
              <w:top w:val="single" w:sz="18" w:space="0" w:color="D9D9D9"/>
            </w:tcBorders>
          </w:tcPr>
          <w:p>
            <w:pPr>
              <w:pStyle w:val="TableParagraph"/>
              <w:ind w:left="268" w:right="246" w:firstLine="76"/>
              <w:rPr>
                <w:sz w:val="14"/>
              </w:rPr>
            </w:pPr>
            <w:r>
              <w:rPr>
                <w:sz w:val="14"/>
              </w:rPr>
              <w:t>Presidencial</w:t>
            </w:r>
          </w:p>
          <w:p>
            <w:pPr>
              <w:pStyle w:val="TableParagraph"/>
              <w:spacing w:before="9"/>
              <w:rPr>
                <w:sz w:val="13"/>
              </w:rPr>
            </w:pPr>
          </w:p>
          <w:p>
            <w:pPr>
              <w:pStyle w:val="TableParagraph"/>
              <w:ind w:left="340" w:right="246" w:hanging="72"/>
              <w:rPr>
                <w:sz w:val="14"/>
              </w:rPr>
            </w:pPr>
            <w:r>
              <w:rPr>
                <w:sz w:val="14"/>
              </w:rPr>
              <w:t>(Presidencial y republicano)</w:t>
            </w:r>
          </w:p>
        </w:tc>
        <w:tc>
          <w:tcPr>
            <w:tcW w:w="1713" w:type="dxa"/>
            <w:tcBorders>
              <w:top w:val="single" w:sz="18" w:space="0" w:color="D9D9D9"/>
            </w:tcBorders>
          </w:tcPr>
          <w:p>
            <w:pPr>
              <w:pStyle w:val="TableParagraph"/>
              <w:ind w:left="447" w:right="454"/>
              <w:jc w:val="center"/>
              <w:rPr>
                <w:sz w:val="14"/>
              </w:rPr>
            </w:pPr>
            <w:r>
              <w:rPr>
                <w:sz w:val="14"/>
              </w:rPr>
              <w:t>Presidencial</w:t>
            </w:r>
          </w:p>
          <w:p>
            <w:pPr>
              <w:pStyle w:val="TableParagraph"/>
              <w:spacing w:before="9"/>
              <w:rPr>
                <w:sz w:val="13"/>
              </w:rPr>
            </w:pPr>
          </w:p>
          <w:p>
            <w:pPr>
              <w:pStyle w:val="TableParagraph"/>
              <w:ind w:left="160" w:right="165" w:firstLine="13"/>
              <w:jc w:val="center"/>
              <w:rPr>
                <w:sz w:val="14"/>
              </w:rPr>
            </w:pPr>
            <w:r>
              <w:rPr>
                <w:sz w:val="14"/>
              </w:rPr>
              <w:t>(República representativa, democrática y</w:t>
            </w:r>
            <w:r>
              <w:rPr>
                <w:spacing w:val="-18"/>
                <w:sz w:val="14"/>
              </w:rPr>
              <w:t> </w:t>
            </w:r>
            <w:r>
              <w:rPr>
                <w:sz w:val="14"/>
              </w:rPr>
              <w:t>federal)</w:t>
            </w:r>
          </w:p>
        </w:tc>
        <w:tc>
          <w:tcPr>
            <w:tcW w:w="1732" w:type="dxa"/>
            <w:tcBorders>
              <w:top w:val="single" w:sz="18" w:space="0" w:color="D9D9D9"/>
            </w:tcBorders>
          </w:tcPr>
          <w:p>
            <w:pPr>
              <w:pStyle w:val="TableParagraph"/>
              <w:ind w:left="508" w:hanging="80"/>
              <w:rPr>
                <w:sz w:val="14"/>
              </w:rPr>
            </w:pPr>
            <w:r>
              <w:rPr>
                <w:sz w:val="14"/>
              </w:rPr>
              <w:t>Parlamentario</w:t>
            </w:r>
          </w:p>
          <w:p>
            <w:pPr>
              <w:pStyle w:val="TableParagraph"/>
              <w:spacing w:before="9"/>
              <w:rPr>
                <w:sz w:val="13"/>
              </w:rPr>
            </w:pPr>
          </w:p>
          <w:p>
            <w:pPr>
              <w:pStyle w:val="TableParagraph"/>
              <w:ind w:left="388" w:firstLine="120"/>
              <w:rPr>
                <w:sz w:val="14"/>
              </w:rPr>
            </w:pPr>
            <w:r>
              <w:rPr>
                <w:sz w:val="14"/>
              </w:rPr>
              <w:t>(Monarquía constitucional y parlamentaria).</w:t>
            </w:r>
          </w:p>
        </w:tc>
      </w:tr>
      <w:tr>
        <w:trPr>
          <w:trHeight w:val="6958" w:hRule="exact"/>
        </w:trPr>
        <w:tc>
          <w:tcPr>
            <w:tcW w:w="709"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4"/>
              </w:rPr>
            </w:pPr>
          </w:p>
          <w:p>
            <w:pPr>
              <w:pStyle w:val="TableParagraph"/>
              <w:ind w:left="107"/>
              <w:rPr>
                <w:b/>
                <w:sz w:val="14"/>
              </w:rPr>
            </w:pPr>
            <w:r>
              <w:rPr>
                <w:b/>
                <w:sz w:val="14"/>
              </w:rPr>
              <w:t>Estado</w:t>
            </w:r>
          </w:p>
        </w:tc>
        <w:tc>
          <w:tcPr>
            <w:tcW w:w="1647" w:type="dxa"/>
            <w:tcBorders>
              <w:left w:val="single" w:sz="11" w:space="0" w:color="BEBEBE"/>
            </w:tcBorders>
          </w:tcPr>
          <w:p>
            <w:pPr>
              <w:pStyle w:val="TableParagraph"/>
              <w:tabs>
                <w:tab w:pos="871" w:val="left" w:leader="none"/>
                <w:tab w:pos="1410" w:val="left" w:leader="none"/>
              </w:tabs>
              <w:spacing w:line="244" w:lineRule="auto" w:before="17"/>
              <w:ind w:left="95" w:right="102"/>
              <w:rPr>
                <w:sz w:val="14"/>
              </w:rPr>
            </w:pPr>
            <w:r>
              <w:rPr>
                <w:sz w:val="14"/>
              </w:rPr>
              <w:t>Regido</w:t>
              <w:tab/>
              <w:t>por</w:t>
              <w:tab/>
              <w:t>la </w:t>
            </w:r>
            <w:hyperlink r:id="rId123">
              <w:r>
                <w:rPr>
                  <w:color w:val="0000FF"/>
                  <w:sz w:val="14"/>
                  <w:u w:val="single" w:color="0000FF"/>
                </w:rPr>
                <w:t>Grundgesetz</w:t>
              </w:r>
            </w:hyperlink>
          </w:p>
          <w:p>
            <w:pPr>
              <w:pStyle w:val="TableParagraph"/>
              <w:tabs>
                <w:tab w:pos="703" w:val="left" w:leader="none"/>
              </w:tabs>
              <w:spacing w:line="237" w:lineRule="auto"/>
              <w:ind w:left="95" w:right="104"/>
              <w:rPr>
                <w:sz w:val="14"/>
              </w:rPr>
            </w:pPr>
            <w:r>
              <w:rPr>
                <w:sz w:val="14"/>
              </w:rPr>
              <w:t>(Ley</w:t>
              <w:tab/>
              <w:t>Fundamental de</w:t>
            </w:r>
            <w:r>
              <w:rPr>
                <w:spacing w:val="-6"/>
                <w:sz w:val="14"/>
              </w:rPr>
              <w:t> </w:t>
            </w:r>
            <w:hyperlink r:id="rId124">
              <w:r>
                <w:rPr>
                  <w:color w:val="0000FF"/>
                  <w:sz w:val="14"/>
                  <w:u w:val="single" w:color="0000FF"/>
                </w:rPr>
                <w:t>1949</w:t>
              </w:r>
              <w:r>
                <w:rPr>
                  <w:sz w:val="14"/>
                </w:rPr>
                <w:t>)</w:t>
              </w:r>
            </w:hyperlink>
          </w:p>
          <w:p>
            <w:pPr>
              <w:pStyle w:val="TableParagraph"/>
              <w:spacing w:before="2"/>
              <w:rPr>
                <w:sz w:val="14"/>
              </w:rPr>
            </w:pPr>
          </w:p>
          <w:p>
            <w:pPr>
              <w:pStyle w:val="TableParagraph"/>
              <w:tabs>
                <w:tab w:pos="1319" w:val="left" w:leader="none"/>
              </w:tabs>
              <w:ind w:left="95" w:right="107"/>
              <w:rPr>
                <w:sz w:val="14"/>
              </w:rPr>
            </w:pPr>
            <w:r>
              <w:rPr>
                <w:sz w:val="14"/>
              </w:rPr>
              <w:t>J</w:t>
            </w:r>
            <w:hyperlink r:id="rId125">
              <w:r>
                <w:rPr>
                  <w:color w:val="0000FF"/>
                  <w:sz w:val="14"/>
                  <w:u w:val="single" w:color="0000FF"/>
                </w:rPr>
                <w:t>efe de Estado</w:t>
              </w:r>
              <w:r>
                <w:rPr>
                  <w:sz w:val="14"/>
                </w:rPr>
                <w:t>:</w:t>
              </w:r>
            </w:hyperlink>
            <w:r>
              <w:rPr>
                <w:sz w:val="14"/>
              </w:rPr>
              <w:t> </w:t>
            </w:r>
            <w:hyperlink r:id="rId126">
              <w:r>
                <w:rPr>
                  <w:color w:val="0000FF"/>
                  <w:sz w:val="14"/>
                  <w:u w:val="single" w:color="0000FF"/>
                </w:rPr>
                <w:t>Bundespräsident</w:t>
              </w:r>
            </w:hyperlink>
            <w:r>
              <w:rPr>
                <w:color w:val="0000FF"/>
                <w:sz w:val="14"/>
                <w:u w:val="single" w:color="0000FF"/>
              </w:rPr>
              <w:t> </w:t>
            </w:r>
            <w:hyperlink r:id="rId127">
              <w:r>
                <w:rPr>
                  <w:sz w:val="14"/>
                </w:rPr>
                <w:t>(</w:t>
              </w:r>
              <w:r>
                <w:rPr>
                  <w:color w:val="0000FF"/>
                  <w:sz w:val="14"/>
                  <w:u w:val="single" w:color="0000FF"/>
                </w:rPr>
                <w:t>Presidente Federa</w:t>
              </w:r>
              <w:r>
                <w:rPr>
                  <w:color w:val="0000FF"/>
                  <w:sz w:val="14"/>
                </w:rPr>
                <w:t>l</w:t>
              </w:r>
              <w:r>
                <w:rPr>
                  <w:sz w:val="14"/>
                </w:rPr>
                <w:t>)</w:t>
              </w:r>
            </w:hyperlink>
            <w:r>
              <w:rPr>
                <w:sz w:val="14"/>
              </w:rPr>
              <w:t>, elegido</w:t>
              <w:tab/>
            </w:r>
            <w:r>
              <w:rPr>
                <w:spacing w:val="-1"/>
                <w:sz w:val="14"/>
              </w:rPr>
              <w:t>por</w:t>
            </w:r>
          </w:p>
          <w:p>
            <w:pPr>
              <w:pStyle w:val="TableParagraph"/>
              <w:spacing w:before="3"/>
              <w:ind w:left="95" w:right="102"/>
              <w:rPr>
                <w:sz w:val="14"/>
              </w:rPr>
            </w:pPr>
            <w:r>
              <w:rPr>
                <w:sz w:val="14"/>
              </w:rPr>
              <w:t>la </w:t>
            </w:r>
            <w:hyperlink r:id="rId128">
              <w:r>
                <w:rPr>
                  <w:color w:val="0000FF"/>
                  <w:sz w:val="14"/>
                  <w:u w:val="single" w:color="0000FF"/>
                </w:rPr>
                <w:t>Bundesversammlun</w:t>
              </w:r>
            </w:hyperlink>
            <w:r>
              <w:rPr>
                <w:color w:val="0000FF"/>
                <w:sz w:val="14"/>
                <w:u w:val="single" w:color="0000FF"/>
              </w:rPr>
              <w:t> </w:t>
            </w:r>
            <w:hyperlink r:id="rId128">
              <w:r>
                <w:rPr>
                  <w:color w:val="0000FF"/>
                  <w:sz w:val="14"/>
                </w:rPr>
                <w:t>g</w:t>
              </w:r>
            </w:hyperlink>
          </w:p>
          <w:p>
            <w:pPr>
              <w:pStyle w:val="TableParagraph"/>
              <w:spacing w:line="160" w:lineRule="exact"/>
              <w:ind w:left="95" w:right="102"/>
              <w:rPr>
                <w:sz w:val="14"/>
              </w:rPr>
            </w:pPr>
            <w:r>
              <w:rPr>
                <w:sz w:val="14"/>
              </w:rPr>
              <w:t>(Asamblea Federal),</w:t>
            </w:r>
          </w:p>
          <w:p>
            <w:pPr>
              <w:pStyle w:val="TableParagraph"/>
              <w:tabs>
                <w:tab w:pos="1335" w:val="left" w:leader="none"/>
              </w:tabs>
              <w:ind w:left="95" w:right="104"/>
              <w:rPr>
                <w:sz w:val="14"/>
              </w:rPr>
            </w:pPr>
            <w:r>
              <w:rPr>
                <w:sz w:val="14"/>
              </w:rPr>
              <w:t>El segundo </w:t>
            </w:r>
            <w:hyperlink r:id="rId129">
              <w:r>
                <w:rPr>
                  <w:color w:val="0000FF"/>
                  <w:sz w:val="14"/>
                </w:rPr>
                <w:t>funcionario</w:t>
              </w:r>
            </w:hyperlink>
            <w:r>
              <w:rPr>
                <w:color w:val="0000FF"/>
                <w:sz w:val="14"/>
              </w:rPr>
              <w:t> </w:t>
            </w:r>
            <w:r>
              <w:rPr>
                <w:sz w:val="14"/>
              </w:rPr>
              <w:t>más alto </w:t>
            </w:r>
            <w:r>
              <w:rPr>
                <w:spacing w:val="-3"/>
                <w:sz w:val="14"/>
              </w:rPr>
              <w:t>es </w:t>
            </w:r>
            <w:r>
              <w:rPr>
                <w:sz w:val="14"/>
              </w:rPr>
              <w:t>el </w:t>
            </w:r>
            <w:hyperlink r:id="rId130">
              <w:r>
                <w:rPr>
                  <w:color w:val="0000FF"/>
                  <w:sz w:val="14"/>
                  <w:u w:val="single" w:color="0000FF"/>
                </w:rPr>
                <w:t>Bundestagspräsident</w:t>
              </w:r>
            </w:hyperlink>
            <w:r>
              <w:rPr>
                <w:color w:val="0000FF"/>
                <w:sz w:val="14"/>
                <w:u w:val="single" w:color="0000FF"/>
              </w:rPr>
              <w:t> </w:t>
            </w:r>
            <w:r>
              <w:rPr>
                <w:sz w:val="14"/>
              </w:rPr>
              <w:t>(presidente</w:t>
              <w:tab/>
              <w:t>del Bundestag),</w:t>
            </w:r>
          </w:p>
          <w:p>
            <w:pPr>
              <w:pStyle w:val="TableParagraph"/>
              <w:spacing w:line="160" w:lineRule="exact" w:before="3"/>
              <w:ind w:left="95"/>
              <w:rPr>
                <w:sz w:val="14"/>
              </w:rPr>
            </w:pPr>
            <w:r>
              <w:rPr>
                <w:w w:val="100"/>
                <w:sz w:val="14"/>
              </w:rPr>
              <w:t>.</w:t>
            </w:r>
          </w:p>
          <w:p>
            <w:pPr>
              <w:pStyle w:val="TableParagraph"/>
              <w:tabs>
                <w:tab w:pos="1374" w:val="left" w:leader="none"/>
              </w:tabs>
              <w:ind w:left="95" w:right="102"/>
              <w:jc w:val="both"/>
              <w:rPr>
                <w:sz w:val="14"/>
              </w:rPr>
            </w:pPr>
            <w:r>
              <w:rPr>
                <w:sz w:val="14"/>
              </w:rPr>
              <w:t>El tercero, y más alto oficial de la Jefatura</w:t>
            </w:r>
            <w:r>
              <w:rPr>
                <w:spacing w:val="-28"/>
                <w:sz w:val="14"/>
              </w:rPr>
              <w:t> </w:t>
            </w:r>
            <w:r>
              <w:rPr>
                <w:spacing w:val="3"/>
                <w:sz w:val="14"/>
              </w:rPr>
              <w:t>de </w:t>
            </w:r>
            <w:r>
              <w:rPr>
                <w:sz w:val="14"/>
              </w:rPr>
              <w:t>gobierno</w:t>
              <w:tab/>
            </w:r>
            <w:r>
              <w:rPr>
                <w:spacing w:val="-3"/>
                <w:sz w:val="14"/>
              </w:rPr>
              <w:t>es</w:t>
            </w:r>
          </w:p>
          <w:p>
            <w:pPr>
              <w:pStyle w:val="TableParagraph"/>
              <w:spacing w:before="3"/>
              <w:ind w:left="95" w:right="102"/>
              <w:rPr>
                <w:sz w:val="14"/>
              </w:rPr>
            </w:pPr>
            <w:r>
              <w:rPr>
                <w:sz w:val="14"/>
              </w:rPr>
              <w:t>el </w:t>
            </w:r>
            <w:hyperlink r:id="rId131">
              <w:r>
                <w:rPr>
                  <w:color w:val="0000FF"/>
                  <w:sz w:val="14"/>
                  <w:u w:val="single" w:color="0000FF"/>
                </w:rPr>
                <w:t>Canciller Federa</w:t>
              </w:r>
              <w:r>
                <w:rPr>
                  <w:color w:val="0000FF"/>
                  <w:sz w:val="14"/>
                </w:rPr>
                <w:t>l</w:t>
              </w:r>
              <w:r>
                <w:rPr>
                  <w:sz w:val="14"/>
                </w:rPr>
                <w:t>,</w:t>
              </w:r>
            </w:hyperlink>
          </w:p>
          <w:p>
            <w:pPr>
              <w:pStyle w:val="TableParagraph"/>
              <w:rPr>
                <w:sz w:val="14"/>
              </w:rPr>
            </w:pPr>
          </w:p>
          <w:p>
            <w:pPr>
              <w:pStyle w:val="TableParagraph"/>
              <w:spacing w:before="8"/>
              <w:rPr>
                <w:sz w:val="13"/>
              </w:rPr>
            </w:pPr>
          </w:p>
          <w:p>
            <w:pPr>
              <w:pStyle w:val="TableParagraph"/>
              <w:ind w:left="95" w:right="113"/>
              <w:rPr>
                <w:sz w:val="14"/>
              </w:rPr>
            </w:pPr>
            <w:r>
              <w:rPr>
                <w:sz w:val="14"/>
              </w:rPr>
              <w:t>Poder Ejecutivo: jefe de gobierno o </w:t>
            </w:r>
            <w:hyperlink r:id="rId132">
              <w:r>
                <w:rPr>
                  <w:color w:val="0000FF"/>
                  <w:sz w:val="14"/>
                  <w:u w:val="single" w:color="0000FF"/>
                </w:rPr>
                <w:t>Bundeskanzler</w:t>
              </w:r>
            </w:hyperlink>
            <w:r>
              <w:rPr>
                <w:color w:val="0000FF"/>
                <w:sz w:val="14"/>
                <w:u w:val="single" w:color="0000FF"/>
              </w:rPr>
              <w:t> </w:t>
            </w:r>
            <w:hyperlink r:id="rId133">
              <w:r>
                <w:rPr>
                  <w:sz w:val="14"/>
                </w:rPr>
                <w:t>(</w:t>
              </w:r>
              <w:r>
                <w:rPr>
                  <w:color w:val="0000FF"/>
                  <w:sz w:val="14"/>
                  <w:u w:val="single" w:color="0000FF"/>
                </w:rPr>
                <w:t>Canciller </w:t>
              </w:r>
            </w:hyperlink>
            <w:r>
              <w:rPr>
                <w:sz w:val="14"/>
              </w:rPr>
              <w:t>Federal).</w:t>
            </w:r>
          </w:p>
          <w:p>
            <w:pPr>
              <w:pStyle w:val="TableParagraph"/>
              <w:spacing w:before="2"/>
              <w:rPr>
                <w:sz w:val="14"/>
              </w:rPr>
            </w:pPr>
          </w:p>
          <w:p>
            <w:pPr>
              <w:pStyle w:val="TableParagraph"/>
              <w:ind w:left="95" w:right="105"/>
              <w:rPr>
                <w:sz w:val="14"/>
              </w:rPr>
            </w:pPr>
            <w:r>
              <w:rPr>
                <w:sz w:val="14"/>
              </w:rPr>
              <w:t>Poder Legislativo: La Cámara baja (Bundestag) y Cámara alta (Bundesrat).</w:t>
            </w:r>
          </w:p>
          <w:p>
            <w:pPr>
              <w:pStyle w:val="TableParagraph"/>
              <w:spacing w:before="2"/>
              <w:rPr>
                <w:sz w:val="14"/>
              </w:rPr>
            </w:pPr>
          </w:p>
          <w:p>
            <w:pPr>
              <w:pStyle w:val="TableParagraph"/>
              <w:ind w:left="95" w:right="510"/>
              <w:rPr>
                <w:sz w:val="14"/>
              </w:rPr>
            </w:pPr>
            <w:r>
              <w:rPr>
                <w:sz w:val="14"/>
              </w:rPr>
              <w:t>Poder Judicial: El </w:t>
            </w:r>
            <w:hyperlink r:id="rId134">
              <w:r>
                <w:rPr>
                  <w:color w:val="0000FF"/>
                  <w:sz w:val="14"/>
                  <w:u w:val="single" w:color="0000FF"/>
                </w:rPr>
                <w:t>Tribuna</w:t>
              </w:r>
              <w:r>
                <w:rPr>
                  <w:color w:val="0000FF"/>
                  <w:sz w:val="14"/>
                </w:rPr>
                <w:t>l</w:t>
              </w:r>
            </w:hyperlink>
            <w:r>
              <w:rPr>
                <w:color w:val="0000FF"/>
                <w:sz w:val="14"/>
              </w:rPr>
              <w:t> </w:t>
            </w:r>
            <w:hyperlink r:id="rId134">
              <w:r>
                <w:rPr>
                  <w:color w:val="0000FF"/>
                  <w:sz w:val="14"/>
                  <w:u w:val="single" w:color="0000FF"/>
                </w:rPr>
                <w:t>Constituciona</w:t>
              </w:r>
              <w:r>
                <w:rPr>
                  <w:color w:val="0000FF"/>
                  <w:sz w:val="14"/>
                </w:rPr>
                <w:t>l</w:t>
              </w:r>
            </w:hyperlink>
            <w:r>
              <w:rPr>
                <w:color w:val="0000FF"/>
                <w:sz w:val="14"/>
              </w:rPr>
              <w:t> </w:t>
            </w:r>
            <w:hyperlink r:id="rId134">
              <w:r>
                <w:rPr>
                  <w:color w:val="0000FF"/>
                  <w:sz w:val="14"/>
                  <w:u w:val="single" w:color="0000FF"/>
                </w:rPr>
                <w:t>Federa</w:t>
              </w:r>
              <w:r>
                <w:rPr>
                  <w:color w:val="0000FF"/>
                  <w:sz w:val="14"/>
                </w:rPr>
                <w:t>l</w:t>
              </w:r>
              <w:r>
                <w:rPr>
                  <w:sz w:val="14"/>
                </w:rPr>
                <w:t>.</w:t>
              </w:r>
            </w:hyperlink>
          </w:p>
          <w:p>
            <w:pPr>
              <w:pStyle w:val="TableParagraph"/>
              <w:tabs>
                <w:tab w:pos="1139" w:val="left" w:leader="none"/>
              </w:tabs>
              <w:ind w:left="95" w:right="109"/>
              <w:rPr>
                <w:sz w:val="14"/>
              </w:rPr>
            </w:pPr>
            <w:r>
              <w:rPr>
                <w:sz w:val="14"/>
              </w:rPr>
              <w:t>Bundes</w:t>
              <w:tab/>
            </w:r>
            <w:r>
              <w:rPr>
                <w:spacing w:val="-1"/>
                <w:sz w:val="14"/>
              </w:rPr>
              <w:t>verfas </w:t>
            </w:r>
            <w:r>
              <w:rPr>
                <w:sz w:val="14"/>
              </w:rPr>
              <w:t>sungsgericht.</w:t>
            </w:r>
          </w:p>
        </w:tc>
        <w:tc>
          <w:tcPr>
            <w:tcW w:w="1280" w:type="dxa"/>
          </w:tcPr>
          <w:p>
            <w:pPr>
              <w:pStyle w:val="TableParagraph"/>
              <w:tabs>
                <w:tab w:pos="1007" w:val="left" w:leader="none"/>
              </w:tabs>
              <w:spacing w:before="17"/>
              <w:ind w:left="104" w:right="100"/>
              <w:rPr>
                <w:sz w:val="14"/>
              </w:rPr>
            </w:pPr>
            <w:r>
              <w:rPr>
                <w:sz w:val="14"/>
              </w:rPr>
              <w:t>Regido por la Constitución Española</w:t>
              <w:tab/>
            </w:r>
            <w:r>
              <w:rPr>
                <w:spacing w:val="3"/>
                <w:sz w:val="14"/>
              </w:rPr>
              <w:t>de </w:t>
            </w:r>
            <w:r>
              <w:rPr>
                <w:sz w:val="14"/>
              </w:rPr>
              <w:t>1978.</w:t>
            </w:r>
          </w:p>
          <w:p>
            <w:pPr>
              <w:pStyle w:val="TableParagraph"/>
              <w:spacing w:before="2"/>
              <w:rPr>
                <w:sz w:val="14"/>
              </w:rPr>
            </w:pPr>
          </w:p>
          <w:p>
            <w:pPr>
              <w:pStyle w:val="TableParagraph"/>
              <w:ind w:left="104" w:right="100"/>
              <w:rPr>
                <w:sz w:val="14"/>
              </w:rPr>
            </w:pPr>
            <w:r>
              <w:rPr>
                <w:sz w:val="14"/>
              </w:rPr>
              <w:t>Jefe de Estado: El Monarca Primer ministro: Canciller.</w:t>
            </w:r>
          </w:p>
          <w:p>
            <w:pPr>
              <w:pStyle w:val="TableParagraph"/>
              <w:rPr>
                <w:sz w:val="14"/>
              </w:rPr>
            </w:pPr>
          </w:p>
          <w:p>
            <w:pPr>
              <w:pStyle w:val="TableParagraph"/>
              <w:spacing w:before="1"/>
              <w:rPr>
                <w:sz w:val="14"/>
              </w:rPr>
            </w:pPr>
          </w:p>
          <w:p>
            <w:pPr>
              <w:pStyle w:val="TableParagraph"/>
              <w:ind w:left="104" w:right="89"/>
              <w:rPr>
                <w:sz w:val="14"/>
              </w:rPr>
            </w:pPr>
            <w:r>
              <w:rPr>
                <w:sz w:val="14"/>
              </w:rPr>
              <w:t>Poder Ejecutivo: El jefe de Estado y el Presidente del gobierno.</w:t>
            </w:r>
          </w:p>
          <w:p>
            <w:pPr>
              <w:pStyle w:val="TableParagraph"/>
              <w:spacing w:before="9"/>
              <w:rPr>
                <w:sz w:val="13"/>
              </w:rPr>
            </w:pPr>
          </w:p>
          <w:p>
            <w:pPr>
              <w:pStyle w:val="TableParagraph"/>
              <w:ind w:left="104" w:right="132"/>
              <w:rPr>
                <w:sz w:val="14"/>
              </w:rPr>
            </w:pPr>
            <w:r>
              <w:rPr>
                <w:sz w:val="14"/>
              </w:rPr>
              <w:t>Poder Legislativo: El Congreso, Senado y parlamentos autónomos.</w:t>
            </w:r>
          </w:p>
          <w:p>
            <w:pPr>
              <w:pStyle w:val="TableParagraph"/>
              <w:spacing w:before="9"/>
              <w:rPr>
                <w:sz w:val="13"/>
              </w:rPr>
            </w:pPr>
          </w:p>
          <w:p>
            <w:pPr>
              <w:pStyle w:val="TableParagraph"/>
              <w:ind w:left="104" w:right="132"/>
              <w:rPr>
                <w:sz w:val="14"/>
              </w:rPr>
            </w:pPr>
            <w:r>
              <w:rPr>
                <w:sz w:val="14"/>
              </w:rPr>
              <w:t>Poder Judicial: Integrado por el conjunto de Juzgados y Tribunales, integrado por Jueces y Magistrados, que tienen la potestad de administrar justicia en nombre del Rey.</w:t>
            </w:r>
          </w:p>
        </w:tc>
        <w:tc>
          <w:tcPr>
            <w:tcW w:w="1461" w:type="dxa"/>
          </w:tcPr>
          <w:p>
            <w:pPr>
              <w:pStyle w:val="TableParagraph"/>
              <w:spacing w:before="17"/>
              <w:ind w:left="104" w:right="101"/>
              <w:jc w:val="both"/>
              <w:rPr>
                <w:sz w:val="14"/>
              </w:rPr>
            </w:pPr>
            <w:r>
              <w:rPr>
                <w:sz w:val="14"/>
              </w:rPr>
              <w:t>Regido por la Constitución de los Estados Unidos de 1787.</w:t>
            </w:r>
          </w:p>
          <w:p>
            <w:pPr>
              <w:pStyle w:val="TableParagraph"/>
              <w:spacing w:before="2"/>
              <w:rPr>
                <w:sz w:val="14"/>
              </w:rPr>
            </w:pPr>
          </w:p>
          <w:p>
            <w:pPr>
              <w:pStyle w:val="TableParagraph"/>
              <w:ind w:left="104" w:right="106"/>
              <w:jc w:val="both"/>
              <w:rPr>
                <w:sz w:val="14"/>
              </w:rPr>
            </w:pPr>
            <w:r>
              <w:rPr>
                <w:sz w:val="14"/>
              </w:rPr>
              <w:t>Jefe de Estado y Jefe de Gobierno:  El</w:t>
            </w:r>
            <w:r>
              <w:rPr>
                <w:spacing w:val="-13"/>
                <w:sz w:val="14"/>
              </w:rPr>
              <w:t> </w:t>
            </w:r>
            <w:r>
              <w:rPr>
                <w:sz w:val="14"/>
              </w:rPr>
              <w:t>Presidente.</w:t>
            </w:r>
          </w:p>
          <w:p>
            <w:pPr>
              <w:pStyle w:val="TableParagraph"/>
              <w:spacing w:before="2"/>
              <w:rPr>
                <w:sz w:val="14"/>
              </w:rPr>
            </w:pPr>
          </w:p>
          <w:p>
            <w:pPr>
              <w:pStyle w:val="TableParagraph"/>
              <w:ind w:left="104" w:right="100"/>
              <w:rPr>
                <w:sz w:val="14"/>
              </w:rPr>
            </w:pPr>
            <w:r>
              <w:rPr>
                <w:sz w:val="14"/>
              </w:rPr>
              <w:t>El Poder Ejecutivo: El Presidente y el Vicepresidente</w:t>
            </w:r>
          </w:p>
          <w:p>
            <w:pPr>
              <w:pStyle w:val="TableParagraph"/>
              <w:rPr>
                <w:sz w:val="14"/>
              </w:rPr>
            </w:pPr>
          </w:p>
          <w:p>
            <w:pPr>
              <w:pStyle w:val="TableParagraph"/>
              <w:spacing w:before="118"/>
              <w:ind w:left="104" w:right="100"/>
              <w:rPr>
                <w:sz w:val="14"/>
              </w:rPr>
            </w:pPr>
            <w:r>
              <w:rPr>
                <w:sz w:val="14"/>
              </w:rPr>
              <w:t>Poder Legislativo: Compuesto por el Senado (Cámara alta) y por la Cámara de Representantes (Cámara baja).</w:t>
            </w:r>
          </w:p>
          <w:p>
            <w:pPr>
              <w:pStyle w:val="TableParagraph"/>
              <w:rPr>
                <w:sz w:val="14"/>
              </w:rPr>
            </w:pPr>
          </w:p>
          <w:p>
            <w:pPr>
              <w:pStyle w:val="TableParagraph"/>
              <w:spacing w:before="118"/>
              <w:ind w:left="104" w:right="101"/>
              <w:jc w:val="both"/>
              <w:rPr>
                <w:sz w:val="14"/>
              </w:rPr>
            </w:pPr>
            <w:r>
              <w:rPr>
                <w:sz w:val="14"/>
              </w:rPr>
              <w:t>Poder Judicial: Compuesto por la Suprema Corte de Justicia      y      por</w:t>
            </w:r>
          </w:p>
          <w:p>
            <w:pPr>
              <w:pStyle w:val="TableParagraph"/>
              <w:ind w:left="104" w:right="105"/>
              <w:jc w:val="both"/>
              <w:rPr>
                <w:sz w:val="14"/>
              </w:rPr>
            </w:pPr>
            <w:r>
              <w:rPr>
                <w:sz w:val="14"/>
              </w:rPr>
              <w:t>diversas cortes subsidiarias.</w:t>
            </w:r>
          </w:p>
        </w:tc>
        <w:tc>
          <w:tcPr>
            <w:tcW w:w="1713" w:type="dxa"/>
          </w:tcPr>
          <w:p>
            <w:pPr>
              <w:pStyle w:val="TableParagraph"/>
              <w:spacing w:before="17"/>
              <w:ind w:left="104" w:right="64"/>
              <w:rPr>
                <w:sz w:val="14"/>
              </w:rPr>
            </w:pPr>
            <w:r>
              <w:rPr>
                <w:sz w:val="14"/>
              </w:rPr>
              <w:t>Regido por la Constitución Política de los Estados Unidos Mexicanos de 1917</w:t>
            </w:r>
          </w:p>
          <w:p>
            <w:pPr>
              <w:pStyle w:val="TableParagraph"/>
              <w:spacing w:before="2"/>
              <w:rPr>
                <w:sz w:val="14"/>
              </w:rPr>
            </w:pPr>
          </w:p>
          <w:p>
            <w:pPr>
              <w:pStyle w:val="TableParagraph"/>
              <w:ind w:left="104" w:right="64"/>
              <w:rPr>
                <w:sz w:val="14"/>
              </w:rPr>
            </w:pPr>
            <w:r>
              <w:rPr>
                <w:sz w:val="14"/>
              </w:rPr>
              <w:t>Poder Ejecutivo: El Presidente.</w:t>
            </w:r>
          </w:p>
          <w:p>
            <w:pPr>
              <w:pStyle w:val="TableParagraph"/>
              <w:spacing w:before="9"/>
              <w:rPr>
                <w:sz w:val="13"/>
              </w:rPr>
            </w:pPr>
          </w:p>
          <w:p>
            <w:pPr>
              <w:pStyle w:val="TableParagraph"/>
              <w:ind w:left="104" w:right="64"/>
              <w:rPr>
                <w:sz w:val="14"/>
              </w:rPr>
            </w:pPr>
            <w:r>
              <w:rPr>
                <w:sz w:val="14"/>
              </w:rPr>
              <w:t>Poder Legislativo: El H. Congreso de la Unión, integrado por una Cámara de Diputados y la Cámara de Senadores.</w:t>
            </w:r>
          </w:p>
          <w:p>
            <w:pPr>
              <w:pStyle w:val="TableParagraph"/>
              <w:spacing w:before="9"/>
              <w:rPr>
                <w:sz w:val="13"/>
              </w:rPr>
            </w:pPr>
          </w:p>
          <w:p>
            <w:pPr>
              <w:pStyle w:val="TableParagraph"/>
              <w:ind w:left="104" w:right="134"/>
              <w:rPr>
                <w:sz w:val="14"/>
              </w:rPr>
            </w:pPr>
            <w:r>
              <w:rPr>
                <w:sz w:val="14"/>
              </w:rPr>
              <w:t>Poder Judicial: Suprema Corte de Justicia de la Nación (SCJN) y los tribunales superiores de justicia.</w:t>
            </w:r>
          </w:p>
        </w:tc>
        <w:tc>
          <w:tcPr>
            <w:tcW w:w="1732" w:type="dxa"/>
          </w:tcPr>
          <w:p>
            <w:pPr>
              <w:pStyle w:val="TableParagraph"/>
              <w:spacing w:before="17"/>
              <w:ind w:left="104"/>
              <w:rPr>
                <w:sz w:val="14"/>
              </w:rPr>
            </w:pPr>
            <w:r>
              <w:rPr>
                <w:sz w:val="14"/>
              </w:rPr>
              <w:t>Sin constitución.</w:t>
            </w:r>
          </w:p>
          <w:p>
            <w:pPr>
              <w:pStyle w:val="TableParagraph"/>
              <w:spacing w:before="2"/>
              <w:rPr>
                <w:sz w:val="14"/>
              </w:rPr>
            </w:pPr>
          </w:p>
          <w:p>
            <w:pPr>
              <w:pStyle w:val="TableParagraph"/>
              <w:ind w:left="104"/>
              <w:rPr>
                <w:sz w:val="14"/>
              </w:rPr>
            </w:pPr>
            <w:r>
              <w:rPr>
                <w:sz w:val="14"/>
              </w:rPr>
              <w:t>Regido por el derecho estatutario (StatuteLaw) que comprende:</w:t>
            </w:r>
          </w:p>
          <w:p>
            <w:pPr>
              <w:pStyle w:val="TableParagraph"/>
              <w:spacing w:before="3"/>
              <w:ind w:left="104" w:right="596"/>
              <w:rPr>
                <w:sz w:val="14"/>
              </w:rPr>
            </w:pPr>
            <w:r>
              <w:rPr>
                <w:sz w:val="14"/>
              </w:rPr>
              <w:t>La Carta Magna de </w:t>
            </w:r>
            <w:hyperlink r:id="rId135">
              <w:r>
                <w:rPr>
                  <w:color w:val="0000FF"/>
                  <w:sz w:val="14"/>
                  <w:u w:val="single" w:color="0000FF"/>
                </w:rPr>
                <w:t>1215</w:t>
              </w:r>
              <w:r>
                <w:rPr>
                  <w:sz w:val="14"/>
                </w:rPr>
                <w:t>,</w:t>
              </w:r>
            </w:hyperlink>
            <w:r>
              <w:rPr>
                <w:sz w:val="14"/>
              </w:rPr>
              <w:t> la "PetitionRights"</w:t>
            </w:r>
          </w:p>
          <w:p>
            <w:pPr>
              <w:pStyle w:val="TableParagraph"/>
              <w:ind w:left="104" w:right="103"/>
              <w:rPr>
                <w:sz w:val="14"/>
              </w:rPr>
            </w:pPr>
            <w:r>
              <w:rPr>
                <w:sz w:val="14"/>
              </w:rPr>
              <w:t>de 1628, el "habeas Corpus AmendmentAct" de </w:t>
            </w:r>
            <w:hyperlink r:id="rId136">
              <w:r>
                <w:rPr>
                  <w:color w:val="0000FF"/>
                  <w:sz w:val="14"/>
                  <w:u w:val="single" w:color="0000FF"/>
                </w:rPr>
                <w:t>1679</w:t>
              </w:r>
              <w:r>
                <w:rPr>
                  <w:sz w:val="14"/>
                </w:rPr>
                <w:t>,</w:t>
              </w:r>
            </w:hyperlink>
            <w:r>
              <w:rPr>
                <w:sz w:val="14"/>
              </w:rPr>
              <w:t> el "Bill of Rights" de</w:t>
            </w:r>
            <w:hyperlink r:id="rId137">
              <w:r>
                <w:rPr>
                  <w:color w:val="0000FF"/>
                  <w:sz w:val="14"/>
                  <w:u w:val="single" w:color="0000FF"/>
                </w:rPr>
                <w:t>1689</w:t>
              </w:r>
              <w:r>
                <w:rPr>
                  <w:sz w:val="14"/>
                </w:rPr>
                <w:t>,</w:t>
              </w:r>
            </w:hyperlink>
            <w:r>
              <w:rPr>
                <w:sz w:val="14"/>
              </w:rPr>
              <w:t> el "Axt of Settlement" de </w:t>
            </w:r>
            <w:hyperlink r:id="rId138">
              <w:r>
                <w:rPr>
                  <w:color w:val="0000FF"/>
                  <w:sz w:val="14"/>
                  <w:u w:val="single" w:color="0000FF"/>
                </w:rPr>
                <w:t>1701</w:t>
              </w:r>
              <w:r>
                <w:rPr>
                  <w:sz w:val="14"/>
                </w:rPr>
                <w:t>,</w:t>
              </w:r>
            </w:hyperlink>
            <w:r>
              <w:rPr>
                <w:sz w:val="14"/>
              </w:rPr>
              <w:t> la "ReformAct" de </w:t>
            </w:r>
            <w:hyperlink r:id="rId139">
              <w:r>
                <w:rPr>
                  <w:color w:val="0000FF"/>
                  <w:sz w:val="14"/>
                  <w:u w:val="single" w:color="0000FF"/>
                </w:rPr>
                <w:t>1832</w:t>
              </w:r>
              <w:r>
                <w:rPr>
                  <w:sz w:val="14"/>
                </w:rPr>
                <w:t>,</w:t>
              </w:r>
            </w:hyperlink>
            <w:r>
              <w:rPr>
                <w:sz w:val="14"/>
              </w:rPr>
              <w:t> el "Estatuto de</w:t>
            </w:r>
          </w:p>
          <w:p>
            <w:pPr>
              <w:pStyle w:val="TableParagraph"/>
              <w:ind w:left="104"/>
              <w:rPr>
                <w:sz w:val="14"/>
              </w:rPr>
            </w:pPr>
            <w:r>
              <w:rPr>
                <w:sz w:val="14"/>
              </w:rPr>
              <w:t>Westminster" de </w:t>
            </w:r>
            <w:hyperlink r:id="rId140">
              <w:r>
                <w:rPr>
                  <w:color w:val="0000FF"/>
                  <w:sz w:val="14"/>
                  <w:u w:val="single" w:color="0000FF"/>
                </w:rPr>
                <w:t>1931 </w:t>
              </w:r>
            </w:hyperlink>
            <w:r>
              <w:rPr>
                <w:sz w:val="14"/>
              </w:rPr>
              <w:t>y los "ParliamentActs"</w:t>
            </w:r>
          </w:p>
          <w:p>
            <w:pPr>
              <w:pStyle w:val="TableParagraph"/>
              <w:spacing w:before="3"/>
              <w:ind w:left="104"/>
              <w:rPr>
                <w:sz w:val="14"/>
              </w:rPr>
            </w:pPr>
            <w:r>
              <w:rPr>
                <w:sz w:val="14"/>
              </w:rPr>
              <w:t>de </w:t>
            </w:r>
            <w:hyperlink r:id="rId141">
              <w:r>
                <w:rPr>
                  <w:color w:val="0000FF"/>
                  <w:sz w:val="14"/>
                  <w:u w:val="single" w:color="0000FF"/>
                </w:rPr>
                <w:t>1911 </w:t>
              </w:r>
            </w:hyperlink>
            <w:r>
              <w:rPr>
                <w:sz w:val="14"/>
              </w:rPr>
              <w:t>y</w:t>
            </w:r>
            <w:hyperlink r:id="rId124">
              <w:r>
                <w:rPr>
                  <w:color w:val="0000FF"/>
                  <w:sz w:val="14"/>
                  <w:u w:val="single" w:color="0000FF"/>
                </w:rPr>
                <w:t>1949</w:t>
              </w:r>
              <w:r>
                <w:rPr>
                  <w:sz w:val="14"/>
                </w:rPr>
                <w:t>.</w:t>
              </w:r>
            </w:hyperlink>
          </w:p>
          <w:p>
            <w:pPr>
              <w:pStyle w:val="TableParagraph"/>
              <w:rPr>
                <w:sz w:val="14"/>
              </w:rPr>
            </w:pPr>
          </w:p>
          <w:p>
            <w:pPr>
              <w:pStyle w:val="TableParagraph"/>
              <w:spacing w:before="8"/>
              <w:rPr>
                <w:sz w:val="13"/>
              </w:rPr>
            </w:pPr>
          </w:p>
          <w:p>
            <w:pPr>
              <w:pStyle w:val="TableParagraph"/>
              <w:spacing w:line="244" w:lineRule="auto"/>
              <w:ind w:left="104"/>
              <w:rPr>
                <w:sz w:val="14"/>
              </w:rPr>
            </w:pPr>
            <w:r>
              <w:rPr>
                <w:sz w:val="14"/>
              </w:rPr>
              <w:t>Jefe de Estado: rey o reina.</w:t>
            </w:r>
          </w:p>
          <w:p>
            <w:pPr>
              <w:pStyle w:val="TableParagraph"/>
              <w:spacing w:before="6"/>
              <w:rPr>
                <w:sz w:val="13"/>
              </w:rPr>
            </w:pPr>
          </w:p>
          <w:p>
            <w:pPr>
              <w:pStyle w:val="TableParagraph"/>
              <w:spacing w:line="242" w:lineRule="auto"/>
              <w:ind w:left="104"/>
              <w:rPr>
                <w:sz w:val="14"/>
              </w:rPr>
            </w:pPr>
            <w:r>
              <w:rPr>
                <w:sz w:val="14"/>
              </w:rPr>
              <w:t>Poder Ejecutivo: Primer ministro (Jefe de Gobierno)</w:t>
            </w:r>
          </w:p>
          <w:p>
            <w:pPr>
              <w:pStyle w:val="TableParagraph"/>
              <w:spacing w:before="8"/>
              <w:rPr>
                <w:sz w:val="13"/>
              </w:rPr>
            </w:pPr>
          </w:p>
          <w:p>
            <w:pPr>
              <w:pStyle w:val="TableParagraph"/>
              <w:ind w:left="104" w:right="261"/>
              <w:rPr>
                <w:sz w:val="14"/>
              </w:rPr>
            </w:pPr>
            <w:r>
              <w:rPr>
                <w:sz w:val="14"/>
              </w:rPr>
              <w:t>Poder Legislativo: El Parlamento integrado por la Cámara Alta (Lores) y la Cámara Baja (Comunes)</w:t>
            </w:r>
          </w:p>
          <w:p>
            <w:pPr>
              <w:pStyle w:val="TableParagraph"/>
              <w:spacing w:before="2"/>
              <w:rPr>
                <w:sz w:val="14"/>
              </w:rPr>
            </w:pPr>
          </w:p>
          <w:p>
            <w:pPr>
              <w:pStyle w:val="TableParagraph"/>
              <w:ind w:left="104" w:right="153"/>
              <w:rPr>
                <w:sz w:val="14"/>
              </w:rPr>
            </w:pPr>
            <w:r>
              <w:rPr>
                <w:sz w:val="14"/>
              </w:rPr>
              <w:t>Poder Judicial: Separado entre Inglaterra y Escocia. Está Integrado por la Corte de Apelaciones, la Suprema Corte de Justicia y el Tribunal Real. Escocia basa su poder jurídico en el derecho romano.</w:t>
            </w:r>
          </w:p>
        </w:tc>
      </w:tr>
    </w:tbl>
    <w:p>
      <w:pPr>
        <w:spacing w:after="0"/>
        <w:rPr>
          <w:sz w:val="14"/>
        </w:rPr>
        <w:sectPr>
          <w:footerReference w:type="default" r:id="rId119"/>
          <w:pgSz w:w="12240" w:h="15840"/>
          <w:pgMar w:footer="998" w:header="0" w:top="1360" w:bottom="1180" w:left="1600" w:right="1600"/>
        </w:sectPr>
      </w:pPr>
    </w:p>
    <w:p>
      <w:pPr>
        <w:pStyle w:val="BodyText"/>
        <w:spacing w:before="9"/>
        <w:rPr>
          <w:sz w:val="22"/>
        </w:rPr>
      </w:pPr>
    </w:p>
    <w:p>
      <w:pPr>
        <w:pStyle w:val="BodyText"/>
        <w:spacing w:line="360" w:lineRule="auto" w:before="69"/>
        <w:ind w:left="120" w:right="121" w:firstLine="427"/>
        <w:jc w:val="both"/>
      </w:pPr>
      <w:r>
        <w:rPr/>
        <w:t>Se considera que la eficacia en el desempeño de cualquier sistema político no depende</w:t>
      </w:r>
      <w:r>
        <w:rPr>
          <w:spacing w:val="-20"/>
        </w:rPr>
        <w:t> </w:t>
      </w:r>
      <w:r>
        <w:rPr/>
        <w:t>únicamente</w:t>
      </w:r>
      <w:r>
        <w:rPr>
          <w:spacing w:val="-20"/>
        </w:rPr>
        <w:t> </w:t>
      </w:r>
      <w:r>
        <w:rPr/>
        <w:t>de</w:t>
      </w:r>
      <w:r>
        <w:rPr>
          <w:spacing w:val="-20"/>
        </w:rPr>
        <w:t> </w:t>
      </w:r>
      <w:r>
        <w:rPr/>
        <w:t>la</w:t>
      </w:r>
      <w:r>
        <w:rPr>
          <w:spacing w:val="-20"/>
        </w:rPr>
        <w:t> </w:t>
      </w:r>
      <w:r>
        <w:rPr/>
        <w:t>división</w:t>
      </w:r>
      <w:r>
        <w:rPr>
          <w:spacing w:val="-20"/>
        </w:rPr>
        <w:t> </w:t>
      </w:r>
      <w:r>
        <w:rPr/>
        <w:t>de</w:t>
      </w:r>
      <w:r>
        <w:rPr>
          <w:spacing w:val="-17"/>
        </w:rPr>
        <w:t> </w:t>
      </w:r>
      <w:r>
        <w:rPr/>
        <w:t>poderes,</w:t>
      </w:r>
      <w:r>
        <w:rPr>
          <w:spacing w:val="-18"/>
        </w:rPr>
        <w:t> </w:t>
      </w:r>
      <w:r>
        <w:rPr/>
        <w:t>sino</w:t>
      </w:r>
      <w:r>
        <w:rPr>
          <w:spacing w:val="-20"/>
        </w:rPr>
        <w:t> </w:t>
      </w:r>
      <w:r>
        <w:rPr/>
        <w:t>también</w:t>
      </w:r>
      <w:r>
        <w:rPr>
          <w:spacing w:val="-20"/>
        </w:rPr>
        <w:t> </w:t>
      </w:r>
      <w:r>
        <w:rPr/>
        <w:t>del</w:t>
      </w:r>
      <w:r>
        <w:rPr>
          <w:spacing w:val="-16"/>
        </w:rPr>
        <w:t> </w:t>
      </w:r>
      <w:r>
        <w:rPr/>
        <w:t>diseño</w:t>
      </w:r>
      <w:r>
        <w:rPr>
          <w:spacing w:val="-20"/>
        </w:rPr>
        <w:t> </w:t>
      </w:r>
      <w:r>
        <w:rPr/>
        <w:t>institucional, de su historia y su cultura política (Espinoza,</w:t>
      </w:r>
      <w:r>
        <w:rPr>
          <w:spacing w:val="-29"/>
        </w:rPr>
        <w:t> </w:t>
      </w:r>
      <w:r>
        <w:rPr/>
        <w:t>2010).</w:t>
      </w:r>
    </w:p>
    <w:p>
      <w:pPr>
        <w:pStyle w:val="BodyText"/>
        <w:spacing w:line="360" w:lineRule="auto" w:before="2"/>
        <w:ind w:left="120" w:right="121" w:firstLine="427"/>
        <w:jc w:val="both"/>
      </w:pPr>
      <w:r>
        <w:rPr/>
        <w:t>La democracia implica también el contrapeso ciudadano. La gobernanza, que refleja</w:t>
      </w:r>
      <w:r>
        <w:rPr>
          <w:spacing w:val="-15"/>
        </w:rPr>
        <w:t> </w:t>
      </w:r>
      <w:r>
        <w:rPr/>
        <w:t>el</w:t>
      </w:r>
      <w:r>
        <w:rPr>
          <w:spacing w:val="-18"/>
        </w:rPr>
        <w:t> </w:t>
      </w:r>
      <w:r>
        <w:rPr/>
        <w:t>tránsito</w:t>
      </w:r>
      <w:r>
        <w:rPr>
          <w:spacing w:val="-15"/>
        </w:rPr>
        <w:t> </w:t>
      </w:r>
      <w:r>
        <w:rPr/>
        <w:t>hacia</w:t>
      </w:r>
      <w:r>
        <w:rPr>
          <w:spacing w:val="-18"/>
        </w:rPr>
        <w:t> </w:t>
      </w:r>
      <w:r>
        <w:rPr/>
        <w:t>un</w:t>
      </w:r>
      <w:r>
        <w:rPr>
          <w:spacing w:val="-15"/>
        </w:rPr>
        <w:t> </w:t>
      </w:r>
      <w:r>
        <w:rPr/>
        <w:t>modelo</w:t>
      </w:r>
      <w:r>
        <w:rPr>
          <w:spacing w:val="-18"/>
        </w:rPr>
        <w:t> </w:t>
      </w:r>
      <w:r>
        <w:rPr/>
        <w:t>de</w:t>
      </w:r>
      <w:r>
        <w:rPr>
          <w:spacing w:val="-18"/>
        </w:rPr>
        <w:t> </w:t>
      </w:r>
      <w:r>
        <w:rPr/>
        <w:t>administración</w:t>
      </w:r>
      <w:r>
        <w:rPr>
          <w:spacing w:val="-15"/>
        </w:rPr>
        <w:t> </w:t>
      </w:r>
      <w:r>
        <w:rPr/>
        <w:t>pública</w:t>
      </w:r>
      <w:r>
        <w:rPr>
          <w:spacing w:val="-15"/>
        </w:rPr>
        <w:t> </w:t>
      </w:r>
      <w:r>
        <w:rPr/>
        <w:t>más</w:t>
      </w:r>
      <w:r>
        <w:rPr>
          <w:spacing w:val="-17"/>
        </w:rPr>
        <w:t> </w:t>
      </w:r>
      <w:r>
        <w:rPr/>
        <w:t>incluyente,</w:t>
      </w:r>
      <w:r>
        <w:rPr>
          <w:spacing w:val="-12"/>
        </w:rPr>
        <w:t> </w:t>
      </w:r>
      <w:r>
        <w:rPr/>
        <w:t>permite el</w:t>
      </w:r>
      <w:r>
        <w:rPr>
          <w:spacing w:val="-8"/>
        </w:rPr>
        <w:t> </w:t>
      </w:r>
      <w:r>
        <w:rPr/>
        <w:t>arreglo</w:t>
      </w:r>
      <w:r>
        <w:rPr>
          <w:spacing w:val="-9"/>
        </w:rPr>
        <w:t> </w:t>
      </w:r>
      <w:r>
        <w:rPr/>
        <w:t>de</w:t>
      </w:r>
      <w:r>
        <w:rPr>
          <w:spacing w:val="-9"/>
        </w:rPr>
        <w:t> </w:t>
      </w:r>
      <w:r>
        <w:rPr/>
        <w:t>redes</w:t>
      </w:r>
      <w:r>
        <w:rPr>
          <w:spacing w:val="-7"/>
        </w:rPr>
        <w:t> </w:t>
      </w:r>
      <w:r>
        <w:rPr/>
        <w:t>orientadas</w:t>
      </w:r>
      <w:r>
        <w:rPr>
          <w:spacing w:val="-7"/>
        </w:rPr>
        <w:t> </w:t>
      </w:r>
      <w:r>
        <w:rPr/>
        <w:t>hacia</w:t>
      </w:r>
      <w:r>
        <w:rPr>
          <w:spacing w:val="-9"/>
        </w:rPr>
        <w:t> </w:t>
      </w:r>
      <w:r>
        <w:rPr/>
        <w:t>el</w:t>
      </w:r>
      <w:r>
        <w:rPr>
          <w:spacing w:val="-5"/>
        </w:rPr>
        <w:t> </w:t>
      </w:r>
      <w:r>
        <w:rPr/>
        <w:t>logro</w:t>
      </w:r>
      <w:r>
        <w:rPr>
          <w:spacing w:val="-9"/>
        </w:rPr>
        <w:t> </w:t>
      </w:r>
      <w:r>
        <w:rPr/>
        <w:t>del</w:t>
      </w:r>
      <w:r>
        <w:rPr>
          <w:spacing w:val="-8"/>
        </w:rPr>
        <w:t> </w:t>
      </w:r>
      <w:r>
        <w:rPr/>
        <w:t>buen</w:t>
      </w:r>
      <w:r>
        <w:rPr>
          <w:spacing w:val="-9"/>
        </w:rPr>
        <w:t> </w:t>
      </w:r>
      <w:r>
        <w:rPr/>
        <w:t>gobierno</w:t>
      </w:r>
      <w:r>
        <w:rPr>
          <w:spacing w:val="-9"/>
        </w:rPr>
        <w:t> </w:t>
      </w:r>
      <w:r>
        <w:rPr/>
        <w:t>donde</w:t>
      </w:r>
      <w:r>
        <w:rPr>
          <w:spacing w:val="-9"/>
        </w:rPr>
        <w:t> </w:t>
      </w:r>
      <w:r>
        <w:rPr/>
        <w:t>la</w:t>
      </w:r>
      <w:r>
        <w:rPr>
          <w:spacing w:val="-9"/>
        </w:rPr>
        <w:t> </w:t>
      </w:r>
      <w:r>
        <w:rPr/>
        <w:t>ciudadanía y el sector privado son </w:t>
      </w:r>
      <w:r>
        <w:rPr>
          <w:spacing w:val="-2"/>
        </w:rPr>
        <w:t>más</w:t>
      </w:r>
      <w:r>
        <w:rPr>
          <w:spacing w:val="-15"/>
        </w:rPr>
        <w:t> </w:t>
      </w:r>
      <w:r>
        <w:rPr/>
        <w:t>activos.</w:t>
      </w:r>
    </w:p>
    <w:p>
      <w:pPr>
        <w:pStyle w:val="BodyText"/>
        <w:spacing w:line="360" w:lineRule="auto" w:before="2"/>
        <w:ind w:left="120" w:right="117" w:firstLine="427"/>
        <w:jc w:val="both"/>
        <w:rPr>
          <w:sz w:val="16"/>
        </w:rPr>
      </w:pPr>
      <w:r>
        <w:rPr/>
        <w:t>Es importante considerar que los cambios en la política se concretan en el ámbito legal (escrito), mientras que el control político mediante la rendición de cuentas es práctico. Por esta practicidad, los tipos de controles que se realizan a las políticas públicas mediante las instituciones de rendición de cuentas siempre conllevan cierta incertidumbre sobre el método de auditoría empleado.</w:t>
      </w:r>
      <w:r>
        <w:rPr>
          <w:position w:val="8"/>
          <w:sz w:val="16"/>
        </w:rPr>
        <w:t>76</w:t>
      </w:r>
    </w:p>
    <w:p>
      <w:pPr>
        <w:pStyle w:val="BodyText"/>
        <w:spacing w:line="360" w:lineRule="auto" w:before="2"/>
        <w:ind w:left="120" w:right="125" w:firstLine="427"/>
        <w:jc w:val="both"/>
      </w:pPr>
      <w:r>
        <w:rPr/>
        <w:t>La evaluación que realizan las entidades de rendición de cuentas tiene varias modalidades, que pueden generalizarse en dos: de gestión y de desempeño.</w:t>
      </w:r>
    </w:p>
    <w:p>
      <w:pPr>
        <w:pStyle w:val="BodyText"/>
        <w:spacing w:line="360" w:lineRule="auto" w:before="6"/>
        <w:ind w:left="120" w:right="119" w:firstLine="427"/>
        <w:jc w:val="both"/>
      </w:pPr>
      <w:r>
        <w:rPr/>
        <w:t>El control de gestión se remite básicamente a la correcta aplicación de procedimientos administrativos para el cumplimiento de programas, mientas que la evaluación</w:t>
      </w:r>
      <w:r>
        <w:rPr>
          <w:spacing w:val="-5"/>
        </w:rPr>
        <w:t> </w:t>
      </w:r>
      <w:r>
        <w:rPr/>
        <w:t>del</w:t>
      </w:r>
      <w:r>
        <w:rPr>
          <w:spacing w:val="-5"/>
        </w:rPr>
        <w:t> </w:t>
      </w:r>
      <w:r>
        <w:rPr/>
        <w:t>desempeño</w:t>
      </w:r>
      <w:r>
        <w:rPr>
          <w:spacing w:val="-5"/>
        </w:rPr>
        <w:t> </w:t>
      </w:r>
      <w:r>
        <w:rPr/>
        <w:t>está</w:t>
      </w:r>
      <w:r>
        <w:rPr>
          <w:spacing w:val="-5"/>
        </w:rPr>
        <w:t> </w:t>
      </w:r>
      <w:r>
        <w:rPr/>
        <w:t>orientada</w:t>
      </w:r>
      <w:r>
        <w:rPr>
          <w:spacing w:val="-5"/>
        </w:rPr>
        <w:t> </w:t>
      </w:r>
      <w:r>
        <w:rPr/>
        <w:t>hacia</w:t>
      </w:r>
      <w:r>
        <w:rPr>
          <w:spacing w:val="-5"/>
        </w:rPr>
        <w:t> </w:t>
      </w:r>
      <w:r>
        <w:rPr/>
        <w:t>el</w:t>
      </w:r>
      <w:r>
        <w:rPr>
          <w:spacing w:val="-5"/>
        </w:rPr>
        <w:t> </w:t>
      </w:r>
      <w:r>
        <w:rPr/>
        <w:t>impacto</w:t>
      </w:r>
      <w:r>
        <w:rPr>
          <w:spacing w:val="-5"/>
        </w:rPr>
        <w:t> </w:t>
      </w:r>
      <w:r>
        <w:rPr/>
        <w:t>de</w:t>
      </w:r>
      <w:r>
        <w:rPr>
          <w:spacing w:val="-5"/>
        </w:rPr>
        <w:t> </w:t>
      </w:r>
      <w:r>
        <w:rPr/>
        <w:t>las</w:t>
      </w:r>
      <w:r>
        <w:rPr>
          <w:spacing w:val="-3"/>
        </w:rPr>
        <w:t> </w:t>
      </w:r>
      <w:r>
        <w:rPr/>
        <w:t>políticas</w:t>
      </w:r>
      <w:r>
        <w:rPr>
          <w:spacing w:val="-3"/>
        </w:rPr>
        <w:t> </w:t>
      </w:r>
      <w:r>
        <w:rPr/>
        <w:t>públicas en la población, tarea que en sí misma se dificulta en países con democracias incipientes, donde la política pública prioriza la supervivencia de la sociedad y en los países avanzados, el desarrollo económico y el bienestar</w:t>
      </w:r>
      <w:r>
        <w:rPr>
          <w:spacing w:val="-41"/>
        </w:rPr>
        <w:t> </w:t>
      </w:r>
      <w:r>
        <w:rPr/>
        <w:t>humano.</w:t>
      </w:r>
    </w:p>
    <w:p>
      <w:pPr>
        <w:pStyle w:val="Heading2"/>
        <w:numPr>
          <w:ilvl w:val="1"/>
          <w:numId w:val="48"/>
        </w:numPr>
        <w:tabs>
          <w:tab w:pos="553" w:val="left" w:leader="none"/>
        </w:tabs>
        <w:spacing w:line="298" w:lineRule="exact" w:before="0" w:after="0"/>
        <w:ind w:left="552" w:right="0" w:hanging="432"/>
        <w:jc w:val="both"/>
      </w:pPr>
      <w:bookmarkStart w:name="_bookmark61" w:id="82"/>
      <w:bookmarkEnd w:id="82"/>
      <w:r>
        <w:rPr>
          <w:b w:val="0"/>
        </w:rPr>
      </w:r>
      <w:bookmarkStart w:name="_bookmark61" w:id="83"/>
      <w:bookmarkEnd w:id="83"/>
      <w:r>
        <w:rPr/>
        <w:t>E</w:t>
      </w:r>
      <w:r>
        <w:rPr/>
        <w:t>l control político mediante </w:t>
      </w:r>
      <w:r>
        <w:rPr>
          <w:spacing w:val="-3"/>
        </w:rPr>
        <w:t>la </w:t>
      </w:r>
      <w:r>
        <w:rPr/>
        <w:t>rendición de</w:t>
      </w:r>
      <w:r>
        <w:rPr>
          <w:spacing w:val="-5"/>
        </w:rPr>
        <w:t> </w:t>
      </w:r>
      <w:r>
        <w:rPr/>
        <w:t>cuentas</w:t>
      </w:r>
    </w:p>
    <w:p>
      <w:pPr>
        <w:pStyle w:val="BodyText"/>
        <w:rPr>
          <w:b/>
          <w:sz w:val="26"/>
        </w:rPr>
      </w:pPr>
    </w:p>
    <w:p>
      <w:pPr>
        <w:pStyle w:val="BodyText"/>
        <w:rPr>
          <w:b/>
          <w:sz w:val="26"/>
        </w:rPr>
      </w:pPr>
    </w:p>
    <w:p>
      <w:pPr>
        <w:pStyle w:val="BodyText"/>
        <w:spacing w:line="357" w:lineRule="auto" w:before="169"/>
        <w:ind w:left="120" w:right="120"/>
        <w:jc w:val="both"/>
      </w:pPr>
      <w:r>
        <w:rPr/>
        <w:t>La vigilancia y el control entre los poderes públicos mediante las instituciones es una de las principales funciones del Estado. La obligación de rendir cuentas</w:t>
      </w:r>
      <w:r>
        <w:rPr>
          <w:position w:val="8"/>
          <w:sz w:val="16"/>
        </w:rPr>
        <w:t>77 </w:t>
      </w:r>
      <w:r>
        <w:rPr/>
        <w:t>(mediante la fiscalización) tiene en esencia dos vertientes:</w:t>
      </w:r>
    </w:p>
    <w:p>
      <w:pPr>
        <w:pStyle w:val="BodyText"/>
        <w:spacing w:before="3"/>
        <w:rPr>
          <w:sz w:val="26"/>
        </w:rPr>
      </w:pPr>
      <w:r>
        <w:rPr/>
        <w:pict>
          <v:line style="position:absolute;mso-position-horizontal-relative:page;mso-position-vertical-relative:paragraph;z-index:8344;mso-wrap-distance-left:0;mso-wrap-distance-right:0" from="85.025002pt,17.487938pt" to="229.075002pt,17.487938pt" stroked="true" strokeweight=".80005pt" strokecolor="#000000">
            <w10:wrap type="topAndBottom"/>
          </v:line>
        </w:pict>
      </w:r>
    </w:p>
    <w:p>
      <w:pPr>
        <w:spacing w:before="65"/>
        <w:ind w:left="120" w:right="117" w:firstLine="0"/>
        <w:jc w:val="both"/>
        <w:rPr>
          <w:sz w:val="16"/>
        </w:rPr>
      </w:pPr>
      <w:r>
        <w:rPr>
          <w:position w:val="6"/>
          <w:sz w:val="10"/>
        </w:rPr>
        <w:t>76</w:t>
      </w:r>
      <w:r>
        <w:rPr>
          <w:spacing w:val="5"/>
          <w:position w:val="6"/>
          <w:sz w:val="10"/>
        </w:rPr>
        <w:t> </w:t>
      </w:r>
      <w:r>
        <w:rPr>
          <w:sz w:val="16"/>
        </w:rPr>
        <w:t>Para</w:t>
      </w:r>
      <w:r>
        <w:rPr>
          <w:spacing w:val="-13"/>
          <w:sz w:val="16"/>
        </w:rPr>
        <w:t> </w:t>
      </w:r>
      <w:r>
        <w:rPr>
          <w:sz w:val="16"/>
        </w:rPr>
        <w:t>términos</w:t>
      </w:r>
      <w:r>
        <w:rPr>
          <w:spacing w:val="-15"/>
          <w:sz w:val="16"/>
        </w:rPr>
        <w:t> </w:t>
      </w:r>
      <w:r>
        <w:rPr>
          <w:sz w:val="16"/>
        </w:rPr>
        <w:t>prácticos,</w:t>
      </w:r>
      <w:r>
        <w:rPr>
          <w:spacing w:val="-7"/>
          <w:sz w:val="16"/>
        </w:rPr>
        <w:t> </w:t>
      </w:r>
      <w:r>
        <w:rPr>
          <w:sz w:val="16"/>
        </w:rPr>
        <w:t>se</w:t>
      </w:r>
      <w:r>
        <w:rPr>
          <w:spacing w:val="-9"/>
          <w:sz w:val="16"/>
        </w:rPr>
        <w:t> </w:t>
      </w:r>
      <w:r>
        <w:rPr>
          <w:sz w:val="16"/>
        </w:rPr>
        <w:t>considera</w:t>
      </w:r>
      <w:r>
        <w:rPr>
          <w:spacing w:val="-13"/>
          <w:sz w:val="16"/>
        </w:rPr>
        <w:t> </w:t>
      </w:r>
      <w:r>
        <w:rPr>
          <w:sz w:val="16"/>
        </w:rPr>
        <w:t>a</w:t>
      </w:r>
      <w:r>
        <w:rPr>
          <w:spacing w:val="-8"/>
          <w:sz w:val="16"/>
        </w:rPr>
        <w:t> </w:t>
      </w:r>
      <w:r>
        <w:rPr>
          <w:sz w:val="16"/>
        </w:rPr>
        <w:t>la</w:t>
      </w:r>
      <w:r>
        <w:rPr>
          <w:spacing w:val="-9"/>
          <w:sz w:val="16"/>
        </w:rPr>
        <w:t> </w:t>
      </w:r>
      <w:r>
        <w:rPr>
          <w:sz w:val="16"/>
        </w:rPr>
        <w:t>actividad</w:t>
      </w:r>
      <w:r>
        <w:rPr>
          <w:spacing w:val="-9"/>
          <w:sz w:val="16"/>
        </w:rPr>
        <w:t> </w:t>
      </w:r>
      <w:r>
        <w:rPr>
          <w:sz w:val="16"/>
        </w:rPr>
        <w:t>de</w:t>
      </w:r>
      <w:r>
        <w:rPr>
          <w:spacing w:val="-12"/>
          <w:sz w:val="16"/>
        </w:rPr>
        <w:t> </w:t>
      </w:r>
      <w:r>
        <w:rPr>
          <w:sz w:val="16"/>
        </w:rPr>
        <w:t>auditoría</w:t>
      </w:r>
      <w:r>
        <w:rPr>
          <w:spacing w:val="-9"/>
          <w:sz w:val="16"/>
        </w:rPr>
        <w:t> </w:t>
      </w:r>
      <w:r>
        <w:rPr>
          <w:sz w:val="16"/>
        </w:rPr>
        <w:t>realizada</w:t>
      </w:r>
      <w:r>
        <w:rPr>
          <w:spacing w:val="-13"/>
          <w:sz w:val="16"/>
        </w:rPr>
        <w:t> </w:t>
      </w:r>
      <w:r>
        <w:rPr>
          <w:sz w:val="16"/>
        </w:rPr>
        <w:t>por</w:t>
      </w:r>
      <w:r>
        <w:rPr>
          <w:spacing w:val="-9"/>
          <w:sz w:val="16"/>
        </w:rPr>
        <w:t> </w:t>
      </w:r>
      <w:r>
        <w:rPr>
          <w:sz w:val="16"/>
        </w:rPr>
        <w:t>la</w:t>
      </w:r>
      <w:r>
        <w:rPr>
          <w:spacing w:val="-13"/>
          <w:sz w:val="16"/>
        </w:rPr>
        <w:t> </w:t>
      </w:r>
      <w:r>
        <w:rPr>
          <w:sz w:val="16"/>
        </w:rPr>
        <w:t>ASF</w:t>
      </w:r>
      <w:r>
        <w:rPr>
          <w:spacing w:val="-14"/>
          <w:sz w:val="16"/>
        </w:rPr>
        <w:t> </w:t>
      </w:r>
      <w:r>
        <w:rPr>
          <w:sz w:val="16"/>
        </w:rPr>
        <w:t>como</w:t>
      </w:r>
      <w:r>
        <w:rPr>
          <w:spacing w:val="-13"/>
          <w:sz w:val="16"/>
        </w:rPr>
        <w:t> </w:t>
      </w:r>
      <w:r>
        <w:rPr>
          <w:sz w:val="16"/>
        </w:rPr>
        <w:t>auditoría,</w:t>
      </w:r>
      <w:r>
        <w:rPr>
          <w:spacing w:val="-8"/>
          <w:sz w:val="16"/>
        </w:rPr>
        <w:t> </w:t>
      </w:r>
      <w:r>
        <w:rPr>
          <w:sz w:val="16"/>
        </w:rPr>
        <w:t>supervisión,</w:t>
      </w:r>
      <w:r>
        <w:rPr>
          <w:spacing w:val="-8"/>
          <w:sz w:val="16"/>
        </w:rPr>
        <w:t> </w:t>
      </w:r>
      <w:r>
        <w:rPr>
          <w:sz w:val="16"/>
        </w:rPr>
        <w:t>vigilancia, y fiscalización superior, como</w:t>
      </w:r>
      <w:r>
        <w:rPr>
          <w:spacing w:val="-16"/>
          <w:sz w:val="16"/>
        </w:rPr>
        <w:t> </w:t>
      </w:r>
      <w:r>
        <w:rPr>
          <w:sz w:val="16"/>
        </w:rPr>
        <w:t>sinónimos.</w:t>
      </w:r>
    </w:p>
    <w:p>
      <w:pPr>
        <w:spacing w:line="249" w:lineRule="auto" w:before="0"/>
        <w:ind w:left="120" w:right="117" w:firstLine="0"/>
        <w:jc w:val="both"/>
        <w:rPr>
          <w:sz w:val="16"/>
        </w:rPr>
      </w:pPr>
      <w:r>
        <w:rPr>
          <w:rFonts w:ascii="Calibri" w:hAnsi="Calibri"/>
          <w:position w:val="8"/>
          <w:sz w:val="14"/>
        </w:rPr>
        <w:t>77</w:t>
      </w:r>
      <w:r>
        <w:rPr>
          <w:rFonts w:ascii="Calibri" w:hAnsi="Calibri"/>
          <w:spacing w:val="11"/>
          <w:position w:val="8"/>
          <w:sz w:val="14"/>
        </w:rPr>
        <w:t> </w:t>
      </w:r>
      <w:r>
        <w:rPr>
          <w:sz w:val="16"/>
        </w:rPr>
        <w:t>De</w:t>
      </w:r>
      <w:r>
        <w:rPr>
          <w:spacing w:val="-3"/>
          <w:sz w:val="16"/>
        </w:rPr>
        <w:t> </w:t>
      </w:r>
      <w:r>
        <w:rPr>
          <w:sz w:val="16"/>
        </w:rPr>
        <w:t>acuerdo</w:t>
      </w:r>
      <w:r>
        <w:rPr>
          <w:spacing w:val="-3"/>
          <w:sz w:val="16"/>
        </w:rPr>
        <w:t> </w:t>
      </w:r>
      <w:r>
        <w:rPr>
          <w:sz w:val="16"/>
        </w:rPr>
        <w:t>con</w:t>
      </w:r>
      <w:r>
        <w:rPr>
          <w:spacing w:val="-7"/>
          <w:sz w:val="16"/>
        </w:rPr>
        <w:t> </w:t>
      </w:r>
      <w:r>
        <w:rPr>
          <w:sz w:val="16"/>
        </w:rPr>
        <w:t>Schedler</w:t>
      </w:r>
      <w:r>
        <w:rPr>
          <w:spacing w:val="-4"/>
          <w:sz w:val="16"/>
        </w:rPr>
        <w:t> </w:t>
      </w:r>
      <w:r>
        <w:rPr>
          <w:sz w:val="16"/>
        </w:rPr>
        <w:t>(2004),</w:t>
      </w:r>
      <w:r>
        <w:rPr>
          <w:spacing w:val="-3"/>
          <w:sz w:val="16"/>
        </w:rPr>
        <w:t> </w:t>
      </w:r>
      <w:r>
        <w:rPr>
          <w:sz w:val="16"/>
        </w:rPr>
        <w:t>el</w:t>
      </w:r>
      <w:r>
        <w:rPr>
          <w:spacing w:val="-6"/>
          <w:sz w:val="16"/>
        </w:rPr>
        <w:t> </w:t>
      </w:r>
      <w:r>
        <w:rPr>
          <w:sz w:val="16"/>
        </w:rPr>
        <w:t>concepto</w:t>
      </w:r>
      <w:r>
        <w:rPr>
          <w:spacing w:val="-3"/>
          <w:sz w:val="16"/>
        </w:rPr>
        <w:t> </w:t>
      </w:r>
      <w:r>
        <w:rPr>
          <w:sz w:val="16"/>
        </w:rPr>
        <w:t>clave</w:t>
      </w:r>
      <w:r>
        <w:rPr>
          <w:spacing w:val="-3"/>
          <w:sz w:val="16"/>
        </w:rPr>
        <w:t> </w:t>
      </w:r>
      <w:r>
        <w:rPr>
          <w:i/>
          <w:sz w:val="16"/>
        </w:rPr>
        <w:t>accountability</w:t>
      </w:r>
      <w:r>
        <w:rPr>
          <w:sz w:val="16"/>
        </w:rPr>
        <w:t>,</w:t>
      </w:r>
      <w:r>
        <w:rPr>
          <w:spacing w:val="-3"/>
          <w:sz w:val="16"/>
        </w:rPr>
        <w:t> </w:t>
      </w:r>
      <w:r>
        <w:rPr>
          <w:sz w:val="16"/>
        </w:rPr>
        <w:t>como</w:t>
      </w:r>
      <w:r>
        <w:rPr>
          <w:spacing w:val="-3"/>
          <w:sz w:val="16"/>
        </w:rPr>
        <w:t> </w:t>
      </w:r>
      <w:r>
        <w:rPr>
          <w:sz w:val="16"/>
        </w:rPr>
        <w:t>otros</w:t>
      </w:r>
      <w:r>
        <w:rPr>
          <w:spacing w:val="-6"/>
          <w:sz w:val="16"/>
        </w:rPr>
        <w:t> </w:t>
      </w:r>
      <w:r>
        <w:rPr>
          <w:sz w:val="16"/>
        </w:rPr>
        <w:t>conceptos</w:t>
      </w:r>
      <w:r>
        <w:rPr>
          <w:spacing w:val="-6"/>
          <w:sz w:val="16"/>
        </w:rPr>
        <w:t> </w:t>
      </w:r>
      <w:r>
        <w:rPr>
          <w:sz w:val="16"/>
        </w:rPr>
        <w:t>políticos</w:t>
      </w:r>
      <w:r>
        <w:rPr>
          <w:spacing w:val="-6"/>
          <w:sz w:val="16"/>
        </w:rPr>
        <w:t> </w:t>
      </w:r>
      <w:r>
        <w:rPr>
          <w:sz w:val="16"/>
        </w:rPr>
        <w:t>en</w:t>
      </w:r>
      <w:r>
        <w:rPr>
          <w:spacing w:val="-4"/>
          <w:sz w:val="16"/>
        </w:rPr>
        <w:t> </w:t>
      </w:r>
      <w:r>
        <w:rPr>
          <w:sz w:val="16"/>
        </w:rPr>
        <w:t>inglés,</w:t>
      </w:r>
      <w:r>
        <w:rPr>
          <w:spacing w:val="-3"/>
          <w:sz w:val="16"/>
        </w:rPr>
        <w:t> </w:t>
      </w:r>
      <w:r>
        <w:rPr>
          <w:sz w:val="16"/>
        </w:rPr>
        <w:t>se</w:t>
      </w:r>
      <w:r>
        <w:rPr>
          <w:spacing w:val="-3"/>
          <w:sz w:val="16"/>
        </w:rPr>
        <w:t> </w:t>
      </w:r>
      <w:r>
        <w:rPr>
          <w:sz w:val="16"/>
        </w:rPr>
        <w:t>trata</w:t>
      </w:r>
      <w:r>
        <w:rPr>
          <w:spacing w:val="-4"/>
          <w:sz w:val="16"/>
        </w:rPr>
        <w:t> </w:t>
      </w:r>
      <w:r>
        <w:rPr>
          <w:sz w:val="16"/>
        </w:rPr>
        <w:t>de</w:t>
      </w:r>
      <w:r>
        <w:rPr>
          <w:spacing w:val="-3"/>
          <w:sz w:val="16"/>
        </w:rPr>
        <w:t> </w:t>
      </w:r>
      <w:r>
        <w:rPr>
          <w:sz w:val="16"/>
        </w:rPr>
        <w:t>un término</w:t>
      </w:r>
      <w:r>
        <w:rPr>
          <w:spacing w:val="-3"/>
          <w:sz w:val="16"/>
        </w:rPr>
        <w:t> </w:t>
      </w:r>
      <w:r>
        <w:rPr>
          <w:sz w:val="16"/>
        </w:rPr>
        <w:t>que</w:t>
      </w:r>
      <w:r>
        <w:rPr>
          <w:spacing w:val="-3"/>
          <w:sz w:val="16"/>
        </w:rPr>
        <w:t> no</w:t>
      </w:r>
      <w:r>
        <w:rPr>
          <w:spacing w:val="-8"/>
          <w:sz w:val="16"/>
        </w:rPr>
        <w:t> </w:t>
      </w:r>
      <w:r>
        <w:rPr>
          <w:sz w:val="16"/>
        </w:rPr>
        <w:t>tiene</w:t>
      </w:r>
      <w:r>
        <w:rPr>
          <w:spacing w:val="-3"/>
          <w:sz w:val="16"/>
        </w:rPr>
        <w:t> </w:t>
      </w:r>
      <w:r>
        <w:rPr>
          <w:sz w:val="16"/>
        </w:rPr>
        <w:t>un</w:t>
      </w:r>
      <w:r>
        <w:rPr>
          <w:spacing w:val="-7"/>
          <w:sz w:val="16"/>
        </w:rPr>
        <w:t> </w:t>
      </w:r>
      <w:r>
        <w:rPr>
          <w:sz w:val="16"/>
        </w:rPr>
        <w:t>equivalente</w:t>
      </w:r>
      <w:r>
        <w:rPr>
          <w:spacing w:val="-8"/>
          <w:sz w:val="16"/>
        </w:rPr>
        <w:t> </w:t>
      </w:r>
      <w:r>
        <w:rPr>
          <w:sz w:val="16"/>
        </w:rPr>
        <w:t>preciso</w:t>
      </w:r>
      <w:r>
        <w:rPr>
          <w:spacing w:val="-8"/>
          <w:sz w:val="16"/>
        </w:rPr>
        <w:t> </w:t>
      </w:r>
      <w:r>
        <w:rPr>
          <w:sz w:val="16"/>
        </w:rPr>
        <w:t>en</w:t>
      </w:r>
      <w:r>
        <w:rPr>
          <w:spacing w:val="-12"/>
          <w:sz w:val="16"/>
        </w:rPr>
        <w:t> </w:t>
      </w:r>
      <w:r>
        <w:rPr>
          <w:sz w:val="16"/>
        </w:rPr>
        <w:t>castellano.</w:t>
      </w:r>
      <w:r>
        <w:rPr>
          <w:spacing w:val="-7"/>
          <w:sz w:val="16"/>
        </w:rPr>
        <w:t> </w:t>
      </w:r>
      <w:r>
        <w:rPr>
          <w:sz w:val="16"/>
        </w:rPr>
        <w:t>A</w:t>
      </w:r>
      <w:r>
        <w:rPr>
          <w:spacing w:val="-6"/>
          <w:sz w:val="16"/>
        </w:rPr>
        <w:t> </w:t>
      </w:r>
      <w:r>
        <w:rPr>
          <w:sz w:val="16"/>
        </w:rPr>
        <w:t>veces</w:t>
      </w:r>
      <w:r>
        <w:rPr>
          <w:spacing w:val="-6"/>
          <w:sz w:val="16"/>
        </w:rPr>
        <w:t> </w:t>
      </w:r>
      <w:r>
        <w:rPr>
          <w:spacing w:val="-3"/>
          <w:sz w:val="16"/>
        </w:rPr>
        <w:t>se</w:t>
      </w:r>
      <w:r>
        <w:rPr>
          <w:spacing w:val="-8"/>
          <w:sz w:val="16"/>
        </w:rPr>
        <w:t> </w:t>
      </w:r>
      <w:r>
        <w:rPr>
          <w:sz w:val="16"/>
        </w:rPr>
        <w:t>traduce</w:t>
      </w:r>
      <w:r>
        <w:rPr>
          <w:spacing w:val="-8"/>
          <w:sz w:val="16"/>
        </w:rPr>
        <w:t> </w:t>
      </w:r>
      <w:r>
        <w:rPr>
          <w:sz w:val="16"/>
        </w:rPr>
        <w:t>como</w:t>
      </w:r>
      <w:r>
        <w:rPr>
          <w:spacing w:val="-2"/>
          <w:sz w:val="16"/>
        </w:rPr>
        <w:t> </w:t>
      </w:r>
      <w:r>
        <w:rPr>
          <w:sz w:val="16"/>
        </w:rPr>
        <w:t>control,</w:t>
      </w:r>
      <w:r>
        <w:rPr>
          <w:spacing w:val="-3"/>
          <w:sz w:val="16"/>
        </w:rPr>
        <w:t> </w:t>
      </w:r>
      <w:r>
        <w:rPr>
          <w:sz w:val="16"/>
        </w:rPr>
        <w:t>a</w:t>
      </w:r>
      <w:r>
        <w:rPr>
          <w:spacing w:val="-8"/>
          <w:sz w:val="16"/>
        </w:rPr>
        <w:t> </w:t>
      </w:r>
      <w:r>
        <w:rPr>
          <w:sz w:val="16"/>
        </w:rPr>
        <w:t>veces</w:t>
      </w:r>
      <w:r>
        <w:rPr>
          <w:spacing w:val="-11"/>
          <w:sz w:val="16"/>
        </w:rPr>
        <w:t> </w:t>
      </w:r>
      <w:r>
        <w:rPr>
          <w:sz w:val="16"/>
        </w:rPr>
        <w:t>como</w:t>
      </w:r>
      <w:r>
        <w:rPr>
          <w:spacing w:val="-8"/>
          <w:sz w:val="16"/>
        </w:rPr>
        <w:t> </w:t>
      </w:r>
      <w:r>
        <w:rPr>
          <w:sz w:val="16"/>
        </w:rPr>
        <w:t>fiscalización,</w:t>
      </w:r>
      <w:r>
        <w:rPr>
          <w:spacing w:val="-3"/>
          <w:sz w:val="16"/>
        </w:rPr>
        <w:t> </w:t>
      </w:r>
      <w:r>
        <w:rPr>
          <w:sz w:val="16"/>
        </w:rPr>
        <w:t>otras como responsabilidad. La traducción más común y la más cercana es la rendición de cuentas. Los pilares de la rendición de cuentas</w:t>
      </w:r>
      <w:r>
        <w:rPr>
          <w:spacing w:val="-5"/>
          <w:sz w:val="16"/>
        </w:rPr>
        <w:t> </w:t>
      </w:r>
      <w:r>
        <w:rPr>
          <w:sz w:val="16"/>
        </w:rPr>
        <w:t>son</w:t>
      </w:r>
      <w:r>
        <w:rPr>
          <w:spacing w:val="-2"/>
          <w:sz w:val="16"/>
        </w:rPr>
        <w:t> </w:t>
      </w:r>
      <w:r>
        <w:rPr>
          <w:sz w:val="16"/>
        </w:rPr>
        <w:t>la</w:t>
      </w:r>
      <w:r>
        <w:rPr>
          <w:spacing w:val="-2"/>
          <w:sz w:val="16"/>
        </w:rPr>
        <w:t> </w:t>
      </w:r>
      <w:r>
        <w:rPr>
          <w:sz w:val="16"/>
        </w:rPr>
        <w:t>información</w:t>
      </w:r>
      <w:r>
        <w:rPr>
          <w:spacing w:val="-8"/>
          <w:sz w:val="16"/>
        </w:rPr>
        <w:t> </w:t>
      </w:r>
      <w:r>
        <w:rPr>
          <w:sz w:val="16"/>
        </w:rPr>
        <w:t>(</w:t>
      </w:r>
      <w:r>
        <w:rPr>
          <w:i/>
          <w:sz w:val="16"/>
        </w:rPr>
        <w:t>accountability</w:t>
      </w:r>
      <w:r>
        <w:rPr>
          <w:sz w:val="16"/>
        </w:rPr>
        <w:t>),</w:t>
      </w:r>
      <w:r>
        <w:rPr>
          <w:spacing w:val="-2"/>
          <w:sz w:val="16"/>
        </w:rPr>
        <w:t> </w:t>
      </w:r>
      <w:r>
        <w:rPr>
          <w:sz w:val="16"/>
        </w:rPr>
        <w:t>la</w:t>
      </w:r>
      <w:r>
        <w:rPr>
          <w:spacing w:val="-5"/>
          <w:sz w:val="16"/>
        </w:rPr>
        <w:t> </w:t>
      </w:r>
      <w:r>
        <w:rPr>
          <w:sz w:val="16"/>
        </w:rPr>
        <w:t>justificación</w:t>
      </w:r>
      <w:r>
        <w:rPr>
          <w:spacing w:val="-5"/>
          <w:sz w:val="16"/>
        </w:rPr>
        <w:t> </w:t>
      </w:r>
      <w:r>
        <w:rPr>
          <w:sz w:val="16"/>
        </w:rPr>
        <w:t>(</w:t>
      </w:r>
      <w:r>
        <w:rPr>
          <w:i/>
          <w:sz w:val="16"/>
        </w:rPr>
        <w:t>answerability</w:t>
      </w:r>
      <w:r>
        <w:rPr>
          <w:sz w:val="16"/>
        </w:rPr>
        <w:t>)</w:t>
      </w:r>
      <w:r>
        <w:rPr>
          <w:spacing w:val="-2"/>
          <w:sz w:val="16"/>
        </w:rPr>
        <w:t> </w:t>
      </w:r>
      <w:r>
        <w:rPr>
          <w:sz w:val="16"/>
        </w:rPr>
        <w:t>y</w:t>
      </w:r>
      <w:r>
        <w:rPr>
          <w:spacing w:val="-5"/>
          <w:sz w:val="16"/>
        </w:rPr>
        <w:t> </w:t>
      </w:r>
      <w:r>
        <w:rPr>
          <w:sz w:val="16"/>
        </w:rPr>
        <w:t>la</w:t>
      </w:r>
      <w:r>
        <w:rPr>
          <w:spacing w:val="-2"/>
          <w:sz w:val="16"/>
        </w:rPr>
        <w:t> </w:t>
      </w:r>
      <w:r>
        <w:rPr>
          <w:sz w:val="16"/>
        </w:rPr>
        <w:t>sanción</w:t>
      </w:r>
      <w:r>
        <w:rPr>
          <w:spacing w:val="-4"/>
          <w:sz w:val="16"/>
        </w:rPr>
        <w:t> </w:t>
      </w:r>
      <w:r>
        <w:rPr>
          <w:sz w:val="16"/>
        </w:rPr>
        <w:t>(</w:t>
      </w:r>
      <w:r>
        <w:rPr>
          <w:i/>
          <w:sz w:val="16"/>
        </w:rPr>
        <w:t>enforcement</w:t>
      </w:r>
      <w:r>
        <w:rPr>
          <w:sz w:val="16"/>
        </w:rPr>
        <w:t>).</w:t>
      </w:r>
    </w:p>
    <w:p>
      <w:pPr>
        <w:spacing w:line="240" w:lineRule="auto" w:before="0"/>
        <w:ind w:left="120" w:right="129" w:firstLine="0"/>
        <w:jc w:val="both"/>
        <w:rPr>
          <w:sz w:val="16"/>
        </w:rPr>
      </w:pPr>
      <w:r>
        <w:rPr>
          <w:sz w:val="16"/>
        </w:rPr>
        <w:t>El Banco Mundial considera la rendición de cuentas como una relación triangular entre la gente pobre, los proveedores de servicios de primera línea y los autores de las políticas. UNESCO/Instituto Internacional para la Planeación de la Educación.</w:t>
      </w:r>
    </w:p>
    <w:p>
      <w:pPr>
        <w:spacing w:after="0" w:line="240" w:lineRule="auto"/>
        <w:jc w:val="both"/>
        <w:rPr>
          <w:sz w:val="16"/>
        </w:rPr>
        <w:sectPr>
          <w:footerReference w:type="default" r:id="rId142"/>
          <w:pgSz w:w="12240" w:h="15840"/>
          <w:pgMar w:footer="998" w:header="0" w:top="1500" w:bottom="1180" w:left="1580" w:right="1580"/>
          <w:pgNumType w:start="101"/>
        </w:sectPr>
      </w:pPr>
    </w:p>
    <w:p>
      <w:pPr>
        <w:pStyle w:val="BodyText"/>
        <w:spacing w:before="9"/>
        <w:rPr>
          <w:sz w:val="22"/>
        </w:rPr>
      </w:pPr>
    </w:p>
    <w:p>
      <w:pPr>
        <w:pStyle w:val="ListParagraph"/>
        <w:numPr>
          <w:ilvl w:val="0"/>
          <w:numId w:val="49"/>
        </w:numPr>
        <w:tabs>
          <w:tab w:pos="841" w:val="left" w:leader="none"/>
        </w:tabs>
        <w:spacing w:line="357" w:lineRule="auto" w:before="69" w:after="0"/>
        <w:ind w:left="841" w:right="128" w:hanging="361"/>
        <w:jc w:val="left"/>
        <w:rPr>
          <w:sz w:val="24"/>
        </w:rPr>
      </w:pPr>
      <w:r>
        <w:rPr>
          <w:sz w:val="24"/>
        </w:rPr>
        <w:t>Vertical: cuando se rinde cuentas a los ciudadanos y a la sociedad en general.</w:t>
      </w:r>
    </w:p>
    <w:p>
      <w:pPr>
        <w:pStyle w:val="ListParagraph"/>
        <w:numPr>
          <w:ilvl w:val="0"/>
          <w:numId w:val="49"/>
        </w:numPr>
        <w:tabs>
          <w:tab w:pos="841" w:val="left" w:leader="none"/>
        </w:tabs>
        <w:spacing w:line="355" w:lineRule="auto" w:before="8" w:after="0"/>
        <w:ind w:left="841" w:right="122" w:hanging="361"/>
        <w:jc w:val="left"/>
        <w:rPr>
          <w:sz w:val="16"/>
        </w:rPr>
      </w:pPr>
      <w:r>
        <w:rPr>
          <w:sz w:val="24"/>
        </w:rPr>
        <w:t>Horizontal, cuando los gobernantes responden ante las instituciones del mismo</w:t>
      </w:r>
      <w:r>
        <w:rPr>
          <w:spacing w:val="-7"/>
          <w:sz w:val="24"/>
        </w:rPr>
        <w:t> </w:t>
      </w:r>
      <w:r>
        <w:rPr>
          <w:sz w:val="24"/>
        </w:rPr>
        <w:t>Estado.</w:t>
      </w:r>
      <w:r>
        <w:rPr>
          <w:position w:val="8"/>
          <w:sz w:val="16"/>
        </w:rPr>
        <w:t>78</w:t>
      </w:r>
    </w:p>
    <w:p>
      <w:pPr>
        <w:pStyle w:val="BodyText"/>
        <w:spacing w:before="5"/>
        <w:rPr>
          <w:sz w:val="36"/>
        </w:rPr>
      </w:pPr>
    </w:p>
    <w:p>
      <w:pPr>
        <w:pStyle w:val="BodyText"/>
        <w:spacing w:line="360" w:lineRule="auto"/>
        <w:ind w:left="120" w:right="117" w:firstLine="427"/>
        <w:jc w:val="both"/>
      </w:pPr>
      <w:r>
        <w:rPr/>
        <w:t>El</w:t>
      </w:r>
      <w:r>
        <w:rPr>
          <w:spacing w:val="-16"/>
        </w:rPr>
        <w:t> </w:t>
      </w:r>
      <w:r>
        <w:rPr/>
        <w:t>antecedente</w:t>
      </w:r>
      <w:r>
        <w:rPr>
          <w:spacing w:val="-16"/>
        </w:rPr>
        <w:t> </w:t>
      </w:r>
      <w:r>
        <w:rPr/>
        <w:t>de</w:t>
      </w:r>
      <w:r>
        <w:rPr>
          <w:spacing w:val="-16"/>
        </w:rPr>
        <w:t> </w:t>
      </w:r>
      <w:r>
        <w:rPr/>
        <w:t>la</w:t>
      </w:r>
      <w:r>
        <w:rPr>
          <w:spacing w:val="-16"/>
        </w:rPr>
        <w:t> </w:t>
      </w:r>
      <w:r>
        <w:rPr/>
        <w:t>rendición</w:t>
      </w:r>
      <w:r>
        <w:rPr>
          <w:spacing w:val="-16"/>
        </w:rPr>
        <w:t> </w:t>
      </w:r>
      <w:r>
        <w:rPr/>
        <w:t>horizontal</w:t>
      </w:r>
      <w:r>
        <w:rPr>
          <w:spacing w:val="-15"/>
        </w:rPr>
        <w:t> </w:t>
      </w:r>
      <w:r>
        <w:rPr/>
        <w:t>y</w:t>
      </w:r>
      <w:r>
        <w:rPr>
          <w:spacing w:val="-14"/>
        </w:rPr>
        <w:t> </w:t>
      </w:r>
      <w:r>
        <w:rPr/>
        <w:t>vertical</w:t>
      </w:r>
      <w:r>
        <w:rPr>
          <w:spacing w:val="-15"/>
        </w:rPr>
        <w:t> </w:t>
      </w:r>
      <w:r>
        <w:rPr/>
        <w:t>fue</w:t>
      </w:r>
      <w:r>
        <w:rPr>
          <w:spacing w:val="-12"/>
        </w:rPr>
        <w:t> </w:t>
      </w:r>
      <w:r>
        <w:rPr/>
        <w:t>presentado</w:t>
      </w:r>
      <w:r>
        <w:rPr>
          <w:spacing w:val="-12"/>
        </w:rPr>
        <w:t> </w:t>
      </w:r>
      <w:r>
        <w:rPr/>
        <w:t>por</w:t>
      </w:r>
      <w:r>
        <w:rPr>
          <w:spacing w:val="-14"/>
        </w:rPr>
        <w:t> </w:t>
      </w:r>
      <w:r>
        <w:rPr/>
        <w:t>Guillermo O´Donnell y Richard Sklar, quienes consideraron que éstas se refieren a la capacidad</w:t>
      </w:r>
      <w:r>
        <w:rPr>
          <w:spacing w:val="-8"/>
        </w:rPr>
        <w:t> </w:t>
      </w:r>
      <w:r>
        <w:rPr/>
        <w:t>de</w:t>
      </w:r>
      <w:r>
        <w:rPr>
          <w:spacing w:val="-4"/>
        </w:rPr>
        <w:t> </w:t>
      </w:r>
      <w:r>
        <w:rPr/>
        <w:t>las</w:t>
      </w:r>
      <w:r>
        <w:rPr>
          <w:spacing w:val="-6"/>
        </w:rPr>
        <w:t> </w:t>
      </w:r>
      <w:r>
        <w:rPr/>
        <w:t>instituciones</w:t>
      </w:r>
      <w:r>
        <w:rPr>
          <w:spacing w:val="-6"/>
        </w:rPr>
        <w:t> </w:t>
      </w:r>
      <w:r>
        <w:rPr/>
        <w:t>del</w:t>
      </w:r>
      <w:r>
        <w:rPr>
          <w:spacing w:val="-7"/>
        </w:rPr>
        <w:t> </w:t>
      </w:r>
      <w:r>
        <w:rPr/>
        <w:t>Estado</w:t>
      </w:r>
      <w:r>
        <w:rPr>
          <w:spacing w:val="-8"/>
        </w:rPr>
        <w:t> </w:t>
      </w:r>
      <w:r>
        <w:rPr/>
        <w:t>para</w:t>
      </w:r>
      <w:r>
        <w:rPr>
          <w:spacing w:val="-8"/>
        </w:rPr>
        <w:t> </w:t>
      </w:r>
      <w:r>
        <w:rPr/>
        <w:t>controlar</w:t>
      </w:r>
      <w:r>
        <w:rPr>
          <w:spacing w:val="-6"/>
        </w:rPr>
        <w:t> </w:t>
      </w:r>
      <w:r>
        <w:rPr/>
        <w:t>(tanto</w:t>
      </w:r>
      <w:r>
        <w:rPr>
          <w:spacing w:val="-8"/>
        </w:rPr>
        <w:t> </w:t>
      </w:r>
      <w:r>
        <w:rPr/>
        <w:t>por</w:t>
      </w:r>
      <w:r>
        <w:rPr>
          <w:spacing w:val="-6"/>
        </w:rPr>
        <w:t> </w:t>
      </w:r>
      <w:r>
        <w:rPr/>
        <w:t>el</w:t>
      </w:r>
      <w:r>
        <w:rPr>
          <w:spacing w:val="2"/>
        </w:rPr>
        <w:t> </w:t>
      </w:r>
      <w:r>
        <w:rPr/>
        <w:t>mismo</w:t>
      </w:r>
      <w:r>
        <w:rPr>
          <w:spacing w:val="-4"/>
        </w:rPr>
        <w:t> </w:t>
      </w:r>
      <w:r>
        <w:rPr/>
        <w:t>Estado como por la ciudadanía) los abusos de otras entidades públicas y divisiones del gobierno.</w:t>
      </w:r>
    </w:p>
    <w:p>
      <w:pPr>
        <w:pStyle w:val="BodyText"/>
        <w:spacing w:line="360" w:lineRule="auto" w:before="1"/>
        <w:ind w:left="120" w:right="116" w:firstLine="427"/>
        <w:jc w:val="both"/>
      </w:pPr>
      <w:r>
        <w:rPr/>
        <w:t>La rendición de cuentas</w:t>
      </w:r>
      <w:r>
        <w:rPr>
          <w:position w:val="8"/>
          <w:sz w:val="16"/>
        </w:rPr>
        <w:t>79 </w:t>
      </w:r>
      <w:r>
        <w:rPr/>
        <w:t>horizontal complementa a la vertical y se refiere a </w:t>
      </w:r>
      <w:r>
        <w:rPr>
          <w:spacing w:val="-3"/>
        </w:rPr>
        <w:t>la </w:t>
      </w:r>
      <w:r>
        <w:rPr/>
        <w:t>obligación de rendir cuentas a los ciudadanos, la prensa y las asociaciones civiles, que</w:t>
      </w:r>
      <w:r>
        <w:rPr>
          <w:spacing w:val="-17"/>
        </w:rPr>
        <w:t> </w:t>
      </w:r>
      <w:r>
        <w:rPr/>
        <w:t>buscan</w:t>
      </w:r>
      <w:r>
        <w:rPr>
          <w:spacing w:val="-20"/>
        </w:rPr>
        <w:t> </w:t>
      </w:r>
      <w:r>
        <w:rPr/>
        <w:t>hacer</w:t>
      </w:r>
      <w:r>
        <w:rPr>
          <w:spacing w:val="-18"/>
        </w:rPr>
        <w:t> </w:t>
      </w:r>
      <w:r>
        <w:rPr/>
        <w:t>cumplir</w:t>
      </w:r>
      <w:r>
        <w:rPr>
          <w:spacing w:val="-18"/>
        </w:rPr>
        <w:t> </w:t>
      </w:r>
      <w:r>
        <w:rPr/>
        <w:t>estándares</w:t>
      </w:r>
      <w:r>
        <w:rPr>
          <w:spacing w:val="-15"/>
        </w:rPr>
        <w:t> </w:t>
      </w:r>
      <w:r>
        <w:rPr/>
        <w:t>de</w:t>
      </w:r>
      <w:r>
        <w:rPr>
          <w:spacing w:val="-20"/>
        </w:rPr>
        <w:t> </w:t>
      </w:r>
      <w:r>
        <w:rPr/>
        <w:t>buena</w:t>
      </w:r>
      <w:r>
        <w:rPr>
          <w:spacing w:val="-20"/>
        </w:rPr>
        <w:t> </w:t>
      </w:r>
      <w:r>
        <w:rPr/>
        <w:t>conducta</w:t>
      </w:r>
      <w:r>
        <w:rPr>
          <w:spacing w:val="-17"/>
        </w:rPr>
        <w:t> </w:t>
      </w:r>
      <w:r>
        <w:rPr/>
        <w:t>a</w:t>
      </w:r>
      <w:r>
        <w:rPr>
          <w:spacing w:val="-20"/>
        </w:rPr>
        <w:t> </w:t>
      </w:r>
      <w:r>
        <w:rPr/>
        <w:t>los</w:t>
      </w:r>
      <w:r>
        <w:rPr>
          <w:spacing w:val="-18"/>
        </w:rPr>
        <w:t> </w:t>
      </w:r>
      <w:r>
        <w:rPr/>
        <w:t>funcionarios</w:t>
      </w:r>
      <w:r>
        <w:rPr>
          <w:spacing w:val="-15"/>
        </w:rPr>
        <w:t> </w:t>
      </w:r>
      <w:r>
        <w:rPr/>
        <w:t>públicos (Ugalde, 2002b:</w:t>
      </w:r>
      <w:r>
        <w:rPr>
          <w:spacing w:val="-15"/>
        </w:rPr>
        <w:t> </w:t>
      </w:r>
      <w:r>
        <w:rPr/>
        <w:t>27-33).</w:t>
      </w:r>
    </w:p>
    <w:p>
      <w:pPr>
        <w:pStyle w:val="BodyText"/>
      </w:pPr>
    </w:p>
    <w:p>
      <w:pPr>
        <w:pStyle w:val="BodyText"/>
        <w:spacing w:line="360" w:lineRule="auto" w:before="142"/>
        <w:ind w:left="120" w:right="120" w:firstLine="427"/>
        <w:jc w:val="both"/>
      </w:pPr>
      <w:r>
        <w:rPr/>
        <w:t>La</w:t>
      </w:r>
      <w:r>
        <w:rPr>
          <w:spacing w:val="-10"/>
        </w:rPr>
        <w:t> </w:t>
      </w:r>
      <w:r>
        <w:rPr/>
        <w:t>rendición</w:t>
      </w:r>
      <w:r>
        <w:rPr>
          <w:spacing w:val="-10"/>
        </w:rPr>
        <w:t> </w:t>
      </w:r>
      <w:r>
        <w:rPr/>
        <w:t>de</w:t>
      </w:r>
      <w:r>
        <w:rPr>
          <w:spacing w:val="-10"/>
        </w:rPr>
        <w:t> </w:t>
      </w:r>
      <w:r>
        <w:rPr/>
        <w:t>cuentas</w:t>
      </w:r>
      <w:r>
        <w:rPr>
          <w:spacing w:val="-8"/>
        </w:rPr>
        <w:t> </w:t>
      </w:r>
      <w:r>
        <w:rPr/>
        <w:t>se</w:t>
      </w:r>
      <w:r>
        <w:rPr>
          <w:spacing w:val="-10"/>
        </w:rPr>
        <w:t> </w:t>
      </w:r>
      <w:r>
        <w:rPr/>
        <w:t>basa</w:t>
      </w:r>
      <w:r>
        <w:rPr>
          <w:spacing w:val="-10"/>
        </w:rPr>
        <w:t> </w:t>
      </w:r>
      <w:r>
        <w:rPr/>
        <w:t>en</w:t>
      </w:r>
      <w:r>
        <w:rPr>
          <w:spacing w:val="-10"/>
        </w:rPr>
        <w:t> </w:t>
      </w:r>
      <w:r>
        <w:rPr/>
        <w:t>la</w:t>
      </w:r>
      <w:r>
        <w:rPr>
          <w:spacing w:val="-10"/>
        </w:rPr>
        <w:t> </w:t>
      </w:r>
      <w:r>
        <w:rPr/>
        <w:t>voluntad</w:t>
      </w:r>
      <w:r>
        <w:rPr>
          <w:spacing w:val="-10"/>
        </w:rPr>
        <w:t> </w:t>
      </w:r>
      <w:r>
        <w:rPr/>
        <w:t>política</w:t>
      </w:r>
      <w:r>
        <w:rPr>
          <w:spacing w:val="-10"/>
        </w:rPr>
        <w:t> </w:t>
      </w:r>
      <w:r>
        <w:rPr/>
        <w:t>del</w:t>
      </w:r>
      <w:r>
        <w:rPr>
          <w:spacing w:val="-9"/>
        </w:rPr>
        <w:t> </w:t>
      </w:r>
      <w:r>
        <w:rPr/>
        <w:t>Estado,</w:t>
      </w:r>
      <w:r>
        <w:rPr>
          <w:spacing w:val="-7"/>
        </w:rPr>
        <w:t> </w:t>
      </w:r>
      <w:r>
        <w:rPr/>
        <w:t>quien</w:t>
      </w:r>
      <w:r>
        <w:rPr>
          <w:spacing w:val="-10"/>
        </w:rPr>
        <w:t> </w:t>
      </w:r>
      <w:r>
        <w:rPr/>
        <w:t>define los límites y alcances de la fiscalización superior. Esta voluntad se traduce en ordenamientos constitucionales y normativos. La importancia del diseño jurídico de las instituciones</w:t>
      </w:r>
      <w:r>
        <w:rPr>
          <w:position w:val="8"/>
          <w:sz w:val="16"/>
        </w:rPr>
        <w:t>80 </w:t>
      </w:r>
      <w:r>
        <w:rPr/>
        <w:t>públicas (organización, funciones y límites) es relevante en el sistema de rendición de cuentas de cualquier Estado democrático que pretenda convertirse en un Estado de</w:t>
      </w:r>
      <w:r>
        <w:rPr>
          <w:spacing w:val="-15"/>
        </w:rPr>
        <w:t> </w:t>
      </w:r>
      <w:r>
        <w:rPr/>
        <w:t>Derecho.</w:t>
      </w:r>
    </w:p>
    <w:p>
      <w:pPr>
        <w:pStyle w:val="BodyText"/>
        <w:spacing w:line="362" w:lineRule="auto" w:before="2"/>
        <w:ind w:left="120" w:right="125" w:firstLine="427"/>
        <w:jc w:val="both"/>
      </w:pPr>
      <w:r>
        <w:rPr/>
        <w:t>El sistema de rendición de cuentas puede considerarse como el entramado político,</w:t>
      </w:r>
      <w:r>
        <w:rPr>
          <w:spacing w:val="-14"/>
        </w:rPr>
        <w:t> </w:t>
      </w:r>
      <w:r>
        <w:rPr/>
        <w:t>institucional</w:t>
      </w:r>
      <w:r>
        <w:rPr>
          <w:spacing w:val="-12"/>
        </w:rPr>
        <w:t> </w:t>
      </w:r>
      <w:r>
        <w:rPr/>
        <w:t>y</w:t>
      </w:r>
      <w:r>
        <w:rPr>
          <w:spacing w:val="-15"/>
        </w:rPr>
        <w:t> </w:t>
      </w:r>
      <w:r>
        <w:rPr/>
        <w:t>jurídico</w:t>
      </w:r>
      <w:r>
        <w:rPr>
          <w:spacing w:val="-17"/>
        </w:rPr>
        <w:t> </w:t>
      </w:r>
      <w:r>
        <w:rPr/>
        <w:t>del</w:t>
      </w:r>
      <w:r>
        <w:rPr>
          <w:spacing w:val="-16"/>
        </w:rPr>
        <w:t> </w:t>
      </w:r>
      <w:r>
        <w:rPr/>
        <w:t>Estado</w:t>
      </w:r>
      <w:r>
        <w:rPr>
          <w:spacing w:val="-17"/>
        </w:rPr>
        <w:t> </w:t>
      </w:r>
      <w:r>
        <w:rPr/>
        <w:t>para</w:t>
      </w:r>
      <w:r>
        <w:rPr>
          <w:spacing w:val="-17"/>
        </w:rPr>
        <w:t> </w:t>
      </w:r>
      <w:r>
        <w:rPr/>
        <w:t>obligar</w:t>
      </w:r>
      <w:r>
        <w:rPr>
          <w:spacing w:val="-15"/>
        </w:rPr>
        <w:t> </w:t>
      </w:r>
      <w:r>
        <w:rPr/>
        <w:t>a</w:t>
      </w:r>
      <w:r>
        <w:rPr>
          <w:spacing w:val="-13"/>
        </w:rPr>
        <w:t> </w:t>
      </w:r>
      <w:r>
        <w:rPr/>
        <w:t>los</w:t>
      </w:r>
      <w:r>
        <w:rPr>
          <w:spacing w:val="-15"/>
        </w:rPr>
        <w:t> </w:t>
      </w:r>
      <w:r>
        <w:rPr/>
        <w:t>gobernantes</w:t>
      </w:r>
      <w:r>
        <w:rPr>
          <w:spacing w:val="-15"/>
        </w:rPr>
        <w:t> </w:t>
      </w:r>
      <w:r>
        <w:rPr/>
        <w:t>a</w:t>
      </w:r>
      <w:r>
        <w:rPr>
          <w:spacing w:val="-17"/>
        </w:rPr>
        <w:t> </w:t>
      </w:r>
      <w:r>
        <w:rPr/>
        <w:t>presentar</w:t>
      </w:r>
    </w:p>
    <w:p>
      <w:pPr>
        <w:pStyle w:val="BodyText"/>
        <w:spacing w:before="4"/>
        <w:rPr>
          <w:sz w:val="14"/>
        </w:rPr>
      </w:pPr>
      <w:r>
        <w:rPr/>
        <w:pict>
          <v:line style="position:absolute;mso-position-horizontal-relative:page;mso-position-vertical-relative:paragraph;z-index:8368;mso-wrap-distance-left:0;mso-wrap-distance-right:0" from="85.025002pt,10.639847pt" to="229.075002pt,10.639847pt" stroked="true" strokeweight=".79999pt" strokecolor="#000000">
            <w10:wrap type="topAndBottom"/>
          </v:line>
        </w:pict>
      </w:r>
    </w:p>
    <w:p>
      <w:pPr>
        <w:spacing w:line="249" w:lineRule="auto" w:before="59"/>
        <w:ind w:left="120" w:right="122" w:firstLine="0"/>
        <w:jc w:val="both"/>
        <w:rPr>
          <w:sz w:val="16"/>
        </w:rPr>
      </w:pPr>
      <w:r>
        <w:rPr>
          <w:rFonts w:ascii="Times New Roman" w:hAnsi="Times New Roman"/>
          <w:position w:val="7"/>
          <w:sz w:val="13"/>
        </w:rPr>
        <w:t>78</w:t>
      </w:r>
      <w:r>
        <w:rPr>
          <w:sz w:val="16"/>
        </w:rPr>
        <w:t>B. Guy Peters (1999: 453-462) mencionó que existe otro nivel de control político mediante las comisiones del congreso, autoridades ministeriales y la aprobación presupuestal, entre otros.</w:t>
      </w:r>
    </w:p>
    <w:p>
      <w:pPr>
        <w:spacing w:line="244" w:lineRule="auto" w:before="0"/>
        <w:ind w:left="120" w:right="121" w:firstLine="0"/>
        <w:jc w:val="both"/>
        <w:rPr>
          <w:sz w:val="16"/>
        </w:rPr>
      </w:pPr>
      <w:r>
        <w:rPr>
          <w:rFonts w:ascii="Calibri" w:hAnsi="Calibri"/>
          <w:position w:val="8"/>
          <w:sz w:val="14"/>
        </w:rPr>
        <w:t>79</w:t>
      </w:r>
      <w:r>
        <w:rPr>
          <w:sz w:val="16"/>
        </w:rPr>
        <w:t>La ASF considera que “uno de los instrumentos más valiosos de la democracia lo constituye la rendición de cuentas, entendida como la obligación que tienen quienes ejercen el poder público de responsabilizarse del mandato conferido, de someterse a evaluaciones de su desempeño y de dar a conocer los resultados de las mismas a los ciudadanos. De esta manera se crean las condiciones propicias para cerrar el paso a la corrupción, la opacidad y la impunidad gubernamental, al hacer</w:t>
      </w:r>
      <w:r>
        <w:rPr>
          <w:spacing w:val="-11"/>
          <w:sz w:val="16"/>
        </w:rPr>
        <w:t> </w:t>
      </w:r>
      <w:r>
        <w:rPr>
          <w:sz w:val="16"/>
        </w:rPr>
        <w:t>posible</w:t>
      </w:r>
      <w:r>
        <w:rPr>
          <w:spacing w:val="-11"/>
          <w:sz w:val="16"/>
        </w:rPr>
        <w:t> </w:t>
      </w:r>
      <w:r>
        <w:rPr>
          <w:sz w:val="16"/>
        </w:rPr>
        <w:t>que:</w:t>
      </w:r>
      <w:r>
        <w:rPr>
          <w:spacing w:val="-9"/>
          <w:sz w:val="16"/>
        </w:rPr>
        <w:t> </w:t>
      </w:r>
      <w:r>
        <w:rPr>
          <w:sz w:val="16"/>
        </w:rPr>
        <w:t>Las</w:t>
      </w:r>
      <w:r>
        <w:rPr>
          <w:spacing w:val="-14"/>
          <w:sz w:val="16"/>
        </w:rPr>
        <w:t> </w:t>
      </w:r>
      <w:r>
        <w:rPr>
          <w:sz w:val="16"/>
        </w:rPr>
        <w:t>acciones</w:t>
      </w:r>
      <w:r>
        <w:rPr>
          <w:spacing w:val="-14"/>
          <w:sz w:val="16"/>
        </w:rPr>
        <w:t> </w:t>
      </w:r>
      <w:r>
        <w:rPr>
          <w:sz w:val="16"/>
        </w:rPr>
        <w:t>de</w:t>
      </w:r>
      <w:r>
        <w:rPr>
          <w:spacing w:val="-7"/>
          <w:sz w:val="16"/>
        </w:rPr>
        <w:t> </w:t>
      </w:r>
      <w:r>
        <w:rPr>
          <w:sz w:val="16"/>
        </w:rPr>
        <w:t>los</w:t>
      </w:r>
      <w:r>
        <w:rPr>
          <w:spacing w:val="-14"/>
          <w:sz w:val="16"/>
        </w:rPr>
        <w:t> </w:t>
      </w:r>
      <w:r>
        <w:rPr>
          <w:sz w:val="16"/>
        </w:rPr>
        <w:t>gobernantes</w:t>
      </w:r>
      <w:r>
        <w:rPr>
          <w:spacing w:val="-10"/>
          <w:sz w:val="16"/>
        </w:rPr>
        <w:t> </w:t>
      </w:r>
      <w:r>
        <w:rPr>
          <w:sz w:val="16"/>
        </w:rPr>
        <w:t>y</w:t>
      </w:r>
      <w:r>
        <w:rPr>
          <w:spacing w:val="-10"/>
          <w:sz w:val="16"/>
        </w:rPr>
        <w:t> </w:t>
      </w:r>
      <w:r>
        <w:rPr>
          <w:sz w:val="16"/>
        </w:rPr>
        <w:t>servidores</w:t>
      </w:r>
      <w:r>
        <w:rPr>
          <w:spacing w:val="-14"/>
          <w:sz w:val="16"/>
        </w:rPr>
        <w:t> </w:t>
      </w:r>
      <w:r>
        <w:rPr>
          <w:sz w:val="16"/>
        </w:rPr>
        <w:t>públicos</w:t>
      </w:r>
      <w:r>
        <w:rPr>
          <w:spacing w:val="-10"/>
          <w:sz w:val="16"/>
        </w:rPr>
        <w:t> </w:t>
      </w:r>
      <w:r>
        <w:rPr>
          <w:sz w:val="16"/>
        </w:rPr>
        <w:t>sean</w:t>
      </w:r>
      <w:r>
        <w:rPr>
          <w:spacing w:val="-15"/>
          <w:sz w:val="16"/>
        </w:rPr>
        <w:t> </w:t>
      </w:r>
      <w:r>
        <w:rPr>
          <w:sz w:val="16"/>
        </w:rPr>
        <w:t>controladas</w:t>
      </w:r>
      <w:r>
        <w:rPr>
          <w:spacing w:val="-14"/>
          <w:sz w:val="16"/>
        </w:rPr>
        <w:t> </w:t>
      </w:r>
      <w:r>
        <w:rPr>
          <w:sz w:val="16"/>
        </w:rPr>
        <w:t>al</w:t>
      </w:r>
      <w:r>
        <w:rPr>
          <w:spacing w:val="-9"/>
          <w:sz w:val="16"/>
        </w:rPr>
        <w:t> </w:t>
      </w:r>
      <w:r>
        <w:rPr>
          <w:sz w:val="16"/>
        </w:rPr>
        <w:t>someterlas</w:t>
      </w:r>
      <w:r>
        <w:rPr>
          <w:spacing w:val="-14"/>
          <w:sz w:val="16"/>
        </w:rPr>
        <w:t> </w:t>
      </w:r>
      <w:r>
        <w:rPr>
          <w:sz w:val="16"/>
        </w:rPr>
        <w:t>al</w:t>
      </w:r>
      <w:r>
        <w:rPr>
          <w:spacing w:val="-13"/>
          <w:sz w:val="16"/>
        </w:rPr>
        <w:t> </w:t>
      </w:r>
      <w:r>
        <w:rPr>
          <w:sz w:val="16"/>
        </w:rPr>
        <w:t>escrutinio</w:t>
      </w:r>
      <w:r>
        <w:rPr>
          <w:spacing w:val="-11"/>
          <w:sz w:val="16"/>
        </w:rPr>
        <w:t> </w:t>
      </w:r>
      <w:r>
        <w:rPr>
          <w:sz w:val="16"/>
        </w:rPr>
        <w:t>público; la sociedad evalúe el desempeño de sus gobernantes y decida, con su voto, la continuidad y la permanencia de un sistema de gobierno con determinadas características; y la rendición de cuentas de los gobernantes y, en su caso, su penalización o remoción,</w:t>
      </w:r>
      <w:r>
        <w:rPr>
          <w:spacing w:val="-1"/>
          <w:sz w:val="16"/>
        </w:rPr>
        <w:t> </w:t>
      </w:r>
      <w:r>
        <w:rPr>
          <w:sz w:val="16"/>
        </w:rPr>
        <w:t>se</w:t>
      </w:r>
      <w:r>
        <w:rPr>
          <w:spacing w:val="-4"/>
          <w:sz w:val="16"/>
        </w:rPr>
        <w:t> </w:t>
      </w:r>
      <w:r>
        <w:rPr>
          <w:sz w:val="16"/>
        </w:rPr>
        <w:t>realice</w:t>
      </w:r>
      <w:r>
        <w:rPr>
          <w:spacing w:val="-4"/>
          <w:sz w:val="16"/>
        </w:rPr>
        <w:t> </w:t>
      </w:r>
      <w:r>
        <w:rPr>
          <w:sz w:val="16"/>
        </w:rPr>
        <w:t>conforme</w:t>
      </w:r>
      <w:r>
        <w:rPr>
          <w:spacing w:val="-4"/>
          <w:sz w:val="16"/>
        </w:rPr>
        <w:t> </w:t>
      </w:r>
      <w:r>
        <w:rPr>
          <w:sz w:val="16"/>
        </w:rPr>
        <w:t>a</w:t>
      </w:r>
      <w:r>
        <w:rPr>
          <w:spacing w:val="-2"/>
          <w:sz w:val="16"/>
        </w:rPr>
        <w:t> </w:t>
      </w:r>
      <w:r>
        <w:rPr>
          <w:sz w:val="16"/>
        </w:rPr>
        <w:t>un</w:t>
      </w:r>
      <w:r>
        <w:rPr>
          <w:spacing w:val="-4"/>
          <w:sz w:val="16"/>
        </w:rPr>
        <w:t> </w:t>
      </w:r>
      <w:r>
        <w:rPr>
          <w:sz w:val="16"/>
        </w:rPr>
        <w:t>marco</w:t>
      </w:r>
      <w:r>
        <w:rPr>
          <w:spacing w:val="-4"/>
          <w:sz w:val="16"/>
        </w:rPr>
        <w:t> </w:t>
      </w:r>
      <w:r>
        <w:rPr>
          <w:sz w:val="16"/>
        </w:rPr>
        <w:t>jurídico</w:t>
      </w:r>
      <w:r>
        <w:rPr>
          <w:spacing w:val="-4"/>
          <w:sz w:val="16"/>
        </w:rPr>
        <w:t> </w:t>
      </w:r>
      <w:r>
        <w:rPr>
          <w:sz w:val="16"/>
        </w:rPr>
        <w:t>e</w:t>
      </w:r>
      <w:r>
        <w:rPr>
          <w:spacing w:val="-1"/>
          <w:sz w:val="16"/>
        </w:rPr>
        <w:t> </w:t>
      </w:r>
      <w:r>
        <w:rPr>
          <w:sz w:val="16"/>
        </w:rPr>
        <w:t>institucional</w:t>
      </w:r>
      <w:r>
        <w:rPr>
          <w:spacing w:val="-6"/>
          <w:sz w:val="16"/>
        </w:rPr>
        <w:t> </w:t>
      </w:r>
      <w:r>
        <w:rPr>
          <w:sz w:val="16"/>
        </w:rPr>
        <w:t>aceptado</w:t>
      </w:r>
      <w:r>
        <w:rPr>
          <w:spacing w:val="-1"/>
          <w:sz w:val="16"/>
        </w:rPr>
        <w:t> </w:t>
      </w:r>
      <w:r>
        <w:rPr>
          <w:sz w:val="16"/>
        </w:rPr>
        <w:t>por</w:t>
      </w:r>
      <w:r>
        <w:rPr>
          <w:spacing w:val="-1"/>
          <w:sz w:val="16"/>
        </w:rPr>
        <w:t> </w:t>
      </w:r>
      <w:r>
        <w:rPr>
          <w:sz w:val="16"/>
        </w:rPr>
        <w:t>todos</w:t>
      </w:r>
      <w:r>
        <w:rPr>
          <w:spacing w:val="-4"/>
          <w:sz w:val="16"/>
        </w:rPr>
        <w:t> </w:t>
      </w:r>
      <w:r>
        <w:rPr>
          <w:sz w:val="16"/>
        </w:rPr>
        <w:t>los</w:t>
      </w:r>
      <w:r>
        <w:rPr>
          <w:spacing w:val="-6"/>
          <w:sz w:val="16"/>
        </w:rPr>
        <w:t> </w:t>
      </w:r>
      <w:r>
        <w:rPr>
          <w:sz w:val="16"/>
        </w:rPr>
        <w:t>actores.</w:t>
      </w:r>
    </w:p>
    <w:p>
      <w:pPr>
        <w:spacing w:line="178" w:lineRule="exact" w:before="0"/>
        <w:ind w:left="120" w:right="0" w:firstLine="0"/>
        <w:jc w:val="both"/>
        <w:rPr>
          <w:sz w:val="16"/>
        </w:rPr>
      </w:pPr>
      <w:r>
        <w:rPr>
          <w:sz w:val="16"/>
        </w:rPr>
        <w:t>ASF/AED. </w:t>
      </w:r>
      <w:r>
        <w:rPr>
          <w:i/>
          <w:sz w:val="16"/>
        </w:rPr>
        <w:t>Marco operativo </w:t>
      </w:r>
      <w:r>
        <w:rPr>
          <w:sz w:val="16"/>
        </w:rPr>
        <w:t>(2009:51)</w:t>
      </w:r>
    </w:p>
    <w:p>
      <w:pPr>
        <w:spacing w:line="247" w:lineRule="auto" w:before="0"/>
        <w:ind w:left="120" w:right="120" w:firstLine="0"/>
        <w:jc w:val="both"/>
        <w:rPr>
          <w:sz w:val="16"/>
        </w:rPr>
      </w:pPr>
      <w:r>
        <w:rPr>
          <w:rFonts w:ascii="Times New Roman" w:hAnsi="Times New Roman"/>
          <w:position w:val="7"/>
          <w:sz w:val="13"/>
        </w:rPr>
        <w:t>80</w:t>
      </w:r>
      <w:r>
        <w:rPr>
          <w:sz w:val="16"/>
        </w:rPr>
        <w:t>Peters</w:t>
      </w:r>
      <w:r>
        <w:rPr>
          <w:spacing w:val="-10"/>
          <w:sz w:val="16"/>
        </w:rPr>
        <w:t> </w:t>
      </w:r>
      <w:r>
        <w:rPr>
          <w:sz w:val="16"/>
        </w:rPr>
        <w:t>(2003:</w:t>
      </w:r>
      <w:r>
        <w:rPr>
          <w:spacing w:val="-6"/>
          <w:sz w:val="16"/>
        </w:rPr>
        <w:t> </w:t>
      </w:r>
      <w:r>
        <w:rPr>
          <w:sz w:val="16"/>
        </w:rPr>
        <w:t>53)</w:t>
      </w:r>
      <w:r>
        <w:rPr>
          <w:spacing w:val="-3"/>
          <w:sz w:val="16"/>
        </w:rPr>
        <w:t> </w:t>
      </w:r>
      <w:r>
        <w:rPr>
          <w:sz w:val="16"/>
        </w:rPr>
        <w:t>consideró</w:t>
      </w:r>
      <w:r>
        <w:rPr>
          <w:spacing w:val="-1"/>
          <w:sz w:val="16"/>
        </w:rPr>
        <w:t> </w:t>
      </w:r>
      <w:r>
        <w:rPr>
          <w:sz w:val="16"/>
        </w:rPr>
        <w:t>que</w:t>
      </w:r>
      <w:r>
        <w:rPr>
          <w:spacing w:val="1"/>
          <w:sz w:val="16"/>
        </w:rPr>
        <w:t> </w:t>
      </w:r>
      <w:r>
        <w:rPr>
          <w:sz w:val="16"/>
        </w:rPr>
        <w:t>una</w:t>
      </w:r>
      <w:r>
        <w:rPr>
          <w:spacing w:val="-2"/>
          <w:sz w:val="16"/>
        </w:rPr>
        <w:t> </w:t>
      </w:r>
      <w:r>
        <w:rPr>
          <w:sz w:val="16"/>
        </w:rPr>
        <w:t>institución</w:t>
      </w:r>
      <w:r>
        <w:rPr>
          <w:spacing w:val="-7"/>
          <w:sz w:val="16"/>
        </w:rPr>
        <w:t> </w:t>
      </w:r>
      <w:r>
        <w:rPr>
          <w:sz w:val="16"/>
        </w:rPr>
        <w:t>es</w:t>
      </w:r>
      <w:r>
        <w:rPr>
          <w:spacing w:val="-5"/>
          <w:sz w:val="16"/>
        </w:rPr>
        <w:t> </w:t>
      </w:r>
      <w:r>
        <w:rPr>
          <w:sz w:val="16"/>
        </w:rPr>
        <w:t>el</w:t>
      </w:r>
      <w:r>
        <w:rPr>
          <w:spacing w:val="-9"/>
          <w:sz w:val="16"/>
        </w:rPr>
        <w:t> </w:t>
      </w:r>
      <w:r>
        <w:rPr>
          <w:sz w:val="16"/>
        </w:rPr>
        <w:t>conjunto</w:t>
      </w:r>
      <w:r>
        <w:rPr>
          <w:spacing w:val="-3"/>
          <w:sz w:val="16"/>
        </w:rPr>
        <w:t> </w:t>
      </w:r>
      <w:r>
        <w:rPr>
          <w:sz w:val="16"/>
        </w:rPr>
        <w:t>de</w:t>
      </w:r>
      <w:r>
        <w:rPr>
          <w:spacing w:val="-2"/>
          <w:sz w:val="16"/>
        </w:rPr>
        <w:t> </w:t>
      </w:r>
      <w:r>
        <w:rPr>
          <w:sz w:val="16"/>
        </w:rPr>
        <w:t>reglas</w:t>
      </w:r>
      <w:r>
        <w:rPr>
          <w:spacing w:val="-2"/>
          <w:sz w:val="16"/>
        </w:rPr>
        <w:t> </w:t>
      </w:r>
      <w:r>
        <w:rPr>
          <w:sz w:val="16"/>
        </w:rPr>
        <w:t>y</w:t>
      </w:r>
      <w:r>
        <w:rPr>
          <w:spacing w:val="-2"/>
          <w:sz w:val="16"/>
        </w:rPr>
        <w:t> </w:t>
      </w:r>
      <w:r>
        <w:rPr>
          <w:sz w:val="16"/>
        </w:rPr>
        <w:t>valores</w:t>
      </w:r>
      <w:r>
        <w:rPr>
          <w:spacing w:val="-5"/>
          <w:sz w:val="16"/>
        </w:rPr>
        <w:t> </w:t>
      </w:r>
      <w:r>
        <w:rPr>
          <w:sz w:val="16"/>
        </w:rPr>
        <w:t>normativos</w:t>
      </w:r>
      <w:r>
        <w:rPr>
          <w:spacing w:val="-5"/>
          <w:sz w:val="16"/>
        </w:rPr>
        <w:t> </w:t>
      </w:r>
      <w:r>
        <w:rPr>
          <w:sz w:val="16"/>
        </w:rPr>
        <w:t>y</w:t>
      </w:r>
      <w:r>
        <w:rPr>
          <w:spacing w:val="-2"/>
          <w:sz w:val="16"/>
        </w:rPr>
        <w:t> </w:t>
      </w:r>
      <w:r>
        <w:rPr>
          <w:spacing w:val="-3"/>
          <w:sz w:val="16"/>
        </w:rPr>
        <w:t>no </w:t>
      </w:r>
      <w:r>
        <w:rPr>
          <w:sz w:val="16"/>
        </w:rPr>
        <w:t>cognitivos</w:t>
      </w:r>
      <w:r>
        <w:rPr>
          <w:spacing w:val="-5"/>
          <w:sz w:val="16"/>
        </w:rPr>
        <w:t> </w:t>
      </w:r>
      <w:r>
        <w:rPr>
          <w:sz w:val="16"/>
        </w:rPr>
        <w:t>respecto</w:t>
      </w:r>
      <w:r>
        <w:rPr>
          <w:spacing w:val="-7"/>
          <w:sz w:val="16"/>
        </w:rPr>
        <w:t> </w:t>
      </w:r>
      <w:r>
        <w:rPr>
          <w:sz w:val="16"/>
        </w:rPr>
        <w:t>de</w:t>
      </w:r>
      <w:r>
        <w:rPr>
          <w:spacing w:val="1"/>
          <w:sz w:val="16"/>
        </w:rPr>
        <w:t> </w:t>
      </w:r>
      <w:r>
        <w:rPr>
          <w:sz w:val="16"/>
        </w:rPr>
        <w:t>la manera en que influyen sobre los miembros institucionales, como también el conjunto de rutinas que se desarrollan para poner en ejecución e imponer esos</w:t>
      </w:r>
      <w:r>
        <w:rPr>
          <w:spacing w:val="-17"/>
          <w:sz w:val="16"/>
        </w:rPr>
        <w:t> </w:t>
      </w:r>
      <w:r>
        <w:rPr>
          <w:sz w:val="16"/>
        </w:rPr>
        <w:t>valores.</w:t>
      </w:r>
    </w:p>
    <w:p>
      <w:pPr>
        <w:spacing w:after="0" w:line="247" w:lineRule="auto"/>
        <w:jc w:val="both"/>
        <w:rPr>
          <w:sz w:val="16"/>
        </w:rPr>
        <w:sectPr>
          <w:pgSz w:w="12240" w:h="15840"/>
          <w:pgMar w:header="0" w:footer="998" w:top="1500" w:bottom="1180" w:left="1580" w:right="1580"/>
        </w:sectPr>
      </w:pPr>
    </w:p>
    <w:p>
      <w:pPr>
        <w:pStyle w:val="BodyText"/>
        <w:spacing w:line="362" w:lineRule="auto" w:before="55"/>
        <w:ind w:left="100" w:right="132"/>
      </w:pPr>
      <w:r>
        <w:rPr/>
        <w:t>información, justificar sus actos y recibir sanciones por los actos indebidos u omisiones.</w:t>
      </w:r>
    </w:p>
    <w:p>
      <w:pPr>
        <w:pStyle w:val="BodyText"/>
        <w:spacing w:line="360" w:lineRule="auto"/>
        <w:ind w:left="100" w:right="120" w:firstLine="427"/>
        <w:jc w:val="both"/>
      </w:pPr>
      <w:r>
        <w:rPr/>
        <w:t>El sistema de rendición de cuentas responde a la disposición del Estado de control de prevenir y corregir abusos de poder. El principio de separar y dividir los poderes</w:t>
      </w:r>
      <w:r>
        <w:rPr>
          <w:spacing w:val="-15"/>
        </w:rPr>
        <w:t> </w:t>
      </w:r>
      <w:r>
        <w:rPr/>
        <w:t>puede</w:t>
      </w:r>
      <w:r>
        <w:rPr>
          <w:spacing w:val="-17"/>
        </w:rPr>
        <w:t> </w:t>
      </w:r>
      <w:r>
        <w:rPr/>
        <w:t>ser</w:t>
      </w:r>
      <w:r>
        <w:rPr>
          <w:spacing w:val="-11"/>
        </w:rPr>
        <w:t> </w:t>
      </w:r>
      <w:r>
        <w:rPr/>
        <w:t>asegurado</w:t>
      </w:r>
      <w:r>
        <w:rPr>
          <w:spacing w:val="-13"/>
        </w:rPr>
        <w:t> </w:t>
      </w:r>
      <w:r>
        <w:rPr/>
        <w:t>mediante</w:t>
      </w:r>
      <w:r>
        <w:rPr>
          <w:spacing w:val="-17"/>
        </w:rPr>
        <w:t> </w:t>
      </w:r>
      <w:r>
        <w:rPr/>
        <w:t>un</w:t>
      </w:r>
      <w:r>
        <w:rPr>
          <w:spacing w:val="-17"/>
        </w:rPr>
        <w:t> </w:t>
      </w:r>
      <w:r>
        <w:rPr/>
        <w:t>sistema</w:t>
      </w:r>
      <w:r>
        <w:rPr>
          <w:spacing w:val="-13"/>
        </w:rPr>
        <w:t> </w:t>
      </w:r>
      <w:r>
        <w:rPr/>
        <w:t>de</w:t>
      </w:r>
      <w:r>
        <w:rPr>
          <w:spacing w:val="-16"/>
        </w:rPr>
        <w:t> </w:t>
      </w:r>
      <w:r>
        <w:rPr/>
        <w:t>rendición</w:t>
      </w:r>
      <w:r>
        <w:rPr>
          <w:spacing w:val="-13"/>
        </w:rPr>
        <w:t> </w:t>
      </w:r>
      <w:r>
        <w:rPr/>
        <w:t>de</w:t>
      </w:r>
      <w:r>
        <w:rPr>
          <w:spacing w:val="-17"/>
        </w:rPr>
        <w:t> </w:t>
      </w:r>
      <w:r>
        <w:rPr/>
        <w:t>cuentas</w:t>
      </w:r>
      <w:r>
        <w:rPr>
          <w:spacing w:val="-11"/>
        </w:rPr>
        <w:t> </w:t>
      </w:r>
      <w:r>
        <w:rPr/>
        <w:t>basado en tres</w:t>
      </w:r>
      <w:r>
        <w:rPr>
          <w:spacing w:val="-12"/>
        </w:rPr>
        <w:t> </w:t>
      </w:r>
      <w:r>
        <w:rPr/>
        <w:t>pilares:</w:t>
      </w:r>
    </w:p>
    <w:p>
      <w:pPr>
        <w:pStyle w:val="BodyText"/>
        <w:spacing w:before="11"/>
        <w:rPr>
          <w:sz w:val="35"/>
        </w:rPr>
      </w:pPr>
    </w:p>
    <w:p>
      <w:pPr>
        <w:pStyle w:val="ListParagraph"/>
        <w:numPr>
          <w:ilvl w:val="0"/>
          <w:numId w:val="50"/>
        </w:numPr>
        <w:tabs>
          <w:tab w:pos="821" w:val="left" w:leader="none"/>
        </w:tabs>
        <w:spacing w:line="360" w:lineRule="auto" w:before="0" w:after="0"/>
        <w:ind w:left="821" w:right="116" w:hanging="361"/>
        <w:jc w:val="both"/>
        <w:rPr>
          <w:sz w:val="24"/>
        </w:rPr>
      </w:pPr>
      <w:r>
        <w:rPr>
          <w:i/>
          <w:sz w:val="24"/>
        </w:rPr>
        <w:t>Accontability:</w:t>
      </w:r>
      <w:r>
        <w:rPr>
          <w:i/>
          <w:spacing w:val="-12"/>
          <w:sz w:val="24"/>
        </w:rPr>
        <w:t> </w:t>
      </w:r>
      <w:r>
        <w:rPr>
          <w:sz w:val="24"/>
        </w:rPr>
        <w:t>es</w:t>
      </w:r>
      <w:r>
        <w:rPr>
          <w:spacing w:val="-14"/>
          <w:sz w:val="24"/>
        </w:rPr>
        <w:t> </w:t>
      </w:r>
      <w:r>
        <w:rPr>
          <w:sz w:val="24"/>
        </w:rPr>
        <w:t>un</w:t>
      </w:r>
      <w:r>
        <w:rPr>
          <w:spacing w:val="-16"/>
          <w:sz w:val="24"/>
        </w:rPr>
        <w:t> </w:t>
      </w:r>
      <w:r>
        <w:rPr>
          <w:sz w:val="24"/>
        </w:rPr>
        <w:t>término</w:t>
      </w:r>
      <w:r>
        <w:rPr>
          <w:spacing w:val="-16"/>
          <w:sz w:val="24"/>
        </w:rPr>
        <w:t> </w:t>
      </w:r>
      <w:r>
        <w:rPr>
          <w:sz w:val="24"/>
        </w:rPr>
        <w:t>que</w:t>
      </w:r>
      <w:r>
        <w:rPr>
          <w:spacing w:val="-16"/>
          <w:sz w:val="24"/>
        </w:rPr>
        <w:t> </w:t>
      </w:r>
      <w:r>
        <w:rPr>
          <w:sz w:val="24"/>
        </w:rPr>
        <w:t>traduce</w:t>
      </w:r>
      <w:r>
        <w:rPr>
          <w:spacing w:val="-16"/>
          <w:sz w:val="24"/>
        </w:rPr>
        <w:t> </w:t>
      </w:r>
      <w:r>
        <w:rPr>
          <w:sz w:val="24"/>
        </w:rPr>
        <w:t>de</w:t>
      </w:r>
      <w:r>
        <w:rPr>
          <w:spacing w:val="-12"/>
          <w:sz w:val="24"/>
        </w:rPr>
        <w:t> </w:t>
      </w:r>
      <w:r>
        <w:rPr>
          <w:sz w:val="24"/>
        </w:rPr>
        <w:t>manera</w:t>
      </w:r>
      <w:r>
        <w:rPr>
          <w:spacing w:val="-16"/>
          <w:sz w:val="24"/>
        </w:rPr>
        <w:t> </w:t>
      </w:r>
      <w:r>
        <w:rPr>
          <w:sz w:val="24"/>
        </w:rPr>
        <w:t>limitada,</w:t>
      </w:r>
      <w:r>
        <w:rPr>
          <w:spacing w:val="-13"/>
          <w:sz w:val="24"/>
        </w:rPr>
        <w:t> </w:t>
      </w:r>
      <w:r>
        <w:rPr>
          <w:sz w:val="24"/>
        </w:rPr>
        <w:t>el</w:t>
      </w:r>
      <w:r>
        <w:rPr>
          <w:spacing w:val="-15"/>
          <w:sz w:val="24"/>
        </w:rPr>
        <w:t> </w:t>
      </w:r>
      <w:r>
        <w:rPr>
          <w:sz w:val="24"/>
        </w:rPr>
        <w:t>significado</w:t>
      </w:r>
      <w:r>
        <w:rPr>
          <w:spacing w:val="-16"/>
          <w:sz w:val="24"/>
        </w:rPr>
        <w:t> </w:t>
      </w:r>
      <w:r>
        <w:rPr>
          <w:sz w:val="24"/>
        </w:rPr>
        <w:t>de en</w:t>
      </w:r>
      <w:r>
        <w:rPr>
          <w:spacing w:val="-17"/>
          <w:sz w:val="24"/>
        </w:rPr>
        <w:t> </w:t>
      </w:r>
      <w:r>
        <w:rPr>
          <w:sz w:val="24"/>
        </w:rPr>
        <w:t>inglés</w:t>
      </w:r>
      <w:r>
        <w:rPr>
          <w:spacing w:val="-15"/>
          <w:sz w:val="24"/>
        </w:rPr>
        <w:t> </w:t>
      </w:r>
      <w:r>
        <w:rPr>
          <w:sz w:val="24"/>
        </w:rPr>
        <w:t>significa</w:t>
      </w:r>
      <w:r>
        <w:rPr>
          <w:spacing w:val="-17"/>
          <w:sz w:val="24"/>
        </w:rPr>
        <w:t> </w:t>
      </w:r>
      <w:r>
        <w:rPr>
          <w:sz w:val="24"/>
        </w:rPr>
        <w:t>“el</w:t>
      </w:r>
      <w:r>
        <w:rPr>
          <w:spacing w:val="-16"/>
          <w:sz w:val="24"/>
        </w:rPr>
        <w:t> </w:t>
      </w:r>
      <w:r>
        <w:rPr>
          <w:sz w:val="24"/>
        </w:rPr>
        <w:t>Estado</w:t>
      </w:r>
      <w:r>
        <w:rPr>
          <w:spacing w:val="-17"/>
          <w:sz w:val="24"/>
        </w:rPr>
        <w:t> </w:t>
      </w:r>
      <w:r>
        <w:rPr>
          <w:sz w:val="24"/>
        </w:rPr>
        <w:t>de</w:t>
      </w:r>
      <w:r>
        <w:rPr>
          <w:spacing w:val="-17"/>
          <w:sz w:val="24"/>
        </w:rPr>
        <w:t> </w:t>
      </w:r>
      <w:r>
        <w:rPr>
          <w:sz w:val="24"/>
        </w:rPr>
        <w:t>ser</w:t>
      </w:r>
      <w:r>
        <w:rPr>
          <w:spacing w:val="-15"/>
          <w:sz w:val="24"/>
        </w:rPr>
        <w:t> </w:t>
      </w:r>
      <w:r>
        <w:rPr>
          <w:sz w:val="24"/>
        </w:rPr>
        <w:t>sujeto</w:t>
      </w:r>
      <w:r>
        <w:rPr>
          <w:spacing w:val="-17"/>
          <w:sz w:val="24"/>
        </w:rPr>
        <w:t> </w:t>
      </w:r>
      <w:r>
        <w:rPr>
          <w:sz w:val="24"/>
        </w:rPr>
        <w:t>a</w:t>
      </w:r>
      <w:r>
        <w:rPr>
          <w:spacing w:val="-17"/>
          <w:sz w:val="24"/>
        </w:rPr>
        <w:t> </w:t>
      </w:r>
      <w:r>
        <w:rPr>
          <w:sz w:val="24"/>
        </w:rPr>
        <w:t>la</w:t>
      </w:r>
      <w:r>
        <w:rPr>
          <w:spacing w:val="-17"/>
          <w:sz w:val="24"/>
        </w:rPr>
        <w:t> </w:t>
      </w:r>
      <w:r>
        <w:rPr>
          <w:sz w:val="24"/>
        </w:rPr>
        <w:t>obligación</w:t>
      </w:r>
      <w:r>
        <w:rPr>
          <w:spacing w:val="-17"/>
          <w:sz w:val="24"/>
        </w:rPr>
        <w:t> </w:t>
      </w:r>
      <w:r>
        <w:rPr>
          <w:sz w:val="24"/>
        </w:rPr>
        <w:t>de</w:t>
      </w:r>
      <w:r>
        <w:rPr>
          <w:spacing w:val="-17"/>
          <w:sz w:val="24"/>
        </w:rPr>
        <w:t> </w:t>
      </w:r>
      <w:r>
        <w:rPr>
          <w:sz w:val="24"/>
        </w:rPr>
        <w:t>reportar,</w:t>
      </w:r>
      <w:r>
        <w:rPr>
          <w:spacing w:val="-14"/>
          <w:sz w:val="24"/>
        </w:rPr>
        <w:t> </w:t>
      </w:r>
      <w:r>
        <w:rPr>
          <w:sz w:val="24"/>
        </w:rPr>
        <w:t>explicar o justificar algo; […] ser responsable de algo (</w:t>
      </w:r>
      <w:r>
        <w:rPr>
          <w:i/>
          <w:sz w:val="24"/>
        </w:rPr>
        <w:t>liable</w:t>
      </w:r>
      <w:r>
        <w:rPr>
          <w:sz w:val="24"/>
        </w:rPr>
        <w:t>) […] ser sujeto y responsable para dar cuentas y responder a preguntas (</w:t>
      </w:r>
      <w:r>
        <w:rPr>
          <w:i/>
          <w:sz w:val="24"/>
        </w:rPr>
        <w:t>answerable</w:t>
      </w:r>
      <w:r>
        <w:rPr>
          <w:sz w:val="24"/>
        </w:rPr>
        <w:t>). </w:t>
      </w:r>
      <w:r>
        <w:rPr>
          <w:i/>
          <w:sz w:val="24"/>
        </w:rPr>
        <w:t>Accountability</w:t>
      </w:r>
      <w:r>
        <w:rPr>
          <w:i/>
          <w:spacing w:val="-10"/>
          <w:sz w:val="24"/>
        </w:rPr>
        <w:t> </w:t>
      </w:r>
      <w:r>
        <w:rPr>
          <w:sz w:val="24"/>
        </w:rPr>
        <w:t>se</w:t>
      </w:r>
      <w:r>
        <w:rPr>
          <w:spacing w:val="-13"/>
          <w:sz w:val="24"/>
        </w:rPr>
        <w:t> </w:t>
      </w:r>
      <w:r>
        <w:rPr>
          <w:sz w:val="24"/>
        </w:rPr>
        <w:t>deriva</w:t>
      </w:r>
      <w:r>
        <w:rPr>
          <w:spacing w:val="-13"/>
          <w:sz w:val="24"/>
        </w:rPr>
        <w:t> </w:t>
      </w:r>
      <w:r>
        <w:rPr>
          <w:sz w:val="24"/>
        </w:rPr>
        <w:t>de</w:t>
      </w:r>
      <w:r>
        <w:rPr>
          <w:spacing w:val="-12"/>
          <w:sz w:val="24"/>
        </w:rPr>
        <w:t> </w:t>
      </w:r>
      <w:r>
        <w:rPr>
          <w:i/>
          <w:sz w:val="24"/>
        </w:rPr>
        <w:t>account</w:t>
      </w:r>
      <w:r>
        <w:rPr>
          <w:i/>
          <w:spacing w:val="-10"/>
          <w:sz w:val="24"/>
        </w:rPr>
        <w:t> </w:t>
      </w:r>
      <w:r>
        <w:rPr>
          <w:sz w:val="24"/>
        </w:rPr>
        <w:t>que</w:t>
      </w:r>
      <w:r>
        <w:rPr>
          <w:spacing w:val="-13"/>
          <w:sz w:val="24"/>
        </w:rPr>
        <w:t> </w:t>
      </w:r>
      <w:r>
        <w:rPr>
          <w:sz w:val="24"/>
        </w:rPr>
        <w:t>significa</w:t>
      </w:r>
      <w:r>
        <w:rPr>
          <w:spacing w:val="-13"/>
          <w:sz w:val="24"/>
        </w:rPr>
        <w:t> </w:t>
      </w:r>
      <w:r>
        <w:rPr>
          <w:sz w:val="24"/>
        </w:rPr>
        <w:t>descripción</w:t>
      </w:r>
      <w:r>
        <w:rPr>
          <w:spacing w:val="-13"/>
          <w:sz w:val="24"/>
        </w:rPr>
        <w:t> </w:t>
      </w:r>
      <w:r>
        <w:rPr>
          <w:sz w:val="24"/>
        </w:rPr>
        <w:t>oral</w:t>
      </w:r>
      <w:r>
        <w:rPr>
          <w:spacing w:val="-12"/>
          <w:sz w:val="24"/>
        </w:rPr>
        <w:t> </w:t>
      </w:r>
      <w:r>
        <w:rPr>
          <w:sz w:val="24"/>
        </w:rPr>
        <w:t>o</w:t>
      </w:r>
      <w:r>
        <w:rPr>
          <w:spacing w:val="-13"/>
          <w:sz w:val="24"/>
        </w:rPr>
        <w:t> </w:t>
      </w:r>
      <w:r>
        <w:rPr>
          <w:sz w:val="24"/>
        </w:rPr>
        <w:t>escrita</w:t>
      </w:r>
      <w:r>
        <w:rPr>
          <w:spacing w:val="-13"/>
          <w:sz w:val="24"/>
        </w:rPr>
        <w:t> </w:t>
      </w:r>
      <w:r>
        <w:rPr>
          <w:sz w:val="24"/>
        </w:rPr>
        <w:t>de eventos o situaciones particulares […] explicación de una conducta a un superior […] razones, sustentos, […] balance de ingresos y gastos […] registros financieros […]”. (Ugalde, 2002:</w:t>
      </w:r>
      <w:r>
        <w:rPr>
          <w:spacing w:val="-27"/>
          <w:sz w:val="24"/>
        </w:rPr>
        <w:t> </w:t>
      </w:r>
      <w:r>
        <w:rPr>
          <w:sz w:val="24"/>
        </w:rPr>
        <w:t>11):</w:t>
      </w:r>
    </w:p>
    <w:p>
      <w:pPr>
        <w:pStyle w:val="BodyText"/>
        <w:spacing w:line="360" w:lineRule="auto" w:before="2"/>
        <w:ind w:left="821" w:right="123"/>
        <w:jc w:val="both"/>
      </w:pPr>
      <w:r>
        <w:rPr>
          <w:i/>
        </w:rPr>
        <w:t>Accountability </w:t>
      </w:r>
      <w:r>
        <w:rPr/>
        <w:t>conlleva un sentido de obligación, la noción de rendición de cuentas sugiere un acto voluntario como concesión generosa del soberano que rinde cuentas. A</w:t>
      </w:r>
      <w:r>
        <w:rPr>
          <w:i/>
        </w:rPr>
        <w:t>ccountability </w:t>
      </w:r>
      <w:r>
        <w:rPr/>
        <w:t>es la rendición obligatoria de cuentas, mediante la puesta a disposición del público, de la información sobre la actividad del Estado.</w:t>
      </w:r>
    </w:p>
    <w:p>
      <w:pPr>
        <w:pStyle w:val="ListParagraph"/>
        <w:numPr>
          <w:ilvl w:val="0"/>
          <w:numId w:val="50"/>
        </w:numPr>
        <w:tabs>
          <w:tab w:pos="821" w:val="left" w:leader="none"/>
        </w:tabs>
        <w:spacing w:line="360" w:lineRule="auto" w:before="0" w:after="0"/>
        <w:ind w:left="821" w:right="117" w:hanging="361"/>
        <w:jc w:val="both"/>
        <w:rPr>
          <w:sz w:val="24"/>
        </w:rPr>
      </w:pPr>
      <w:r>
        <w:rPr>
          <w:i/>
          <w:sz w:val="24"/>
        </w:rPr>
        <w:t>Información</w:t>
      </w:r>
      <w:r>
        <w:rPr>
          <w:i/>
          <w:spacing w:val="-14"/>
          <w:sz w:val="24"/>
        </w:rPr>
        <w:t> </w:t>
      </w:r>
      <w:r>
        <w:rPr>
          <w:i/>
          <w:sz w:val="24"/>
        </w:rPr>
        <w:t>y</w:t>
      </w:r>
      <w:r>
        <w:rPr>
          <w:i/>
          <w:spacing w:val="-8"/>
          <w:sz w:val="24"/>
        </w:rPr>
        <w:t> </w:t>
      </w:r>
      <w:r>
        <w:rPr>
          <w:i/>
          <w:sz w:val="24"/>
        </w:rPr>
        <w:t>justificación</w:t>
      </w:r>
      <w:r>
        <w:rPr>
          <w:i/>
          <w:spacing w:val="-14"/>
          <w:sz w:val="24"/>
        </w:rPr>
        <w:t> </w:t>
      </w:r>
      <w:r>
        <w:rPr>
          <w:i/>
          <w:sz w:val="24"/>
        </w:rPr>
        <w:t>(Answerability):</w:t>
      </w:r>
      <w:r>
        <w:rPr>
          <w:i/>
          <w:spacing w:val="-7"/>
          <w:sz w:val="24"/>
        </w:rPr>
        <w:t> </w:t>
      </w:r>
      <w:r>
        <w:rPr>
          <w:sz w:val="24"/>
        </w:rPr>
        <w:t>La</w:t>
      </w:r>
      <w:r>
        <w:rPr>
          <w:spacing w:val="-14"/>
          <w:sz w:val="24"/>
        </w:rPr>
        <w:t> </w:t>
      </w:r>
      <w:r>
        <w:rPr>
          <w:sz w:val="24"/>
        </w:rPr>
        <w:t>noción</w:t>
      </w:r>
      <w:r>
        <w:rPr>
          <w:spacing w:val="-10"/>
          <w:sz w:val="24"/>
        </w:rPr>
        <w:t> </w:t>
      </w:r>
      <w:r>
        <w:rPr>
          <w:sz w:val="24"/>
        </w:rPr>
        <w:t>de</w:t>
      </w:r>
      <w:r>
        <w:rPr>
          <w:spacing w:val="-14"/>
          <w:sz w:val="24"/>
        </w:rPr>
        <w:t> </w:t>
      </w:r>
      <w:r>
        <w:rPr>
          <w:sz w:val="24"/>
        </w:rPr>
        <w:t>rendición</w:t>
      </w:r>
      <w:r>
        <w:rPr>
          <w:spacing w:val="-10"/>
          <w:sz w:val="24"/>
        </w:rPr>
        <w:t> </w:t>
      </w:r>
      <w:r>
        <w:rPr>
          <w:sz w:val="24"/>
        </w:rPr>
        <w:t>de</w:t>
      </w:r>
      <w:r>
        <w:rPr>
          <w:spacing w:val="-14"/>
          <w:sz w:val="24"/>
        </w:rPr>
        <w:t> </w:t>
      </w:r>
      <w:r>
        <w:rPr>
          <w:sz w:val="24"/>
        </w:rPr>
        <w:t>cuentas la integran dos conceptos, por un lado, la obligación de políticos y gobernantes o funcionarios de informar sobre sus decisiones, y de justificarlas en público</w:t>
      </w:r>
      <w:r>
        <w:rPr>
          <w:i/>
          <w:sz w:val="24"/>
        </w:rPr>
        <w:t>. </w:t>
      </w:r>
      <w:r>
        <w:rPr>
          <w:sz w:val="24"/>
        </w:rPr>
        <w:t>Se considera también que es la capacidad de asegurar que los funcionarios públicos respondan por sus</w:t>
      </w:r>
      <w:r>
        <w:rPr>
          <w:spacing w:val="-34"/>
          <w:sz w:val="24"/>
        </w:rPr>
        <w:t> </w:t>
      </w:r>
      <w:r>
        <w:rPr>
          <w:sz w:val="24"/>
        </w:rPr>
        <w:t>acciones.</w:t>
      </w:r>
    </w:p>
    <w:p>
      <w:pPr>
        <w:pStyle w:val="ListParagraph"/>
        <w:numPr>
          <w:ilvl w:val="0"/>
          <w:numId w:val="50"/>
        </w:numPr>
        <w:tabs>
          <w:tab w:pos="821" w:val="left" w:leader="none"/>
        </w:tabs>
        <w:spacing w:line="360" w:lineRule="auto" w:before="2" w:after="0"/>
        <w:ind w:left="821" w:right="121" w:hanging="361"/>
        <w:jc w:val="both"/>
        <w:rPr>
          <w:sz w:val="24"/>
        </w:rPr>
      </w:pPr>
      <w:r>
        <w:rPr>
          <w:i/>
          <w:sz w:val="24"/>
        </w:rPr>
        <w:t>Enforcement:</w:t>
      </w:r>
      <w:r>
        <w:rPr>
          <w:i/>
          <w:spacing w:val="-18"/>
          <w:sz w:val="24"/>
        </w:rPr>
        <w:t> </w:t>
      </w:r>
      <w:r>
        <w:rPr>
          <w:sz w:val="24"/>
        </w:rPr>
        <w:t>se</w:t>
      </w:r>
      <w:r>
        <w:rPr>
          <w:spacing w:val="-21"/>
          <w:sz w:val="24"/>
        </w:rPr>
        <w:t> </w:t>
      </w:r>
      <w:r>
        <w:rPr>
          <w:sz w:val="24"/>
        </w:rPr>
        <w:t>orienta</w:t>
      </w:r>
      <w:r>
        <w:rPr>
          <w:spacing w:val="-21"/>
          <w:sz w:val="24"/>
        </w:rPr>
        <w:t> </w:t>
      </w:r>
      <w:r>
        <w:rPr>
          <w:sz w:val="24"/>
        </w:rPr>
        <w:t>a</w:t>
      </w:r>
      <w:r>
        <w:rPr>
          <w:spacing w:val="-21"/>
          <w:sz w:val="24"/>
        </w:rPr>
        <w:t> </w:t>
      </w:r>
      <w:r>
        <w:rPr>
          <w:sz w:val="24"/>
        </w:rPr>
        <w:t>la</w:t>
      </w:r>
      <w:r>
        <w:rPr>
          <w:spacing w:val="-21"/>
          <w:sz w:val="24"/>
        </w:rPr>
        <w:t> </w:t>
      </w:r>
      <w:r>
        <w:rPr>
          <w:sz w:val="24"/>
        </w:rPr>
        <w:t>capacidad</w:t>
      </w:r>
      <w:r>
        <w:rPr>
          <w:spacing w:val="-18"/>
          <w:sz w:val="24"/>
        </w:rPr>
        <w:t> </w:t>
      </w:r>
      <w:r>
        <w:rPr>
          <w:sz w:val="24"/>
        </w:rPr>
        <w:t>de</w:t>
      </w:r>
      <w:r>
        <w:rPr>
          <w:spacing w:val="-21"/>
          <w:sz w:val="24"/>
        </w:rPr>
        <w:t> </w:t>
      </w:r>
      <w:r>
        <w:rPr>
          <w:sz w:val="24"/>
        </w:rPr>
        <w:t>sancionar</w:t>
      </w:r>
      <w:r>
        <w:rPr>
          <w:spacing w:val="-19"/>
          <w:sz w:val="24"/>
        </w:rPr>
        <w:t> </w:t>
      </w:r>
      <w:r>
        <w:rPr>
          <w:sz w:val="24"/>
        </w:rPr>
        <w:t>a</w:t>
      </w:r>
      <w:r>
        <w:rPr>
          <w:spacing w:val="-21"/>
          <w:sz w:val="24"/>
        </w:rPr>
        <w:t> </w:t>
      </w:r>
      <w:r>
        <w:rPr>
          <w:sz w:val="24"/>
        </w:rPr>
        <w:t>políticos</w:t>
      </w:r>
      <w:r>
        <w:rPr>
          <w:spacing w:val="-19"/>
          <w:sz w:val="24"/>
        </w:rPr>
        <w:t> </w:t>
      </w:r>
      <w:r>
        <w:rPr>
          <w:sz w:val="24"/>
        </w:rPr>
        <w:t>y</w:t>
      </w:r>
      <w:r>
        <w:rPr>
          <w:spacing w:val="-23"/>
          <w:sz w:val="24"/>
        </w:rPr>
        <w:t> </w:t>
      </w:r>
      <w:r>
        <w:rPr>
          <w:sz w:val="24"/>
        </w:rPr>
        <w:t>funcionarios en caso de que hayan violado u omitido sus deberes públicos. El término carece</w:t>
      </w:r>
      <w:r>
        <w:rPr>
          <w:spacing w:val="-20"/>
          <w:sz w:val="24"/>
        </w:rPr>
        <w:t> </w:t>
      </w:r>
      <w:r>
        <w:rPr>
          <w:sz w:val="24"/>
        </w:rPr>
        <w:t>de</w:t>
      </w:r>
      <w:r>
        <w:rPr>
          <w:spacing w:val="-20"/>
          <w:sz w:val="24"/>
        </w:rPr>
        <w:t> </w:t>
      </w:r>
      <w:r>
        <w:rPr>
          <w:sz w:val="24"/>
        </w:rPr>
        <w:t>un</w:t>
      </w:r>
      <w:r>
        <w:rPr>
          <w:spacing w:val="-20"/>
          <w:sz w:val="24"/>
        </w:rPr>
        <w:t> </w:t>
      </w:r>
      <w:r>
        <w:rPr>
          <w:sz w:val="24"/>
        </w:rPr>
        <w:t>equivalente</w:t>
      </w:r>
      <w:r>
        <w:rPr>
          <w:spacing w:val="-20"/>
          <w:sz w:val="24"/>
        </w:rPr>
        <w:t> </w:t>
      </w:r>
      <w:r>
        <w:rPr>
          <w:sz w:val="24"/>
        </w:rPr>
        <w:t>preciso</w:t>
      </w:r>
      <w:r>
        <w:rPr>
          <w:spacing w:val="-20"/>
          <w:sz w:val="24"/>
        </w:rPr>
        <w:t> </w:t>
      </w:r>
      <w:r>
        <w:rPr>
          <w:sz w:val="24"/>
        </w:rPr>
        <w:t>en</w:t>
      </w:r>
      <w:r>
        <w:rPr>
          <w:spacing w:val="-20"/>
          <w:sz w:val="24"/>
        </w:rPr>
        <w:t> </w:t>
      </w:r>
      <w:r>
        <w:rPr>
          <w:sz w:val="24"/>
        </w:rPr>
        <w:t>castellano,</w:t>
      </w:r>
      <w:r>
        <w:rPr>
          <w:spacing w:val="-17"/>
          <w:sz w:val="24"/>
        </w:rPr>
        <w:t> </w:t>
      </w:r>
      <w:r>
        <w:rPr>
          <w:sz w:val="24"/>
        </w:rPr>
        <w:t>y</w:t>
      </w:r>
      <w:r>
        <w:rPr>
          <w:spacing w:val="-21"/>
          <w:sz w:val="24"/>
        </w:rPr>
        <w:t> </w:t>
      </w:r>
      <w:r>
        <w:rPr>
          <w:sz w:val="24"/>
        </w:rPr>
        <w:t>en</w:t>
      </w:r>
      <w:r>
        <w:rPr>
          <w:spacing w:val="-20"/>
          <w:sz w:val="24"/>
        </w:rPr>
        <w:t> </w:t>
      </w:r>
      <w:r>
        <w:rPr>
          <w:sz w:val="24"/>
        </w:rPr>
        <w:t>su</w:t>
      </w:r>
      <w:r>
        <w:rPr>
          <w:spacing w:val="-20"/>
          <w:sz w:val="24"/>
        </w:rPr>
        <w:t> </w:t>
      </w:r>
      <w:r>
        <w:rPr>
          <w:sz w:val="24"/>
        </w:rPr>
        <w:t>idioma</w:t>
      </w:r>
      <w:r>
        <w:rPr>
          <w:spacing w:val="-20"/>
          <w:sz w:val="24"/>
        </w:rPr>
        <w:t> </w:t>
      </w:r>
      <w:r>
        <w:rPr>
          <w:sz w:val="24"/>
        </w:rPr>
        <w:t>describe</w:t>
      </w:r>
      <w:r>
        <w:rPr>
          <w:spacing w:val="-20"/>
          <w:sz w:val="24"/>
        </w:rPr>
        <w:t> </w:t>
      </w:r>
      <w:r>
        <w:rPr>
          <w:sz w:val="24"/>
        </w:rPr>
        <w:t>como un conjunto de actividades orientadas hacia la observancia de la</w:t>
      </w:r>
      <w:r>
        <w:rPr>
          <w:spacing w:val="-42"/>
          <w:sz w:val="24"/>
        </w:rPr>
        <w:t> </w:t>
      </w:r>
      <w:r>
        <w:rPr>
          <w:sz w:val="24"/>
        </w:rPr>
        <w:t>ley.</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left="120" w:right="115" w:firstLine="427"/>
        <w:jc w:val="both"/>
      </w:pPr>
      <w:r>
        <w:rPr/>
        <w:t>Las contralorías, entidades superiores de fiscalización, tribunales de cuentas y órganos</w:t>
      </w:r>
      <w:r>
        <w:rPr>
          <w:spacing w:val="-16"/>
        </w:rPr>
        <w:t> </w:t>
      </w:r>
      <w:r>
        <w:rPr/>
        <w:t>de</w:t>
      </w:r>
      <w:r>
        <w:rPr>
          <w:spacing w:val="-18"/>
        </w:rPr>
        <w:t> </w:t>
      </w:r>
      <w:r>
        <w:rPr/>
        <w:t>control</w:t>
      </w:r>
      <w:r>
        <w:rPr>
          <w:spacing w:val="-17"/>
        </w:rPr>
        <w:t> </w:t>
      </w:r>
      <w:r>
        <w:rPr/>
        <w:t>representan</w:t>
      </w:r>
      <w:r>
        <w:rPr>
          <w:spacing w:val="-18"/>
        </w:rPr>
        <w:t> </w:t>
      </w:r>
      <w:r>
        <w:rPr/>
        <w:t>la</w:t>
      </w:r>
      <w:r>
        <w:rPr>
          <w:spacing w:val="-18"/>
        </w:rPr>
        <w:t> </w:t>
      </w:r>
      <w:r>
        <w:rPr/>
        <w:t>disposición</w:t>
      </w:r>
      <w:r>
        <w:rPr>
          <w:spacing w:val="-18"/>
        </w:rPr>
        <w:t> </w:t>
      </w:r>
      <w:r>
        <w:rPr/>
        <w:t>del</w:t>
      </w:r>
      <w:r>
        <w:rPr>
          <w:spacing w:val="-14"/>
        </w:rPr>
        <w:t> </w:t>
      </w:r>
      <w:r>
        <w:rPr/>
        <w:t>Estado</w:t>
      </w:r>
      <w:r>
        <w:rPr>
          <w:spacing w:val="-18"/>
        </w:rPr>
        <w:t> </w:t>
      </w:r>
      <w:r>
        <w:rPr/>
        <w:t>para</w:t>
      </w:r>
      <w:r>
        <w:rPr>
          <w:spacing w:val="-18"/>
        </w:rPr>
        <w:t> </w:t>
      </w:r>
      <w:r>
        <w:rPr/>
        <w:t>rendir</w:t>
      </w:r>
      <w:r>
        <w:rPr>
          <w:spacing w:val="-16"/>
        </w:rPr>
        <w:t> </w:t>
      </w:r>
      <w:r>
        <w:rPr/>
        <w:t>cuentas,</w:t>
      </w:r>
      <w:r>
        <w:rPr>
          <w:spacing w:val="-12"/>
        </w:rPr>
        <w:t> </w:t>
      </w:r>
      <w:r>
        <w:rPr/>
        <w:t>lo</w:t>
      </w:r>
      <w:r>
        <w:rPr>
          <w:spacing w:val="-18"/>
        </w:rPr>
        <w:t> </w:t>
      </w:r>
      <w:r>
        <w:rPr/>
        <w:t>cual coadyuva al equilibrio de poderes y la</w:t>
      </w:r>
      <w:r>
        <w:rPr>
          <w:spacing w:val="-31"/>
        </w:rPr>
        <w:t> </w:t>
      </w:r>
      <w:r>
        <w:rPr/>
        <w:t>legitimación.</w:t>
      </w:r>
    </w:p>
    <w:p>
      <w:pPr>
        <w:pStyle w:val="BodyText"/>
        <w:spacing w:line="360" w:lineRule="auto" w:before="6"/>
        <w:ind w:left="120" w:right="125" w:firstLine="427"/>
        <w:jc w:val="both"/>
      </w:pPr>
      <w:r>
        <w:rPr/>
        <w:t>La rendición de cuentas debe estar supeditada a la ley (normativa) y a la razón (pública). De esta forma, la rendición de cuentas se constituirá en la antítesis del poder</w:t>
      </w:r>
      <w:r>
        <w:rPr>
          <w:spacing w:val="-1"/>
        </w:rPr>
        <w:t> </w:t>
      </w:r>
      <w:r>
        <w:rPr/>
        <w:t>monopólico</w:t>
      </w:r>
      <w:r>
        <w:rPr>
          <w:spacing w:val="-6"/>
        </w:rPr>
        <w:t> </w:t>
      </w:r>
      <w:r>
        <w:rPr/>
        <w:t>del</w:t>
      </w:r>
      <w:r>
        <w:rPr>
          <w:spacing w:val="-6"/>
        </w:rPr>
        <w:t> </w:t>
      </w:r>
      <w:r>
        <w:rPr/>
        <w:t>Estado,</w:t>
      </w:r>
      <w:r>
        <w:rPr>
          <w:spacing w:val="-4"/>
        </w:rPr>
        <w:t> </w:t>
      </w:r>
      <w:r>
        <w:rPr/>
        <w:t>donde</w:t>
      </w:r>
      <w:r>
        <w:rPr>
          <w:spacing w:val="-6"/>
        </w:rPr>
        <w:t> </w:t>
      </w:r>
      <w:r>
        <w:rPr/>
        <w:t>el</w:t>
      </w:r>
      <w:r>
        <w:rPr>
          <w:spacing w:val="-6"/>
        </w:rPr>
        <w:t> </w:t>
      </w:r>
      <w:r>
        <w:rPr/>
        <w:t>Estado</w:t>
      </w:r>
      <w:r>
        <w:rPr>
          <w:spacing w:val="-6"/>
        </w:rPr>
        <w:t> </w:t>
      </w:r>
      <w:r>
        <w:rPr/>
        <w:t>se</w:t>
      </w:r>
      <w:r>
        <w:rPr>
          <w:spacing w:val="-6"/>
        </w:rPr>
        <w:t> </w:t>
      </w:r>
      <w:r>
        <w:rPr/>
        <w:t>encuentre</w:t>
      </w:r>
      <w:r>
        <w:rPr>
          <w:spacing w:val="-6"/>
        </w:rPr>
        <w:t> </w:t>
      </w:r>
      <w:r>
        <w:rPr/>
        <w:t>obligado</w:t>
      </w:r>
      <w:r>
        <w:rPr>
          <w:spacing w:val="-6"/>
        </w:rPr>
        <w:t> </w:t>
      </w:r>
      <w:r>
        <w:rPr/>
        <w:t>a</w:t>
      </w:r>
      <w:r>
        <w:rPr>
          <w:spacing w:val="-6"/>
        </w:rPr>
        <w:t> </w:t>
      </w:r>
      <w:r>
        <w:rPr/>
        <w:t>dialogar</w:t>
      </w:r>
      <w:r>
        <w:rPr>
          <w:spacing w:val="-4"/>
        </w:rPr>
        <w:t> </w:t>
      </w:r>
      <w:r>
        <w:rPr/>
        <w:t>en un debate público, entre los actores que rinden y los que exigen, controlando así al poder.</w:t>
      </w:r>
      <w:r>
        <w:rPr>
          <w:position w:val="8"/>
          <w:sz w:val="16"/>
        </w:rPr>
        <w:t>81 </w:t>
      </w:r>
      <w:r>
        <w:rPr/>
        <w:t>La exigencia de la información por parte de los ciudadanos debe ser atendida por el Estado con información precisa y confiable, por lo que la rendición de cuentas no es solo una opción ciudadana de petición de información, sino un derecho a la crítica y al</w:t>
      </w:r>
      <w:r>
        <w:rPr>
          <w:spacing w:val="-21"/>
        </w:rPr>
        <w:t> </w:t>
      </w:r>
      <w:r>
        <w:rPr/>
        <w:t>diálogo.</w:t>
      </w:r>
    </w:p>
    <w:p>
      <w:pPr>
        <w:pStyle w:val="BodyText"/>
        <w:spacing w:line="360" w:lineRule="auto" w:before="5"/>
        <w:ind w:left="120" w:right="122" w:firstLine="427"/>
        <w:jc w:val="both"/>
      </w:pPr>
      <w:r>
        <w:rPr/>
        <w:t>Aquellos ejercicios de rendición de cuentas en los que se exponen conductas inapropiadas ante los congresos o parlamentos, sin imponer las sanciones necesarias, se considera como una rendición de cuentas laxa, donde la impunidad y la corrupción hacen que la rendición de cuentas parezca más un acto de simulación, que una restricción y vigilancia del equilibrio de poderes.</w:t>
      </w:r>
    </w:p>
    <w:p>
      <w:pPr>
        <w:pStyle w:val="BodyText"/>
        <w:spacing w:line="360" w:lineRule="auto" w:before="2"/>
        <w:ind w:left="120" w:right="117" w:firstLine="427"/>
        <w:jc w:val="both"/>
      </w:pPr>
      <w:r>
        <w:rPr/>
        <w:t>La</w:t>
      </w:r>
      <w:r>
        <w:rPr>
          <w:spacing w:val="-8"/>
        </w:rPr>
        <w:t> </w:t>
      </w:r>
      <w:r>
        <w:rPr/>
        <w:t>sanción</w:t>
      </w:r>
      <w:r>
        <w:rPr>
          <w:spacing w:val="-8"/>
        </w:rPr>
        <w:t> </w:t>
      </w:r>
      <w:r>
        <w:rPr/>
        <w:t>es</w:t>
      </w:r>
      <w:r>
        <w:rPr>
          <w:spacing w:val="-6"/>
        </w:rPr>
        <w:t> </w:t>
      </w:r>
      <w:r>
        <w:rPr/>
        <w:t>una</w:t>
      </w:r>
      <w:r>
        <w:rPr>
          <w:spacing w:val="-8"/>
        </w:rPr>
        <w:t> </w:t>
      </w:r>
      <w:r>
        <w:rPr/>
        <w:t>forma</w:t>
      </w:r>
      <w:r>
        <w:rPr>
          <w:spacing w:val="-8"/>
        </w:rPr>
        <w:t> </w:t>
      </w:r>
      <w:r>
        <w:rPr/>
        <w:t>de</w:t>
      </w:r>
      <w:r>
        <w:rPr>
          <w:spacing w:val="-8"/>
        </w:rPr>
        <w:t> </w:t>
      </w:r>
      <w:r>
        <w:rPr/>
        <w:t>combatir</w:t>
      </w:r>
      <w:r>
        <w:rPr>
          <w:spacing w:val="-6"/>
        </w:rPr>
        <w:t> </w:t>
      </w:r>
      <w:r>
        <w:rPr/>
        <w:t>la</w:t>
      </w:r>
      <w:r>
        <w:rPr>
          <w:spacing w:val="-8"/>
        </w:rPr>
        <w:t> </w:t>
      </w:r>
      <w:r>
        <w:rPr/>
        <w:t>corrupción.</w:t>
      </w:r>
      <w:r>
        <w:rPr>
          <w:spacing w:val="-5"/>
        </w:rPr>
        <w:t> </w:t>
      </w:r>
      <w:r>
        <w:rPr/>
        <w:t>El</w:t>
      </w:r>
      <w:r>
        <w:rPr>
          <w:spacing w:val="-8"/>
        </w:rPr>
        <w:t> </w:t>
      </w:r>
      <w:r>
        <w:rPr/>
        <w:t>pago</w:t>
      </w:r>
      <w:r>
        <w:rPr>
          <w:spacing w:val="-8"/>
        </w:rPr>
        <w:t> </w:t>
      </w:r>
      <w:r>
        <w:rPr/>
        <w:t>de</w:t>
      </w:r>
      <w:r>
        <w:rPr>
          <w:spacing w:val="-8"/>
        </w:rPr>
        <w:t> </w:t>
      </w:r>
      <w:r>
        <w:rPr/>
        <w:t>multas</w:t>
      </w:r>
      <w:r>
        <w:rPr>
          <w:spacing w:val="-6"/>
        </w:rPr>
        <w:t> </w:t>
      </w:r>
      <w:r>
        <w:rPr/>
        <w:t>o</w:t>
      </w:r>
      <w:r>
        <w:rPr>
          <w:spacing w:val="-8"/>
        </w:rPr>
        <w:t> </w:t>
      </w:r>
      <w:r>
        <w:rPr/>
        <w:t>pisar</w:t>
      </w:r>
      <w:r>
        <w:rPr>
          <w:spacing w:val="-6"/>
        </w:rPr>
        <w:t> </w:t>
      </w:r>
      <w:r>
        <w:rPr/>
        <w:t>la cárcel son representaciones comunes de castigo; también el despido, donde la reputación</w:t>
      </w:r>
      <w:r>
        <w:rPr>
          <w:spacing w:val="-17"/>
        </w:rPr>
        <w:t> </w:t>
      </w:r>
      <w:r>
        <w:rPr/>
        <w:t>del</w:t>
      </w:r>
      <w:r>
        <w:rPr>
          <w:spacing w:val="-16"/>
        </w:rPr>
        <w:t> </w:t>
      </w:r>
      <w:r>
        <w:rPr/>
        <w:t>funcionario</w:t>
      </w:r>
      <w:r>
        <w:rPr>
          <w:spacing w:val="-17"/>
        </w:rPr>
        <w:t> </w:t>
      </w:r>
      <w:r>
        <w:rPr/>
        <w:t>puede</w:t>
      </w:r>
      <w:r>
        <w:rPr>
          <w:spacing w:val="-17"/>
        </w:rPr>
        <w:t> </w:t>
      </w:r>
      <w:r>
        <w:rPr/>
        <w:t>terminar</w:t>
      </w:r>
      <w:r>
        <w:rPr>
          <w:spacing w:val="-16"/>
        </w:rPr>
        <w:t> </w:t>
      </w:r>
      <w:r>
        <w:rPr/>
        <w:t>con</w:t>
      </w:r>
      <w:r>
        <w:rPr>
          <w:spacing w:val="-17"/>
        </w:rPr>
        <w:t> </w:t>
      </w:r>
      <w:r>
        <w:rPr/>
        <w:t>su</w:t>
      </w:r>
      <w:r>
        <w:rPr>
          <w:spacing w:val="-17"/>
        </w:rPr>
        <w:t> </w:t>
      </w:r>
      <w:r>
        <w:rPr/>
        <w:t>carrera</w:t>
      </w:r>
      <w:r>
        <w:rPr>
          <w:spacing w:val="-17"/>
        </w:rPr>
        <w:t> </w:t>
      </w:r>
      <w:r>
        <w:rPr/>
        <w:t>pública.</w:t>
      </w:r>
      <w:r>
        <w:rPr>
          <w:spacing w:val="-15"/>
        </w:rPr>
        <w:t> </w:t>
      </w:r>
      <w:r>
        <w:rPr/>
        <w:t>La</w:t>
      </w:r>
      <w:r>
        <w:rPr>
          <w:spacing w:val="-17"/>
        </w:rPr>
        <w:t> </w:t>
      </w:r>
      <w:r>
        <w:rPr/>
        <w:t>sanción</w:t>
      </w:r>
      <w:r>
        <w:rPr>
          <w:spacing w:val="-14"/>
        </w:rPr>
        <w:t> </w:t>
      </w:r>
      <w:r>
        <w:rPr/>
        <w:t>pública implica</w:t>
      </w:r>
      <w:r>
        <w:rPr>
          <w:spacing w:val="-20"/>
        </w:rPr>
        <w:t> </w:t>
      </w:r>
      <w:r>
        <w:rPr/>
        <w:t>también</w:t>
      </w:r>
      <w:r>
        <w:rPr>
          <w:spacing w:val="-20"/>
        </w:rPr>
        <w:t> </w:t>
      </w:r>
      <w:r>
        <w:rPr/>
        <w:t>una</w:t>
      </w:r>
      <w:r>
        <w:rPr>
          <w:spacing w:val="-20"/>
        </w:rPr>
        <w:t> </w:t>
      </w:r>
      <w:r>
        <w:rPr/>
        <w:t>sanción</w:t>
      </w:r>
      <w:r>
        <w:rPr>
          <w:spacing w:val="-16"/>
        </w:rPr>
        <w:t> </w:t>
      </w:r>
      <w:r>
        <w:rPr/>
        <w:t>moral,</w:t>
      </w:r>
      <w:r>
        <w:rPr>
          <w:spacing w:val="-17"/>
        </w:rPr>
        <w:t> </w:t>
      </w:r>
      <w:r>
        <w:rPr/>
        <w:t>por</w:t>
      </w:r>
      <w:r>
        <w:rPr>
          <w:spacing w:val="-18"/>
        </w:rPr>
        <w:t> </w:t>
      </w:r>
      <w:r>
        <w:rPr/>
        <w:t>lo</w:t>
      </w:r>
      <w:r>
        <w:rPr>
          <w:spacing w:val="-20"/>
        </w:rPr>
        <w:t> </w:t>
      </w:r>
      <w:r>
        <w:rPr/>
        <w:t>que</w:t>
      </w:r>
      <w:r>
        <w:rPr>
          <w:spacing w:val="-20"/>
        </w:rPr>
        <w:t> </w:t>
      </w:r>
      <w:r>
        <w:rPr/>
        <w:t>el</w:t>
      </w:r>
      <w:r>
        <w:rPr>
          <w:spacing w:val="-14"/>
        </w:rPr>
        <w:t> </w:t>
      </w:r>
      <w:r>
        <w:rPr>
          <w:i/>
        </w:rPr>
        <w:t>enforcement</w:t>
      </w:r>
      <w:r>
        <w:rPr>
          <w:i/>
          <w:spacing w:val="-16"/>
        </w:rPr>
        <w:t> </w:t>
      </w:r>
      <w:r>
        <w:rPr/>
        <w:t>es</w:t>
      </w:r>
      <w:r>
        <w:rPr>
          <w:spacing w:val="-18"/>
        </w:rPr>
        <w:t> </w:t>
      </w:r>
      <w:r>
        <w:rPr/>
        <w:t>imprescindible</w:t>
      </w:r>
      <w:r>
        <w:rPr>
          <w:spacing w:val="-20"/>
        </w:rPr>
        <w:t> </w:t>
      </w:r>
      <w:r>
        <w:rPr/>
        <w:t>para lograr la legitimidad del</w:t>
      </w:r>
      <w:r>
        <w:rPr>
          <w:spacing w:val="-23"/>
        </w:rPr>
        <w:t> </w:t>
      </w:r>
      <w:r>
        <w:rPr/>
        <w:t>Estado.</w:t>
      </w:r>
    </w:p>
    <w:p>
      <w:pPr>
        <w:pStyle w:val="BodyText"/>
        <w:spacing w:line="357" w:lineRule="auto" w:before="6"/>
        <w:ind w:left="120" w:right="116" w:firstLine="427"/>
        <w:jc w:val="both"/>
        <w:rPr>
          <w:sz w:val="16"/>
        </w:rPr>
      </w:pPr>
      <w:r>
        <w:rPr/>
        <w:t>Las instituciones fiscalizadoras que no cuentan autoridad para sancionar o no la ejercen, limitan el ejercicio pleno de la rendición de cuentas y parecen más bien instancias de </w:t>
      </w:r>
      <w:r>
        <w:rPr>
          <w:i/>
        </w:rPr>
        <w:t>accountability light</w:t>
      </w:r>
      <w:r>
        <w:rPr/>
        <w:t>, considerada una forma blanda de rendición de cuentas, lo que convierte a éstas instituciones únicamente en actos publicitarios.</w:t>
      </w:r>
      <w:r>
        <w:rPr>
          <w:position w:val="8"/>
          <w:sz w:val="16"/>
        </w:rPr>
        <w:t>82</w:t>
      </w:r>
    </w:p>
    <w:p>
      <w:pPr>
        <w:pStyle w:val="BodyText"/>
        <w:spacing w:line="360" w:lineRule="auto" w:before="5"/>
        <w:ind w:left="120" w:right="122" w:firstLine="427"/>
        <w:jc w:val="both"/>
      </w:pPr>
      <w:r>
        <w:rPr/>
        <w:t>Si bien un Estado debe orientar sus acciones hacia la prevención de actos de corrupción, más que castigar actos indebidos, la sofisticación de la corrupción rebasa por mucho a la norma, la ética y la voluntad de la clase política. Lo anterior</w:t>
      </w:r>
    </w:p>
    <w:p>
      <w:pPr>
        <w:pStyle w:val="BodyText"/>
        <w:spacing w:before="10"/>
        <w:rPr>
          <w:sz w:val="21"/>
        </w:rPr>
      </w:pPr>
      <w:r>
        <w:rPr/>
        <w:pict>
          <v:line style="position:absolute;mso-position-horizontal-relative:page;mso-position-vertical-relative:paragraph;z-index:8392;mso-wrap-distance-left:0;mso-wrap-distance-right:0" from="85.025002pt,14.953918pt" to="229.075002pt,14.953918pt" stroked="true" strokeweight=".79999pt" strokecolor="#000000">
            <w10:wrap type="topAndBottom"/>
          </v:line>
        </w:pict>
      </w:r>
    </w:p>
    <w:p>
      <w:pPr>
        <w:spacing w:before="59"/>
        <w:ind w:left="120" w:right="0" w:firstLine="0"/>
        <w:jc w:val="both"/>
        <w:rPr>
          <w:sz w:val="16"/>
        </w:rPr>
      </w:pPr>
      <w:r>
        <w:rPr>
          <w:rFonts w:ascii="Times New Roman" w:hAnsi="Times New Roman"/>
          <w:position w:val="7"/>
          <w:sz w:val="13"/>
        </w:rPr>
        <w:t>81</w:t>
      </w:r>
      <w:r>
        <w:rPr>
          <w:sz w:val="16"/>
        </w:rPr>
        <w:t>La rendición de cuentas requiere de un marco legal y criterios políticos basados en la ética pública.</w:t>
      </w:r>
    </w:p>
    <w:p>
      <w:pPr>
        <w:spacing w:line="244" w:lineRule="auto" w:before="3"/>
        <w:ind w:left="120" w:right="116" w:firstLine="0"/>
        <w:jc w:val="both"/>
        <w:rPr>
          <w:sz w:val="16"/>
        </w:rPr>
      </w:pPr>
      <w:r>
        <w:rPr>
          <w:rFonts w:ascii="Times New Roman" w:hAnsi="Times New Roman"/>
          <w:position w:val="7"/>
          <w:sz w:val="13"/>
        </w:rPr>
        <w:t>82</w:t>
      </w:r>
      <w:r>
        <w:rPr>
          <w:sz w:val="16"/>
        </w:rPr>
        <w:t>José Ayala Espino (2000: 91) comentó que el problema de la rendición de cuentas surge como consecuencia de que los agentes gubernamentales tienen más información sobre la empresa que los funcionarios públicos (información asimétrica) y sus objetivos divergen: el gobierno desea maximizar su utilidad social, en tanto que el agente desea maximizar su utilidad individual y los administradores pueden eludir la vigilancia gubernamental.</w:t>
      </w:r>
    </w:p>
    <w:p>
      <w:pPr>
        <w:spacing w:after="0" w:line="244" w:lineRule="auto"/>
        <w:jc w:val="both"/>
        <w:rPr>
          <w:sz w:val="16"/>
        </w:rPr>
        <w:sectPr>
          <w:pgSz w:w="12240" w:h="15840"/>
          <w:pgMar w:header="0" w:footer="998" w:top="1360" w:bottom="1180" w:left="1580" w:right="1580"/>
        </w:sectPr>
      </w:pPr>
    </w:p>
    <w:p>
      <w:pPr>
        <w:pStyle w:val="BodyText"/>
        <w:spacing w:line="360" w:lineRule="auto" w:before="55"/>
        <w:ind w:left="120" w:right="221"/>
        <w:jc w:val="both"/>
      </w:pPr>
      <w:r>
        <w:rPr/>
        <w:t>sugiere una revisión de los principios de la rendición de cuentas. La rendición de cuentas contempla el principio de publicidad</w:t>
      </w:r>
      <w:r>
        <w:rPr>
          <w:position w:val="8"/>
          <w:sz w:val="16"/>
        </w:rPr>
        <w:t>83 </w:t>
      </w:r>
      <w:r>
        <w:rPr/>
        <w:t>el cual no solo se orienta a dar a conocer</w:t>
      </w:r>
      <w:r>
        <w:rPr>
          <w:spacing w:val="-15"/>
        </w:rPr>
        <w:t> </w:t>
      </w:r>
      <w:r>
        <w:rPr/>
        <w:t>a</w:t>
      </w:r>
      <w:r>
        <w:rPr>
          <w:spacing w:val="-20"/>
        </w:rPr>
        <w:t> </w:t>
      </w:r>
      <w:r>
        <w:rPr/>
        <w:t>la</w:t>
      </w:r>
      <w:r>
        <w:rPr>
          <w:spacing w:val="-20"/>
        </w:rPr>
        <w:t> </w:t>
      </w:r>
      <w:r>
        <w:rPr/>
        <w:t>sociedad</w:t>
      </w:r>
      <w:r>
        <w:rPr>
          <w:spacing w:val="-20"/>
        </w:rPr>
        <w:t> </w:t>
      </w:r>
      <w:r>
        <w:rPr/>
        <w:t>sobre</w:t>
      </w:r>
      <w:r>
        <w:rPr>
          <w:spacing w:val="-20"/>
        </w:rPr>
        <w:t> </w:t>
      </w:r>
      <w:r>
        <w:rPr/>
        <w:t>los</w:t>
      </w:r>
      <w:r>
        <w:rPr>
          <w:spacing w:val="-18"/>
        </w:rPr>
        <w:t> </w:t>
      </w:r>
      <w:r>
        <w:rPr/>
        <w:t>resultados</w:t>
      </w:r>
      <w:r>
        <w:rPr>
          <w:spacing w:val="-18"/>
        </w:rPr>
        <w:t> </w:t>
      </w:r>
      <w:r>
        <w:rPr/>
        <w:t>de</w:t>
      </w:r>
      <w:r>
        <w:rPr>
          <w:spacing w:val="-20"/>
        </w:rPr>
        <w:t> </w:t>
      </w:r>
      <w:r>
        <w:rPr/>
        <w:t>esa</w:t>
      </w:r>
      <w:r>
        <w:rPr>
          <w:spacing w:val="-20"/>
        </w:rPr>
        <w:t> </w:t>
      </w:r>
      <w:r>
        <w:rPr/>
        <w:t>actividad</w:t>
      </w:r>
      <w:r>
        <w:rPr>
          <w:spacing w:val="-20"/>
        </w:rPr>
        <w:t> </w:t>
      </w:r>
      <w:r>
        <w:rPr/>
        <w:t>del</w:t>
      </w:r>
      <w:r>
        <w:rPr>
          <w:spacing w:val="-19"/>
        </w:rPr>
        <w:t> </w:t>
      </w:r>
      <w:r>
        <w:rPr/>
        <w:t>Estado,</w:t>
      </w:r>
      <w:r>
        <w:rPr>
          <w:spacing w:val="-18"/>
        </w:rPr>
        <w:t> </w:t>
      </w:r>
      <w:r>
        <w:rPr/>
        <w:t>sino</w:t>
      </w:r>
      <w:r>
        <w:rPr>
          <w:spacing w:val="-20"/>
        </w:rPr>
        <w:t> </w:t>
      </w:r>
      <w:r>
        <w:rPr/>
        <w:t>también la sanción de actos indebidos u</w:t>
      </w:r>
      <w:r>
        <w:rPr>
          <w:spacing w:val="-23"/>
        </w:rPr>
        <w:t> </w:t>
      </w:r>
      <w:r>
        <w:rPr/>
        <w:t>omisiones.</w:t>
      </w:r>
    </w:p>
    <w:p>
      <w:pPr>
        <w:pStyle w:val="BodyText"/>
        <w:spacing w:line="360" w:lineRule="auto" w:before="2"/>
        <w:ind w:left="120" w:right="224" w:firstLine="427"/>
        <w:jc w:val="both"/>
      </w:pPr>
      <w:r>
        <w:rPr/>
        <w:t>Un ejercicio confidencial de rendición de cuentas no tiene credibilidad; sin publicidad, el poder coercitivo del Estado queda en duda. En México, por ejemplo, las declaraciones patrimoniales que exige la Ley Federal de Responsabilidades Administrativas de los Servidores Públicos otorgan la opción de proteger los datos de los servidores públicos (confidencialidad).</w:t>
      </w:r>
    </w:p>
    <w:p>
      <w:pPr>
        <w:pStyle w:val="BodyText"/>
        <w:spacing w:line="360" w:lineRule="auto" w:before="6"/>
        <w:ind w:left="120" w:right="217" w:firstLine="427"/>
        <w:jc w:val="both"/>
      </w:pPr>
      <w:r>
        <w:rPr/>
        <w:t>Cabe</w:t>
      </w:r>
      <w:r>
        <w:rPr>
          <w:spacing w:val="-19"/>
        </w:rPr>
        <w:t> </w:t>
      </w:r>
      <w:r>
        <w:rPr/>
        <w:t>señalar</w:t>
      </w:r>
      <w:r>
        <w:rPr>
          <w:spacing w:val="-18"/>
        </w:rPr>
        <w:t> </w:t>
      </w:r>
      <w:r>
        <w:rPr/>
        <w:t>que</w:t>
      </w:r>
      <w:r>
        <w:rPr>
          <w:spacing w:val="-20"/>
        </w:rPr>
        <w:t> </w:t>
      </w:r>
      <w:r>
        <w:rPr/>
        <w:t>el</w:t>
      </w:r>
      <w:r>
        <w:rPr>
          <w:spacing w:val="-19"/>
        </w:rPr>
        <w:t> </w:t>
      </w:r>
      <w:r>
        <w:rPr/>
        <w:t>control</w:t>
      </w:r>
      <w:r>
        <w:rPr>
          <w:spacing w:val="-19"/>
        </w:rPr>
        <w:t> </w:t>
      </w:r>
      <w:r>
        <w:rPr/>
        <w:t>político</w:t>
      </w:r>
      <w:r>
        <w:rPr>
          <w:spacing w:val="-16"/>
        </w:rPr>
        <w:t> </w:t>
      </w:r>
      <w:r>
        <w:rPr/>
        <w:t>mediante</w:t>
      </w:r>
      <w:r>
        <w:rPr>
          <w:spacing w:val="-16"/>
        </w:rPr>
        <w:t> </w:t>
      </w:r>
      <w:r>
        <w:rPr/>
        <w:t>la</w:t>
      </w:r>
      <w:r>
        <w:rPr>
          <w:spacing w:val="-20"/>
        </w:rPr>
        <w:t> </w:t>
      </w:r>
      <w:r>
        <w:rPr/>
        <w:t>rendición</w:t>
      </w:r>
      <w:r>
        <w:rPr>
          <w:spacing w:val="-20"/>
        </w:rPr>
        <w:t> </w:t>
      </w:r>
      <w:r>
        <w:rPr/>
        <w:t>de</w:t>
      </w:r>
      <w:r>
        <w:rPr>
          <w:spacing w:val="-20"/>
        </w:rPr>
        <w:t> </w:t>
      </w:r>
      <w:r>
        <w:rPr/>
        <w:t>cuentas</w:t>
      </w:r>
      <w:r>
        <w:rPr>
          <w:spacing w:val="-18"/>
        </w:rPr>
        <w:t> </w:t>
      </w:r>
      <w:r>
        <w:rPr/>
        <w:t>se</w:t>
      </w:r>
      <w:r>
        <w:rPr>
          <w:spacing w:val="-20"/>
        </w:rPr>
        <w:t> </w:t>
      </w:r>
      <w:r>
        <w:rPr/>
        <w:t>clasifica en interno y externo</w:t>
      </w:r>
      <w:r>
        <w:rPr>
          <w:position w:val="8"/>
          <w:sz w:val="16"/>
        </w:rPr>
        <w:t>84 </w:t>
      </w:r>
      <w:r>
        <w:rPr/>
        <w:t>por tratarse de una función eminentemente técnica, se encomienda a las instituciones de rendición de cuentas (Solares, 2004:177)</w:t>
      </w:r>
      <w:r>
        <w:rPr>
          <w:i/>
        </w:rPr>
        <w:t>. </w:t>
      </w:r>
      <w:r>
        <w:rPr/>
        <w:t>El siguiente cuadro muestra los principales criterios normativos de la rendición de cuentas, los aspectos evaluados y a quién se</w:t>
      </w:r>
      <w:r>
        <w:rPr>
          <w:spacing w:val="-29"/>
        </w:rPr>
        <w:t> </w:t>
      </w:r>
      <w:r>
        <w:rPr/>
        <w:t>juzga.</w:t>
      </w:r>
    </w:p>
    <w:p>
      <w:pPr>
        <w:pStyle w:val="BodyText"/>
      </w:pPr>
    </w:p>
    <w:p>
      <w:pPr>
        <w:spacing w:before="156"/>
        <w:ind w:left="1877" w:right="0" w:firstLine="0"/>
        <w:jc w:val="left"/>
        <w:rPr>
          <w:sz w:val="20"/>
        </w:rPr>
      </w:pPr>
      <w:bookmarkStart w:name="_bookmark62" w:id="84"/>
      <w:bookmarkEnd w:id="84"/>
      <w:r>
        <w:rPr/>
      </w:r>
      <w:r>
        <w:rPr>
          <w:sz w:val="20"/>
        </w:rPr>
        <w:t>Cuadro 3. 3. Criterios normativos de la rendición de cuentas</w:t>
      </w:r>
    </w:p>
    <w:p>
      <w:pPr>
        <w:pStyle w:val="BodyText"/>
        <w:spacing w:before="6"/>
        <w:rPr>
          <w:sz w:val="17"/>
        </w:rPr>
      </w:pPr>
    </w:p>
    <w:tbl>
      <w:tblPr>
        <w:tblW w:w="0" w:type="auto"/>
        <w:jc w:val="left"/>
        <w:tblInd w:w="23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5"/>
        <w:gridCol w:w="3685"/>
        <w:gridCol w:w="3121"/>
      </w:tblGrid>
      <w:tr>
        <w:trPr>
          <w:trHeight w:val="352" w:hRule="exact"/>
        </w:trPr>
        <w:tc>
          <w:tcPr>
            <w:tcW w:w="1985" w:type="dxa"/>
            <w:tcBorders>
              <w:top w:val="single" w:sz="11" w:space="0" w:color="C0C0C0"/>
              <w:left w:val="single" w:sz="11" w:space="0" w:color="C0C0C0"/>
              <w:bottom w:val="single" w:sz="11" w:space="0" w:color="C0C0C0"/>
              <w:right w:val="single" w:sz="11" w:space="0" w:color="C0C0C0"/>
            </w:tcBorders>
          </w:tcPr>
          <w:p>
            <w:pPr>
              <w:pStyle w:val="TableParagraph"/>
              <w:spacing w:line="160" w:lineRule="exact"/>
              <w:ind w:left="590" w:right="576" w:firstLine="100"/>
              <w:rPr>
                <w:b/>
                <w:sz w:val="14"/>
              </w:rPr>
            </w:pPr>
            <w:r>
              <w:rPr>
                <w:b/>
                <w:sz w:val="14"/>
              </w:rPr>
              <w:t>Criterios Normativos</w:t>
            </w:r>
          </w:p>
        </w:tc>
        <w:tc>
          <w:tcPr>
            <w:tcW w:w="3685" w:type="dxa"/>
            <w:tcBorders>
              <w:top w:val="single" w:sz="11" w:space="0" w:color="C0C0C0"/>
              <w:left w:val="single" w:sz="11" w:space="0" w:color="C0C0C0"/>
              <w:bottom w:val="single" w:sz="11" w:space="0" w:color="C0C0C0"/>
              <w:right w:val="single" w:sz="11" w:space="0" w:color="C0C0C0"/>
            </w:tcBorders>
          </w:tcPr>
          <w:p>
            <w:pPr>
              <w:pStyle w:val="TableParagraph"/>
              <w:spacing w:before="76"/>
              <w:ind w:left="1130"/>
              <w:rPr>
                <w:b/>
                <w:sz w:val="14"/>
              </w:rPr>
            </w:pPr>
            <w:r>
              <w:rPr>
                <w:b/>
                <w:sz w:val="14"/>
              </w:rPr>
              <w:t>Aspectos que evalúa</w:t>
            </w:r>
          </w:p>
        </w:tc>
        <w:tc>
          <w:tcPr>
            <w:tcW w:w="3121" w:type="dxa"/>
            <w:tcBorders>
              <w:top w:val="single" w:sz="11" w:space="0" w:color="C0C0C0"/>
              <w:left w:val="single" w:sz="11" w:space="0" w:color="C0C0C0"/>
              <w:bottom w:val="single" w:sz="11" w:space="0" w:color="C0C0C0"/>
              <w:right w:val="single" w:sz="11" w:space="0" w:color="C0C0C0"/>
            </w:tcBorders>
          </w:tcPr>
          <w:p>
            <w:pPr>
              <w:pStyle w:val="TableParagraph"/>
              <w:spacing w:before="76"/>
              <w:ind w:left="1041" w:right="1047"/>
              <w:jc w:val="center"/>
              <w:rPr>
                <w:b/>
                <w:sz w:val="14"/>
              </w:rPr>
            </w:pPr>
            <w:r>
              <w:rPr>
                <w:b/>
                <w:sz w:val="14"/>
              </w:rPr>
              <w:t>¿Quién juzga?</w:t>
            </w:r>
          </w:p>
        </w:tc>
      </w:tr>
      <w:tr>
        <w:trPr>
          <w:trHeight w:val="826" w:hRule="exact"/>
        </w:trPr>
        <w:tc>
          <w:tcPr>
            <w:tcW w:w="1985" w:type="dxa"/>
            <w:tcBorders>
              <w:top w:val="single" w:sz="11" w:space="0" w:color="C0C0C0"/>
            </w:tcBorders>
          </w:tcPr>
          <w:p>
            <w:pPr>
              <w:pStyle w:val="TableParagraph"/>
              <w:rPr>
                <w:sz w:val="14"/>
              </w:rPr>
            </w:pPr>
          </w:p>
          <w:p>
            <w:pPr>
              <w:pStyle w:val="TableParagraph"/>
              <w:spacing w:before="10"/>
              <w:rPr>
                <w:sz w:val="13"/>
              </w:rPr>
            </w:pPr>
          </w:p>
          <w:p>
            <w:pPr>
              <w:pStyle w:val="TableParagraph"/>
              <w:ind w:left="103" w:right="95"/>
              <w:rPr>
                <w:sz w:val="14"/>
              </w:rPr>
            </w:pPr>
            <w:r>
              <w:rPr>
                <w:sz w:val="14"/>
              </w:rPr>
              <w:t>a) Políticos.</w:t>
            </w:r>
          </w:p>
        </w:tc>
        <w:tc>
          <w:tcPr>
            <w:tcW w:w="3685" w:type="dxa"/>
            <w:tcBorders>
              <w:top w:val="single" w:sz="11" w:space="0" w:color="C0C0C0"/>
            </w:tcBorders>
          </w:tcPr>
          <w:p>
            <w:pPr>
              <w:pStyle w:val="TableParagraph"/>
              <w:numPr>
                <w:ilvl w:val="0"/>
                <w:numId w:val="51"/>
              </w:numPr>
              <w:tabs>
                <w:tab w:pos="565" w:val="left" w:leader="none"/>
              </w:tabs>
              <w:spacing w:line="160" w:lineRule="exact" w:before="0" w:after="0"/>
              <w:ind w:left="564" w:right="0" w:hanging="284"/>
              <w:jc w:val="left"/>
              <w:rPr>
                <w:sz w:val="14"/>
              </w:rPr>
            </w:pPr>
            <w:r>
              <w:rPr>
                <w:sz w:val="14"/>
              </w:rPr>
              <w:t>Toma de</w:t>
            </w:r>
            <w:r>
              <w:rPr>
                <w:spacing w:val="-16"/>
                <w:sz w:val="14"/>
              </w:rPr>
              <w:t> </w:t>
            </w:r>
            <w:r>
              <w:rPr>
                <w:sz w:val="14"/>
              </w:rPr>
              <w:t>decisiones.</w:t>
            </w:r>
          </w:p>
          <w:p>
            <w:pPr>
              <w:pStyle w:val="TableParagraph"/>
              <w:numPr>
                <w:ilvl w:val="0"/>
                <w:numId w:val="51"/>
              </w:numPr>
              <w:tabs>
                <w:tab w:pos="565" w:val="left" w:leader="none"/>
              </w:tabs>
              <w:spacing w:line="160" w:lineRule="exact" w:before="0" w:after="0"/>
              <w:ind w:left="564" w:right="0" w:hanging="284"/>
              <w:jc w:val="left"/>
              <w:rPr>
                <w:sz w:val="14"/>
              </w:rPr>
            </w:pPr>
            <w:r>
              <w:rPr>
                <w:sz w:val="14"/>
              </w:rPr>
              <w:t>Resultados</w:t>
            </w:r>
            <w:r>
              <w:rPr>
                <w:spacing w:val="-6"/>
                <w:sz w:val="14"/>
              </w:rPr>
              <w:t> </w:t>
            </w:r>
            <w:r>
              <w:rPr>
                <w:sz w:val="14"/>
              </w:rPr>
              <w:t>sustantivos</w:t>
            </w:r>
            <w:r>
              <w:rPr>
                <w:spacing w:val="-6"/>
                <w:sz w:val="14"/>
              </w:rPr>
              <w:t> </w:t>
            </w:r>
            <w:r>
              <w:rPr>
                <w:sz w:val="14"/>
              </w:rPr>
              <w:t>de</w:t>
            </w:r>
            <w:r>
              <w:rPr>
                <w:spacing w:val="-9"/>
                <w:sz w:val="14"/>
              </w:rPr>
              <w:t> </w:t>
            </w:r>
            <w:r>
              <w:rPr>
                <w:sz w:val="14"/>
              </w:rPr>
              <w:t>las</w:t>
            </w:r>
            <w:r>
              <w:rPr>
                <w:spacing w:val="-6"/>
                <w:sz w:val="14"/>
              </w:rPr>
              <w:t> </w:t>
            </w:r>
            <w:r>
              <w:rPr>
                <w:sz w:val="14"/>
              </w:rPr>
              <w:t>políticas</w:t>
            </w:r>
            <w:r>
              <w:rPr>
                <w:spacing w:val="-6"/>
                <w:sz w:val="14"/>
              </w:rPr>
              <w:t> </w:t>
            </w:r>
            <w:r>
              <w:rPr>
                <w:sz w:val="14"/>
              </w:rPr>
              <w:t>públicas.</w:t>
            </w:r>
          </w:p>
          <w:p>
            <w:pPr>
              <w:pStyle w:val="TableParagraph"/>
              <w:numPr>
                <w:ilvl w:val="0"/>
                <w:numId w:val="51"/>
              </w:numPr>
              <w:tabs>
                <w:tab w:pos="565" w:val="left" w:leader="none"/>
              </w:tabs>
              <w:spacing w:line="240" w:lineRule="auto" w:before="0" w:after="0"/>
              <w:ind w:left="564" w:right="108" w:hanging="284"/>
              <w:jc w:val="left"/>
              <w:rPr>
                <w:sz w:val="14"/>
              </w:rPr>
            </w:pPr>
            <w:r>
              <w:rPr>
                <w:sz w:val="14"/>
              </w:rPr>
              <w:t>Calidades</w:t>
            </w:r>
            <w:r>
              <w:rPr>
                <w:spacing w:val="-10"/>
                <w:sz w:val="14"/>
              </w:rPr>
              <w:t> </w:t>
            </w:r>
            <w:r>
              <w:rPr>
                <w:sz w:val="14"/>
              </w:rPr>
              <w:t>y</w:t>
            </w:r>
            <w:r>
              <w:rPr>
                <w:spacing w:val="-12"/>
                <w:sz w:val="14"/>
              </w:rPr>
              <w:t> </w:t>
            </w:r>
            <w:r>
              <w:rPr>
                <w:sz w:val="14"/>
              </w:rPr>
              <w:t>capacidades</w:t>
            </w:r>
            <w:r>
              <w:rPr>
                <w:spacing w:val="-7"/>
                <w:sz w:val="14"/>
              </w:rPr>
              <w:t> </w:t>
            </w:r>
            <w:r>
              <w:rPr>
                <w:sz w:val="14"/>
              </w:rPr>
              <w:t>personales</w:t>
            </w:r>
            <w:r>
              <w:rPr>
                <w:spacing w:val="-7"/>
                <w:sz w:val="14"/>
              </w:rPr>
              <w:t> </w:t>
            </w:r>
            <w:r>
              <w:rPr>
                <w:sz w:val="14"/>
              </w:rPr>
              <w:t>de</w:t>
            </w:r>
            <w:r>
              <w:rPr>
                <w:spacing w:val="-12"/>
                <w:sz w:val="14"/>
              </w:rPr>
              <w:t> </w:t>
            </w:r>
            <w:r>
              <w:rPr>
                <w:sz w:val="14"/>
              </w:rPr>
              <w:t>políticos y</w:t>
            </w:r>
            <w:r>
              <w:rPr>
                <w:spacing w:val="-12"/>
                <w:sz w:val="14"/>
              </w:rPr>
              <w:t> </w:t>
            </w:r>
            <w:r>
              <w:rPr>
                <w:sz w:val="14"/>
              </w:rPr>
              <w:t>funcionarios.</w:t>
            </w:r>
          </w:p>
          <w:p>
            <w:pPr>
              <w:pStyle w:val="TableParagraph"/>
              <w:numPr>
                <w:ilvl w:val="0"/>
                <w:numId w:val="51"/>
              </w:numPr>
              <w:tabs>
                <w:tab w:pos="565" w:val="left" w:leader="none"/>
              </w:tabs>
              <w:spacing w:line="240" w:lineRule="auto" w:before="3" w:after="0"/>
              <w:ind w:left="564" w:right="0" w:hanging="284"/>
              <w:jc w:val="left"/>
              <w:rPr>
                <w:sz w:val="14"/>
              </w:rPr>
            </w:pPr>
            <w:r>
              <w:rPr>
                <w:sz w:val="14"/>
              </w:rPr>
              <w:t>Responsabilidad legal y</w:t>
            </w:r>
            <w:r>
              <w:rPr>
                <w:spacing w:val="-26"/>
                <w:sz w:val="14"/>
              </w:rPr>
              <w:t> </w:t>
            </w:r>
            <w:r>
              <w:rPr>
                <w:sz w:val="14"/>
              </w:rPr>
              <w:t>política.</w:t>
            </w:r>
          </w:p>
        </w:tc>
        <w:tc>
          <w:tcPr>
            <w:tcW w:w="3121" w:type="dxa"/>
            <w:tcBorders>
              <w:top w:val="single" w:sz="11" w:space="0" w:color="C0C0C0"/>
            </w:tcBorders>
          </w:tcPr>
          <w:p>
            <w:pPr>
              <w:pStyle w:val="TableParagraph"/>
              <w:numPr>
                <w:ilvl w:val="0"/>
                <w:numId w:val="52"/>
              </w:numPr>
              <w:tabs>
                <w:tab w:pos="509" w:val="left" w:leader="none"/>
              </w:tabs>
              <w:spacing w:line="160" w:lineRule="exact" w:before="0" w:after="0"/>
              <w:ind w:left="508" w:right="0" w:hanging="284"/>
              <w:jc w:val="left"/>
              <w:rPr>
                <w:sz w:val="14"/>
              </w:rPr>
            </w:pPr>
            <w:r>
              <w:rPr>
                <w:sz w:val="14"/>
              </w:rPr>
              <w:t>Sociedad.</w:t>
            </w:r>
          </w:p>
          <w:p>
            <w:pPr>
              <w:pStyle w:val="TableParagraph"/>
              <w:numPr>
                <w:ilvl w:val="0"/>
                <w:numId w:val="52"/>
              </w:numPr>
              <w:tabs>
                <w:tab w:pos="509" w:val="left" w:leader="none"/>
              </w:tabs>
              <w:spacing w:line="160" w:lineRule="exact" w:before="0" w:after="0"/>
              <w:ind w:left="508" w:right="0" w:hanging="284"/>
              <w:jc w:val="left"/>
              <w:rPr>
                <w:sz w:val="14"/>
              </w:rPr>
            </w:pPr>
            <w:r>
              <w:rPr>
                <w:sz w:val="14"/>
              </w:rPr>
              <w:t>Entidades de</w:t>
            </w:r>
            <w:r>
              <w:rPr>
                <w:spacing w:val="-22"/>
                <w:sz w:val="14"/>
              </w:rPr>
              <w:t> </w:t>
            </w:r>
            <w:r>
              <w:rPr>
                <w:sz w:val="14"/>
              </w:rPr>
              <w:t>fiscalización.</w:t>
            </w:r>
          </w:p>
          <w:p>
            <w:pPr>
              <w:pStyle w:val="TableParagraph"/>
              <w:numPr>
                <w:ilvl w:val="0"/>
                <w:numId w:val="52"/>
              </w:numPr>
              <w:tabs>
                <w:tab w:pos="509" w:val="left" w:leader="none"/>
              </w:tabs>
              <w:spacing w:line="160" w:lineRule="exact" w:before="0" w:after="0"/>
              <w:ind w:left="508" w:right="0" w:hanging="284"/>
              <w:jc w:val="left"/>
              <w:rPr>
                <w:sz w:val="14"/>
              </w:rPr>
            </w:pPr>
            <w:r>
              <w:rPr>
                <w:sz w:val="14"/>
              </w:rPr>
              <w:t>Medios de</w:t>
            </w:r>
            <w:r>
              <w:rPr>
                <w:spacing w:val="-18"/>
                <w:sz w:val="14"/>
              </w:rPr>
              <w:t> </w:t>
            </w:r>
            <w:r>
              <w:rPr>
                <w:sz w:val="14"/>
              </w:rPr>
              <w:t>comunicación.</w:t>
            </w:r>
          </w:p>
        </w:tc>
      </w:tr>
      <w:tr>
        <w:trPr>
          <w:trHeight w:val="652" w:hRule="exact"/>
        </w:trPr>
        <w:tc>
          <w:tcPr>
            <w:tcW w:w="1985" w:type="dxa"/>
          </w:tcPr>
          <w:p>
            <w:pPr>
              <w:pStyle w:val="TableParagraph"/>
              <w:spacing w:before="11"/>
              <w:rPr>
                <w:sz w:val="20"/>
              </w:rPr>
            </w:pPr>
          </w:p>
          <w:p>
            <w:pPr>
              <w:pStyle w:val="TableParagraph"/>
              <w:ind w:left="103" w:right="95"/>
              <w:rPr>
                <w:sz w:val="14"/>
              </w:rPr>
            </w:pPr>
            <w:r>
              <w:rPr>
                <w:sz w:val="14"/>
              </w:rPr>
              <w:t>b) Administrativos.</w:t>
            </w:r>
          </w:p>
        </w:tc>
        <w:tc>
          <w:tcPr>
            <w:tcW w:w="3685" w:type="dxa"/>
          </w:tcPr>
          <w:p>
            <w:pPr>
              <w:pStyle w:val="TableParagraph"/>
              <w:numPr>
                <w:ilvl w:val="0"/>
                <w:numId w:val="53"/>
              </w:numPr>
              <w:tabs>
                <w:tab w:pos="565" w:val="left" w:leader="none"/>
              </w:tabs>
              <w:spacing w:line="244" w:lineRule="auto" w:before="0" w:after="0"/>
              <w:ind w:left="564" w:right="107" w:hanging="284"/>
              <w:jc w:val="left"/>
              <w:rPr>
                <w:sz w:val="14"/>
              </w:rPr>
            </w:pPr>
            <w:r>
              <w:rPr>
                <w:sz w:val="14"/>
              </w:rPr>
              <w:t>Actos burocráticos si cumplen con los procedimientos</w:t>
            </w:r>
            <w:r>
              <w:rPr>
                <w:spacing w:val="-19"/>
                <w:sz w:val="14"/>
              </w:rPr>
              <w:t> </w:t>
            </w:r>
            <w:r>
              <w:rPr>
                <w:sz w:val="14"/>
              </w:rPr>
              <w:t>establecidos.</w:t>
            </w:r>
          </w:p>
          <w:p>
            <w:pPr>
              <w:pStyle w:val="TableParagraph"/>
              <w:numPr>
                <w:ilvl w:val="0"/>
                <w:numId w:val="53"/>
              </w:numPr>
              <w:tabs>
                <w:tab w:pos="565" w:val="left" w:leader="none"/>
              </w:tabs>
              <w:spacing w:line="237" w:lineRule="auto" w:before="0" w:after="0"/>
              <w:ind w:left="564" w:right="106" w:hanging="284"/>
              <w:jc w:val="left"/>
              <w:rPr>
                <w:sz w:val="14"/>
              </w:rPr>
            </w:pPr>
            <w:r>
              <w:rPr>
                <w:sz w:val="14"/>
              </w:rPr>
              <w:t>Que los </w:t>
            </w:r>
            <w:r>
              <w:rPr>
                <w:spacing w:val="-3"/>
                <w:sz w:val="14"/>
              </w:rPr>
              <w:t>actos </w:t>
            </w:r>
            <w:r>
              <w:rPr>
                <w:spacing w:val="2"/>
                <w:sz w:val="14"/>
              </w:rPr>
              <w:t>se </w:t>
            </w:r>
            <w:r>
              <w:rPr>
                <w:sz w:val="14"/>
              </w:rPr>
              <w:t>realicen con eficacia, eficiencia y</w:t>
            </w:r>
            <w:r>
              <w:rPr>
                <w:spacing w:val="-10"/>
                <w:sz w:val="14"/>
              </w:rPr>
              <w:t> </w:t>
            </w:r>
            <w:r>
              <w:rPr>
                <w:sz w:val="14"/>
              </w:rPr>
              <w:t>economía.</w:t>
            </w:r>
          </w:p>
        </w:tc>
        <w:tc>
          <w:tcPr>
            <w:tcW w:w="3121" w:type="dxa"/>
          </w:tcPr>
          <w:p>
            <w:pPr>
              <w:pStyle w:val="TableParagraph"/>
              <w:numPr>
                <w:ilvl w:val="0"/>
                <w:numId w:val="54"/>
              </w:numPr>
              <w:tabs>
                <w:tab w:pos="509" w:val="left" w:leader="none"/>
              </w:tabs>
              <w:spacing w:line="158" w:lineRule="exact" w:before="0" w:after="0"/>
              <w:ind w:left="508" w:right="0" w:hanging="284"/>
              <w:jc w:val="left"/>
              <w:rPr>
                <w:sz w:val="14"/>
              </w:rPr>
            </w:pPr>
            <w:r>
              <w:rPr>
                <w:sz w:val="14"/>
              </w:rPr>
              <w:t>Agencias públicas</w:t>
            </w:r>
            <w:r>
              <w:rPr>
                <w:spacing w:val="-25"/>
                <w:sz w:val="14"/>
              </w:rPr>
              <w:t> </w:t>
            </w:r>
            <w:r>
              <w:rPr>
                <w:sz w:val="14"/>
              </w:rPr>
              <w:t>especializada.</w:t>
            </w:r>
          </w:p>
          <w:p>
            <w:pPr>
              <w:pStyle w:val="TableParagraph"/>
              <w:numPr>
                <w:ilvl w:val="0"/>
                <w:numId w:val="54"/>
              </w:numPr>
              <w:tabs>
                <w:tab w:pos="509" w:val="left" w:leader="none"/>
              </w:tabs>
              <w:spacing w:line="160" w:lineRule="exact" w:before="3" w:after="0"/>
              <w:ind w:left="508" w:right="0" w:hanging="284"/>
              <w:jc w:val="left"/>
              <w:rPr>
                <w:sz w:val="14"/>
              </w:rPr>
            </w:pPr>
            <w:r>
              <w:rPr>
                <w:sz w:val="14"/>
              </w:rPr>
              <w:t>Órganos internos de</w:t>
            </w:r>
            <w:r>
              <w:rPr>
                <w:spacing w:val="-19"/>
                <w:sz w:val="14"/>
              </w:rPr>
              <w:t> </w:t>
            </w:r>
            <w:r>
              <w:rPr>
                <w:sz w:val="14"/>
              </w:rPr>
              <w:t>control.</w:t>
            </w:r>
          </w:p>
          <w:p>
            <w:pPr>
              <w:pStyle w:val="TableParagraph"/>
              <w:numPr>
                <w:ilvl w:val="0"/>
                <w:numId w:val="54"/>
              </w:numPr>
              <w:tabs>
                <w:tab w:pos="509" w:val="left" w:leader="none"/>
              </w:tabs>
              <w:spacing w:line="240" w:lineRule="auto" w:before="0" w:after="0"/>
              <w:ind w:left="508" w:right="108" w:hanging="284"/>
              <w:jc w:val="left"/>
              <w:rPr>
                <w:sz w:val="14"/>
              </w:rPr>
            </w:pPr>
            <w:r>
              <w:rPr>
                <w:sz w:val="14"/>
              </w:rPr>
              <w:t>Entidades de fiscalización internas y externas. Auditorías exante y</w:t>
            </w:r>
            <w:r>
              <w:rPr>
                <w:spacing w:val="-25"/>
                <w:sz w:val="14"/>
              </w:rPr>
              <w:t> </w:t>
            </w:r>
            <w:r>
              <w:rPr>
                <w:sz w:val="14"/>
              </w:rPr>
              <w:t>expost.</w:t>
            </w:r>
          </w:p>
        </w:tc>
      </w:tr>
      <w:tr>
        <w:trPr>
          <w:trHeight w:val="496" w:hRule="exact"/>
        </w:trPr>
        <w:tc>
          <w:tcPr>
            <w:tcW w:w="1985" w:type="dxa"/>
          </w:tcPr>
          <w:p>
            <w:pPr>
              <w:pStyle w:val="TableParagraph"/>
              <w:spacing w:before="11"/>
              <w:rPr>
                <w:sz w:val="13"/>
              </w:rPr>
            </w:pPr>
          </w:p>
          <w:p>
            <w:pPr>
              <w:pStyle w:val="TableParagraph"/>
              <w:ind w:left="103" w:right="95"/>
              <w:rPr>
                <w:sz w:val="14"/>
              </w:rPr>
            </w:pPr>
            <w:r>
              <w:rPr>
                <w:sz w:val="14"/>
              </w:rPr>
              <w:t>c) Profesionales.</w:t>
            </w:r>
          </w:p>
        </w:tc>
        <w:tc>
          <w:tcPr>
            <w:tcW w:w="3685" w:type="dxa"/>
          </w:tcPr>
          <w:p>
            <w:pPr>
              <w:pStyle w:val="TableParagraph"/>
              <w:tabs>
                <w:tab w:pos="1176" w:val="left" w:leader="none"/>
                <w:tab w:pos="1507" w:val="left" w:leader="none"/>
                <w:tab w:pos="2347" w:val="left" w:leader="none"/>
                <w:tab w:pos="2726" w:val="left" w:leader="none"/>
                <w:tab w:pos="3414" w:val="left" w:leader="none"/>
              </w:tabs>
              <w:spacing w:before="1"/>
              <w:ind w:left="564" w:right="103" w:hanging="284"/>
              <w:rPr>
                <w:sz w:val="14"/>
              </w:rPr>
            </w:pPr>
            <w:r>
              <w:rPr>
                <w:sz w:val="14"/>
              </w:rPr>
              <w:t>1.   </w:t>
            </w:r>
            <w:r>
              <w:rPr>
                <w:spacing w:val="4"/>
                <w:sz w:val="14"/>
              </w:rPr>
              <w:t> </w:t>
            </w:r>
            <w:r>
              <w:rPr>
                <w:sz w:val="14"/>
              </w:rPr>
              <w:t>Vigilar</w:t>
              <w:tab/>
              <w:t>la</w:t>
              <w:tab/>
              <w:t>aplicación</w:t>
              <w:tab/>
              <w:t>de</w:t>
              <w:tab/>
              <w:t>normas</w:t>
              <w:tab/>
              <w:t>de profesionalismo.</w:t>
            </w:r>
          </w:p>
        </w:tc>
        <w:tc>
          <w:tcPr>
            <w:tcW w:w="3121" w:type="dxa"/>
          </w:tcPr>
          <w:p>
            <w:pPr>
              <w:pStyle w:val="TableParagraph"/>
              <w:numPr>
                <w:ilvl w:val="0"/>
                <w:numId w:val="55"/>
              </w:numPr>
              <w:tabs>
                <w:tab w:pos="509" w:val="left" w:leader="none"/>
              </w:tabs>
              <w:spacing w:line="160" w:lineRule="exact" w:before="1" w:after="0"/>
              <w:ind w:left="508" w:right="0" w:hanging="284"/>
              <w:jc w:val="left"/>
              <w:rPr>
                <w:sz w:val="14"/>
              </w:rPr>
            </w:pPr>
            <w:r>
              <w:rPr>
                <w:sz w:val="14"/>
              </w:rPr>
              <w:t>Entidades</w:t>
            </w:r>
            <w:r>
              <w:rPr>
                <w:spacing w:val="-17"/>
                <w:sz w:val="14"/>
              </w:rPr>
              <w:t> </w:t>
            </w:r>
            <w:r>
              <w:rPr>
                <w:sz w:val="14"/>
              </w:rPr>
              <w:t>públicas.</w:t>
            </w:r>
          </w:p>
          <w:p>
            <w:pPr>
              <w:pStyle w:val="TableParagraph"/>
              <w:numPr>
                <w:ilvl w:val="0"/>
                <w:numId w:val="55"/>
              </w:numPr>
              <w:tabs>
                <w:tab w:pos="509" w:val="left" w:leader="none"/>
              </w:tabs>
              <w:spacing w:line="160" w:lineRule="exact" w:before="0" w:after="0"/>
              <w:ind w:left="508" w:right="0" w:hanging="284"/>
              <w:jc w:val="left"/>
              <w:rPr>
                <w:sz w:val="14"/>
              </w:rPr>
            </w:pPr>
            <w:r>
              <w:rPr>
                <w:sz w:val="14"/>
              </w:rPr>
              <w:t>Medios de</w:t>
            </w:r>
            <w:r>
              <w:rPr>
                <w:spacing w:val="-18"/>
                <w:sz w:val="14"/>
              </w:rPr>
              <w:t> </w:t>
            </w:r>
            <w:r>
              <w:rPr>
                <w:sz w:val="14"/>
              </w:rPr>
              <w:t>comunicación.</w:t>
            </w:r>
          </w:p>
          <w:p>
            <w:pPr>
              <w:pStyle w:val="TableParagraph"/>
              <w:numPr>
                <w:ilvl w:val="0"/>
                <w:numId w:val="55"/>
              </w:numPr>
              <w:tabs>
                <w:tab w:pos="509" w:val="left" w:leader="none"/>
              </w:tabs>
              <w:spacing w:line="160" w:lineRule="exact" w:before="0" w:after="0"/>
              <w:ind w:left="508" w:right="0" w:hanging="284"/>
              <w:jc w:val="left"/>
              <w:rPr>
                <w:sz w:val="14"/>
              </w:rPr>
            </w:pPr>
            <w:r>
              <w:rPr>
                <w:sz w:val="14"/>
              </w:rPr>
              <w:t>Entidades de</w:t>
            </w:r>
            <w:r>
              <w:rPr>
                <w:spacing w:val="-22"/>
                <w:sz w:val="14"/>
              </w:rPr>
              <w:t> </w:t>
            </w:r>
            <w:r>
              <w:rPr>
                <w:sz w:val="14"/>
              </w:rPr>
              <w:t>fiscalización.</w:t>
            </w:r>
          </w:p>
        </w:tc>
      </w:tr>
      <w:tr>
        <w:trPr>
          <w:trHeight w:val="492" w:hRule="exact"/>
        </w:trPr>
        <w:tc>
          <w:tcPr>
            <w:tcW w:w="1985" w:type="dxa"/>
          </w:tcPr>
          <w:p>
            <w:pPr>
              <w:pStyle w:val="TableParagraph"/>
              <w:spacing w:before="77"/>
              <w:ind w:left="103" w:right="95"/>
              <w:rPr>
                <w:sz w:val="14"/>
              </w:rPr>
            </w:pPr>
            <w:r>
              <w:rPr>
                <w:sz w:val="14"/>
              </w:rPr>
              <w:t>d) Legales y constitucionales.</w:t>
            </w:r>
          </w:p>
        </w:tc>
        <w:tc>
          <w:tcPr>
            <w:tcW w:w="3685" w:type="dxa"/>
          </w:tcPr>
          <w:p>
            <w:pPr>
              <w:pStyle w:val="TableParagraph"/>
              <w:numPr>
                <w:ilvl w:val="0"/>
                <w:numId w:val="56"/>
              </w:numPr>
              <w:tabs>
                <w:tab w:pos="565" w:val="left" w:leader="none"/>
              </w:tabs>
              <w:spacing w:line="157" w:lineRule="exact" w:before="0" w:after="0"/>
              <w:ind w:left="564" w:right="0" w:hanging="284"/>
              <w:jc w:val="left"/>
              <w:rPr>
                <w:sz w:val="14"/>
              </w:rPr>
            </w:pPr>
            <w:r>
              <w:rPr>
                <w:sz w:val="14"/>
              </w:rPr>
              <w:t>Cumplimiento de las</w:t>
            </w:r>
            <w:r>
              <w:rPr>
                <w:spacing w:val="-17"/>
                <w:sz w:val="14"/>
              </w:rPr>
              <w:t> </w:t>
            </w:r>
            <w:r>
              <w:rPr>
                <w:sz w:val="14"/>
              </w:rPr>
              <w:t>leyes.</w:t>
            </w:r>
          </w:p>
          <w:p>
            <w:pPr>
              <w:pStyle w:val="TableParagraph"/>
              <w:numPr>
                <w:ilvl w:val="0"/>
                <w:numId w:val="56"/>
              </w:numPr>
              <w:tabs>
                <w:tab w:pos="565" w:val="left" w:leader="none"/>
              </w:tabs>
              <w:spacing w:line="244" w:lineRule="auto" w:before="0" w:after="0"/>
              <w:ind w:left="564" w:right="107" w:hanging="284"/>
              <w:jc w:val="left"/>
              <w:rPr>
                <w:sz w:val="14"/>
              </w:rPr>
            </w:pPr>
            <w:r>
              <w:rPr>
                <w:sz w:val="14"/>
              </w:rPr>
              <w:t>Que los actos legislativos sean acordes con las constituciones.</w:t>
            </w:r>
          </w:p>
        </w:tc>
        <w:tc>
          <w:tcPr>
            <w:tcW w:w="3121" w:type="dxa"/>
          </w:tcPr>
          <w:p>
            <w:pPr>
              <w:pStyle w:val="TableParagraph"/>
              <w:numPr>
                <w:ilvl w:val="0"/>
                <w:numId w:val="57"/>
              </w:numPr>
              <w:tabs>
                <w:tab w:pos="509" w:val="left" w:leader="none"/>
              </w:tabs>
              <w:spacing w:line="157" w:lineRule="exact" w:before="0" w:after="0"/>
              <w:ind w:left="508" w:right="0" w:hanging="284"/>
              <w:jc w:val="left"/>
              <w:rPr>
                <w:sz w:val="14"/>
              </w:rPr>
            </w:pPr>
            <w:r>
              <w:rPr>
                <w:sz w:val="14"/>
              </w:rPr>
              <w:t>Cortes</w:t>
            </w:r>
            <w:r>
              <w:rPr>
                <w:spacing w:val="-14"/>
                <w:sz w:val="14"/>
              </w:rPr>
              <w:t> </w:t>
            </w:r>
            <w:r>
              <w:rPr>
                <w:sz w:val="14"/>
              </w:rPr>
              <w:t>judiciales.</w:t>
            </w:r>
          </w:p>
          <w:p>
            <w:pPr>
              <w:pStyle w:val="TableParagraph"/>
              <w:numPr>
                <w:ilvl w:val="0"/>
                <w:numId w:val="57"/>
              </w:numPr>
              <w:tabs>
                <w:tab w:pos="509" w:val="left" w:leader="none"/>
              </w:tabs>
              <w:spacing w:line="160" w:lineRule="exact" w:before="0" w:after="0"/>
              <w:ind w:left="508" w:right="0" w:hanging="284"/>
              <w:jc w:val="left"/>
              <w:rPr>
                <w:sz w:val="14"/>
              </w:rPr>
            </w:pPr>
            <w:r>
              <w:rPr>
                <w:sz w:val="14"/>
              </w:rPr>
              <w:t>Entidades de</w:t>
            </w:r>
            <w:r>
              <w:rPr>
                <w:spacing w:val="-23"/>
                <w:sz w:val="14"/>
              </w:rPr>
              <w:t> </w:t>
            </w:r>
            <w:r>
              <w:rPr>
                <w:sz w:val="14"/>
              </w:rPr>
              <w:t>Fiscalización.</w:t>
            </w:r>
          </w:p>
        </w:tc>
      </w:tr>
      <w:tr>
        <w:trPr>
          <w:trHeight w:val="652" w:hRule="exact"/>
        </w:trPr>
        <w:tc>
          <w:tcPr>
            <w:tcW w:w="1985" w:type="dxa"/>
          </w:tcPr>
          <w:p>
            <w:pPr>
              <w:pStyle w:val="TableParagraph"/>
              <w:spacing w:before="10"/>
              <w:rPr>
                <w:sz w:val="20"/>
              </w:rPr>
            </w:pPr>
          </w:p>
          <w:p>
            <w:pPr>
              <w:pStyle w:val="TableParagraph"/>
              <w:ind w:left="103" w:right="95"/>
              <w:rPr>
                <w:sz w:val="14"/>
              </w:rPr>
            </w:pPr>
            <w:r>
              <w:rPr>
                <w:sz w:val="14"/>
              </w:rPr>
              <w:t>e) Financieros.</w:t>
            </w:r>
          </w:p>
        </w:tc>
        <w:tc>
          <w:tcPr>
            <w:tcW w:w="3685" w:type="dxa"/>
          </w:tcPr>
          <w:p>
            <w:pPr>
              <w:pStyle w:val="TableParagraph"/>
              <w:numPr>
                <w:ilvl w:val="0"/>
                <w:numId w:val="58"/>
              </w:numPr>
              <w:tabs>
                <w:tab w:pos="565" w:val="left" w:leader="none"/>
              </w:tabs>
              <w:spacing w:line="157" w:lineRule="exact" w:before="0" w:after="0"/>
              <w:ind w:left="564" w:right="0" w:hanging="284"/>
              <w:jc w:val="left"/>
              <w:rPr>
                <w:sz w:val="14"/>
              </w:rPr>
            </w:pPr>
            <w:r>
              <w:rPr>
                <w:sz w:val="14"/>
              </w:rPr>
              <w:t>Legalidad</w:t>
            </w:r>
            <w:r>
              <w:rPr>
                <w:spacing w:val="-17"/>
                <w:sz w:val="14"/>
              </w:rPr>
              <w:t> </w:t>
            </w:r>
            <w:r>
              <w:rPr>
                <w:sz w:val="14"/>
              </w:rPr>
              <w:t>vigente.</w:t>
            </w:r>
          </w:p>
          <w:p>
            <w:pPr>
              <w:pStyle w:val="TableParagraph"/>
              <w:numPr>
                <w:ilvl w:val="0"/>
                <w:numId w:val="58"/>
              </w:numPr>
              <w:tabs>
                <w:tab w:pos="565" w:val="left" w:leader="none"/>
              </w:tabs>
              <w:spacing w:line="160" w:lineRule="exact" w:before="3" w:after="0"/>
              <w:ind w:left="564" w:right="0" w:hanging="284"/>
              <w:jc w:val="left"/>
              <w:rPr>
                <w:sz w:val="14"/>
              </w:rPr>
            </w:pPr>
            <w:r>
              <w:rPr>
                <w:sz w:val="14"/>
              </w:rPr>
              <w:t>Transparencia.</w:t>
            </w:r>
          </w:p>
          <w:p>
            <w:pPr>
              <w:pStyle w:val="TableParagraph"/>
              <w:numPr>
                <w:ilvl w:val="0"/>
                <w:numId w:val="58"/>
              </w:numPr>
              <w:tabs>
                <w:tab w:pos="565" w:val="left" w:leader="none"/>
              </w:tabs>
              <w:spacing w:line="160" w:lineRule="exact" w:before="0" w:after="0"/>
              <w:ind w:left="564" w:right="0" w:hanging="284"/>
              <w:jc w:val="left"/>
              <w:rPr>
                <w:sz w:val="14"/>
              </w:rPr>
            </w:pPr>
            <w:r>
              <w:rPr>
                <w:sz w:val="14"/>
              </w:rPr>
              <w:t>Austeridad.</w:t>
            </w:r>
          </w:p>
          <w:p>
            <w:pPr>
              <w:pStyle w:val="TableParagraph"/>
              <w:numPr>
                <w:ilvl w:val="0"/>
                <w:numId w:val="58"/>
              </w:numPr>
              <w:tabs>
                <w:tab w:pos="565" w:val="left" w:leader="none"/>
              </w:tabs>
              <w:spacing w:line="160" w:lineRule="exact" w:before="0" w:after="0"/>
              <w:ind w:left="564" w:right="0" w:hanging="284"/>
              <w:jc w:val="left"/>
              <w:rPr>
                <w:sz w:val="14"/>
              </w:rPr>
            </w:pPr>
            <w:r>
              <w:rPr>
                <w:sz w:val="14"/>
              </w:rPr>
              <w:t>Eficiencia</w:t>
            </w:r>
            <w:r>
              <w:rPr>
                <w:spacing w:val="-18"/>
                <w:sz w:val="14"/>
              </w:rPr>
              <w:t> </w:t>
            </w:r>
            <w:r>
              <w:rPr>
                <w:sz w:val="14"/>
              </w:rPr>
              <w:t>razonable.</w:t>
            </w:r>
          </w:p>
        </w:tc>
        <w:tc>
          <w:tcPr>
            <w:tcW w:w="3121" w:type="dxa"/>
          </w:tcPr>
          <w:p>
            <w:pPr>
              <w:pStyle w:val="TableParagraph"/>
              <w:numPr>
                <w:ilvl w:val="0"/>
                <w:numId w:val="59"/>
              </w:numPr>
              <w:tabs>
                <w:tab w:pos="509" w:val="left" w:leader="none"/>
              </w:tabs>
              <w:spacing w:line="157" w:lineRule="exact" w:before="0" w:after="0"/>
              <w:ind w:left="508" w:right="0" w:hanging="284"/>
              <w:jc w:val="left"/>
              <w:rPr>
                <w:sz w:val="14"/>
              </w:rPr>
            </w:pPr>
            <w:r>
              <w:rPr>
                <w:sz w:val="14"/>
              </w:rPr>
              <w:t>Entidades</w:t>
            </w:r>
            <w:r>
              <w:rPr>
                <w:spacing w:val="-17"/>
                <w:sz w:val="14"/>
              </w:rPr>
              <w:t> </w:t>
            </w:r>
            <w:r>
              <w:rPr>
                <w:sz w:val="14"/>
              </w:rPr>
              <w:t>públicas.</w:t>
            </w:r>
          </w:p>
          <w:p>
            <w:pPr>
              <w:pStyle w:val="TableParagraph"/>
              <w:numPr>
                <w:ilvl w:val="0"/>
                <w:numId w:val="59"/>
              </w:numPr>
              <w:tabs>
                <w:tab w:pos="509" w:val="left" w:leader="none"/>
              </w:tabs>
              <w:spacing w:line="160" w:lineRule="exact" w:before="3" w:after="0"/>
              <w:ind w:left="508" w:right="0" w:hanging="284"/>
              <w:jc w:val="left"/>
              <w:rPr>
                <w:sz w:val="14"/>
              </w:rPr>
            </w:pPr>
            <w:r>
              <w:rPr>
                <w:sz w:val="14"/>
              </w:rPr>
              <w:t>Medios de</w:t>
            </w:r>
            <w:r>
              <w:rPr>
                <w:spacing w:val="-18"/>
                <w:sz w:val="14"/>
              </w:rPr>
              <w:t> </w:t>
            </w:r>
            <w:r>
              <w:rPr>
                <w:sz w:val="14"/>
              </w:rPr>
              <w:t>comunicación.</w:t>
            </w:r>
          </w:p>
          <w:p>
            <w:pPr>
              <w:pStyle w:val="TableParagraph"/>
              <w:numPr>
                <w:ilvl w:val="0"/>
                <w:numId w:val="59"/>
              </w:numPr>
              <w:tabs>
                <w:tab w:pos="509" w:val="left" w:leader="none"/>
              </w:tabs>
              <w:spacing w:line="160" w:lineRule="exact" w:before="0" w:after="0"/>
              <w:ind w:left="508" w:right="0" w:hanging="284"/>
              <w:jc w:val="left"/>
              <w:rPr>
                <w:sz w:val="14"/>
              </w:rPr>
            </w:pPr>
            <w:r>
              <w:rPr>
                <w:sz w:val="14"/>
              </w:rPr>
              <w:t>Entidades de</w:t>
            </w:r>
            <w:r>
              <w:rPr>
                <w:spacing w:val="-22"/>
                <w:sz w:val="14"/>
              </w:rPr>
              <w:t> </w:t>
            </w:r>
            <w:r>
              <w:rPr>
                <w:sz w:val="14"/>
              </w:rPr>
              <w:t>fiscalización.</w:t>
            </w:r>
          </w:p>
        </w:tc>
      </w:tr>
      <w:tr>
        <w:trPr>
          <w:trHeight w:val="652" w:hRule="exact"/>
        </w:trPr>
        <w:tc>
          <w:tcPr>
            <w:tcW w:w="1985" w:type="dxa"/>
          </w:tcPr>
          <w:p>
            <w:pPr>
              <w:pStyle w:val="TableParagraph"/>
              <w:spacing w:before="10"/>
              <w:rPr>
                <w:sz w:val="20"/>
              </w:rPr>
            </w:pPr>
          </w:p>
          <w:p>
            <w:pPr>
              <w:pStyle w:val="TableParagraph"/>
              <w:ind w:left="103" w:right="95"/>
              <w:rPr>
                <w:sz w:val="14"/>
              </w:rPr>
            </w:pPr>
            <w:r>
              <w:rPr>
                <w:sz w:val="14"/>
              </w:rPr>
              <w:t>f) Éticos-morales.</w:t>
            </w:r>
          </w:p>
        </w:tc>
        <w:tc>
          <w:tcPr>
            <w:tcW w:w="3685" w:type="dxa"/>
          </w:tcPr>
          <w:p>
            <w:pPr>
              <w:pStyle w:val="TableParagraph"/>
              <w:numPr>
                <w:ilvl w:val="0"/>
                <w:numId w:val="60"/>
              </w:numPr>
              <w:tabs>
                <w:tab w:pos="565" w:val="left" w:leader="none"/>
              </w:tabs>
              <w:spacing w:line="240" w:lineRule="auto" w:before="0" w:after="0"/>
              <w:ind w:left="564" w:right="204" w:hanging="284"/>
              <w:jc w:val="left"/>
              <w:rPr>
                <w:sz w:val="14"/>
              </w:rPr>
            </w:pPr>
            <w:r>
              <w:rPr>
                <w:sz w:val="14"/>
              </w:rPr>
              <w:t>Que la actuación sea de acuerdo con las normas sociales prevalecientes,</w:t>
            </w:r>
            <w:r>
              <w:rPr>
                <w:spacing w:val="-21"/>
                <w:sz w:val="14"/>
              </w:rPr>
              <w:t> </w:t>
            </w:r>
            <w:r>
              <w:rPr>
                <w:sz w:val="14"/>
              </w:rPr>
              <w:t>independiente de las normas</w:t>
            </w:r>
            <w:r>
              <w:rPr>
                <w:spacing w:val="-18"/>
                <w:sz w:val="14"/>
              </w:rPr>
              <w:t> </w:t>
            </w:r>
            <w:r>
              <w:rPr>
                <w:sz w:val="14"/>
              </w:rPr>
              <w:t>legales.</w:t>
            </w:r>
          </w:p>
          <w:p>
            <w:pPr>
              <w:pStyle w:val="TableParagraph"/>
              <w:numPr>
                <w:ilvl w:val="0"/>
                <w:numId w:val="60"/>
              </w:numPr>
              <w:tabs>
                <w:tab w:pos="565" w:val="left" w:leader="none"/>
              </w:tabs>
              <w:spacing w:line="240" w:lineRule="auto" w:before="3" w:after="0"/>
              <w:ind w:left="564" w:right="0" w:hanging="284"/>
              <w:jc w:val="left"/>
              <w:rPr>
                <w:sz w:val="14"/>
              </w:rPr>
            </w:pPr>
            <w:r>
              <w:rPr>
                <w:sz w:val="14"/>
              </w:rPr>
              <w:t>Códigos de ética</w:t>
            </w:r>
            <w:r>
              <w:rPr>
                <w:spacing w:val="-29"/>
                <w:sz w:val="14"/>
              </w:rPr>
              <w:t> </w:t>
            </w:r>
            <w:r>
              <w:rPr>
                <w:sz w:val="14"/>
              </w:rPr>
              <w:t>para los servidores públicos.</w:t>
            </w:r>
          </w:p>
        </w:tc>
        <w:tc>
          <w:tcPr>
            <w:tcW w:w="3121" w:type="dxa"/>
          </w:tcPr>
          <w:p>
            <w:pPr>
              <w:pStyle w:val="TableParagraph"/>
              <w:numPr>
                <w:ilvl w:val="0"/>
                <w:numId w:val="61"/>
              </w:numPr>
              <w:tabs>
                <w:tab w:pos="509" w:val="left" w:leader="none"/>
              </w:tabs>
              <w:spacing w:line="160" w:lineRule="exact" w:before="0" w:after="0"/>
              <w:ind w:left="508" w:right="0" w:hanging="284"/>
              <w:jc w:val="left"/>
              <w:rPr>
                <w:sz w:val="14"/>
              </w:rPr>
            </w:pPr>
            <w:r>
              <w:rPr>
                <w:sz w:val="14"/>
              </w:rPr>
              <w:t>Sociedad.</w:t>
            </w:r>
          </w:p>
          <w:p>
            <w:pPr>
              <w:pStyle w:val="TableParagraph"/>
              <w:numPr>
                <w:ilvl w:val="0"/>
                <w:numId w:val="61"/>
              </w:numPr>
              <w:tabs>
                <w:tab w:pos="509" w:val="left" w:leader="none"/>
              </w:tabs>
              <w:spacing w:line="160" w:lineRule="exact" w:before="0" w:after="0"/>
              <w:ind w:left="508" w:right="0" w:hanging="284"/>
              <w:jc w:val="left"/>
              <w:rPr>
                <w:sz w:val="14"/>
              </w:rPr>
            </w:pPr>
            <w:r>
              <w:rPr>
                <w:sz w:val="14"/>
              </w:rPr>
              <w:t>Medios de</w:t>
            </w:r>
            <w:r>
              <w:rPr>
                <w:spacing w:val="-18"/>
                <w:sz w:val="14"/>
              </w:rPr>
              <w:t> </w:t>
            </w:r>
            <w:r>
              <w:rPr>
                <w:sz w:val="14"/>
              </w:rPr>
              <w:t>comunicación.</w:t>
            </w:r>
          </w:p>
        </w:tc>
      </w:tr>
    </w:tbl>
    <w:p>
      <w:pPr>
        <w:pStyle w:val="BodyText"/>
        <w:spacing w:before="5"/>
        <w:rPr>
          <w:sz w:val="6"/>
        </w:rPr>
      </w:pPr>
    </w:p>
    <w:p>
      <w:pPr>
        <w:spacing w:before="85"/>
        <w:ind w:left="120" w:right="0" w:firstLine="0"/>
        <w:jc w:val="left"/>
        <w:rPr>
          <w:sz w:val="12"/>
        </w:rPr>
      </w:pPr>
      <w:r>
        <w:rPr>
          <w:sz w:val="12"/>
        </w:rPr>
        <w:t>FUENTE: Schedler(2005).</w:t>
      </w:r>
    </w:p>
    <w:p>
      <w:pPr>
        <w:pStyle w:val="BodyText"/>
        <w:rPr>
          <w:sz w:val="20"/>
        </w:rPr>
      </w:pP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8416;mso-wrap-distance-left:0;mso-wrap-distance-right:0" from="85.025002pt,14.431444pt" to="229.075002pt,14.431444pt" stroked="true" strokeweight=".79999pt" strokecolor="#000000">
            <w10:wrap type="topAndBottom"/>
          </v:line>
        </w:pict>
      </w:r>
    </w:p>
    <w:p>
      <w:pPr>
        <w:spacing w:before="60"/>
        <w:ind w:left="120" w:right="0" w:firstLine="0"/>
        <w:jc w:val="both"/>
        <w:rPr>
          <w:sz w:val="16"/>
        </w:rPr>
      </w:pPr>
      <w:r>
        <w:rPr>
          <w:rFonts w:ascii="Times New Roman" w:hAnsi="Times New Roman"/>
          <w:position w:val="7"/>
          <w:sz w:val="13"/>
        </w:rPr>
        <w:t>83</w:t>
      </w:r>
      <w:r>
        <w:rPr>
          <w:sz w:val="16"/>
        </w:rPr>
        <w:t>Condición o carácter de público que se da a un suceso para que sea conocido por toda la sociedad.</w:t>
      </w:r>
    </w:p>
    <w:p>
      <w:pPr>
        <w:spacing w:line="247" w:lineRule="auto" w:before="2"/>
        <w:ind w:left="120" w:right="218" w:firstLine="0"/>
        <w:jc w:val="both"/>
        <w:rPr>
          <w:sz w:val="16"/>
        </w:rPr>
      </w:pPr>
      <w:r>
        <w:rPr>
          <w:rFonts w:ascii="Times New Roman" w:hAnsi="Times New Roman"/>
          <w:position w:val="7"/>
          <w:sz w:val="13"/>
        </w:rPr>
        <w:t>84</w:t>
      </w:r>
      <w:r>
        <w:rPr>
          <w:sz w:val="16"/>
        </w:rPr>
        <w:t>El control externo de la administración pública es aquella fiscalización que realizan instituciones independientes del Poder Ejecutivo (por lo general pertenecen al Poder Legislativo o son órganos constitucionalmente autónomos); mientras que el control interno está a cargo de los órganos internos de control pertenecientes al Poder Ejecutivo.</w:t>
      </w:r>
    </w:p>
    <w:p>
      <w:pPr>
        <w:spacing w:after="0" w:line="247" w:lineRule="auto"/>
        <w:jc w:val="both"/>
        <w:rPr>
          <w:sz w:val="16"/>
        </w:rPr>
        <w:sectPr>
          <w:pgSz w:w="12240" w:h="15840"/>
          <w:pgMar w:header="0" w:footer="998" w:top="1360" w:bottom="1180" w:left="1580" w:right="1480"/>
        </w:sectPr>
      </w:pPr>
    </w:p>
    <w:p>
      <w:pPr>
        <w:pStyle w:val="BodyText"/>
        <w:spacing w:line="357" w:lineRule="auto" w:before="55"/>
        <w:ind w:left="120" w:firstLine="427"/>
        <w:rPr>
          <w:sz w:val="16"/>
        </w:rPr>
      </w:pPr>
      <w:r>
        <w:rPr/>
        <w:t>Precisando</w:t>
      </w:r>
      <w:r>
        <w:rPr>
          <w:spacing w:val="-13"/>
        </w:rPr>
        <w:t> </w:t>
      </w:r>
      <w:r>
        <w:rPr/>
        <w:t>el</w:t>
      </w:r>
      <w:r>
        <w:rPr>
          <w:spacing w:val="-12"/>
        </w:rPr>
        <w:t> </w:t>
      </w:r>
      <w:r>
        <w:rPr/>
        <w:t>contenido</w:t>
      </w:r>
      <w:r>
        <w:rPr>
          <w:spacing w:val="-13"/>
        </w:rPr>
        <w:t> </w:t>
      </w:r>
      <w:r>
        <w:rPr/>
        <w:t>de</w:t>
      </w:r>
      <w:r>
        <w:rPr>
          <w:spacing w:val="-13"/>
        </w:rPr>
        <w:t> </w:t>
      </w:r>
      <w:r>
        <w:rPr/>
        <w:t>la</w:t>
      </w:r>
      <w:r>
        <w:rPr>
          <w:spacing w:val="-13"/>
        </w:rPr>
        <w:t> </w:t>
      </w:r>
      <w:r>
        <w:rPr/>
        <w:t>rendición</w:t>
      </w:r>
      <w:r>
        <w:rPr>
          <w:spacing w:val="-13"/>
        </w:rPr>
        <w:t> </w:t>
      </w:r>
      <w:r>
        <w:rPr/>
        <w:t>de</w:t>
      </w:r>
      <w:r>
        <w:rPr>
          <w:spacing w:val="-13"/>
        </w:rPr>
        <w:t> </w:t>
      </w:r>
      <w:r>
        <w:rPr/>
        <w:t>cuentas,</w:t>
      </w:r>
      <w:r>
        <w:rPr>
          <w:spacing w:val="-10"/>
        </w:rPr>
        <w:t> </w:t>
      </w:r>
      <w:r>
        <w:rPr/>
        <w:t>enseguida</w:t>
      </w:r>
      <w:r>
        <w:rPr>
          <w:spacing w:val="-13"/>
        </w:rPr>
        <w:t> </w:t>
      </w:r>
      <w:r>
        <w:rPr/>
        <w:t>se</w:t>
      </w:r>
      <w:r>
        <w:rPr>
          <w:spacing w:val="-13"/>
        </w:rPr>
        <w:t> </w:t>
      </w:r>
      <w:r>
        <w:rPr/>
        <w:t>enlistan</w:t>
      </w:r>
      <w:r>
        <w:rPr>
          <w:spacing w:val="-13"/>
        </w:rPr>
        <w:t> </w:t>
      </w:r>
      <w:r>
        <w:rPr/>
        <w:t>cinco características del mismo:</w:t>
      </w:r>
      <w:r>
        <w:rPr>
          <w:spacing w:val="-12"/>
        </w:rPr>
        <w:t> </w:t>
      </w:r>
      <w:r>
        <w:rPr>
          <w:position w:val="8"/>
          <w:sz w:val="16"/>
        </w:rPr>
        <w:t>85</w:t>
      </w:r>
    </w:p>
    <w:p>
      <w:pPr>
        <w:pStyle w:val="ListParagraph"/>
        <w:numPr>
          <w:ilvl w:val="1"/>
          <w:numId w:val="50"/>
        </w:numPr>
        <w:tabs>
          <w:tab w:pos="841" w:val="left" w:leader="none"/>
        </w:tabs>
        <w:spacing w:line="360" w:lineRule="auto" w:before="200" w:after="0"/>
        <w:ind w:left="841" w:right="104" w:hanging="361"/>
        <w:jc w:val="both"/>
        <w:rPr>
          <w:sz w:val="24"/>
        </w:rPr>
      </w:pPr>
      <w:r>
        <w:rPr>
          <w:sz w:val="24"/>
        </w:rPr>
        <w:t>Delegación: La rendición de cuentas implica delegación de autoridad y responsabilidad de un sujeto “A”, llamado “mandante o principal”, a otro sujeto “B”, llamado “mandatario o</w:t>
      </w:r>
      <w:r>
        <w:rPr>
          <w:spacing w:val="-23"/>
          <w:sz w:val="24"/>
        </w:rPr>
        <w:t> </w:t>
      </w:r>
      <w:r>
        <w:rPr>
          <w:sz w:val="24"/>
        </w:rPr>
        <w:t>agente”.</w:t>
      </w:r>
    </w:p>
    <w:p>
      <w:pPr>
        <w:pStyle w:val="ListParagraph"/>
        <w:numPr>
          <w:ilvl w:val="1"/>
          <w:numId w:val="50"/>
        </w:numPr>
        <w:tabs>
          <w:tab w:pos="841" w:val="left" w:leader="none"/>
        </w:tabs>
        <w:spacing w:line="360" w:lineRule="auto" w:before="6" w:after="0"/>
        <w:ind w:left="841" w:right="104" w:hanging="361"/>
        <w:jc w:val="both"/>
        <w:rPr>
          <w:sz w:val="24"/>
        </w:rPr>
      </w:pPr>
      <w:r>
        <w:rPr>
          <w:sz w:val="24"/>
        </w:rPr>
        <w:t>Representación: La delegación de autoridad significa que el agente (sujeto B), representa al principal (sujeto A) y actúa en su nombre, por lo que debe rendirle cuentas a todo lo que decide y hace en su</w:t>
      </w:r>
      <w:r>
        <w:rPr>
          <w:spacing w:val="-34"/>
          <w:sz w:val="24"/>
        </w:rPr>
        <w:t> </w:t>
      </w:r>
      <w:r>
        <w:rPr>
          <w:sz w:val="24"/>
        </w:rPr>
        <w:t>nombre.</w:t>
      </w:r>
    </w:p>
    <w:p>
      <w:pPr>
        <w:pStyle w:val="ListParagraph"/>
        <w:numPr>
          <w:ilvl w:val="1"/>
          <w:numId w:val="50"/>
        </w:numPr>
        <w:tabs>
          <w:tab w:pos="841" w:val="left" w:leader="none"/>
        </w:tabs>
        <w:spacing w:line="360" w:lineRule="auto" w:before="2" w:after="0"/>
        <w:ind w:left="841" w:right="98" w:hanging="361"/>
        <w:jc w:val="both"/>
        <w:rPr>
          <w:sz w:val="24"/>
        </w:rPr>
      </w:pPr>
      <w:r>
        <w:rPr>
          <w:sz w:val="24"/>
        </w:rPr>
        <w:t>Responsabilidad</w:t>
      </w:r>
      <w:r>
        <w:rPr>
          <w:spacing w:val="-18"/>
          <w:sz w:val="24"/>
        </w:rPr>
        <w:t> </w:t>
      </w:r>
      <w:r>
        <w:rPr>
          <w:sz w:val="24"/>
        </w:rPr>
        <w:t>mutua:</w:t>
      </w:r>
      <w:r>
        <w:rPr>
          <w:spacing w:val="-15"/>
          <w:sz w:val="24"/>
        </w:rPr>
        <w:t> </w:t>
      </w:r>
      <w:r>
        <w:rPr>
          <w:sz w:val="24"/>
        </w:rPr>
        <w:t>La</w:t>
      </w:r>
      <w:r>
        <w:rPr>
          <w:spacing w:val="-18"/>
          <w:sz w:val="24"/>
        </w:rPr>
        <w:t> </w:t>
      </w:r>
      <w:r>
        <w:rPr>
          <w:sz w:val="24"/>
        </w:rPr>
        <w:t>rendición</w:t>
      </w:r>
      <w:r>
        <w:rPr>
          <w:spacing w:val="-18"/>
          <w:sz w:val="24"/>
        </w:rPr>
        <w:t> </w:t>
      </w:r>
      <w:r>
        <w:rPr>
          <w:sz w:val="24"/>
        </w:rPr>
        <w:t>de</w:t>
      </w:r>
      <w:r>
        <w:rPr>
          <w:spacing w:val="-18"/>
          <w:sz w:val="24"/>
        </w:rPr>
        <w:t> </w:t>
      </w:r>
      <w:r>
        <w:rPr>
          <w:sz w:val="24"/>
        </w:rPr>
        <w:t>cuentas</w:t>
      </w:r>
      <w:r>
        <w:rPr>
          <w:spacing w:val="-16"/>
          <w:sz w:val="24"/>
        </w:rPr>
        <w:t> </w:t>
      </w:r>
      <w:r>
        <w:rPr>
          <w:sz w:val="24"/>
        </w:rPr>
        <w:t>implica</w:t>
      </w:r>
      <w:r>
        <w:rPr>
          <w:spacing w:val="-18"/>
          <w:sz w:val="24"/>
        </w:rPr>
        <w:t> </w:t>
      </w:r>
      <w:r>
        <w:rPr>
          <w:sz w:val="24"/>
        </w:rPr>
        <w:t>una</w:t>
      </w:r>
      <w:r>
        <w:rPr>
          <w:spacing w:val="-18"/>
          <w:sz w:val="24"/>
        </w:rPr>
        <w:t> </w:t>
      </w:r>
      <w:r>
        <w:rPr>
          <w:sz w:val="24"/>
        </w:rPr>
        <w:t>responsabilidad dual. Por un lado, la obligación permanente del agente (B) para ofrecer información detallada de sus actos a su principal (A); </w:t>
      </w:r>
      <w:r>
        <w:rPr>
          <w:spacing w:val="-3"/>
          <w:sz w:val="24"/>
        </w:rPr>
        <w:t>y, </w:t>
      </w:r>
      <w:r>
        <w:rPr>
          <w:sz w:val="24"/>
        </w:rPr>
        <w:t>por lo tanto, la capacidad y derecho del principal para monitorear las acciones del agente y detectar el posible incumplimiento y su</w:t>
      </w:r>
      <w:r>
        <w:rPr>
          <w:spacing w:val="-30"/>
          <w:sz w:val="24"/>
        </w:rPr>
        <w:t> </w:t>
      </w:r>
      <w:r>
        <w:rPr>
          <w:sz w:val="24"/>
        </w:rPr>
        <w:t>sanción.</w:t>
      </w:r>
    </w:p>
    <w:p>
      <w:pPr>
        <w:pStyle w:val="ListParagraph"/>
        <w:numPr>
          <w:ilvl w:val="1"/>
          <w:numId w:val="50"/>
        </w:numPr>
        <w:tabs>
          <w:tab w:pos="841" w:val="left" w:leader="none"/>
        </w:tabs>
        <w:spacing w:line="360" w:lineRule="auto" w:before="5" w:after="0"/>
        <w:ind w:left="841" w:right="101" w:hanging="361"/>
        <w:jc w:val="both"/>
        <w:rPr>
          <w:sz w:val="24"/>
        </w:rPr>
      </w:pPr>
      <w:r>
        <w:rPr>
          <w:sz w:val="24"/>
        </w:rPr>
        <w:t>Contrato: La delegación de autoridad implica un tipo de contrato, ya sea formal o informal. En el caso formal las sanciones son la cárcel, desafuero, sanciones penales, económicas o administrativas, principalmente, mientras que en el informal implica sanciones como el rechazo social, la desacreditación pública, el descrédito y exilio social. En el ámbito público la mayoría de los contratos son formales y escritos (leyes, reglamentos, estatutos) y cuando hay incumplimiento, establecen sanciones formales de tipo administrativo, civil, penal o</w:t>
      </w:r>
      <w:r>
        <w:rPr>
          <w:spacing w:val="-32"/>
          <w:sz w:val="24"/>
        </w:rPr>
        <w:t> </w:t>
      </w:r>
      <w:r>
        <w:rPr>
          <w:sz w:val="24"/>
        </w:rPr>
        <w:t>político.</w:t>
      </w:r>
    </w:p>
    <w:p>
      <w:pPr>
        <w:pStyle w:val="ListParagraph"/>
        <w:numPr>
          <w:ilvl w:val="1"/>
          <w:numId w:val="50"/>
        </w:numPr>
        <w:tabs>
          <w:tab w:pos="841" w:val="left" w:leader="none"/>
        </w:tabs>
        <w:spacing w:line="360" w:lineRule="auto" w:before="6" w:after="0"/>
        <w:ind w:left="841" w:right="102" w:hanging="361"/>
        <w:jc w:val="both"/>
        <w:rPr>
          <w:sz w:val="24"/>
        </w:rPr>
      </w:pPr>
      <w:r>
        <w:rPr>
          <w:sz w:val="24"/>
        </w:rPr>
        <w:t>Sanciones: Cuando la rendición de cuentas muestra que el agente (B) incumplió sus responsabilidades, el principal (A) tiene mecanismos para imponerle castigos y sanciones al agente</w:t>
      </w:r>
      <w:r>
        <w:rPr>
          <w:spacing w:val="-22"/>
          <w:sz w:val="24"/>
        </w:rPr>
        <w:t> </w:t>
      </w:r>
      <w:r>
        <w:rPr>
          <w:sz w:val="24"/>
        </w:rPr>
        <w:t>(B).</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8440;mso-wrap-distance-left:0;mso-wrap-distance-right:0" from="85.025002pt,14.107698pt" to="229.075002pt,14.107698pt" stroked="true" strokeweight=".79999pt" strokecolor="#000000">
            <w10:wrap type="topAndBottom"/>
          </v:line>
        </w:pict>
      </w:r>
    </w:p>
    <w:p>
      <w:pPr>
        <w:spacing w:line="256" w:lineRule="auto" w:before="59"/>
        <w:ind w:left="120" w:right="262" w:firstLine="0"/>
        <w:jc w:val="left"/>
        <w:rPr>
          <w:sz w:val="16"/>
        </w:rPr>
      </w:pPr>
      <w:r>
        <w:rPr>
          <w:rFonts w:ascii="Times New Roman"/>
          <w:position w:val="7"/>
          <w:sz w:val="13"/>
        </w:rPr>
        <w:t>85</w:t>
      </w:r>
      <w:r>
        <w:rPr>
          <w:sz w:val="16"/>
        </w:rPr>
        <w:t>Disponible en: </w:t>
      </w:r>
      <w:hyperlink r:id="rId143">
        <w:r>
          <w:rPr>
            <w:color w:val="0000FF"/>
            <w:sz w:val="16"/>
            <w:u w:val="single" w:color="0000FF"/>
          </w:rPr>
          <w:t>http://www.eumed.net/tesis/2008/mash/RENDICION%20DE%20CUENTAS%20Y%20DEMOCRACIA.htm</w:t>
        </w:r>
      </w:hyperlink>
      <w:r>
        <w:rPr>
          <w:color w:val="0000FF"/>
          <w:sz w:val="16"/>
          <w:u w:val="single" w:color="0000FF"/>
        </w:rPr>
        <w:t> </w:t>
      </w:r>
      <w:r>
        <w:rPr>
          <w:sz w:val="16"/>
        </w:rPr>
        <w:t>[Fecha de consulta: 26 de agosto, 2012]</w:t>
      </w:r>
    </w:p>
    <w:p>
      <w:pPr>
        <w:spacing w:after="0" w:line="256" w:lineRule="auto"/>
        <w:jc w:val="left"/>
        <w:rPr>
          <w:sz w:val="16"/>
        </w:rPr>
        <w:sectPr>
          <w:pgSz w:w="12240" w:h="15840"/>
          <w:pgMar w:header="0" w:footer="998" w:top="1360" w:bottom="1180" w:left="1580" w:right="1600"/>
        </w:sectPr>
      </w:pPr>
    </w:p>
    <w:p>
      <w:pPr>
        <w:pStyle w:val="Heading3"/>
        <w:numPr>
          <w:ilvl w:val="2"/>
          <w:numId w:val="62"/>
        </w:numPr>
        <w:tabs>
          <w:tab w:pos="720" w:val="left" w:leader="none"/>
        </w:tabs>
        <w:spacing w:line="240" w:lineRule="auto" w:before="51" w:after="0"/>
        <w:ind w:left="180" w:right="0" w:hanging="60"/>
        <w:jc w:val="both"/>
      </w:pPr>
      <w:bookmarkStart w:name="_bookmark63" w:id="85"/>
      <w:bookmarkEnd w:id="85"/>
      <w:r>
        <w:rPr>
          <w:b w:val="0"/>
        </w:rPr>
      </w:r>
      <w:bookmarkStart w:name="_bookmark63" w:id="86"/>
      <w:bookmarkEnd w:id="86"/>
      <w:r>
        <w:rPr/>
        <w:t>M</w:t>
      </w:r>
      <w:r>
        <w:rPr/>
        <w:t>odelos institucionales de rendición de cuentas en el</w:t>
      </w:r>
      <w:r>
        <w:rPr>
          <w:spacing w:val="-29"/>
        </w:rPr>
        <w:t> </w:t>
      </w:r>
      <w:r>
        <w:rPr/>
        <w:t>mundo</w:t>
      </w:r>
    </w:p>
    <w:p>
      <w:pPr>
        <w:pStyle w:val="BodyText"/>
        <w:rPr>
          <w:b/>
        </w:rPr>
      </w:pPr>
    </w:p>
    <w:p>
      <w:pPr>
        <w:pStyle w:val="BodyText"/>
        <w:spacing w:before="7"/>
        <w:rPr>
          <w:b/>
          <w:sz w:val="32"/>
        </w:rPr>
      </w:pPr>
    </w:p>
    <w:p>
      <w:pPr>
        <w:pStyle w:val="BodyText"/>
        <w:spacing w:line="360" w:lineRule="auto" w:before="1"/>
        <w:ind w:left="120" w:right="118"/>
        <w:jc w:val="both"/>
      </w:pPr>
      <w:r>
        <w:rPr/>
        <w:t>En</w:t>
      </w:r>
      <w:r>
        <w:rPr>
          <w:spacing w:val="-11"/>
        </w:rPr>
        <w:t> </w:t>
      </w:r>
      <w:r>
        <w:rPr/>
        <w:t>el</w:t>
      </w:r>
      <w:r>
        <w:rPr>
          <w:spacing w:val="-7"/>
        </w:rPr>
        <w:t> </w:t>
      </w:r>
      <w:r>
        <w:rPr/>
        <w:t>mundo</w:t>
      </w:r>
      <w:r>
        <w:rPr>
          <w:spacing w:val="-11"/>
        </w:rPr>
        <w:t> </w:t>
      </w:r>
      <w:r>
        <w:rPr/>
        <w:t>existen</w:t>
      </w:r>
      <w:r>
        <w:rPr>
          <w:spacing w:val="-11"/>
        </w:rPr>
        <w:t> </w:t>
      </w:r>
      <w:r>
        <w:rPr/>
        <w:t>entidades</w:t>
      </w:r>
      <w:r>
        <w:rPr>
          <w:spacing w:val="-10"/>
        </w:rPr>
        <w:t> </w:t>
      </w:r>
      <w:r>
        <w:rPr/>
        <w:t>responsables</w:t>
      </w:r>
      <w:r>
        <w:rPr>
          <w:spacing w:val="-6"/>
        </w:rPr>
        <w:t> </w:t>
      </w:r>
      <w:r>
        <w:rPr/>
        <w:t>de</w:t>
      </w:r>
      <w:r>
        <w:rPr>
          <w:spacing w:val="-8"/>
        </w:rPr>
        <w:t> </w:t>
      </w:r>
      <w:r>
        <w:rPr/>
        <w:t>la</w:t>
      </w:r>
      <w:r>
        <w:rPr>
          <w:spacing w:val="-11"/>
        </w:rPr>
        <w:t> </w:t>
      </w:r>
      <w:r>
        <w:rPr/>
        <w:t>rendición</w:t>
      </w:r>
      <w:r>
        <w:rPr>
          <w:spacing w:val="-11"/>
        </w:rPr>
        <w:t> </w:t>
      </w:r>
      <w:r>
        <w:rPr/>
        <w:t>de</w:t>
      </w:r>
      <w:r>
        <w:rPr>
          <w:spacing w:val="-11"/>
        </w:rPr>
        <w:t> </w:t>
      </w:r>
      <w:r>
        <w:rPr/>
        <w:t>cuentas,</w:t>
      </w:r>
      <w:r>
        <w:rPr>
          <w:spacing w:val="-9"/>
        </w:rPr>
        <w:t> </w:t>
      </w:r>
      <w:r>
        <w:rPr/>
        <w:t>que</w:t>
      </w:r>
      <w:r>
        <w:rPr>
          <w:spacing w:val="-8"/>
        </w:rPr>
        <w:t> </w:t>
      </w:r>
      <w:r>
        <w:rPr/>
        <w:t>varían de</w:t>
      </w:r>
      <w:r>
        <w:rPr>
          <w:spacing w:val="-13"/>
        </w:rPr>
        <w:t> </w:t>
      </w:r>
      <w:r>
        <w:rPr/>
        <w:t>acuerdo</w:t>
      </w:r>
      <w:r>
        <w:rPr>
          <w:spacing w:val="-13"/>
        </w:rPr>
        <w:t> </w:t>
      </w:r>
      <w:r>
        <w:rPr/>
        <w:t>con</w:t>
      </w:r>
      <w:r>
        <w:rPr>
          <w:spacing w:val="-13"/>
        </w:rPr>
        <w:t> </w:t>
      </w:r>
      <w:r>
        <w:rPr/>
        <w:t>el</w:t>
      </w:r>
      <w:r>
        <w:rPr>
          <w:spacing w:val="-12"/>
        </w:rPr>
        <w:t> </w:t>
      </w:r>
      <w:r>
        <w:rPr/>
        <w:t>diseño</w:t>
      </w:r>
      <w:r>
        <w:rPr>
          <w:spacing w:val="-13"/>
        </w:rPr>
        <w:t> </w:t>
      </w:r>
      <w:r>
        <w:rPr/>
        <w:t>institucional</w:t>
      </w:r>
      <w:r>
        <w:rPr>
          <w:spacing w:val="-8"/>
        </w:rPr>
        <w:t> </w:t>
      </w:r>
      <w:r>
        <w:rPr/>
        <w:t>establecido</w:t>
      </w:r>
      <w:r>
        <w:rPr>
          <w:spacing w:val="-13"/>
        </w:rPr>
        <w:t> </w:t>
      </w:r>
      <w:r>
        <w:rPr/>
        <w:t>por</w:t>
      </w:r>
      <w:r>
        <w:rPr>
          <w:spacing w:val="-11"/>
        </w:rPr>
        <w:t> </w:t>
      </w:r>
      <w:r>
        <w:rPr/>
        <w:t>su</w:t>
      </w:r>
      <w:r>
        <w:rPr>
          <w:spacing w:val="-13"/>
        </w:rPr>
        <w:t> </w:t>
      </w:r>
      <w:r>
        <w:rPr/>
        <w:t>Estado,</w:t>
      </w:r>
      <w:r>
        <w:rPr>
          <w:spacing w:val="-10"/>
        </w:rPr>
        <w:t> </w:t>
      </w:r>
      <w:r>
        <w:rPr/>
        <w:t>con</w:t>
      </w:r>
      <w:r>
        <w:rPr>
          <w:spacing w:val="-13"/>
        </w:rPr>
        <w:t> </w:t>
      </w:r>
      <w:r>
        <w:rPr/>
        <w:t>la</w:t>
      </w:r>
      <w:r>
        <w:rPr>
          <w:spacing w:val="-13"/>
        </w:rPr>
        <w:t> </w:t>
      </w:r>
      <w:r>
        <w:rPr/>
        <w:t>oportunidad de la revisión (previo al ejercicio fiscal, </w:t>
      </w:r>
      <w:r>
        <w:rPr>
          <w:i/>
        </w:rPr>
        <w:t>ex ante </w:t>
      </w:r>
      <w:r>
        <w:rPr/>
        <w:t>o posterior al mismo, </w:t>
      </w:r>
      <w:r>
        <w:rPr>
          <w:i/>
        </w:rPr>
        <w:t>ex post</w:t>
      </w:r>
      <w:r>
        <w:rPr/>
        <w:t>) y con las modalidades para informar los resultados de auditoría entre países (revisión entre pares). Entre los aspectos que en lo general están presentes destacan: la denominación</w:t>
      </w:r>
      <w:r>
        <w:rPr>
          <w:spacing w:val="-17"/>
        </w:rPr>
        <w:t> </w:t>
      </w:r>
      <w:r>
        <w:rPr/>
        <w:t>de</w:t>
      </w:r>
      <w:r>
        <w:rPr>
          <w:spacing w:val="-17"/>
        </w:rPr>
        <w:t> </w:t>
      </w:r>
      <w:r>
        <w:rPr/>
        <w:t>la</w:t>
      </w:r>
      <w:r>
        <w:rPr>
          <w:spacing w:val="-17"/>
        </w:rPr>
        <w:t> </w:t>
      </w:r>
      <w:r>
        <w:rPr/>
        <w:t>entidad</w:t>
      </w:r>
      <w:r>
        <w:rPr>
          <w:spacing w:val="-17"/>
        </w:rPr>
        <w:t> </w:t>
      </w:r>
      <w:r>
        <w:rPr/>
        <w:t>de</w:t>
      </w:r>
      <w:r>
        <w:rPr>
          <w:spacing w:val="-17"/>
        </w:rPr>
        <w:t> </w:t>
      </w:r>
      <w:r>
        <w:rPr/>
        <w:t>fiscalización,</w:t>
      </w:r>
      <w:r>
        <w:rPr>
          <w:spacing w:val="-15"/>
        </w:rPr>
        <w:t> </w:t>
      </w:r>
      <w:r>
        <w:rPr/>
        <w:t>la</w:t>
      </w:r>
      <w:r>
        <w:rPr>
          <w:spacing w:val="-17"/>
        </w:rPr>
        <w:t> </w:t>
      </w:r>
      <w:r>
        <w:rPr/>
        <w:t>designación,</w:t>
      </w:r>
      <w:r>
        <w:rPr>
          <w:spacing w:val="-15"/>
        </w:rPr>
        <w:t> </w:t>
      </w:r>
      <w:r>
        <w:rPr/>
        <w:t>la</w:t>
      </w:r>
      <w:r>
        <w:rPr>
          <w:spacing w:val="-17"/>
        </w:rPr>
        <w:t> </w:t>
      </w:r>
      <w:r>
        <w:rPr/>
        <w:t>duración</w:t>
      </w:r>
      <w:r>
        <w:rPr>
          <w:spacing w:val="-17"/>
        </w:rPr>
        <w:t> </w:t>
      </w:r>
      <w:r>
        <w:rPr/>
        <w:t>en</w:t>
      </w:r>
      <w:r>
        <w:rPr>
          <w:spacing w:val="-17"/>
        </w:rPr>
        <w:t> </w:t>
      </w:r>
      <w:r>
        <w:rPr/>
        <w:t>su</w:t>
      </w:r>
      <w:r>
        <w:rPr>
          <w:spacing w:val="-17"/>
        </w:rPr>
        <w:t> </w:t>
      </w:r>
      <w:r>
        <w:rPr/>
        <w:t>cargo, la</w:t>
      </w:r>
      <w:r>
        <w:rPr>
          <w:spacing w:val="-11"/>
        </w:rPr>
        <w:t> </w:t>
      </w:r>
      <w:r>
        <w:rPr/>
        <w:t>autonomía</w:t>
      </w:r>
      <w:r>
        <w:rPr>
          <w:spacing w:val="-8"/>
        </w:rPr>
        <w:t> </w:t>
      </w:r>
      <w:r>
        <w:rPr/>
        <w:t>para</w:t>
      </w:r>
      <w:r>
        <w:rPr>
          <w:spacing w:val="-11"/>
        </w:rPr>
        <w:t> </w:t>
      </w:r>
      <w:r>
        <w:rPr/>
        <w:t>determinar</w:t>
      </w:r>
      <w:r>
        <w:rPr>
          <w:spacing w:val="-9"/>
        </w:rPr>
        <w:t> </w:t>
      </w:r>
      <w:r>
        <w:rPr/>
        <w:t>sus</w:t>
      </w:r>
      <w:r>
        <w:rPr>
          <w:spacing w:val="-6"/>
        </w:rPr>
        <w:t> </w:t>
      </w:r>
      <w:r>
        <w:rPr/>
        <w:t>programas,</w:t>
      </w:r>
      <w:r>
        <w:rPr>
          <w:spacing w:val="-9"/>
        </w:rPr>
        <w:t> </w:t>
      </w:r>
      <w:r>
        <w:rPr/>
        <w:t>la</w:t>
      </w:r>
      <w:r>
        <w:rPr>
          <w:spacing w:val="-11"/>
        </w:rPr>
        <w:t> </w:t>
      </w:r>
      <w:r>
        <w:rPr/>
        <w:t>profundidad</w:t>
      </w:r>
      <w:r>
        <w:rPr>
          <w:spacing w:val="-11"/>
        </w:rPr>
        <w:t> </w:t>
      </w:r>
      <w:r>
        <w:rPr/>
        <w:t>de</w:t>
      </w:r>
      <w:r>
        <w:rPr>
          <w:spacing w:val="-11"/>
        </w:rPr>
        <w:t> </w:t>
      </w:r>
      <w:r>
        <w:rPr/>
        <w:t>la</w:t>
      </w:r>
      <w:r>
        <w:rPr>
          <w:spacing w:val="-11"/>
        </w:rPr>
        <w:t> </w:t>
      </w:r>
      <w:r>
        <w:rPr/>
        <w:t>fiscalización</w:t>
      </w:r>
      <w:r>
        <w:rPr>
          <w:spacing w:val="-8"/>
        </w:rPr>
        <w:t> </w:t>
      </w:r>
      <w:r>
        <w:rPr/>
        <w:t>y</w:t>
      </w:r>
      <w:r>
        <w:rPr>
          <w:spacing w:val="-13"/>
        </w:rPr>
        <w:t> </w:t>
      </w:r>
      <w:r>
        <w:rPr/>
        <w:t>su dependencia del Poder</w:t>
      </w:r>
      <w:r>
        <w:rPr>
          <w:spacing w:val="-20"/>
        </w:rPr>
        <w:t> </w:t>
      </w:r>
      <w:r>
        <w:rPr/>
        <w:t>Legislativo.</w:t>
      </w:r>
    </w:p>
    <w:p>
      <w:pPr>
        <w:pStyle w:val="BodyText"/>
        <w:spacing w:line="357" w:lineRule="auto" w:before="5"/>
        <w:ind w:left="120" w:right="122" w:firstLine="427"/>
        <w:jc w:val="both"/>
        <w:rPr>
          <w:sz w:val="16"/>
        </w:rPr>
      </w:pPr>
      <w:r>
        <w:rPr/>
        <w:t>En</w:t>
      </w:r>
      <w:r>
        <w:rPr>
          <w:spacing w:val="-17"/>
        </w:rPr>
        <w:t> </w:t>
      </w:r>
      <w:r>
        <w:rPr/>
        <w:t>algunos</w:t>
      </w:r>
      <w:r>
        <w:rPr>
          <w:spacing w:val="-15"/>
        </w:rPr>
        <w:t> </w:t>
      </w:r>
      <w:r>
        <w:rPr/>
        <w:t>países</w:t>
      </w:r>
      <w:r>
        <w:rPr>
          <w:spacing w:val="-15"/>
        </w:rPr>
        <w:t> </w:t>
      </w:r>
      <w:r>
        <w:rPr/>
        <w:t>a</w:t>
      </w:r>
      <w:r>
        <w:rPr>
          <w:spacing w:val="-17"/>
        </w:rPr>
        <w:t> </w:t>
      </w:r>
      <w:r>
        <w:rPr/>
        <w:t>las</w:t>
      </w:r>
      <w:r>
        <w:rPr>
          <w:spacing w:val="-15"/>
        </w:rPr>
        <w:t> </w:t>
      </w:r>
      <w:r>
        <w:rPr/>
        <w:t>Entidades</w:t>
      </w:r>
      <w:r>
        <w:rPr>
          <w:spacing w:val="-15"/>
        </w:rPr>
        <w:t> </w:t>
      </w:r>
      <w:r>
        <w:rPr/>
        <w:t>de</w:t>
      </w:r>
      <w:r>
        <w:rPr>
          <w:spacing w:val="-17"/>
        </w:rPr>
        <w:t> </w:t>
      </w:r>
      <w:r>
        <w:rPr/>
        <w:t>Fiscalización</w:t>
      </w:r>
      <w:r>
        <w:rPr>
          <w:spacing w:val="-17"/>
        </w:rPr>
        <w:t> </w:t>
      </w:r>
      <w:r>
        <w:rPr/>
        <w:t>Superior</w:t>
      </w:r>
      <w:r>
        <w:rPr>
          <w:spacing w:val="-15"/>
        </w:rPr>
        <w:t> </w:t>
      </w:r>
      <w:r>
        <w:rPr/>
        <w:t>(EFS)</w:t>
      </w:r>
      <w:r>
        <w:rPr>
          <w:spacing w:val="-15"/>
        </w:rPr>
        <w:t> </w:t>
      </w:r>
      <w:r>
        <w:rPr/>
        <w:t>se</w:t>
      </w:r>
      <w:r>
        <w:rPr>
          <w:spacing w:val="-17"/>
        </w:rPr>
        <w:t> </w:t>
      </w:r>
      <w:r>
        <w:rPr/>
        <w:t>les</w:t>
      </w:r>
      <w:r>
        <w:rPr>
          <w:spacing w:val="-15"/>
        </w:rPr>
        <w:t> </w:t>
      </w:r>
      <w:r>
        <w:rPr/>
        <w:t>otorga la categoría de </w:t>
      </w:r>
      <w:r>
        <w:rPr>
          <w:i/>
        </w:rPr>
        <w:t>superiores </w:t>
      </w:r>
      <w:r>
        <w:rPr/>
        <w:t>en razón de que son la máxima instancia de revisión o fiscalización</w:t>
      </w:r>
      <w:r>
        <w:rPr>
          <w:spacing w:val="-9"/>
        </w:rPr>
        <w:t> </w:t>
      </w:r>
      <w:r>
        <w:rPr/>
        <w:t>de</w:t>
      </w:r>
      <w:r>
        <w:rPr>
          <w:spacing w:val="-9"/>
        </w:rPr>
        <w:t> </w:t>
      </w:r>
      <w:r>
        <w:rPr/>
        <w:t>las</w:t>
      </w:r>
      <w:r>
        <w:rPr>
          <w:spacing w:val="-7"/>
        </w:rPr>
        <w:t> </w:t>
      </w:r>
      <w:r>
        <w:rPr/>
        <w:t>cuentas</w:t>
      </w:r>
      <w:r>
        <w:rPr>
          <w:spacing w:val="-7"/>
        </w:rPr>
        <w:t> </w:t>
      </w:r>
      <w:r>
        <w:rPr/>
        <w:t>públicas</w:t>
      </w:r>
      <w:r>
        <w:rPr>
          <w:spacing w:val="-7"/>
        </w:rPr>
        <w:t> </w:t>
      </w:r>
      <w:r>
        <w:rPr/>
        <w:t>en</w:t>
      </w:r>
      <w:r>
        <w:rPr>
          <w:spacing w:val="-9"/>
        </w:rPr>
        <w:t> </w:t>
      </w:r>
      <w:r>
        <w:rPr/>
        <w:t>su</w:t>
      </w:r>
      <w:r>
        <w:rPr>
          <w:spacing w:val="-9"/>
        </w:rPr>
        <w:t> </w:t>
      </w:r>
      <w:r>
        <w:rPr/>
        <w:t>país</w:t>
      </w:r>
      <w:r>
        <w:rPr>
          <w:spacing w:val="-7"/>
        </w:rPr>
        <w:t> </w:t>
      </w:r>
      <w:r>
        <w:rPr/>
        <w:t>de</w:t>
      </w:r>
      <w:r>
        <w:rPr>
          <w:spacing w:val="-9"/>
        </w:rPr>
        <w:t> </w:t>
      </w:r>
      <w:r>
        <w:rPr/>
        <w:t>origen,</w:t>
      </w:r>
      <w:r>
        <w:rPr>
          <w:spacing w:val="-6"/>
        </w:rPr>
        <w:t> </w:t>
      </w:r>
      <w:r>
        <w:rPr/>
        <w:t>de</w:t>
      </w:r>
      <w:r>
        <w:rPr>
          <w:spacing w:val="-9"/>
        </w:rPr>
        <w:t> </w:t>
      </w:r>
      <w:r>
        <w:rPr/>
        <w:t>ahí</w:t>
      </w:r>
      <w:r>
        <w:rPr>
          <w:spacing w:val="-6"/>
        </w:rPr>
        <w:t> </w:t>
      </w:r>
      <w:r>
        <w:rPr/>
        <w:t>que</w:t>
      </w:r>
      <w:r>
        <w:rPr>
          <w:spacing w:val="-9"/>
        </w:rPr>
        <w:t> </w:t>
      </w:r>
      <w:r>
        <w:rPr/>
        <w:t>existan</w:t>
      </w:r>
      <w:r>
        <w:rPr>
          <w:spacing w:val="-9"/>
        </w:rPr>
        <w:t> </w:t>
      </w:r>
      <w:r>
        <w:rPr/>
        <w:t>varias categorías o tipos de entidades de fiscalización</w:t>
      </w:r>
      <w:r>
        <w:rPr>
          <w:spacing w:val="-26"/>
        </w:rPr>
        <w:t> </w:t>
      </w:r>
      <w:r>
        <w:rPr/>
        <w:t>superior.</w:t>
      </w:r>
      <w:r>
        <w:rPr>
          <w:position w:val="8"/>
          <w:sz w:val="16"/>
        </w:rPr>
        <w:t>86</w:t>
      </w:r>
    </w:p>
    <w:p>
      <w:pPr>
        <w:pStyle w:val="BodyText"/>
        <w:spacing w:line="360" w:lineRule="auto" w:before="5"/>
        <w:ind w:left="120" w:right="124" w:firstLine="427"/>
        <w:jc w:val="both"/>
      </w:pPr>
      <w:r>
        <w:rPr/>
        <w:t>Existen básicamente tres modelos de rendición de cuentas con características propias, de acuerdo con el diseño institucional establecido por cada Estado. Las principales características de los modelos y los sistemas de rendición de cuentas adoptados por los países estudiados se presentan en los siguientes cuadros: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8464;mso-wrap-distance-left:0;mso-wrap-distance-right:0" from="85.025002pt,10.322453pt" to="229.075002pt,10.322453pt" stroked="true" strokeweight=".79999pt" strokecolor="#000000">
            <w10:wrap type="topAndBottom"/>
          </v:line>
        </w:pict>
      </w:r>
    </w:p>
    <w:p>
      <w:pPr>
        <w:spacing w:line="244" w:lineRule="auto" w:before="60"/>
        <w:ind w:left="120" w:right="118" w:firstLine="0"/>
        <w:jc w:val="both"/>
        <w:rPr>
          <w:sz w:val="16"/>
        </w:rPr>
      </w:pPr>
      <w:r>
        <w:rPr>
          <w:rFonts w:ascii="Times New Roman" w:hAnsi="Times New Roman"/>
          <w:position w:val="7"/>
          <w:sz w:val="13"/>
        </w:rPr>
        <w:t>86</w:t>
      </w:r>
      <w:r>
        <w:rPr>
          <w:sz w:val="16"/>
        </w:rPr>
        <w:t>Ackerman (2006: 25) consideró que existen dos tipos diferentes de organismos: los unipersonales (Auditorías Generales o Contralorías Generales) que dependen del Poder Legislativo, quienes se limitan a emitir recomendaciones técnicas al Congreso;</w:t>
      </w:r>
      <w:r>
        <w:rPr>
          <w:spacing w:val="-2"/>
          <w:sz w:val="16"/>
        </w:rPr>
        <w:t> </w:t>
      </w:r>
      <w:r>
        <w:rPr>
          <w:sz w:val="16"/>
        </w:rPr>
        <w:t>y</w:t>
      </w:r>
      <w:r>
        <w:rPr>
          <w:spacing w:val="-3"/>
          <w:sz w:val="16"/>
        </w:rPr>
        <w:t> </w:t>
      </w:r>
      <w:r>
        <w:rPr>
          <w:sz w:val="16"/>
        </w:rPr>
        <w:t>los</w:t>
      </w:r>
      <w:r>
        <w:rPr>
          <w:spacing w:val="-6"/>
          <w:sz w:val="16"/>
        </w:rPr>
        <w:t> </w:t>
      </w:r>
      <w:r>
        <w:rPr>
          <w:sz w:val="16"/>
        </w:rPr>
        <w:t>colegiados</w:t>
      </w:r>
      <w:r>
        <w:rPr>
          <w:spacing w:val="-6"/>
          <w:sz w:val="16"/>
        </w:rPr>
        <w:t> </w:t>
      </w:r>
      <w:r>
        <w:rPr>
          <w:sz w:val="16"/>
        </w:rPr>
        <w:t>(Tribunales</w:t>
      </w:r>
      <w:r>
        <w:rPr>
          <w:spacing w:val="-6"/>
          <w:sz w:val="16"/>
        </w:rPr>
        <w:t> </w:t>
      </w:r>
      <w:r>
        <w:rPr>
          <w:sz w:val="16"/>
        </w:rPr>
        <w:t>de</w:t>
      </w:r>
      <w:r>
        <w:rPr>
          <w:spacing w:val="-3"/>
          <w:sz w:val="16"/>
        </w:rPr>
        <w:t> </w:t>
      </w:r>
      <w:r>
        <w:rPr>
          <w:sz w:val="16"/>
        </w:rPr>
        <w:t>Cuentas</w:t>
      </w:r>
      <w:r>
        <w:rPr>
          <w:spacing w:val="-6"/>
          <w:sz w:val="16"/>
        </w:rPr>
        <w:t> </w:t>
      </w:r>
      <w:r>
        <w:rPr>
          <w:sz w:val="16"/>
        </w:rPr>
        <w:t>o</w:t>
      </w:r>
      <w:r>
        <w:rPr>
          <w:spacing w:val="-4"/>
          <w:sz w:val="16"/>
        </w:rPr>
        <w:t> </w:t>
      </w:r>
      <w:r>
        <w:rPr>
          <w:sz w:val="16"/>
        </w:rPr>
        <w:t>Consejos</w:t>
      </w:r>
      <w:r>
        <w:rPr>
          <w:spacing w:val="-6"/>
          <w:sz w:val="16"/>
        </w:rPr>
        <w:t> </w:t>
      </w:r>
      <w:r>
        <w:rPr>
          <w:sz w:val="16"/>
        </w:rPr>
        <w:t>de</w:t>
      </w:r>
      <w:r>
        <w:rPr>
          <w:spacing w:val="-3"/>
          <w:sz w:val="16"/>
        </w:rPr>
        <w:t> </w:t>
      </w:r>
      <w:r>
        <w:rPr>
          <w:sz w:val="16"/>
        </w:rPr>
        <w:t>Auditoría),</w:t>
      </w:r>
      <w:r>
        <w:rPr>
          <w:spacing w:val="-1"/>
          <w:sz w:val="16"/>
        </w:rPr>
        <w:t> </w:t>
      </w:r>
      <w:r>
        <w:rPr>
          <w:sz w:val="16"/>
        </w:rPr>
        <w:t>los</w:t>
      </w:r>
      <w:r>
        <w:rPr>
          <w:spacing w:val="-6"/>
          <w:sz w:val="16"/>
        </w:rPr>
        <w:t> </w:t>
      </w:r>
      <w:r>
        <w:rPr>
          <w:sz w:val="16"/>
        </w:rPr>
        <w:t>cuales</w:t>
      </w:r>
      <w:r>
        <w:rPr>
          <w:spacing w:val="-6"/>
          <w:sz w:val="16"/>
        </w:rPr>
        <w:t> </w:t>
      </w:r>
      <w:r>
        <w:rPr>
          <w:sz w:val="16"/>
        </w:rPr>
        <w:t>comúnmente</w:t>
      </w:r>
      <w:r>
        <w:rPr>
          <w:spacing w:val="-1"/>
          <w:sz w:val="16"/>
        </w:rPr>
        <w:t> </w:t>
      </w:r>
      <w:r>
        <w:rPr>
          <w:sz w:val="16"/>
        </w:rPr>
        <w:t>son</w:t>
      </w:r>
      <w:r>
        <w:rPr>
          <w:spacing w:val="-4"/>
          <w:sz w:val="16"/>
        </w:rPr>
        <w:t> </w:t>
      </w:r>
      <w:r>
        <w:rPr>
          <w:sz w:val="16"/>
        </w:rPr>
        <w:t>independientes</w:t>
      </w:r>
      <w:r>
        <w:rPr>
          <w:spacing w:val="-6"/>
          <w:sz w:val="16"/>
        </w:rPr>
        <w:t> </w:t>
      </w:r>
      <w:r>
        <w:rPr>
          <w:sz w:val="16"/>
        </w:rPr>
        <w:t>de los</w:t>
      </w:r>
      <w:r>
        <w:rPr>
          <w:spacing w:val="-6"/>
          <w:sz w:val="16"/>
        </w:rPr>
        <w:t> </w:t>
      </w:r>
      <w:r>
        <w:rPr>
          <w:sz w:val="16"/>
        </w:rPr>
        <w:t>tres</w:t>
      </w:r>
      <w:r>
        <w:rPr>
          <w:spacing w:val="-6"/>
          <w:sz w:val="16"/>
        </w:rPr>
        <w:t> </w:t>
      </w:r>
      <w:r>
        <w:rPr>
          <w:sz w:val="16"/>
        </w:rPr>
        <w:t>poderes</w:t>
      </w:r>
      <w:r>
        <w:rPr>
          <w:spacing w:val="-3"/>
          <w:sz w:val="16"/>
        </w:rPr>
        <w:t> </w:t>
      </w:r>
      <w:r>
        <w:rPr>
          <w:sz w:val="16"/>
        </w:rPr>
        <w:t>y</w:t>
      </w:r>
      <w:r>
        <w:rPr>
          <w:spacing w:val="-6"/>
          <w:sz w:val="16"/>
        </w:rPr>
        <w:t> </w:t>
      </w:r>
      <w:r>
        <w:rPr>
          <w:sz w:val="16"/>
        </w:rPr>
        <w:t>tienen</w:t>
      </w:r>
      <w:r>
        <w:rPr>
          <w:spacing w:val="-7"/>
          <w:sz w:val="16"/>
        </w:rPr>
        <w:t> </w:t>
      </w:r>
      <w:r>
        <w:rPr>
          <w:sz w:val="16"/>
        </w:rPr>
        <w:t>generalmente</w:t>
      </w:r>
      <w:r>
        <w:rPr>
          <w:spacing w:val="-3"/>
          <w:sz w:val="16"/>
        </w:rPr>
        <w:t> </w:t>
      </w:r>
      <w:r>
        <w:rPr>
          <w:sz w:val="16"/>
        </w:rPr>
        <w:t>capacidades</w:t>
      </w:r>
      <w:r>
        <w:rPr>
          <w:spacing w:val="-3"/>
          <w:sz w:val="16"/>
        </w:rPr>
        <w:t> </w:t>
      </w:r>
      <w:r>
        <w:rPr>
          <w:sz w:val="16"/>
        </w:rPr>
        <w:t>vinculatorias</w:t>
      </w:r>
      <w:r>
        <w:rPr>
          <w:spacing w:val="-3"/>
          <w:sz w:val="16"/>
        </w:rPr>
        <w:t> </w:t>
      </w:r>
      <w:r>
        <w:rPr>
          <w:sz w:val="16"/>
        </w:rPr>
        <w:t>de sanción</w:t>
      </w:r>
      <w:r>
        <w:rPr>
          <w:spacing w:val="-7"/>
          <w:sz w:val="16"/>
        </w:rPr>
        <w:t> </w:t>
      </w:r>
      <w:r>
        <w:rPr>
          <w:sz w:val="16"/>
        </w:rPr>
        <w:t>directa.</w:t>
      </w:r>
    </w:p>
    <w:p>
      <w:pPr>
        <w:spacing w:after="0" w:line="244" w:lineRule="auto"/>
        <w:jc w:val="both"/>
        <w:rPr>
          <w:sz w:val="16"/>
        </w:rPr>
        <w:sectPr>
          <w:pgSz w:w="12240" w:h="15840"/>
          <w:pgMar w:header="0" w:footer="998" w:top="1360" w:bottom="1180" w:left="1580" w:right="1580"/>
        </w:sectPr>
      </w:pPr>
    </w:p>
    <w:p>
      <w:pPr>
        <w:spacing w:before="57"/>
        <w:ind w:left="1713" w:right="0" w:firstLine="0"/>
        <w:jc w:val="left"/>
        <w:rPr>
          <w:sz w:val="20"/>
        </w:rPr>
      </w:pPr>
      <w:bookmarkStart w:name="_bookmark64" w:id="87"/>
      <w:bookmarkEnd w:id="87"/>
      <w:r>
        <w:rPr/>
      </w:r>
      <w:r>
        <w:rPr>
          <w:sz w:val="20"/>
        </w:rPr>
        <w:t>Cuadro 3. 4. Modelos institucionales de rendición de cuentas en el mundo</w:t>
      </w:r>
    </w:p>
    <w:p>
      <w:pPr>
        <w:pStyle w:val="BodyText"/>
        <w:spacing w:before="10"/>
        <w:rPr>
          <w:sz w:val="17"/>
        </w:rPr>
      </w:pPr>
    </w:p>
    <w:tbl>
      <w:tblPr>
        <w:tblW w:w="0" w:type="auto"/>
        <w:jc w:val="left"/>
        <w:tblInd w:w="542"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280"/>
        <w:gridCol w:w="2533"/>
        <w:gridCol w:w="2533"/>
        <w:gridCol w:w="1537"/>
      </w:tblGrid>
      <w:tr>
        <w:trPr>
          <w:trHeight w:val="584" w:hRule="exact"/>
        </w:trPr>
        <w:tc>
          <w:tcPr>
            <w:tcW w:w="8883" w:type="dxa"/>
            <w:gridSpan w:val="4"/>
          </w:tcPr>
          <w:p>
            <w:pPr>
              <w:pStyle w:val="TableParagraph"/>
              <w:spacing w:before="8"/>
              <w:rPr>
                <w:sz w:val="15"/>
              </w:rPr>
            </w:pPr>
          </w:p>
          <w:p>
            <w:pPr>
              <w:pStyle w:val="TableParagraph"/>
              <w:ind w:left="3149" w:right="3161"/>
              <w:jc w:val="center"/>
              <w:rPr>
                <w:b/>
                <w:sz w:val="14"/>
              </w:rPr>
            </w:pPr>
            <w:r>
              <w:rPr>
                <w:b/>
                <w:sz w:val="14"/>
              </w:rPr>
              <w:t>Instituciones de rendición de cuentas</w:t>
            </w:r>
          </w:p>
        </w:tc>
      </w:tr>
      <w:tr>
        <w:trPr>
          <w:trHeight w:val="390" w:hRule="exact"/>
        </w:trPr>
        <w:tc>
          <w:tcPr>
            <w:tcW w:w="2280" w:type="dxa"/>
            <w:tcBorders>
              <w:left w:val="single" w:sz="3" w:space="0" w:color="000000"/>
              <w:bottom w:val="single" w:sz="3" w:space="0" w:color="000000"/>
              <w:right w:val="single" w:sz="3" w:space="0" w:color="000000"/>
            </w:tcBorders>
          </w:tcPr>
          <w:p>
            <w:pPr>
              <w:pStyle w:val="TableParagraph"/>
              <w:spacing w:line="273" w:lineRule="auto"/>
              <w:ind w:left="475" w:right="470" w:firstLine="7"/>
              <w:rPr>
                <w:b/>
                <w:sz w:val="14"/>
              </w:rPr>
            </w:pPr>
            <w:r>
              <w:rPr>
                <w:b/>
                <w:sz w:val="14"/>
              </w:rPr>
              <w:t>Auditoría General o Contraloría General</w:t>
            </w:r>
          </w:p>
        </w:tc>
        <w:tc>
          <w:tcPr>
            <w:tcW w:w="2533" w:type="dxa"/>
            <w:tcBorders>
              <w:left w:val="single" w:sz="3" w:space="0" w:color="000000"/>
              <w:bottom w:val="single" w:sz="3" w:space="0" w:color="000000"/>
              <w:right w:val="single" w:sz="3" w:space="0" w:color="000000"/>
            </w:tcBorders>
          </w:tcPr>
          <w:p>
            <w:pPr>
              <w:pStyle w:val="TableParagraph"/>
              <w:spacing w:line="273" w:lineRule="auto"/>
              <w:ind w:left="875" w:right="884"/>
              <w:jc w:val="center"/>
              <w:rPr>
                <w:b/>
                <w:sz w:val="14"/>
              </w:rPr>
            </w:pPr>
            <w:r>
              <w:rPr>
                <w:b/>
                <w:sz w:val="14"/>
              </w:rPr>
              <w:t>Tribunal de Cuentas</w:t>
            </w:r>
          </w:p>
        </w:tc>
        <w:tc>
          <w:tcPr>
            <w:tcW w:w="2533" w:type="dxa"/>
            <w:tcBorders>
              <w:left w:val="single" w:sz="3" w:space="0" w:color="000000"/>
              <w:bottom w:val="single" w:sz="3" w:space="0" w:color="000000"/>
              <w:right w:val="single" w:sz="3" w:space="0" w:color="000000"/>
            </w:tcBorders>
          </w:tcPr>
          <w:p>
            <w:pPr>
              <w:pStyle w:val="TableParagraph"/>
              <w:spacing w:line="273" w:lineRule="auto"/>
              <w:ind w:left="880" w:right="880"/>
              <w:jc w:val="center"/>
              <w:rPr>
                <w:b/>
                <w:sz w:val="14"/>
              </w:rPr>
            </w:pPr>
            <w:r>
              <w:rPr>
                <w:b/>
                <w:sz w:val="14"/>
              </w:rPr>
              <w:t>Consejo de Auditoría</w:t>
            </w:r>
          </w:p>
        </w:tc>
        <w:tc>
          <w:tcPr>
            <w:tcW w:w="1537" w:type="dxa"/>
            <w:tcBorders>
              <w:left w:val="single" w:sz="3" w:space="0" w:color="000000"/>
              <w:bottom w:val="single" w:sz="3" w:space="0" w:color="000000"/>
              <w:right w:val="single" w:sz="3" w:space="0" w:color="000000"/>
            </w:tcBorders>
          </w:tcPr>
          <w:p>
            <w:pPr>
              <w:pStyle w:val="TableParagraph"/>
              <w:spacing w:line="157" w:lineRule="exact"/>
              <w:ind w:left="252" w:right="147"/>
              <w:rPr>
                <w:b/>
                <w:sz w:val="14"/>
              </w:rPr>
            </w:pPr>
            <w:r>
              <w:rPr>
                <w:b/>
                <w:sz w:val="14"/>
              </w:rPr>
              <w:t>Otros sistemas</w:t>
            </w:r>
          </w:p>
        </w:tc>
      </w:tr>
      <w:tr>
        <w:trPr>
          <w:trHeight w:val="2268" w:hRule="exact"/>
        </w:trPr>
        <w:tc>
          <w:tcPr>
            <w:tcW w:w="2280" w:type="dxa"/>
            <w:tcBorders>
              <w:top w:val="single" w:sz="3" w:space="0" w:color="000000"/>
              <w:left w:val="single" w:sz="3" w:space="0" w:color="000000"/>
              <w:bottom w:val="single" w:sz="3" w:space="0" w:color="000000"/>
              <w:right w:val="single" w:sz="3" w:space="0" w:color="000000"/>
            </w:tcBorders>
          </w:tcPr>
          <w:p>
            <w:pPr>
              <w:pStyle w:val="TableParagraph"/>
              <w:ind w:left="100" w:right="175"/>
              <w:rPr>
                <w:sz w:val="14"/>
              </w:rPr>
            </w:pPr>
            <w:r>
              <w:rPr>
                <w:sz w:val="14"/>
              </w:rPr>
              <w:t>Las decisiones recaen en un titular, la mayoría depende del Poder Legislativo y en menor medida, del Ejecutivo; sin embargo, conservan su autonomía técnica y de gestión.</w:t>
            </w:r>
          </w:p>
          <w:p>
            <w:pPr>
              <w:pStyle w:val="TableParagraph"/>
              <w:spacing w:before="9"/>
              <w:rPr>
                <w:sz w:val="13"/>
              </w:rPr>
            </w:pPr>
          </w:p>
          <w:p>
            <w:pPr>
              <w:pStyle w:val="TableParagraph"/>
              <w:ind w:left="100" w:right="113"/>
              <w:rPr>
                <w:sz w:val="14"/>
              </w:rPr>
            </w:pPr>
            <w:r>
              <w:rPr>
                <w:sz w:val="14"/>
              </w:rPr>
              <w:t>Los titulares son nombrados por el Legislativo, a partir de un cuidadoso proceso de selección de candidatos, el titular es inamovible por periodos de 1 a 15 años, dependiendo del marco legal del país.</w:t>
            </w:r>
          </w:p>
        </w:tc>
        <w:tc>
          <w:tcPr>
            <w:tcW w:w="2533" w:type="dxa"/>
            <w:tcBorders>
              <w:top w:val="single" w:sz="3" w:space="0" w:color="000000"/>
              <w:left w:val="single" w:sz="3" w:space="0" w:color="000000"/>
              <w:bottom w:val="single" w:sz="3" w:space="0" w:color="000000"/>
              <w:right w:val="single" w:sz="3" w:space="0" w:color="000000"/>
            </w:tcBorders>
          </w:tcPr>
          <w:p>
            <w:pPr>
              <w:pStyle w:val="TableParagraph"/>
              <w:ind w:left="172" w:right="124"/>
              <w:rPr>
                <w:sz w:val="14"/>
              </w:rPr>
            </w:pPr>
            <w:r>
              <w:rPr>
                <w:sz w:val="14"/>
              </w:rPr>
              <w:t>La titularidad es de tipo colegiado, compuesto por magistrados, quienes toman las decisiones en el seno del grupo, sus cargos son inamovibles (vitalicio o conforme a la edad de retiro).</w:t>
            </w:r>
          </w:p>
          <w:p>
            <w:pPr>
              <w:pStyle w:val="TableParagraph"/>
              <w:spacing w:before="9"/>
              <w:rPr>
                <w:sz w:val="13"/>
              </w:rPr>
            </w:pPr>
          </w:p>
          <w:p>
            <w:pPr>
              <w:pStyle w:val="TableParagraph"/>
              <w:spacing w:line="242" w:lineRule="auto"/>
              <w:ind w:left="172" w:right="252"/>
              <w:jc w:val="both"/>
              <w:rPr>
                <w:sz w:val="14"/>
              </w:rPr>
            </w:pPr>
            <w:r>
              <w:rPr>
                <w:sz w:val="14"/>
              </w:rPr>
              <w:t>Los tribunales están</w:t>
            </w:r>
            <w:r>
              <w:rPr>
                <w:spacing w:val="-16"/>
                <w:sz w:val="14"/>
              </w:rPr>
              <w:t> </w:t>
            </w:r>
            <w:r>
              <w:rPr>
                <w:sz w:val="14"/>
              </w:rPr>
              <w:t>directamente relacionados con los congresos o cámaras</w:t>
            </w:r>
            <w:r>
              <w:rPr>
                <w:spacing w:val="-10"/>
                <w:sz w:val="14"/>
              </w:rPr>
              <w:t> </w:t>
            </w:r>
            <w:r>
              <w:rPr>
                <w:sz w:val="14"/>
              </w:rPr>
              <w:t>bajas.</w:t>
            </w:r>
          </w:p>
        </w:tc>
        <w:tc>
          <w:tcPr>
            <w:tcW w:w="2533" w:type="dxa"/>
            <w:tcBorders>
              <w:top w:val="single" w:sz="3" w:space="0" w:color="000000"/>
              <w:left w:val="single" w:sz="3" w:space="0" w:color="000000"/>
              <w:bottom w:val="single" w:sz="3" w:space="0" w:color="000000"/>
              <w:right w:val="single" w:sz="3" w:space="0" w:color="000000"/>
            </w:tcBorders>
          </w:tcPr>
          <w:p>
            <w:pPr>
              <w:pStyle w:val="TableParagraph"/>
              <w:ind w:left="104" w:right="124"/>
              <w:rPr>
                <w:sz w:val="14"/>
              </w:rPr>
            </w:pPr>
            <w:r>
              <w:rPr>
                <w:sz w:val="14"/>
              </w:rPr>
              <w:t>Es característico de algunos países orientales.</w:t>
            </w:r>
          </w:p>
          <w:p>
            <w:pPr>
              <w:pStyle w:val="TableParagraph"/>
              <w:spacing w:before="9"/>
              <w:rPr>
                <w:sz w:val="13"/>
              </w:rPr>
            </w:pPr>
          </w:p>
          <w:p>
            <w:pPr>
              <w:pStyle w:val="TableParagraph"/>
              <w:spacing w:before="1"/>
              <w:ind w:left="104" w:right="253"/>
              <w:rPr>
                <w:sz w:val="14"/>
              </w:rPr>
            </w:pPr>
            <w:r>
              <w:rPr>
                <w:sz w:val="14"/>
              </w:rPr>
              <w:t>La titularidad de la institución es colegiada, son órganos que se constituyen en formas de gobierno no ejecutivas y reportan directamente al Presidente de la República.</w:t>
            </w:r>
          </w:p>
        </w:tc>
        <w:tc>
          <w:tcPr>
            <w:tcW w:w="1537" w:type="dxa"/>
            <w:tcBorders>
              <w:top w:val="single" w:sz="3" w:space="0" w:color="000000"/>
              <w:left w:val="single" w:sz="3" w:space="0" w:color="000000"/>
              <w:bottom w:val="single" w:sz="3" w:space="0" w:color="000000"/>
              <w:right w:val="single" w:sz="3" w:space="0" w:color="000000"/>
            </w:tcBorders>
          </w:tcPr>
          <w:p>
            <w:pPr>
              <w:pStyle w:val="TableParagraph"/>
              <w:ind w:left="100" w:right="147"/>
              <w:rPr>
                <w:sz w:val="14"/>
              </w:rPr>
            </w:pPr>
            <w:r>
              <w:rPr>
                <w:sz w:val="14"/>
              </w:rPr>
              <w:t>En algunos países como Suecia (</w:t>
            </w:r>
            <w:r>
              <w:rPr>
                <w:i/>
                <w:sz w:val="14"/>
              </w:rPr>
              <w:t>Swedish National </w:t>
            </w:r>
            <w:r>
              <w:rPr>
                <w:i/>
                <w:sz w:val="14"/>
              </w:rPr>
              <w:t>Audit Office</w:t>
            </w:r>
            <w:r>
              <w:rPr>
                <w:sz w:val="14"/>
              </w:rPr>
              <w:t>), la entidad de fiscalización es un órgano más del gobierno.</w:t>
            </w:r>
          </w:p>
        </w:tc>
      </w:tr>
      <w:tr>
        <w:trPr>
          <w:trHeight w:val="549" w:hRule="exact"/>
        </w:trPr>
        <w:tc>
          <w:tcPr>
            <w:tcW w:w="8883" w:type="dxa"/>
            <w:gridSpan w:val="4"/>
            <w:tcBorders>
              <w:top w:val="single" w:sz="3" w:space="0" w:color="000000"/>
              <w:left w:val="single" w:sz="3" w:space="0" w:color="000000"/>
              <w:bottom w:val="single" w:sz="3" w:space="0" w:color="000000"/>
              <w:right w:val="single" w:sz="3" w:space="0" w:color="000000"/>
            </w:tcBorders>
          </w:tcPr>
          <w:p>
            <w:pPr>
              <w:pStyle w:val="TableParagraph"/>
              <w:spacing w:before="7"/>
              <w:rPr>
                <w:sz w:val="13"/>
              </w:rPr>
            </w:pPr>
          </w:p>
          <w:p>
            <w:pPr>
              <w:pStyle w:val="TableParagraph"/>
              <w:ind w:left="3521" w:right="3531"/>
              <w:jc w:val="center"/>
              <w:rPr>
                <w:b/>
                <w:sz w:val="14"/>
              </w:rPr>
            </w:pPr>
            <w:r>
              <w:rPr>
                <w:b/>
                <w:sz w:val="14"/>
              </w:rPr>
              <w:t>Características principales</w:t>
            </w:r>
          </w:p>
        </w:tc>
      </w:tr>
      <w:tr>
        <w:trPr>
          <w:trHeight w:val="2752" w:hRule="exact"/>
        </w:trPr>
        <w:tc>
          <w:tcPr>
            <w:tcW w:w="2280" w:type="dxa"/>
            <w:tcBorders>
              <w:top w:val="single" w:sz="3" w:space="0" w:color="000000"/>
              <w:left w:val="single" w:sz="3" w:space="0" w:color="000000"/>
              <w:bottom w:val="single" w:sz="3" w:space="0" w:color="000000"/>
              <w:right w:val="single" w:sz="3" w:space="0" w:color="000000"/>
            </w:tcBorders>
          </w:tcPr>
          <w:p>
            <w:pPr>
              <w:pStyle w:val="TableParagraph"/>
              <w:numPr>
                <w:ilvl w:val="0"/>
                <w:numId w:val="63"/>
              </w:numPr>
              <w:tabs>
                <w:tab w:pos="415" w:val="left" w:leader="none"/>
                <w:tab w:pos="416" w:val="left" w:leader="none"/>
              </w:tabs>
              <w:spacing w:line="160" w:lineRule="exact" w:before="0" w:after="0"/>
              <w:ind w:left="416" w:right="0" w:hanging="316"/>
              <w:jc w:val="left"/>
              <w:rPr>
                <w:sz w:val="14"/>
              </w:rPr>
            </w:pPr>
            <w:r>
              <w:rPr>
                <w:sz w:val="14"/>
              </w:rPr>
              <w:t>Reporta al</w:t>
            </w:r>
            <w:r>
              <w:rPr>
                <w:spacing w:val="-14"/>
                <w:sz w:val="14"/>
              </w:rPr>
              <w:t> </w:t>
            </w:r>
            <w:r>
              <w:rPr>
                <w:sz w:val="14"/>
              </w:rPr>
              <w:t>congreso.</w:t>
            </w:r>
          </w:p>
          <w:p>
            <w:pPr>
              <w:pStyle w:val="TableParagraph"/>
              <w:numPr>
                <w:ilvl w:val="0"/>
                <w:numId w:val="63"/>
              </w:numPr>
              <w:tabs>
                <w:tab w:pos="415" w:val="left" w:leader="none"/>
                <w:tab w:pos="416" w:val="left" w:leader="none"/>
              </w:tabs>
              <w:spacing w:line="160" w:lineRule="exact" w:before="0" w:after="0"/>
              <w:ind w:left="416" w:right="0" w:hanging="316"/>
              <w:jc w:val="left"/>
              <w:rPr>
                <w:sz w:val="14"/>
              </w:rPr>
            </w:pPr>
            <w:r>
              <w:rPr>
                <w:sz w:val="14"/>
              </w:rPr>
              <w:t>Cuenta con un</w:t>
            </w:r>
            <w:r>
              <w:rPr>
                <w:spacing w:val="-17"/>
                <w:sz w:val="14"/>
              </w:rPr>
              <w:t> </w:t>
            </w:r>
            <w:r>
              <w:rPr>
                <w:sz w:val="14"/>
              </w:rPr>
              <w:t>titular.</w:t>
            </w:r>
          </w:p>
          <w:p>
            <w:pPr>
              <w:pStyle w:val="TableParagraph"/>
              <w:numPr>
                <w:ilvl w:val="0"/>
                <w:numId w:val="63"/>
              </w:numPr>
              <w:tabs>
                <w:tab w:pos="415" w:val="left" w:leader="none"/>
                <w:tab w:pos="416" w:val="left" w:leader="none"/>
              </w:tabs>
              <w:spacing w:line="240" w:lineRule="auto" w:before="0" w:after="0"/>
              <w:ind w:left="416" w:right="205" w:hanging="316"/>
              <w:jc w:val="left"/>
              <w:rPr>
                <w:sz w:val="14"/>
              </w:rPr>
            </w:pPr>
            <w:r>
              <w:rPr>
                <w:sz w:val="14"/>
              </w:rPr>
              <w:t>Inamovible por un</w:t>
            </w:r>
            <w:r>
              <w:rPr>
                <w:spacing w:val="-18"/>
                <w:sz w:val="14"/>
              </w:rPr>
              <w:t> </w:t>
            </w:r>
            <w:r>
              <w:rPr>
                <w:sz w:val="14"/>
              </w:rPr>
              <w:t>periodo. Autonomía técnica y de gestión, y </w:t>
            </w:r>
            <w:r>
              <w:rPr>
                <w:spacing w:val="-3"/>
                <w:sz w:val="14"/>
              </w:rPr>
              <w:t>en </w:t>
            </w:r>
            <w:r>
              <w:rPr>
                <w:sz w:val="14"/>
              </w:rPr>
              <w:t>algunos casos, autonomía constitucional.</w:t>
            </w:r>
          </w:p>
          <w:p>
            <w:pPr>
              <w:pStyle w:val="TableParagraph"/>
              <w:numPr>
                <w:ilvl w:val="0"/>
                <w:numId w:val="63"/>
              </w:numPr>
              <w:tabs>
                <w:tab w:pos="415" w:val="left" w:leader="none"/>
                <w:tab w:pos="416" w:val="left" w:leader="none"/>
              </w:tabs>
              <w:spacing w:line="240" w:lineRule="auto" w:before="3" w:after="0"/>
              <w:ind w:left="416" w:right="653" w:hanging="316"/>
              <w:jc w:val="left"/>
              <w:rPr>
                <w:sz w:val="14"/>
              </w:rPr>
            </w:pPr>
            <w:r>
              <w:rPr>
                <w:sz w:val="14"/>
              </w:rPr>
              <w:t>Depende del</w:t>
            </w:r>
            <w:r>
              <w:rPr>
                <w:spacing w:val="-13"/>
                <w:sz w:val="14"/>
              </w:rPr>
              <w:t> </w:t>
            </w:r>
            <w:r>
              <w:rPr>
                <w:sz w:val="14"/>
              </w:rPr>
              <w:t>Poder Legislativo.</w:t>
            </w:r>
          </w:p>
          <w:p>
            <w:pPr>
              <w:pStyle w:val="TableParagraph"/>
              <w:numPr>
                <w:ilvl w:val="0"/>
                <w:numId w:val="63"/>
              </w:numPr>
              <w:tabs>
                <w:tab w:pos="415" w:val="left" w:leader="none"/>
                <w:tab w:pos="416" w:val="left" w:leader="none"/>
              </w:tabs>
              <w:spacing w:line="240" w:lineRule="auto" w:before="0" w:after="0"/>
              <w:ind w:left="416" w:right="518" w:hanging="316"/>
              <w:jc w:val="left"/>
              <w:rPr>
                <w:sz w:val="14"/>
              </w:rPr>
            </w:pPr>
            <w:r>
              <w:rPr>
                <w:sz w:val="14"/>
              </w:rPr>
              <w:t>Acceso irrestricto a</w:t>
            </w:r>
            <w:r>
              <w:rPr>
                <w:spacing w:val="-13"/>
                <w:sz w:val="14"/>
              </w:rPr>
              <w:t> </w:t>
            </w:r>
            <w:r>
              <w:rPr>
                <w:sz w:val="14"/>
              </w:rPr>
              <w:t>la información.</w:t>
            </w:r>
          </w:p>
          <w:p>
            <w:pPr>
              <w:pStyle w:val="TableParagraph"/>
              <w:numPr>
                <w:ilvl w:val="0"/>
                <w:numId w:val="63"/>
              </w:numPr>
              <w:tabs>
                <w:tab w:pos="415" w:val="left" w:leader="none"/>
                <w:tab w:pos="416" w:val="left" w:leader="none"/>
              </w:tabs>
              <w:spacing w:line="240" w:lineRule="auto" w:before="3" w:after="0"/>
              <w:ind w:left="416" w:right="518" w:hanging="316"/>
              <w:jc w:val="left"/>
              <w:rPr>
                <w:sz w:val="14"/>
              </w:rPr>
            </w:pPr>
            <w:r>
              <w:rPr>
                <w:sz w:val="14"/>
              </w:rPr>
              <w:t>Realizan inversión</w:t>
            </w:r>
            <w:r>
              <w:rPr>
                <w:spacing w:val="-10"/>
                <w:sz w:val="14"/>
              </w:rPr>
              <w:t> </w:t>
            </w:r>
            <w:r>
              <w:rPr>
                <w:sz w:val="14"/>
              </w:rPr>
              <w:t>en capital</w:t>
            </w:r>
            <w:r>
              <w:rPr>
                <w:spacing w:val="-14"/>
                <w:sz w:val="14"/>
              </w:rPr>
              <w:t> </w:t>
            </w:r>
            <w:r>
              <w:rPr>
                <w:sz w:val="14"/>
              </w:rPr>
              <w:t>humano.</w:t>
            </w:r>
          </w:p>
          <w:p>
            <w:pPr>
              <w:pStyle w:val="TableParagraph"/>
              <w:numPr>
                <w:ilvl w:val="0"/>
                <w:numId w:val="63"/>
              </w:numPr>
              <w:tabs>
                <w:tab w:pos="415" w:val="left" w:leader="none"/>
                <w:tab w:pos="416" w:val="left" w:leader="none"/>
              </w:tabs>
              <w:spacing w:line="240" w:lineRule="auto" w:before="0" w:after="0"/>
              <w:ind w:left="416" w:right="122" w:hanging="316"/>
              <w:jc w:val="left"/>
              <w:rPr>
                <w:sz w:val="14"/>
              </w:rPr>
            </w:pPr>
            <w:r>
              <w:rPr>
                <w:sz w:val="14"/>
              </w:rPr>
              <w:t>Otorgan énfasis a la</w:t>
            </w:r>
            <w:r>
              <w:rPr>
                <w:spacing w:val="-15"/>
                <w:sz w:val="14"/>
              </w:rPr>
              <w:t> </w:t>
            </w:r>
            <w:r>
              <w:rPr>
                <w:sz w:val="14"/>
              </w:rPr>
              <w:t>calidad del</w:t>
            </w:r>
            <w:r>
              <w:rPr>
                <w:spacing w:val="-11"/>
                <w:sz w:val="14"/>
              </w:rPr>
              <w:t> </w:t>
            </w:r>
            <w:r>
              <w:rPr>
                <w:sz w:val="14"/>
              </w:rPr>
              <w:t>gasto.</w:t>
            </w:r>
          </w:p>
          <w:p>
            <w:pPr>
              <w:pStyle w:val="TableParagraph"/>
              <w:numPr>
                <w:ilvl w:val="0"/>
                <w:numId w:val="63"/>
              </w:numPr>
              <w:tabs>
                <w:tab w:pos="415" w:val="left" w:leader="none"/>
                <w:tab w:pos="416" w:val="left" w:leader="none"/>
              </w:tabs>
              <w:spacing w:line="240" w:lineRule="auto" w:before="3" w:after="0"/>
              <w:ind w:left="416" w:right="358" w:hanging="316"/>
              <w:jc w:val="left"/>
              <w:rPr>
                <w:sz w:val="14"/>
              </w:rPr>
            </w:pPr>
            <w:r>
              <w:rPr>
                <w:sz w:val="14"/>
              </w:rPr>
              <w:t>Tienen un enfoque a</w:t>
            </w:r>
            <w:r>
              <w:rPr>
                <w:spacing w:val="-13"/>
                <w:sz w:val="14"/>
              </w:rPr>
              <w:t> </w:t>
            </w:r>
            <w:r>
              <w:rPr>
                <w:sz w:val="14"/>
              </w:rPr>
              <w:t>las revisiones</w:t>
            </w:r>
            <w:r>
              <w:rPr>
                <w:spacing w:val="-16"/>
                <w:sz w:val="14"/>
              </w:rPr>
              <w:t> </w:t>
            </w:r>
            <w:r>
              <w:rPr>
                <w:sz w:val="14"/>
              </w:rPr>
              <w:t>financieras.</w:t>
            </w:r>
          </w:p>
        </w:tc>
        <w:tc>
          <w:tcPr>
            <w:tcW w:w="2533" w:type="dxa"/>
            <w:tcBorders>
              <w:top w:val="single" w:sz="3" w:space="0" w:color="000000"/>
              <w:left w:val="single" w:sz="3" w:space="0" w:color="000000"/>
              <w:bottom w:val="single" w:sz="3" w:space="0" w:color="000000"/>
              <w:right w:val="single" w:sz="3" w:space="0" w:color="000000"/>
            </w:tcBorders>
          </w:tcPr>
          <w:p>
            <w:pPr>
              <w:pStyle w:val="TableParagraph"/>
              <w:numPr>
                <w:ilvl w:val="0"/>
                <w:numId w:val="64"/>
              </w:numPr>
              <w:tabs>
                <w:tab w:pos="417" w:val="left" w:leader="none"/>
              </w:tabs>
              <w:spacing w:line="240" w:lineRule="auto" w:before="0" w:after="0"/>
              <w:ind w:left="416" w:right="749" w:hanging="284"/>
              <w:jc w:val="left"/>
              <w:rPr>
                <w:sz w:val="14"/>
              </w:rPr>
            </w:pPr>
            <w:r>
              <w:rPr>
                <w:sz w:val="14"/>
              </w:rPr>
              <w:t>Es libre de informar</w:t>
            </w:r>
            <w:r>
              <w:rPr>
                <w:spacing w:val="-12"/>
                <w:sz w:val="14"/>
              </w:rPr>
              <w:t> </w:t>
            </w:r>
            <w:r>
              <w:rPr>
                <w:sz w:val="14"/>
              </w:rPr>
              <w:t>al congreso.</w:t>
            </w:r>
          </w:p>
          <w:p>
            <w:pPr>
              <w:pStyle w:val="TableParagraph"/>
              <w:numPr>
                <w:ilvl w:val="0"/>
                <w:numId w:val="64"/>
              </w:numPr>
              <w:tabs>
                <w:tab w:pos="417" w:val="left" w:leader="none"/>
              </w:tabs>
              <w:spacing w:line="160" w:lineRule="exact" w:before="0" w:after="0"/>
              <w:ind w:left="416" w:right="0" w:hanging="284"/>
              <w:jc w:val="left"/>
              <w:rPr>
                <w:sz w:val="14"/>
              </w:rPr>
            </w:pPr>
            <w:r>
              <w:rPr>
                <w:sz w:val="14"/>
              </w:rPr>
              <w:t>Autoridad</w:t>
            </w:r>
            <w:r>
              <w:rPr>
                <w:spacing w:val="-17"/>
                <w:sz w:val="14"/>
              </w:rPr>
              <w:t> </w:t>
            </w:r>
            <w:r>
              <w:rPr>
                <w:sz w:val="14"/>
              </w:rPr>
              <w:t>colegiada.</w:t>
            </w:r>
          </w:p>
          <w:p>
            <w:pPr>
              <w:pStyle w:val="TableParagraph"/>
              <w:numPr>
                <w:ilvl w:val="0"/>
                <w:numId w:val="64"/>
              </w:numPr>
              <w:tabs>
                <w:tab w:pos="417" w:val="left" w:leader="none"/>
              </w:tabs>
              <w:spacing w:line="160" w:lineRule="exact" w:before="3" w:after="0"/>
              <w:ind w:left="416" w:right="0" w:hanging="284"/>
              <w:jc w:val="left"/>
              <w:rPr>
                <w:sz w:val="14"/>
              </w:rPr>
            </w:pPr>
            <w:r>
              <w:rPr>
                <w:sz w:val="14"/>
              </w:rPr>
              <w:t>Magistrados</w:t>
            </w:r>
            <w:r>
              <w:rPr>
                <w:spacing w:val="-21"/>
                <w:sz w:val="14"/>
              </w:rPr>
              <w:t> </w:t>
            </w:r>
            <w:r>
              <w:rPr>
                <w:sz w:val="14"/>
              </w:rPr>
              <w:t>inamovibles.</w:t>
            </w:r>
          </w:p>
          <w:p>
            <w:pPr>
              <w:pStyle w:val="TableParagraph"/>
              <w:numPr>
                <w:ilvl w:val="0"/>
                <w:numId w:val="64"/>
              </w:numPr>
              <w:tabs>
                <w:tab w:pos="417" w:val="left" w:leader="none"/>
              </w:tabs>
              <w:spacing w:line="240" w:lineRule="auto" w:before="0" w:after="0"/>
              <w:ind w:left="416" w:right="917" w:hanging="284"/>
              <w:jc w:val="left"/>
              <w:rPr>
                <w:sz w:val="14"/>
              </w:rPr>
            </w:pPr>
            <w:r>
              <w:rPr>
                <w:sz w:val="14"/>
              </w:rPr>
              <w:t>Finca</w:t>
            </w:r>
            <w:r>
              <w:rPr>
                <w:spacing w:val="-9"/>
                <w:sz w:val="14"/>
              </w:rPr>
              <w:t> </w:t>
            </w:r>
            <w:r>
              <w:rPr>
                <w:sz w:val="14"/>
              </w:rPr>
              <w:t>directamente responsabilidades.</w:t>
            </w:r>
          </w:p>
          <w:p>
            <w:pPr>
              <w:pStyle w:val="TableParagraph"/>
              <w:numPr>
                <w:ilvl w:val="0"/>
                <w:numId w:val="64"/>
              </w:numPr>
              <w:tabs>
                <w:tab w:pos="417" w:val="left" w:leader="none"/>
              </w:tabs>
              <w:spacing w:line="242" w:lineRule="auto" w:before="0" w:after="0"/>
              <w:ind w:left="416" w:right="203" w:hanging="284"/>
              <w:jc w:val="left"/>
              <w:rPr>
                <w:sz w:val="14"/>
              </w:rPr>
            </w:pPr>
            <w:r>
              <w:rPr>
                <w:sz w:val="14"/>
              </w:rPr>
              <w:t>Depende del Poder</w:t>
            </w:r>
            <w:r>
              <w:rPr>
                <w:spacing w:val="-17"/>
                <w:sz w:val="14"/>
              </w:rPr>
              <w:t> </w:t>
            </w:r>
            <w:r>
              <w:rPr>
                <w:sz w:val="14"/>
              </w:rPr>
              <w:t>Legislativo (excepto en casos como Alemania y</w:t>
            </w:r>
            <w:r>
              <w:rPr>
                <w:spacing w:val="-13"/>
                <w:sz w:val="14"/>
              </w:rPr>
              <w:t> </w:t>
            </w:r>
            <w:r>
              <w:rPr>
                <w:sz w:val="14"/>
              </w:rPr>
              <w:t>Francia).</w:t>
            </w:r>
          </w:p>
          <w:p>
            <w:pPr>
              <w:pStyle w:val="TableParagraph"/>
              <w:numPr>
                <w:ilvl w:val="0"/>
                <w:numId w:val="64"/>
              </w:numPr>
              <w:tabs>
                <w:tab w:pos="417" w:val="left" w:leader="none"/>
              </w:tabs>
              <w:spacing w:line="158" w:lineRule="exact" w:before="0" w:after="0"/>
              <w:ind w:left="416" w:right="0" w:hanging="284"/>
              <w:jc w:val="left"/>
              <w:rPr>
                <w:sz w:val="14"/>
              </w:rPr>
            </w:pPr>
            <w:r>
              <w:rPr>
                <w:sz w:val="14"/>
              </w:rPr>
              <w:t>Favorece el carácter</w:t>
            </w:r>
            <w:r>
              <w:rPr>
                <w:spacing w:val="-20"/>
                <w:sz w:val="14"/>
              </w:rPr>
              <w:t> </w:t>
            </w:r>
            <w:r>
              <w:rPr>
                <w:sz w:val="14"/>
              </w:rPr>
              <w:t>preventivo.</w:t>
            </w:r>
          </w:p>
          <w:p>
            <w:pPr>
              <w:pStyle w:val="TableParagraph"/>
              <w:numPr>
                <w:ilvl w:val="0"/>
                <w:numId w:val="64"/>
              </w:numPr>
              <w:tabs>
                <w:tab w:pos="417" w:val="left" w:leader="none"/>
              </w:tabs>
              <w:spacing w:line="244" w:lineRule="auto" w:before="0" w:after="0"/>
              <w:ind w:left="416" w:right="622" w:hanging="284"/>
              <w:jc w:val="left"/>
              <w:rPr>
                <w:sz w:val="14"/>
              </w:rPr>
            </w:pPr>
            <w:r>
              <w:rPr>
                <w:sz w:val="14"/>
              </w:rPr>
              <w:t>Interés en revisiones</w:t>
            </w:r>
            <w:r>
              <w:rPr>
                <w:spacing w:val="-11"/>
                <w:sz w:val="14"/>
              </w:rPr>
              <w:t> </w:t>
            </w:r>
            <w:r>
              <w:rPr>
                <w:sz w:val="14"/>
              </w:rPr>
              <w:t>de legalidad.</w:t>
            </w:r>
          </w:p>
        </w:tc>
        <w:tc>
          <w:tcPr>
            <w:tcW w:w="2533" w:type="dxa"/>
            <w:tcBorders>
              <w:top w:val="single" w:sz="3" w:space="0" w:color="000000"/>
              <w:left w:val="single" w:sz="3" w:space="0" w:color="000000"/>
              <w:bottom w:val="single" w:sz="3" w:space="0" w:color="000000"/>
              <w:right w:val="single" w:sz="3" w:space="0" w:color="000000"/>
            </w:tcBorders>
          </w:tcPr>
          <w:p>
            <w:pPr>
              <w:pStyle w:val="TableParagraph"/>
              <w:numPr>
                <w:ilvl w:val="0"/>
                <w:numId w:val="65"/>
              </w:numPr>
              <w:tabs>
                <w:tab w:pos="420" w:val="left" w:leader="none"/>
              </w:tabs>
              <w:spacing w:line="160" w:lineRule="exact" w:before="0" w:after="0"/>
              <w:ind w:left="420" w:right="0" w:hanging="280"/>
              <w:jc w:val="left"/>
              <w:rPr>
                <w:sz w:val="14"/>
              </w:rPr>
            </w:pPr>
            <w:r>
              <w:rPr>
                <w:sz w:val="14"/>
              </w:rPr>
              <w:t>Reporta al</w:t>
            </w:r>
            <w:r>
              <w:rPr>
                <w:spacing w:val="-14"/>
                <w:sz w:val="14"/>
              </w:rPr>
              <w:t> </w:t>
            </w:r>
            <w:r>
              <w:rPr>
                <w:sz w:val="14"/>
              </w:rPr>
              <w:t>congreso.</w:t>
            </w:r>
          </w:p>
          <w:p>
            <w:pPr>
              <w:pStyle w:val="TableParagraph"/>
              <w:numPr>
                <w:ilvl w:val="0"/>
                <w:numId w:val="65"/>
              </w:numPr>
              <w:tabs>
                <w:tab w:pos="420" w:val="left" w:leader="none"/>
              </w:tabs>
              <w:spacing w:line="240" w:lineRule="auto" w:before="0" w:after="0"/>
              <w:ind w:left="420" w:right="746" w:hanging="280"/>
              <w:jc w:val="left"/>
              <w:rPr>
                <w:sz w:val="14"/>
              </w:rPr>
            </w:pPr>
            <w:r>
              <w:rPr>
                <w:sz w:val="14"/>
              </w:rPr>
              <w:t>Existe un consejo</w:t>
            </w:r>
            <w:r>
              <w:rPr>
                <w:spacing w:val="-14"/>
                <w:sz w:val="14"/>
              </w:rPr>
              <w:t> </w:t>
            </w:r>
            <w:r>
              <w:rPr>
                <w:sz w:val="14"/>
              </w:rPr>
              <w:t>con presidencia</w:t>
            </w:r>
            <w:r>
              <w:rPr>
                <w:spacing w:val="-18"/>
                <w:sz w:val="14"/>
              </w:rPr>
              <w:t> </w:t>
            </w:r>
            <w:r>
              <w:rPr>
                <w:sz w:val="14"/>
              </w:rPr>
              <w:t>rotativa.</w:t>
            </w:r>
          </w:p>
          <w:p>
            <w:pPr>
              <w:pStyle w:val="TableParagraph"/>
              <w:numPr>
                <w:ilvl w:val="0"/>
                <w:numId w:val="65"/>
              </w:numPr>
              <w:tabs>
                <w:tab w:pos="420" w:val="left" w:leader="none"/>
              </w:tabs>
              <w:spacing w:line="160" w:lineRule="exact" w:before="3" w:after="0"/>
              <w:ind w:left="420" w:right="0" w:hanging="280"/>
              <w:jc w:val="left"/>
              <w:rPr>
                <w:sz w:val="14"/>
              </w:rPr>
            </w:pPr>
            <w:r>
              <w:rPr>
                <w:sz w:val="14"/>
              </w:rPr>
              <w:t>Actuación</w:t>
            </w:r>
            <w:r>
              <w:rPr>
                <w:spacing w:val="-18"/>
                <w:sz w:val="14"/>
              </w:rPr>
              <w:t> </w:t>
            </w:r>
            <w:r>
              <w:rPr>
                <w:sz w:val="14"/>
              </w:rPr>
              <w:t>colegiada.</w:t>
            </w:r>
          </w:p>
          <w:p>
            <w:pPr>
              <w:pStyle w:val="TableParagraph"/>
              <w:numPr>
                <w:ilvl w:val="0"/>
                <w:numId w:val="65"/>
              </w:numPr>
              <w:tabs>
                <w:tab w:pos="420" w:val="left" w:leader="none"/>
              </w:tabs>
              <w:spacing w:line="240" w:lineRule="auto" w:before="0" w:after="0"/>
              <w:ind w:left="420" w:right="350" w:hanging="280"/>
              <w:jc w:val="left"/>
              <w:rPr>
                <w:sz w:val="14"/>
              </w:rPr>
            </w:pPr>
            <w:r>
              <w:rPr>
                <w:sz w:val="14"/>
              </w:rPr>
              <w:t>Orientación hacia</w:t>
            </w:r>
            <w:r>
              <w:rPr>
                <w:spacing w:val="-17"/>
                <w:sz w:val="14"/>
              </w:rPr>
              <w:t> </w:t>
            </w:r>
            <w:r>
              <w:rPr>
                <w:sz w:val="14"/>
              </w:rPr>
              <w:t>sanciones pecuniarias.</w:t>
            </w:r>
          </w:p>
          <w:p>
            <w:pPr>
              <w:pStyle w:val="TableParagraph"/>
              <w:numPr>
                <w:ilvl w:val="0"/>
                <w:numId w:val="65"/>
              </w:numPr>
              <w:tabs>
                <w:tab w:pos="420" w:val="left" w:leader="none"/>
              </w:tabs>
              <w:spacing w:line="160" w:lineRule="exact" w:before="0" w:after="0"/>
              <w:ind w:left="420" w:right="0" w:hanging="280"/>
              <w:jc w:val="left"/>
              <w:rPr>
                <w:sz w:val="14"/>
              </w:rPr>
            </w:pPr>
            <w:r>
              <w:rPr>
                <w:sz w:val="14"/>
              </w:rPr>
              <w:t>Depende del Poder</w:t>
            </w:r>
            <w:r>
              <w:rPr>
                <w:spacing w:val="-22"/>
                <w:sz w:val="14"/>
              </w:rPr>
              <w:t> </w:t>
            </w:r>
            <w:r>
              <w:rPr>
                <w:sz w:val="14"/>
              </w:rPr>
              <w:t>Ejecutivo.</w:t>
            </w:r>
          </w:p>
          <w:p>
            <w:pPr>
              <w:pStyle w:val="TableParagraph"/>
              <w:numPr>
                <w:ilvl w:val="0"/>
                <w:numId w:val="65"/>
              </w:numPr>
              <w:tabs>
                <w:tab w:pos="420" w:val="left" w:leader="none"/>
              </w:tabs>
              <w:spacing w:line="240" w:lineRule="auto" w:before="3" w:after="0"/>
              <w:ind w:left="420" w:right="184" w:hanging="280"/>
              <w:jc w:val="left"/>
              <w:rPr>
                <w:sz w:val="14"/>
              </w:rPr>
            </w:pPr>
            <w:r>
              <w:rPr>
                <w:sz w:val="14"/>
              </w:rPr>
              <w:t>Facultad interpretativa sobre</w:t>
            </w:r>
            <w:r>
              <w:rPr>
                <w:spacing w:val="-15"/>
                <w:sz w:val="14"/>
              </w:rPr>
              <w:t> </w:t>
            </w:r>
            <w:r>
              <w:rPr>
                <w:sz w:val="14"/>
              </w:rPr>
              <w:t>la normativa</w:t>
            </w:r>
            <w:r>
              <w:rPr>
                <w:spacing w:val="-19"/>
                <w:sz w:val="14"/>
              </w:rPr>
              <w:t> </w:t>
            </w:r>
            <w:r>
              <w:rPr>
                <w:sz w:val="14"/>
              </w:rPr>
              <w:t>secundaria.</w:t>
            </w:r>
          </w:p>
          <w:p>
            <w:pPr>
              <w:pStyle w:val="TableParagraph"/>
              <w:numPr>
                <w:ilvl w:val="0"/>
                <w:numId w:val="65"/>
              </w:numPr>
              <w:tabs>
                <w:tab w:pos="420" w:val="left" w:leader="none"/>
              </w:tabs>
              <w:spacing w:line="240" w:lineRule="auto" w:before="0" w:after="0"/>
              <w:ind w:left="420" w:right="463" w:hanging="280"/>
              <w:jc w:val="left"/>
              <w:rPr>
                <w:sz w:val="14"/>
              </w:rPr>
            </w:pPr>
            <w:r>
              <w:rPr>
                <w:sz w:val="14"/>
              </w:rPr>
              <w:t>Énfasis </w:t>
            </w:r>
            <w:r>
              <w:rPr>
                <w:spacing w:val="-3"/>
                <w:sz w:val="14"/>
              </w:rPr>
              <w:t>en </w:t>
            </w:r>
            <w:r>
              <w:rPr>
                <w:sz w:val="14"/>
              </w:rPr>
              <w:t>el combate a la corrupción.</w:t>
            </w:r>
          </w:p>
          <w:p>
            <w:pPr>
              <w:pStyle w:val="TableParagraph"/>
              <w:numPr>
                <w:ilvl w:val="0"/>
                <w:numId w:val="65"/>
              </w:numPr>
              <w:tabs>
                <w:tab w:pos="420" w:val="left" w:leader="none"/>
              </w:tabs>
              <w:spacing w:line="240" w:lineRule="auto" w:before="3" w:after="0"/>
              <w:ind w:left="420" w:right="179" w:hanging="280"/>
              <w:jc w:val="left"/>
              <w:rPr>
                <w:sz w:val="14"/>
              </w:rPr>
            </w:pPr>
            <w:r>
              <w:rPr>
                <w:sz w:val="14"/>
              </w:rPr>
              <w:t>Gran variedad de enfoques debido a que la colegialidad</w:t>
            </w:r>
            <w:r>
              <w:rPr>
                <w:spacing w:val="-18"/>
                <w:sz w:val="14"/>
              </w:rPr>
              <w:t> </w:t>
            </w:r>
            <w:r>
              <w:rPr>
                <w:spacing w:val="2"/>
                <w:sz w:val="14"/>
              </w:rPr>
              <w:t>se </w:t>
            </w:r>
            <w:r>
              <w:rPr>
                <w:sz w:val="14"/>
              </w:rPr>
              <w:t>extiende a</w:t>
            </w:r>
            <w:r>
              <w:rPr>
                <w:spacing w:val="-14"/>
                <w:sz w:val="14"/>
              </w:rPr>
              <w:t> </w:t>
            </w:r>
            <w:r>
              <w:rPr>
                <w:sz w:val="14"/>
              </w:rPr>
              <w:t>subcomités.</w:t>
            </w:r>
          </w:p>
        </w:tc>
        <w:tc>
          <w:tcPr>
            <w:tcW w:w="1537" w:type="dxa"/>
            <w:tcBorders>
              <w:top w:val="single" w:sz="3" w:space="0" w:color="000000"/>
              <w:left w:val="single" w:sz="3" w:space="0" w:color="000000"/>
              <w:bottom w:val="single" w:sz="3" w:space="0" w:color="000000"/>
              <w:right w:val="single" w:sz="3" w:space="0" w:color="000000"/>
            </w:tcBorders>
          </w:tcPr>
          <w:p>
            <w:pPr>
              <w:pStyle w:val="TableParagraph"/>
              <w:ind w:left="100" w:right="147"/>
              <w:rPr>
                <w:sz w:val="14"/>
              </w:rPr>
            </w:pPr>
            <w:r>
              <w:rPr>
                <w:sz w:val="14"/>
              </w:rPr>
              <w:t>Cuenta con el grado de autonomía necesaria para realizar su función revisora de forma externa e independiente.</w:t>
            </w:r>
          </w:p>
        </w:tc>
      </w:tr>
    </w:tbl>
    <w:p>
      <w:pPr>
        <w:pStyle w:val="BodyText"/>
        <w:spacing w:before="1"/>
        <w:rPr>
          <w:sz w:val="15"/>
        </w:rPr>
      </w:pPr>
    </w:p>
    <w:p>
      <w:pPr>
        <w:spacing w:before="75"/>
        <w:ind w:left="1985" w:right="0" w:firstLine="0"/>
        <w:jc w:val="left"/>
        <w:rPr>
          <w:sz w:val="20"/>
        </w:rPr>
      </w:pPr>
      <w:bookmarkStart w:name="_bookmark65" w:id="88"/>
      <w:bookmarkEnd w:id="88"/>
      <w:r>
        <w:rPr/>
      </w:r>
      <w:r>
        <w:rPr>
          <w:sz w:val="20"/>
        </w:rPr>
        <w:t>Cuadro 3. 5. Modelos de rendición de cuentas en América y Europa</w:t>
      </w:r>
    </w:p>
    <w:p>
      <w:pPr>
        <w:pStyle w:val="BodyText"/>
        <w:spacing w:before="2"/>
        <w:rPr>
          <w:sz w:val="17"/>
        </w:rPr>
      </w:pPr>
    </w:p>
    <w:p>
      <w:pPr>
        <w:spacing w:before="0" w:after="26"/>
        <w:ind w:left="4294" w:right="3607" w:firstLine="0"/>
        <w:jc w:val="center"/>
        <w:rPr>
          <w:sz w:val="20"/>
        </w:rPr>
      </w:pPr>
      <w:r>
        <w:rPr>
          <w:sz w:val="20"/>
        </w:rPr>
        <w:t>(Países seleccionados)</w:t>
      </w:r>
    </w:p>
    <w:tbl>
      <w:tblPr>
        <w:tblW w:w="0" w:type="auto"/>
        <w:jc w:val="left"/>
        <w:tblInd w:w="112" w:type="dxa"/>
        <w:tblBorders>
          <w:top w:val="single" w:sz="18" w:space="0" w:color="D9D9D9"/>
          <w:left w:val="single" w:sz="18" w:space="0" w:color="D9D9D9"/>
          <w:bottom w:val="single" w:sz="18" w:space="0" w:color="D9D9D9"/>
          <w:right w:val="single" w:sz="18" w:space="0" w:color="D9D9D9"/>
          <w:insideH w:val="single" w:sz="18" w:space="0" w:color="D9D9D9"/>
          <w:insideV w:val="single" w:sz="18" w:space="0" w:color="D9D9D9"/>
        </w:tblBorders>
        <w:tblLayout w:type="fixed"/>
        <w:tblCellMar>
          <w:top w:w="0" w:type="dxa"/>
          <w:left w:w="0" w:type="dxa"/>
          <w:bottom w:w="0" w:type="dxa"/>
          <w:right w:w="0" w:type="dxa"/>
        </w:tblCellMar>
        <w:tblLook w:val="01E0"/>
      </w:tblPr>
      <w:tblGrid>
        <w:gridCol w:w="744"/>
        <w:gridCol w:w="1839"/>
        <w:gridCol w:w="1780"/>
        <w:gridCol w:w="1941"/>
        <w:gridCol w:w="1700"/>
        <w:gridCol w:w="1725"/>
      </w:tblGrid>
      <w:tr>
        <w:trPr>
          <w:trHeight w:val="462" w:hRule="exact"/>
        </w:trPr>
        <w:tc>
          <w:tcPr>
            <w:tcW w:w="744" w:type="dxa"/>
            <w:tcBorders>
              <w:top w:val="single" w:sz="11" w:space="0" w:color="BEBEBE"/>
              <w:left w:val="single" w:sz="11" w:space="0" w:color="BEBEBE"/>
              <w:bottom w:val="single" w:sz="11" w:space="0" w:color="BEBEBE"/>
              <w:right w:val="single" w:sz="11" w:space="0" w:color="BEBEBE"/>
            </w:tcBorders>
          </w:tcPr>
          <w:p>
            <w:pPr/>
          </w:p>
        </w:tc>
        <w:tc>
          <w:tcPr>
            <w:tcW w:w="1839" w:type="dxa"/>
            <w:tcBorders>
              <w:top w:val="single" w:sz="3" w:space="0" w:color="000000"/>
              <w:left w:val="single" w:sz="11" w:space="0" w:color="BEBEBE"/>
            </w:tcBorders>
          </w:tcPr>
          <w:p>
            <w:pPr>
              <w:pStyle w:val="TableParagraph"/>
              <w:spacing w:before="5"/>
              <w:rPr>
                <w:sz w:val="13"/>
              </w:rPr>
            </w:pPr>
          </w:p>
          <w:p>
            <w:pPr>
              <w:pStyle w:val="TableParagraph"/>
              <w:spacing w:before="1"/>
              <w:ind w:left="618" w:right="609"/>
              <w:jc w:val="center"/>
              <w:rPr>
                <w:b/>
                <w:sz w:val="12"/>
              </w:rPr>
            </w:pPr>
            <w:r>
              <w:rPr>
                <w:b/>
                <w:sz w:val="12"/>
              </w:rPr>
              <w:t>Alemania</w:t>
            </w:r>
          </w:p>
        </w:tc>
        <w:tc>
          <w:tcPr>
            <w:tcW w:w="1780" w:type="dxa"/>
            <w:tcBorders>
              <w:top w:val="single" w:sz="13" w:space="0" w:color="FFFFFF"/>
            </w:tcBorders>
          </w:tcPr>
          <w:p>
            <w:pPr>
              <w:pStyle w:val="TableParagraph"/>
              <w:spacing w:before="5"/>
              <w:rPr>
                <w:sz w:val="12"/>
              </w:rPr>
            </w:pPr>
          </w:p>
          <w:p>
            <w:pPr>
              <w:pStyle w:val="TableParagraph"/>
              <w:ind w:left="634" w:right="635"/>
              <w:jc w:val="center"/>
              <w:rPr>
                <w:b/>
                <w:sz w:val="12"/>
              </w:rPr>
            </w:pPr>
            <w:r>
              <w:rPr>
                <w:b/>
                <w:sz w:val="12"/>
              </w:rPr>
              <w:t>España</w:t>
            </w:r>
          </w:p>
        </w:tc>
        <w:tc>
          <w:tcPr>
            <w:tcW w:w="1941" w:type="dxa"/>
            <w:tcBorders>
              <w:top w:val="single" w:sz="13" w:space="0" w:color="FFFFFF"/>
            </w:tcBorders>
          </w:tcPr>
          <w:p>
            <w:pPr>
              <w:pStyle w:val="TableParagraph"/>
              <w:spacing w:before="5"/>
              <w:rPr>
                <w:sz w:val="12"/>
              </w:rPr>
            </w:pPr>
          </w:p>
          <w:p>
            <w:pPr>
              <w:pStyle w:val="TableParagraph"/>
              <w:ind w:left="494"/>
              <w:rPr>
                <w:b/>
                <w:sz w:val="12"/>
              </w:rPr>
            </w:pPr>
            <w:r>
              <w:rPr>
                <w:b/>
                <w:sz w:val="12"/>
              </w:rPr>
              <w:t>Estados Unidos</w:t>
            </w:r>
          </w:p>
        </w:tc>
        <w:tc>
          <w:tcPr>
            <w:tcW w:w="1700" w:type="dxa"/>
            <w:tcBorders>
              <w:top w:val="single" w:sz="13" w:space="0" w:color="FFFFFF"/>
            </w:tcBorders>
          </w:tcPr>
          <w:p>
            <w:pPr>
              <w:pStyle w:val="TableParagraph"/>
              <w:spacing w:before="5"/>
              <w:rPr>
                <w:sz w:val="12"/>
              </w:rPr>
            </w:pPr>
          </w:p>
          <w:p>
            <w:pPr>
              <w:pStyle w:val="TableParagraph"/>
              <w:ind w:left="604" w:right="605"/>
              <w:jc w:val="center"/>
              <w:rPr>
                <w:b/>
                <w:sz w:val="12"/>
              </w:rPr>
            </w:pPr>
            <w:r>
              <w:rPr>
                <w:b/>
                <w:sz w:val="12"/>
              </w:rPr>
              <w:t>México</w:t>
            </w:r>
          </w:p>
        </w:tc>
        <w:tc>
          <w:tcPr>
            <w:tcW w:w="1725" w:type="dxa"/>
            <w:tcBorders>
              <w:top w:val="single" w:sz="13" w:space="0" w:color="FFFFFF"/>
            </w:tcBorders>
          </w:tcPr>
          <w:p>
            <w:pPr>
              <w:pStyle w:val="TableParagraph"/>
              <w:spacing w:before="5"/>
              <w:rPr>
                <w:sz w:val="12"/>
              </w:rPr>
            </w:pPr>
          </w:p>
          <w:p>
            <w:pPr>
              <w:pStyle w:val="TableParagraph"/>
              <w:ind w:left="486"/>
              <w:rPr>
                <w:b/>
                <w:sz w:val="12"/>
              </w:rPr>
            </w:pPr>
            <w:r>
              <w:rPr>
                <w:b/>
                <w:sz w:val="12"/>
              </w:rPr>
              <w:t>Reino Unido</w:t>
            </w:r>
          </w:p>
        </w:tc>
      </w:tr>
      <w:tr>
        <w:trPr>
          <w:trHeight w:val="5551" w:hRule="exact"/>
        </w:trPr>
        <w:tc>
          <w:tcPr>
            <w:tcW w:w="744" w:type="dxa"/>
            <w:tcBorders>
              <w:top w:val="single" w:sz="11" w:space="0" w:color="BEBEBE"/>
              <w:left w:val="single" w:sz="11" w:space="0" w:color="BEBEBE"/>
              <w:bottom w:val="single" w:sz="11" w:space="0" w:color="BEBEBE"/>
              <w:right w:val="single" w:sz="11" w:space="0" w:color="BEBEBE"/>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6"/>
              <w:rPr>
                <w:sz w:val="12"/>
              </w:rPr>
            </w:pPr>
          </w:p>
          <w:p>
            <w:pPr>
              <w:pStyle w:val="TableParagraph"/>
              <w:spacing w:line="242" w:lineRule="auto"/>
              <w:ind w:left="116" w:right="109"/>
              <w:jc w:val="center"/>
              <w:rPr>
                <w:b/>
                <w:sz w:val="12"/>
              </w:rPr>
            </w:pPr>
            <w:r>
              <w:rPr>
                <w:b/>
                <w:sz w:val="12"/>
              </w:rPr>
              <w:t>Estructu ra de la rendició n</w:t>
            </w:r>
          </w:p>
          <w:p>
            <w:pPr>
              <w:pStyle w:val="TableParagraph"/>
              <w:spacing w:line="242" w:lineRule="auto"/>
              <w:ind w:left="131" w:right="127" w:hanging="4"/>
              <w:jc w:val="center"/>
              <w:rPr>
                <w:b/>
                <w:sz w:val="12"/>
              </w:rPr>
            </w:pPr>
            <w:r>
              <w:rPr>
                <w:b/>
                <w:sz w:val="12"/>
              </w:rPr>
              <w:t>de cuentas</w:t>
            </w:r>
          </w:p>
        </w:tc>
        <w:tc>
          <w:tcPr>
            <w:tcW w:w="1839" w:type="dxa"/>
            <w:tcBorders>
              <w:left w:val="single" w:sz="11" w:space="0" w:color="BEBEBE"/>
              <w:bottom w:val="single" w:sz="3" w:space="0" w:color="000000"/>
              <w:right w:val="single" w:sz="3" w:space="0" w:color="000000"/>
            </w:tcBorders>
          </w:tcPr>
          <w:p>
            <w:pPr>
              <w:pStyle w:val="TableParagraph"/>
              <w:ind w:left="266" w:right="274"/>
              <w:jc w:val="center"/>
              <w:rPr>
                <w:b/>
                <w:sz w:val="12"/>
              </w:rPr>
            </w:pPr>
            <w:r>
              <w:rPr>
                <w:b/>
                <w:sz w:val="12"/>
              </w:rPr>
              <w:t>Bundesrechnungshof (Tribunal Federal de Cuentas)</w:t>
            </w:r>
          </w:p>
          <w:p>
            <w:pPr>
              <w:pStyle w:val="TableParagraph"/>
              <w:rPr>
                <w:sz w:val="12"/>
              </w:rPr>
            </w:pPr>
          </w:p>
          <w:p>
            <w:pPr>
              <w:pStyle w:val="TableParagraph"/>
              <w:spacing w:before="9"/>
              <w:rPr>
                <w:sz w:val="11"/>
              </w:rPr>
            </w:pPr>
          </w:p>
          <w:p>
            <w:pPr>
              <w:pStyle w:val="TableParagraph"/>
              <w:ind w:left="95"/>
              <w:jc w:val="both"/>
              <w:rPr>
                <w:sz w:val="12"/>
              </w:rPr>
            </w:pPr>
            <w:r>
              <w:rPr>
                <w:sz w:val="12"/>
              </w:rPr>
              <w:t>Grupo colegiado.</w:t>
            </w:r>
          </w:p>
          <w:p>
            <w:pPr>
              <w:pStyle w:val="TableParagraph"/>
              <w:spacing w:before="11"/>
              <w:rPr>
                <w:sz w:val="11"/>
              </w:rPr>
            </w:pPr>
          </w:p>
          <w:p>
            <w:pPr>
              <w:pStyle w:val="TableParagraph"/>
              <w:spacing w:line="242" w:lineRule="auto"/>
              <w:ind w:left="95" w:right="144"/>
              <w:rPr>
                <w:sz w:val="12"/>
              </w:rPr>
            </w:pPr>
            <w:r>
              <w:rPr>
                <w:sz w:val="12"/>
              </w:rPr>
              <w:t>Denominación del titular: Presidente del Tribunal.</w:t>
            </w:r>
          </w:p>
          <w:p>
            <w:pPr>
              <w:pStyle w:val="TableParagraph"/>
              <w:spacing w:before="10"/>
              <w:rPr>
                <w:sz w:val="11"/>
              </w:rPr>
            </w:pPr>
          </w:p>
          <w:p>
            <w:pPr>
              <w:pStyle w:val="TableParagraph"/>
              <w:ind w:left="95" w:right="144"/>
              <w:rPr>
                <w:sz w:val="12"/>
              </w:rPr>
            </w:pPr>
            <w:r>
              <w:rPr>
                <w:sz w:val="12"/>
              </w:rPr>
              <w:t>Duración en el cargo: 12 años.</w:t>
            </w:r>
          </w:p>
          <w:p>
            <w:pPr>
              <w:pStyle w:val="TableParagraph"/>
              <w:rPr>
                <w:sz w:val="12"/>
              </w:rPr>
            </w:pPr>
          </w:p>
          <w:p>
            <w:pPr>
              <w:pStyle w:val="TableParagraph"/>
              <w:ind w:left="95" w:right="99"/>
              <w:jc w:val="both"/>
              <w:rPr>
                <w:sz w:val="12"/>
              </w:rPr>
            </w:pPr>
            <w:r>
              <w:rPr>
                <w:sz w:val="12"/>
                <w:u w:val="single"/>
              </w:rPr>
              <w:t>Antecedente histórico</w:t>
            </w:r>
            <w:r>
              <w:rPr>
                <w:sz w:val="12"/>
              </w:rPr>
              <w:t>: 1714 (antes de la Revolución Francesa).</w:t>
            </w:r>
          </w:p>
          <w:p>
            <w:pPr>
              <w:pStyle w:val="TableParagraph"/>
              <w:spacing w:before="2"/>
              <w:ind w:left="95" w:right="103"/>
              <w:jc w:val="both"/>
              <w:rPr>
                <w:sz w:val="12"/>
              </w:rPr>
            </w:pPr>
            <w:r>
              <w:rPr>
                <w:sz w:val="12"/>
                <w:u w:val="single"/>
              </w:rPr>
              <w:t>Designación del titular</w:t>
            </w:r>
            <w:r>
              <w:rPr>
                <w:sz w:val="12"/>
              </w:rPr>
              <w:t>: El gobierno federal propone al presidente y vicepresidente y el Parlamento y el Senado los ratifican.</w:t>
            </w:r>
          </w:p>
          <w:p>
            <w:pPr>
              <w:pStyle w:val="TableParagraph"/>
              <w:ind w:left="95" w:right="100"/>
              <w:jc w:val="both"/>
              <w:rPr>
                <w:sz w:val="12"/>
              </w:rPr>
            </w:pPr>
            <w:r>
              <w:rPr>
                <w:sz w:val="12"/>
                <w:u w:val="single"/>
              </w:rPr>
              <w:t>Base jurídica</w:t>
            </w:r>
            <w:r>
              <w:rPr>
                <w:sz w:val="12"/>
              </w:rPr>
              <w:t>: Ley del Tribunal Federal de Cuentas, art. 114, párrafo 2.</w:t>
            </w:r>
          </w:p>
          <w:p>
            <w:pPr>
              <w:pStyle w:val="TableParagraph"/>
              <w:spacing w:before="2"/>
              <w:ind w:left="95" w:right="97"/>
              <w:jc w:val="both"/>
              <w:rPr>
                <w:sz w:val="12"/>
              </w:rPr>
            </w:pPr>
            <w:r>
              <w:rPr>
                <w:sz w:val="12"/>
                <w:u w:val="single"/>
              </w:rPr>
              <w:t>Tipo de autonomía</w:t>
            </w:r>
            <w:r>
              <w:rPr>
                <w:sz w:val="12"/>
              </w:rPr>
              <w:t>: Técnica, de gestión y financiera.</w:t>
            </w:r>
          </w:p>
          <w:p>
            <w:pPr>
              <w:pStyle w:val="TableParagraph"/>
              <w:spacing w:before="2"/>
              <w:ind w:left="95" w:right="99"/>
              <w:jc w:val="both"/>
              <w:rPr>
                <w:sz w:val="12"/>
              </w:rPr>
            </w:pPr>
            <w:r>
              <w:rPr>
                <w:sz w:val="12"/>
                <w:u w:val="single"/>
              </w:rPr>
              <w:t>Relación entre poderes</w:t>
            </w:r>
            <w:r>
              <w:rPr>
                <w:sz w:val="12"/>
              </w:rPr>
              <w:t>: Tiene un representante permanente en la Comisión de Presupuesto.</w:t>
            </w:r>
          </w:p>
          <w:p>
            <w:pPr>
              <w:pStyle w:val="TableParagraph"/>
              <w:tabs>
                <w:tab w:pos="1103" w:val="left" w:leader="none"/>
              </w:tabs>
              <w:spacing w:before="2"/>
              <w:ind w:left="95" w:right="101"/>
              <w:jc w:val="both"/>
              <w:rPr>
                <w:sz w:val="12"/>
              </w:rPr>
            </w:pPr>
            <w:r>
              <w:rPr>
                <w:sz w:val="12"/>
                <w:u w:val="single"/>
              </w:rPr>
              <w:t>Ámbito de actuación</w:t>
            </w:r>
            <w:r>
              <w:rPr>
                <w:sz w:val="12"/>
              </w:rPr>
              <w:t>: ingreso, gasto,</w:t>
              <w:tab/>
              <w:t>económico, administrativo.</w:t>
            </w:r>
          </w:p>
          <w:p>
            <w:pPr>
              <w:pStyle w:val="TableParagraph"/>
              <w:ind w:left="95" w:right="131"/>
              <w:rPr>
                <w:sz w:val="12"/>
              </w:rPr>
            </w:pPr>
            <w:r>
              <w:rPr>
                <w:sz w:val="12"/>
                <w:u w:val="single"/>
              </w:rPr>
              <w:t>Informes principales</w:t>
            </w:r>
            <w:r>
              <w:rPr>
                <w:sz w:val="12"/>
              </w:rPr>
              <w:t>: Informe Anual del Tribunal Federal de Cuentas e Informe de seguimiento del Tribunal Federal de Cuentas.</w:t>
            </w:r>
          </w:p>
          <w:p>
            <w:pPr>
              <w:pStyle w:val="TableParagraph"/>
              <w:spacing w:before="2"/>
              <w:ind w:left="95"/>
              <w:jc w:val="both"/>
              <w:rPr>
                <w:sz w:val="12"/>
              </w:rPr>
            </w:pPr>
            <w:r>
              <w:rPr>
                <w:sz w:val="12"/>
                <w:u w:val="single"/>
              </w:rPr>
              <w:t>Tipo de Rendición de cuentas</w:t>
            </w:r>
            <w:r>
              <w:rPr>
                <w:sz w:val="12"/>
              </w:rPr>
              <w:t>:</w:t>
            </w:r>
          </w:p>
        </w:tc>
        <w:tc>
          <w:tcPr>
            <w:tcW w:w="1780" w:type="dxa"/>
            <w:tcBorders>
              <w:left w:val="single" w:sz="3" w:space="0" w:color="000000"/>
              <w:bottom w:val="single" w:sz="3" w:space="0" w:color="000000"/>
              <w:right w:val="single" w:sz="3" w:space="0" w:color="000000"/>
            </w:tcBorders>
          </w:tcPr>
          <w:p>
            <w:pPr>
              <w:pStyle w:val="TableParagraph"/>
              <w:spacing w:line="137" w:lineRule="exact"/>
              <w:ind w:left="307" w:right="248"/>
              <w:rPr>
                <w:b/>
                <w:sz w:val="12"/>
              </w:rPr>
            </w:pPr>
            <w:r>
              <w:rPr>
                <w:b/>
                <w:sz w:val="12"/>
              </w:rPr>
              <w:t>Tribunal de Cuentas</w:t>
            </w:r>
          </w:p>
          <w:p>
            <w:pPr>
              <w:pStyle w:val="TableParagraph"/>
              <w:rPr>
                <w:sz w:val="12"/>
              </w:rPr>
            </w:pPr>
          </w:p>
          <w:p>
            <w:pPr>
              <w:pStyle w:val="TableParagraph"/>
              <w:rPr>
                <w:sz w:val="12"/>
              </w:rPr>
            </w:pPr>
          </w:p>
          <w:p>
            <w:pPr>
              <w:pStyle w:val="TableParagraph"/>
              <w:rPr>
                <w:sz w:val="12"/>
              </w:rPr>
            </w:pPr>
          </w:p>
          <w:p>
            <w:pPr>
              <w:pStyle w:val="TableParagraph"/>
              <w:ind w:left="103" w:right="248"/>
              <w:rPr>
                <w:sz w:val="12"/>
              </w:rPr>
            </w:pPr>
            <w:r>
              <w:rPr>
                <w:sz w:val="12"/>
              </w:rPr>
              <w:t>Grupo colegiado.</w:t>
            </w:r>
          </w:p>
          <w:p>
            <w:pPr>
              <w:pStyle w:val="TableParagraph"/>
              <w:rPr>
                <w:sz w:val="12"/>
              </w:rPr>
            </w:pPr>
          </w:p>
          <w:p>
            <w:pPr>
              <w:pStyle w:val="TableParagraph"/>
              <w:ind w:left="103" w:right="248"/>
              <w:rPr>
                <w:sz w:val="12"/>
              </w:rPr>
            </w:pPr>
            <w:r>
              <w:rPr>
                <w:sz w:val="12"/>
              </w:rPr>
              <w:t>Denominación del titular: Presidente del Tribunal de Cuentas.</w:t>
            </w:r>
          </w:p>
          <w:p>
            <w:pPr>
              <w:pStyle w:val="TableParagraph"/>
              <w:rPr>
                <w:sz w:val="12"/>
              </w:rPr>
            </w:pPr>
          </w:p>
          <w:p>
            <w:pPr>
              <w:pStyle w:val="TableParagraph"/>
              <w:ind w:left="103" w:right="248"/>
              <w:rPr>
                <w:sz w:val="12"/>
              </w:rPr>
            </w:pPr>
            <w:r>
              <w:rPr>
                <w:sz w:val="12"/>
              </w:rPr>
              <w:t>Duración en el cargo: 3 años.</w:t>
            </w:r>
          </w:p>
          <w:p>
            <w:pPr>
              <w:pStyle w:val="TableParagraph"/>
              <w:rPr>
                <w:sz w:val="12"/>
              </w:rPr>
            </w:pPr>
          </w:p>
          <w:p>
            <w:pPr>
              <w:pStyle w:val="TableParagraph"/>
              <w:ind w:left="103" w:right="1"/>
              <w:rPr>
                <w:sz w:val="12"/>
              </w:rPr>
            </w:pPr>
            <w:r>
              <w:rPr>
                <w:sz w:val="12"/>
                <w:u w:val="single"/>
              </w:rPr>
              <w:t>Antecedente histórico</w:t>
            </w:r>
            <w:r>
              <w:rPr>
                <w:sz w:val="12"/>
              </w:rPr>
              <w:t>: 1388.</w:t>
            </w:r>
          </w:p>
          <w:p>
            <w:pPr>
              <w:pStyle w:val="TableParagraph"/>
              <w:rPr>
                <w:sz w:val="12"/>
              </w:rPr>
            </w:pPr>
          </w:p>
          <w:p>
            <w:pPr>
              <w:pStyle w:val="TableParagraph"/>
              <w:ind w:left="103" w:right="1"/>
              <w:rPr>
                <w:sz w:val="12"/>
              </w:rPr>
            </w:pPr>
            <w:r>
              <w:rPr>
                <w:sz w:val="12"/>
                <w:u w:val="single"/>
              </w:rPr>
              <w:t>Designación del titular</w:t>
            </w:r>
            <w:r>
              <w:rPr>
                <w:sz w:val="12"/>
              </w:rPr>
              <w:t>: Los consejeros de cuentas son designados por las Cortes Generales, seis por el Congreso de los Diputados y seis por el Senado, por un período de nueve años.</w:t>
            </w:r>
          </w:p>
          <w:p>
            <w:pPr>
              <w:pStyle w:val="TableParagraph"/>
              <w:rPr>
                <w:sz w:val="12"/>
              </w:rPr>
            </w:pPr>
          </w:p>
          <w:p>
            <w:pPr>
              <w:pStyle w:val="TableParagraph"/>
              <w:ind w:left="103" w:right="108"/>
              <w:rPr>
                <w:sz w:val="12"/>
              </w:rPr>
            </w:pPr>
            <w:r>
              <w:rPr>
                <w:sz w:val="12"/>
                <w:u w:val="single"/>
              </w:rPr>
              <w:t>Base jurídica</w:t>
            </w:r>
            <w:r>
              <w:rPr>
                <w:sz w:val="12"/>
              </w:rPr>
              <w:t>: Constitución, artículo 108 y artículo 1 de la Ley Orgánica del Tribunal de Cuentas.</w:t>
            </w:r>
          </w:p>
          <w:p>
            <w:pPr>
              <w:pStyle w:val="TableParagraph"/>
              <w:spacing w:line="242" w:lineRule="auto"/>
              <w:ind w:left="103" w:right="161"/>
              <w:rPr>
                <w:sz w:val="12"/>
              </w:rPr>
            </w:pPr>
            <w:r>
              <w:rPr>
                <w:sz w:val="12"/>
                <w:u w:val="single"/>
              </w:rPr>
              <w:t>Tipo de autonomía</w:t>
            </w:r>
            <w:r>
              <w:rPr>
                <w:sz w:val="12"/>
              </w:rPr>
              <w:t>: Técnica y de gestión.</w:t>
            </w:r>
          </w:p>
          <w:p>
            <w:pPr>
              <w:pStyle w:val="TableParagraph"/>
              <w:spacing w:line="242" w:lineRule="auto"/>
              <w:ind w:left="103" w:right="375"/>
              <w:rPr>
                <w:sz w:val="12"/>
              </w:rPr>
            </w:pPr>
            <w:r>
              <w:rPr>
                <w:sz w:val="12"/>
                <w:u w:val="single"/>
              </w:rPr>
              <w:t>Relación entre poderes</w:t>
            </w:r>
            <w:r>
              <w:rPr>
                <w:sz w:val="12"/>
              </w:rPr>
              <w:t>: Con el Parlamento.</w:t>
            </w:r>
          </w:p>
          <w:p>
            <w:pPr>
              <w:pStyle w:val="TableParagraph"/>
              <w:rPr>
                <w:sz w:val="12"/>
              </w:rPr>
            </w:pPr>
          </w:p>
          <w:p>
            <w:pPr>
              <w:pStyle w:val="TableParagraph"/>
              <w:spacing w:before="8"/>
              <w:rPr>
                <w:sz w:val="11"/>
              </w:rPr>
            </w:pPr>
          </w:p>
          <w:p>
            <w:pPr>
              <w:pStyle w:val="TableParagraph"/>
              <w:ind w:left="103" w:right="128"/>
              <w:rPr>
                <w:sz w:val="12"/>
              </w:rPr>
            </w:pPr>
            <w:r>
              <w:rPr>
                <w:sz w:val="12"/>
                <w:u w:val="single"/>
              </w:rPr>
              <w:t>Ámbito de actuación</w:t>
            </w:r>
            <w:r>
              <w:rPr>
                <w:sz w:val="12"/>
              </w:rPr>
              <w:t>: Actividad económico financiera del sector público. </w:t>
            </w:r>
            <w:r>
              <w:rPr>
                <w:sz w:val="12"/>
                <w:u w:val="single"/>
              </w:rPr>
              <w:t>Informes principales</w:t>
            </w:r>
            <w:r>
              <w:rPr>
                <w:sz w:val="12"/>
              </w:rPr>
              <w:t>: Informes de fiscalización.</w:t>
            </w:r>
          </w:p>
        </w:tc>
        <w:tc>
          <w:tcPr>
            <w:tcW w:w="1941" w:type="dxa"/>
            <w:tcBorders>
              <w:left w:val="single" w:sz="3" w:space="0" w:color="000000"/>
              <w:bottom w:val="single" w:sz="3" w:space="0" w:color="000000"/>
              <w:right w:val="single" w:sz="3" w:space="0" w:color="000000"/>
            </w:tcBorders>
          </w:tcPr>
          <w:p>
            <w:pPr>
              <w:pStyle w:val="TableParagraph"/>
              <w:ind w:left="103" w:right="108"/>
              <w:jc w:val="center"/>
              <w:rPr>
                <w:b/>
                <w:sz w:val="12"/>
              </w:rPr>
            </w:pPr>
            <w:r>
              <w:rPr>
                <w:b/>
                <w:sz w:val="12"/>
              </w:rPr>
              <w:t>General Accountability Office (Oficina de Rendición de Cuentas)</w:t>
            </w:r>
          </w:p>
          <w:p>
            <w:pPr>
              <w:pStyle w:val="TableParagraph"/>
              <w:spacing w:line="270" w:lineRule="atLeast" w:before="6"/>
              <w:ind w:left="104" w:right="395"/>
              <w:rPr>
                <w:sz w:val="12"/>
              </w:rPr>
            </w:pPr>
            <w:r>
              <w:rPr>
                <w:sz w:val="12"/>
              </w:rPr>
              <w:t>Titular único. Denominación del titular:</w:t>
            </w:r>
          </w:p>
          <w:p>
            <w:pPr>
              <w:pStyle w:val="TableParagraph"/>
              <w:spacing w:line="242" w:lineRule="auto"/>
              <w:ind w:left="104"/>
              <w:rPr>
                <w:sz w:val="12"/>
              </w:rPr>
            </w:pPr>
            <w:r>
              <w:rPr>
                <w:sz w:val="12"/>
              </w:rPr>
              <w:t>Contralor General de Estados Unidos.</w:t>
            </w:r>
          </w:p>
          <w:p>
            <w:pPr>
              <w:pStyle w:val="TableParagraph"/>
              <w:spacing w:before="10"/>
              <w:rPr>
                <w:sz w:val="11"/>
              </w:rPr>
            </w:pPr>
          </w:p>
          <w:p>
            <w:pPr>
              <w:pStyle w:val="TableParagraph"/>
              <w:spacing w:line="480" w:lineRule="auto"/>
              <w:ind w:left="104"/>
              <w:rPr>
                <w:sz w:val="12"/>
              </w:rPr>
            </w:pPr>
            <w:r>
              <w:rPr>
                <w:sz w:val="12"/>
              </w:rPr>
              <w:t>Duración en el cargo: 15 años. </w:t>
            </w:r>
            <w:r>
              <w:rPr>
                <w:sz w:val="12"/>
                <w:u w:val="single"/>
              </w:rPr>
              <w:t>Antecedente histórico</w:t>
            </w:r>
            <w:r>
              <w:rPr>
                <w:sz w:val="12"/>
              </w:rPr>
              <w:t>: 1789.</w:t>
            </w:r>
          </w:p>
          <w:p>
            <w:pPr>
              <w:pStyle w:val="TableParagraph"/>
              <w:spacing w:before="4"/>
              <w:ind w:left="104" w:right="288"/>
              <w:rPr>
                <w:sz w:val="12"/>
              </w:rPr>
            </w:pPr>
            <w:r>
              <w:rPr>
                <w:sz w:val="12"/>
                <w:u w:val="single"/>
              </w:rPr>
              <w:t>Designación del titular</w:t>
            </w:r>
            <w:r>
              <w:rPr>
                <w:sz w:val="12"/>
              </w:rPr>
              <w:t>: por Presidente y ratificado por el Senado</w:t>
            </w:r>
          </w:p>
          <w:p>
            <w:pPr>
              <w:pStyle w:val="TableParagraph"/>
              <w:rPr>
                <w:sz w:val="12"/>
              </w:rPr>
            </w:pPr>
          </w:p>
          <w:p>
            <w:pPr>
              <w:pStyle w:val="TableParagraph"/>
              <w:spacing w:before="9"/>
              <w:rPr>
                <w:sz w:val="11"/>
              </w:rPr>
            </w:pPr>
          </w:p>
          <w:p>
            <w:pPr>
              <w:pStyle w:val="TableParagraph"/>
              <w:spacing w:before="1"/>
              <w:ind w:left="104" w:right="221"/>
              <w:rPr>
                <w:sz w:val="12"/>
              </w:rPr>
            </w:pPr>
            <w:r>
              <w:rPr>
                <w:sz w:val="12"/>
                <w:u w:val="single"/>
              </w:rPr>
              <w:t>Base jurídica</w:t>
            </w:r>
            <w:r>
              <w:rPr>
                <w:sz w:val="12"/>
              </w:rPr>
              <w:t>: Constitución de los Estados Unidos, art. 8 y el Decreto de Presupuesto y Contabilidad 1921.</w:t>
            </w:r>
          </w:p>
          <w:p>
            <w:pPr>
              <w:pStyle w:val="TableParagraph"/>
              <w:spacing w:line="242" w:lineRule="auto"/>
              <w:ind w:left="104" w:right="228"/>
              <w:rPr>
                <w:sz w:val="12"/>
              </w:rPr>
            </w:pPr>
            <w:r>
              <w:rPr>
                <w:sz w:val="12"/>
                <w:u w:val="single"/>
              </w:rPr>
              <w:t>Tipo de autonomía</w:t>
            </w:r>
            <w:r>
              <w:rPr>
                <w:sz w:val="12"/>
              </w:rPr>
              <w:t>: Técnica y de gestión.</w:t>
            </w:r>
          </w:p>
          <w:p>
            <w:pPr>
              <w:pStyle w:val="TableParagraph"/>
              <w:spacing w:line="135" w:lineRule="exact"/>
              <w:ind w:left="104" w:right="395"/>
              <w:rPr>
                <w:sz w:val="12"/>
              </w:rPr>
            </w:pPr>
            <w:r>
              <w:rPr>
                <w:sz w:val="12"/>
                <w:u w:val="single"/>
              </w:rPr>
              <w:t>Relación entre poderes</w:t>
            </w:r>
            <w:r>
              <w:rPr>
                <w:sz w:val="12"/>
              </w:rPr>
              <w:t>:</w:t>
            </w:r>
          </w:p>
          <w:p>
            <w:pPr>
              <w:pStyle w:val="TableParagraph"/>
              <w:spacing w:before="2"/>
              <w:ind w:left="104" w:right="174"/>
              <w:jc w:val="both"/>
              <w:rPr>
                <w:sz w:val="12"/>
              </w:rPr>
            </w:pPr>
            <w:r>
              <w:rPr>
                <w:sz w:val="12"/>
              </w:rPr>
              <w:t>Con el Congreso, con el Poder Ejecutivo (Oficina del Inspector General).</w:t>
            </w:r>
          </w:p>
          <w:p>
            <w:pPr>
              <w:pStyle w:val="TableParagraph"/>
              <w:rPr>
                <w:sz w:val="12"/>
              </w:rPr>
            </w:pPr>
          </w:p>
          <w:p>
            <w:pPr>
              <w:pStyle w:val="TableParagraph"/>
              <w:ind w:left="104" w:right="195"/>
              <w:rPr>
                <w:sz w:val="12"/>
              </w:rPr>
            </w:pPr>
            <w:r>
              <w:rPr>
                <w:sz w:val="12"/>
                <w:u w:val="single"/>
              </w:rPr>
              <w:t>Ámbito de actuación</w:t>
            </w:r>
            <w:r>
              <w:rPr>
                <w:sz w:val="12"/>
              </w:rPr>
              <w:t>: Revisión de los recursos federales y evaluar los resultados de los programas específicos.</w:t>
            </w:r>
          </w:p>
          <w:p>
            <w:pPr>
              <w:pStyle w:val="TableParagraph"/>
              <w:spacing w:before="2"/>
              <w:ind w:left="104" w:right="168"/>
              <w:rPr>
                <w:sz w:val="12"/>
              </w:rPr>
            </w:pPr>
            <w:r>
              <w:rPr>
                <w:sz w:val="12"/>
                <w:u w:val="single"/>
              </w:rPr>
              <w:t>Informes principales</w:t>
            </w:r>
            <w:r>
              <w:rPr>
                <w:sz w:val="12"/>
              </w:rPr>
              <w:t>: Reporte de Desempeño y Rendición de Cuentas Auditoría y Administración Financiera y Operaciones del Gobierno, entre otros.</w:t>
            </w:r>
          </w:p>
        </w:tc>
        <w:tc>
          <w:tcPr>
            <w:tcW w:w="1700" w:type="dxa"/>
            <w:tcBorders>
              <w:left w:val="single" w:sz="3" w:space="0" w:color="000000"/>
              <w:bottom w:val="single" w:sz="3" w:space="0" w:color="000000"/>
              <w:right w:val="single" w:sz="3" w:space="0" w:color="000000"/>
            </w:tcBorders>
          </w:tcPr>
          <w:p>
            <w:pPr>
              <w:pStyle w:val="TableParagraph"/>
              <w:ind w:left="523" w:right="108" w:hanging="356"/>
              <w:rPr>
                <w:b/>
                <w:sz w:val="12"/>
              </w:rPr>
            </w:pPr>
            <w:r>
              <w:rPr>
                <w:b/>
                <w:sz w:val="12"/>
              </w:rPr>
              <w:t>Auditoría Superior de la Federación</w:t>
            </w:r>
          </w:p>
          <w:p>
            <w:pPr>
              <w:pStyle w:val="TableParagraph"/>
              <w:rPr>
                <w:sz w:val="12"/>
              </w:rPr>
            </w:pPr>
          </w:p>
          <w:p>
            <w:pPr>
              <w:pStyle w:val="TableParagraph"/>
              <w:spacing w:before="2"/>
              <w:rPr>
                <w:sz w:val="12"/>
              </w:rPr>
            </w:pPr>
          </w:p>
          <w:p>
            <w:pPr>
              <w:pStyle w:val="TableParagraph"/>
              <w:ind w:left="103" w:right="108"/>
              <w:rPr>
                <w:sz w:val="12"/>
              </w:rPr>
            </w:pPr>
            <w:r>
              <w:rPr>
                <w:sz w:val="12"/>
              </w:rPr>
              <w:t>Titular único.</w:t>
            </w:r>
          </w:p>
          <w:p>
            <w:pPr>
              <w:pStyle w:val="TableParagraph"/>
              <w:rPr>
                <w:sz w:val="12"/>
              </w:rPr>
            </w:pPr>
          </w:p>
          <w:p>
            <w:pPr>
              <w:pStyle w:val="TableParagraph"/>
              <w:ind w:left="103" w:right="108"/>
              <w:rPr>
                <w:sz w:val="12"/>
              </w:rPr>
            </w:pPr>
            <w:r>
              <w:rPr>
                <w:sz w:val="12"/>
              </w:rPr>
              <w:t>Denominación del titular: Auditor Superior de la Federación.</w:t>
            </w:r>
          </w:p>
          <w:p>
            <w:pPr>
              <w:pStyle w:val="TableParagraph"/>
              <w:rPr>
                <w:sz w:val="12"/>
              </w:rPr>
            </w:pPr>
          </w:p>
          <w:p>
            <w:pPr>
              <w:pStyle w:val="TableParagraph"/>
              <w:ind w:left="103" w:right="333"/>
              <w:jc w:val="both"/>
              <w:rPr>
                <w:sz w:val="12"/>
              </w:rPr>
            </w:pPr>
            <w:r>
              <w:rPr>
                <w:sz w:val="12"/>
              </w:rPr>
              <w:t>Duración en el cargo: 8 años con posibilidad de reelección.</w:t>
            </w:r>
          </w:p>
          <w:p>
            <w:pPr>
              <w:pStyle w:val="TableParagraph"/>
              <w:ind w:left="103" w:right="160"/>
              <w:rPr>
                <w:sz w:val="12"/>
              </w:rPr>
            </w:pPr>
            <w:r>
              <w:rPr>
                <w:sz w:val="12"/>
                <w:u w:val="single"/>
              </w:rPr>
              <w:t>Antecedente histórico</w:t>
            </w:r>
            <w:r>
              <w:rPr>
                <w:sz w:val="12"/>
              </w:rPr>
              <w:t>: 1824 Contaduría Mayor</w:t>
            </w:r>
            <w:r>
              <w:rPr>
                <w:spacing w:val="-9"/>
                <w:sz w:val="12"/>
              </w:rPr>
              <w:t> </w:t>
            </w:r>
            <w:r>
              <w:rPr>
                <w:sz w:val="12"/>
              </w:rPr>
              <w:t>de Hacienda        </w:t>
            </w:r>
            <w:r>
              <w:rPr>
                <w:sz w:val="12"/>
                <w:u w:val="single"/>
              </w:rPr>
              <w:t>Designación del titular</w:t>
            </w:r>
            <w:r>
              <w:rPr>
                <w:sz w:val="12"/>
              </w:rPr>
              <w:t>: Cámara de Diputados mediante la Comisión de Vigilancia de </w:t>
            </w:r>
            <w:r>
              <w:rPr>
                <w:spacing w:val="2"/>
                <w:sz w:val="12"/>
              </w:rPr>
              <w:t>la</w:t>
            </w:r>
            <w:r>
              <w:rPr>
                <w:spacing w:val="-15"/>
                <w:sz w:val="12"/>
              </w:rPr>
              <w:t> </w:t>
            </w:r>
            <w:r>
              <w:rPr>
                <w:sz w:val="12"/>
              </w:rPr>
              <w:t>ASF.</w:t>
            </w:r>
          </w:p>
          <w:p>
            <w:pPr>
              <w:pStyle w:val="TableParagraph"/>
              <w:rPr>
                <w:sz w:val="12"/>
              </w:rPr>
            </w:pPr>
          </w:p>
          <w:p>
            <w:pPr>
              <w:pStyle w:val="TableParagraph"/>
              <w:ind w:left="103" w:right="148"/>
              <w:rPr>
                <w:sz w:val="12"/>
              </w:rPr>
            </w:pPr>
            <w:r>
              <w:rPr>
                <w:sz w:val="12"/>
                <w:u w:val="single"/>
              </w:rPr>
              <w:t>Base jurídica</w:t>
            </w:r>
            <w:r>
              <w:rPr>
                <w:sz w:val="12"/>
              </w:rPr>
              <w:t>: Constitución Política de los Estados Unidos Mexicanos, artículos 74 y 79.</w:t>
            </w:r>
          </w:p>
          <w:p>
            <w:pPr>
              <w:pStyle w:val="TableParagraph"/>
              <w:ind w:left="103" w:right="155"/>
              <w:rPr>
                <w:sz w:val="12"/>
              </w:rPr>
            </w:pPr>
            <w:r>
              <w:rPr>
                <w:sz w:val="12"/>
                <w:u w:val="single"/>
              </w:rPr>
              <w:t>Tipo de autonomía</w:t>
            </w:r>
            <w:r>
              <w:rPr>
                <w:sz w:val="12"/>
              </w:rPr>
              <w:t>: Técnica y de gestión </w:t>
            </w:r>
            <w:r>
              <w:rPr>
                <w:sz w:val="12"/>
                <w:u w:val="single"/>
              </w:rPr>
              <w:t>Relación entre poderes</w:t>
            </w:r>
            <w:r>
              <w:rPr>
                <w:sz w:val="12"/>
              </w:rPr>
              <w:t>: Con la Cámara de Diputados. Fiscaliza a los tres poderes, entidades, paraestatales, organismos autónomos, fideicomisos y personas que reciben recursos federales.</w:t>
            </w:r>
          </w:p>
          <w:p>
            <w:pPr>
              <w:pStyle w:val="TableParagraph"/>
              <w:ind w:left="103" w:right="295"/>
              <w:rPr>
                <w:sz w:val="12"/>
              </w:rPr>
            </w:pPr>
            <w:r>
              <w:rPr>
                <w:sz w:val="12"/>
                <w:u w:val="single"/>
              </w:rPr>
              <w:t>Ámbito de actuación</w:t>
            </w:r>
            <w:r>
              <w:rPr>
                <w:sz w:val="12"/>
              </w:rPr>
              <w:t>: Revisión financiera y de legalidad, desempeño, recursos federales a</w:t>
            </w:r>
          </w:p>
        </w:tc>
        <w:tc>
          <w:tcPr>
            <w:tcW w:w="1725" w:type="dxa"/>
            <w:tcBorders>
              <w:left w:val="single" w:sz="3" w:space="0" w:color="000000"/>
              <w:bottom w:val="single" w:sz="3" w:space="0" w:color="000000"/>
              <w:right w:val="single" w:sz="3" w:space="0" w:color="000000"/>
            </w:tcBorders>
          </w:tcPr>
          <w:p>
            <w:pPr>
              <w:pStyle w:val="TableParagraph"/>
              <w:ind w:left="280" w:right="284" w:hanging="1"/>
              <w:jc w:val="center"/>
              <w:rPr>
                <w:b/>
                <w:sz w:val="12"/>
              </w:rPr>
            </w:pPr>
            <w:r>
              <w:rPr>
                <w:b/>
                <w:sz w:val="12"/>
              </w:rPr>
              <w:t>NationalAudit</w:t>
            </w:r>
            <w:r>
              <w:rPr>
                <w:b/>
                <w:spacing w:val="-10"/>
                <w:sz w:val="12"/>
              </w:rPr>
              <w:t> </w:t>
            </w:r>
            <w:r>
              <w:rPr>
                <w:b/>
                <w:sz w:val="12"/>
              </w:rPr>
              <w:t>Office (Oficina Nacional</w:t>
            </w:r>
            <w:r>
              <w:rPr>
                <w:b/>
                <w:spacing w:val="-11"/>
                <w:sz w:val="12"/>
              </w:rPr>
              <w:t> </w:t>
            </w:r>
            <w:r>
              <w:rPr>
                <w:b/>
                <w:sz w:val="12"/>
              </w:rPr>
              <w:t>de Auditoría)</w:t>
            </w:r>
          </w:p>
          <w:p>
            <w:pPr>
              <w:pStyle w:val="TableParagraph"/>
              <w:rPr>
                <w:sz w:val="12"/>
              </w:rPr>
            </w:pPr>
          </w:p>
          <w:p>
            <w:pPr>
              <w:pStyle w:val="TableParagraph"/>
              <w:spacing w:before="9"/>
              <w:rPr>
                <w:sz w:val="11"/>
              </w:rPr>
            </w:pPr>
          </w:p>
          <w:p>
            <w:pPr>
              <w:pStyle w:val="TableParagraph"/>
              <w:ind w:left="104" w:right="138"/>
              <w:rPr>
                <w:sz w:val="12"/>
              </w:rPr>
            </w:pPr>
            <w:r>
              <w:rPr>
                <w:sz w:val="12"/>
              </w:rPr>
              <w:t>Titular único.</w:t>
            </w:r>
          </w:p>
          <w:p>
            <w:pPr>
              <w:pStyle w:val="TableParagraph"/>
              <w:spacing w:before="11"/>
              <w:rPr>
                <w:sz w:val="11"/>
              </w:rPr>
            </w:pPr>
          </w:p>
          <w:p>
            <w:pPr>
              <w:pStyle w:val="TableParagraph"/>
              <w:spacing w:line="242" w:lineRule="auto"/>
              <w:ind w:left="104" w:right="138"/>
              <w:rPr>
                <w:sz w:val="12"/>
              </w:rPr>
            </w:pPr>
            <w:r>
              <w:rPr>
                <w:sz w:val="12"/>
              </w:rPr>
              <w:t>Denominación del titular: Contralor y auditor general.</w:t>
            </w:r>
          </w:p>
          <w:p>
            <w:pPr>
              <w:pStyle w:val="TableParagraph"/>
              <w:spacing w:before="10"/>
              <w:rPr>
                <w:sz w:val="11"/>
              </w:rPr>
            </w:pPr>
          </w:p>
          <w:p>
            <w:pPr>
              <w:pStyle w:val="TableParagraph"/>
              <w:ind w:left="104" w:right="138"/>
              <w:rPr>
                <w:sz w:val="12"/>
              </w:rPr>
            </w:pPr>
            <w:r>
              <w:rPr>
                <w:sz w:val="12"/>
              </w:rPr>
              <w:t>Duración en el cargo: indefinida</w:t>
            </w:r>
          </w:p>
          <w:p>
            <w:pPr>
              <w:pStyle w:val="TableParagraph"/>
              <w:rPr>
                <w:sz w:val="12"/>
              </w:rPr>
            </w:pPr>
          </w:p>
          <w:p>
            <w:pPr>
              <w:pStyle w:val="TableParagraph"/>
              <w:ind w:left="104"/>
              <w:rPr>
                <w:sz w:val="12"/>
              </w:rPr>
            </w:pPr>
            <w:r>
              <w:rPr>
                <w:sz w:val="12"/>
              </w:rPr>
              <w:t>Antecedente histórico:1314.</w:t>
            </w:r>
          </w:p>
          <w:p>
            <w:pPr>
              <w:pStyle w:val="TableParagraph"/>
              <w:rPr>
                <w:sz w:val="12"/>
              </w:rPr>
            </w:pPr>
          </w:p>
          <w:p>
            <w:pPr>
              <w:pStyle w:val="TableParagraph"/>
              <w:spacing w:line="242" w:lineRule="auto"/>
              <w:ind w:left="104" w:right="138"/>
              <w:rPr>
                <w:sz w:val="12"/>
              </w:rPr>
            </w:pPr>
            <w:r>
              <w:rPr>
                <w:sz w:val="12"/>
                <w:u w:val="single"/>
              </w:rPr>
              <w:t>Designación del titular</w:t>
            </w:r>
            <w:r>
              <w:rPr>
                <w:sz w:val="12"/>
              </w:rPr>
              <w:t>: Cámara de los Comunes mediante el Comité de Cuentas Públicas.</w:t>
            </w:r>
          </w:p>
          <w:p>
            <w:pPr>
              <w:pStyle w:val="TableParagraph"/>
              <w:spacing w:before="10"/>
              <w:rPr>
                <w:sz w:val="11"/>
              </w:rPr>
            </w:pPr>
          </w:p>
          <w:p>
            <w:pPr>
              <w:pStyle w:val="TableParagraph"/>
              <w:ind w:left="104" w:right="112"/>
              <w:rPr>
                <w:sz w:val="12"/>
              </w:rPr>
            </w:pPr>
            <w:r>
              <w:rPr>
                <w:sz w:val="12"/>
                <w:u w:val="single"/>
              </w:rPr>
              <w:t>Base jurídica</w:t>
            </w:r>
            <w:r>
              <w:rPr>
                <w:sz w:val="12"/>
              </w:rPr>
              <w:t>: National Audit Act, 1983, Government Resources</w:t>
            </w:r>
            <w:r>
              <w:rPr>
                <w:spacing w:val="-9"/>
                <w:sz w:val="12"/>
              </w:rPr>
              <w:t> </w:t>
            </w:r>
            <w:r>
              <w:rPr>
                <w:sz w:val="12"/>
              </w:rPr>
              <w:t>and Accounts Act 2000, Excheuer and Audit Departments Acts</w:t>
            </w:r>
            <w:r>
              <w:rPr>
                <w:spacing w:val="-7"/>
                <w:sz w:val="12"/>
              </w:rPr>
              <w:t> </w:t>
            </w:r>
            <w:r>
              <w:rPr>
                <w:sz w:val="12"/>
              </w:rPr>
              <w:t>1957,</w:t>
            </w:r>
          </w:p>
          <w:p>
            <w:pPr>
              <w:pStyle w:val="TableParagraph"/>
              <w:spacing w:line="137" w:lineRule="exact" w:before="2"/>
              <w:ind w:left="104" w:right="138"/>
              <w:rPr>
                <w:sz w:val="12"/>
              </w:rPr>
            </w:pPr>
            <w:r>
              <w:rPr>
                <w:sz w:val="12"/>
              </w:rPr>
              <w:t>1921 y 1866.</w:t>
            </w:r>
          </w:p>
          <w:p>
            <w:pPr>
              <w:pStyle w:val="TableParagraph"/>
              <w:ind w:left="104" w:right="325"/>
              <w:rPr>
                <w:sz w:val="12"/>
              </w:rPr>
            </w:pPr>
            <w:r>
              <w:rPr>
                <w:sz w:val="12"/>
                <w:u w:val="single"/>
              </w:rPr>
              <w:t>Tipo de autonomía</w:t>
            </w:r>
            <w:r>
              <w:rPr>
                <w:sz w:val="12"/>
              </w:rPr>
              <w:t>: Técnica, financiera y de gestión.</w:t>
            </w:r>
          </w:p>
          <w:p>
            <w:pPr>
              <w:pStyle w:val="TableParagraph"/>
              <w:spacing w:before="2"/>
              <w:ind w:left="104"/>
              <w:rPr>
                <w:sz w:val="12"/>
              </w:rPr>
            </w:pPr>
            <w:r>
              <w:rPr>
                <w:sz w:val="12"/>
                <w:u w:val="single"/>
              </w:rPr>
              <w:t>Relación entre poderes</w:t>
            </w:r>
            <w:r>
              <w:rPr>
                <w:sz w:val="12"/>
              </w:rPr>
              <w:t>: Reporta al Parlamento) y la Comisión de Cuentas Públicas.</w:t>
            </w:r>
          </w:p>
          <w:p>
            <w:pPr>
              <w:pStyle w:val="TableParagraph"/>
              <w:spacing w:before="2"/>
              <w:ind w:left="104" w:right="198"/>
              <w:rPr>
                <w:sz w:val="12"/>
              </w:rPr>
            </w:pPr>
            <w:r>
              <w:rPr>
                <w:sz w:val="12"/>
                <w:u w:val="single"/>
              </w:rPr>
              <w:t>Ámbito de actuación</w:t>
            </w:r>
            <w:r>
              <w:rPr>
                <w:sz w:val="12"/>
              </w:rPr>
              <w:t>: Audita al gobierno central,</w:t>
            </w:r>
          </w:p>
          <w:p>
            <w:pPr>
              <w:pStyle w:val="TableParagraph"/>
              <w:spacing w:before="2"/>
              <w:ind w:left="104"/>
              <w:rPr>
                <w:sz w:val="12"/>
              </w:rPr>
            </w:pPr>
            <w:r>
              <w:rPr>
                <w:sz w:val="12"/>
              </w:rPr>
              <w:t>departamentos y agencias y gobiernos locales.</w:t>
            </w:r>
          </w:p>
          <w:p>
            <w:pPr>
              <w:pStyle w:val="TableParagraph"/>
              <w:spacing w:before="2"/>
              <w:ind w:left="104" w:right="138"/>
              <w:rPr>
                <w:sz w:val="12"/>
              </w:rPr>
            </w:pPr>
            <w:r>
              <w:rPr>
                <w:sz w:val="12"/>
                <w:u w:val="single"/>
              </w:rPr>
              <w:t>Informes principales</w:t>
            </w:r>
            <w:r>
              <w:rPr>
                <w:sz w:val="12"/>
              </w:rPr>
              <w:t>: Informe del Contralor y</w:t>
            </w:r>
          </w:p>
        </w:tc>
      </w:tr>
    </w:tbl>
    <w:p>
      <w:pPr>
        <w:spacing w:after="0"/>
        <w:rPr>
          <w:sz w:val="12"/>
        </w:rPr>
        <w:sectPr>
          <w:footerReference w:type="default" r:id="rId144"/>
          <w:pgSz w:w="11910" w:h="16840"/>
          <w:pgMar w:footer="998" w:header="0" w:top="1340" w:bottom="1180" w:left="960" w:right="940"/>
          <w:pgNumType w:start="108"/>
        </w:sectPr>
      </w:pPr>
    </w:p>
    <w:tbl>
      <w:tblPr>
        <w:tblW w:w="0" w:type="auto"/>
        <w:jc w:val="left"/>
        <w:tblInd w:w="1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44"/>
        <w:gridCol w:w="1839"/>
        <w:gridCol w:w="1780"/>
        <w:gridCol w:w="1941"/>
        <w:gridCol w:w="1700"/>
        <w:gridCol w:w="1725"/>
      </w:tblGrid>
      <w:tr>
        <w:trPr>
          <w:trHeight w:val="2408" w:hRule="exact"/>
        </w:trPr>
        <w:tc>
          <w:tcPr>
            <w:tcW w:w="744" w:type="dxa"/>
            <w:tcBorders>
              <w:top w:val="single" w:sz="11" w:space="0" w:color="BEBEBE"/>
              <w:left w:val="single" w:sz="11" w:space="0" w:color="BEBEBE"/>
              <w:bottom w:val="single" w:sz="11" w:space="0" w:color="BEBEBE"/>
              <w:right w:val="single" w:sz="11" w:space="0" w:color="BEBEBE"/>
            </w:tcBorders>
          </w:tcPr>
          <w:p>
            <w:pPr/>
          </w:p>
        </w:tc>
        <w:tc>
          <w:tcPr>
            <w:tcW w:w="1839" w:type="dxa"/>
            <w:tcBorders>
              <w:left w:val="single" w:sz="11" w:space="0" w:color="BEBEBE"/>
            </w:tcBorders>
          </w:tcPr>
          <w:p>
            <w:pPr>
              <w:pStyle w:val="TableParagraph"/>
              <w:spacing w:before="10"/>
              <w:ind w:left="95" w:right="104"/>
              <w:jc w:val="both"/>
              <w:rPr>
                <w:sz w:val="12"/>
              </w:rPr>
            </w:pPr>
            <w:r>
              <w:rPr>
                <w:sz w:val="12"/>
              </w:rPr>
              <w:t>Horizontal: al Parlamento y Senado</w:t>
            </w:r>
          </w:p>
          <w:p>
            <w:pPr>
              <w:pStyle w:val="TableParagraph"/>
              <w:spacing w:line="136" w:lineRule="exact" w:before="5"/>
              <w:ind w:left="95" w:right="101"/>
              <w:jc w:val="both"/>
              <w:rPr>
                <w:sz w:val="12"/>
              </w:rPr>
            </w:pPr>
            <w:r>
              <w:rPr>
                <w:sz w:val="12"/>
              </w:rPr>
              <w:t>Vertical: Información a la sociedad.</w:t>
            </w:r>
          </w:p>
          <w:p>
            <w:pPr>
              <w:pStyle w:val="TableParagraph"/>
              <w:spacing w:line="137" w:lineRule="exact"/>
              <w:ind w:left="95"/>
              <w:jc w:val="both"/>
              <w:rPr>
                <w:sz w:val="12"/>
              </w:rPr>
            </w:pPr>
            <w:r>
              <w:rPr>
                <w:sz w:val="12"/>
              </w:rPr>
              <w:t>Ex ante y expost.</w:t>
            </w:r>
          </w:p>
          <w:p>
            <w:pPr>
              <w:pStyle w:val="TableParagraph"/>
              <w:ind w:left="95" w:right="102"/>
              <w:jc w:val="both"/>
              <w:rPr>
                <w:sz w:val="12"/>
              </w:rPr>
            </w:pPr>
            <w:r>
              <w:rPr>
                <w:sz w:val="12"/>
                <w:u w:val="single"/>
              </w:rPr>
              <w:t>Red</w:t>
            </w:r>
            <w:r>
              <w:rPr>
                <w:sz w:val="12"/>
              </w:rPr>
              <w:t>: Asociación de Contribuyentes (ONG) y publican anualmente el Libro Negro-El derroche público.</w:t>
            </w:r>
          </w:p>
          <w:p>
            <w:pPr>
              <w:pStyle w:val="TableParagraph"/>
              <w:rPr>
                <w:sz w:val="12"/>
              </w:rPr>
            </w:pPr>
          </w:p>
          <w:p>
            <w:pPr>
              <w:pStyle w:val="TableParagraph"/>
              <w:ind w:left="95" w:right="101"/>
              <w:jc w:val="both"/>
              <w:rPr>
                <w:sz w:val="12"/>
              </w:rPr>
            </w:pPr>
            <w:r>
              <w:rPr>
                <w:sz w:val="12"/>
              </w:rPr>
              <w:t>La rendición de cuentas solo está supeditada al Estado de Derecho.</w:t>
            </w:r>
          </w:p>
        </w:tc>
        <w:tc>
          <w:tcPr>
            <w:tcW w:w="1780" w:type="dxa"/>
          </w:tcPr>
          <w:p>
            <w:pPr>
              <w:pStyle w:val="TableParagraph"/>
              <w:spacing w:before="10"/>
              <w:ind w:left="103" w:right="115"/>
              <w:rPr>
                <w:sz w:val="12"/>
              </w:rPr>
            </w:pPr>
            <w:r>
              <w:rPr>
                <w:sz w:val="12"/>
              </w:rPr>
              <w:t>Característica: el Tribunal tiene la atribución de enjuiciar de manera contable</w:t>
            </w:r>
          </w:p>
        </w:tc>
        <w:tc>
          <w:tcPr>
            <w:tcW w:w="1941" w:type="dxa"/>
          </w:tcPr>
          <w:p>
            <w:pPr>
              <w:pStyle w:val="TableParagraph"/>
              <w:spacing w:before="8"/>
              <w:rPr>
                <w:sz w:val="12"/>
              </w:rPr>
            </w:pPr>
          </w:p>
          <w:p>
            <w:pPr>
              <w:pStyle w:val="TableParagraph"/>
              <w:ind w:left="104" w:right="176"/>
              <w:jc w:val="both"/>
              <w:rPr>
                <w:sz w:val="12"/>
              </w:rPr>
            </w:pPr>
            <w:r>
              <w:rPr>
                <w:sz w:val="12"/>
                <w:u w:val="single"/>
              </w:rPr>
              <w:t>Tipo de Rendición de cuentas</w:t>
            </w:r>
            <w:r>
              <w:rPr>
                <w:sz w:val="12"/>
              </w:rPr>
              <w:t>: Horizontal al Congreso</w:t>
            </w:r>
            <w:r>
              <w:rPr>
                <w:spacing w:val="-12"/>
                <w:sz w:val="12"/>
              </w:rPr>
              <w:t> </w:t>
            </w:r>
            <w:r>
              <w:rPr>
                <w:sz w:val="12"/>
              </w:rPr>
              <w:t>(ambas cámaras)</w:t>
            </w:r>
          </w:p>
          <w:p>
            <w:pPr>
              <w:pStyle w:val="TableParagraph"/>
              <w:spacing w:before="2"/>
              <w:ind w:left="104" w:right="248"/>
              <w:rPr>
                <w:sz w:val="12"/>
              </w:rPr>
            </w:pPr>
            <w:r>
              <w:rPr>
                <w:sz w:val="12"/>
              </w:rPr>
              <w:t>Vertical: No está obligada a atender peticiones de información, pero publica sus informes en línea.</w:t>
            </w:r>
          </w:p>
        </w:tc>
        <w:tc>
          <w:tcPr>
            <w:tcW w:w="1700" w:type="dxa"/>
          </w:tcPr>
          <w:p>
            <w:pPr>
              <w:pStyle w:val="TableParagraph"/>
              <w:spacing w:before="10"/>
              <w:ind w:left="103" w:right="422"/>
              <w:rPr>
                <w:sz w:val="12"/>
              </w:rPr>
            </w:pPr>
            <w:r>
              <w:rPr>
                <w:sz w:val="12"/>
              </w:rPr>
              <w:t>estados y municipios, principalmente.</w:t>
            </w:r>
          </w:p>
          <w:p>
            <w:pPr>
              <w:pStyle w:val="TableParagraph"/>
              <w:spacing w:before="2"/>
              <w:ind w:left="103" w:right="108"/>
              <w:rPr>
                <w:sz w:val="12"/>
              </w:rPr>
            </w:pPr>
            <w:r>
              <w:rPr>
                <w:sz w:val="12"/>
              </w:rPr>
              <w:t>Informes principales: Informe del Resultado de la Fiscalización Superior de la Cuenta              Pública </w:t>
            </w:r>
            <w:r>
              <w:rPr>
                <w:sz w:val="12"/>
                <w:u w:val="single"/>
              </w:rPr>
              <w:t>Tipo de Rendición de Cuentas</w:t>
            </w:r>
            <w:r>
              <w:rPr>
                <w:sz w:val="12"/>
              </w:rPr>
              <w:t>:</w:t>
            </w:r>
          </w:p>
          <w:p>
            <w:pPr>
              <w:pStyle w:val="TableParagraph"/>
              <w:spacing w:before="2"/>
              <w:ind w:left="103" w:right="142"/>
              <w:rPr>
                <w:sz w:val="12"/>
              </w:rPr>
            </w:pPr>
            <w:r>
              <w:rPr>
                <w:sz w:val="12"/>
              </w:rPr>
              <w:t>Horizontal: a la Cámara de Diputados.</w:t>
            </w:r>
          </w:p>
          <w:p>
            <w:pPr>
              <w:pStyle w:val="TableParagraph"/>
              <w:spacing w:before="2"/>
              <w:ind w:left="103" w:right="488"/>
              <w:rPr>
                <w:sz w:val="12"/>
              </w:rPr>
            </w:pPr>
            <w:r>
              <w:rPr>
                <w:sz w:val="12"/>
              </w:rPr>
              <w:t>Vertical: Publica sus informes en línea.</w:t>
            </w:r>
          </w:p>
        </w:tc>
        <w:tc>
          <w:tcPr>
            <w:tcW w:w="1725" w:type="dxa"/>
          </w:tcPr>
          <w:p>
            <w:pPr>
              <w:pStyle w:val="TableParagraph"/>
              <w:spacing w:before="10"/>
              <w:ind w:left="104" w:right="138"/>
              <w:rPr>
                <w:sz w:val="12"/>
              </w:rPr>
            </w:pPr>
            <w:r>
              <w:rPr>
                <w:sz w:val="12"/>
              </w:rPr>
              <w:t>Auditor General, Total de las cuentas públicas.</w:t>
            </w:r>
          </w:p>
          <w:p>
            <w:pPr>
              <w:pStyle w:val="TableParagraph"/>
              <w:spacing w:line="136" w:lineRule="exact" w:before="5"/>
              <w:ind w:left="104" w:right="458"/>
              <w:rPr>
                <w:sz w:val="12"/>
              </w:rPr>
            </w:pPr>
            <w:r>
              <w:rPr>
                <w:sz w:val="12"/>
                <w:u w:val="single"/>
              </w:rPr>
              <w:t>Tipo de Rendición de cuentas</w:t>
            </w:r>
            <w:r>
              <w:rPr>
                <w:sz w:val="12"/>
              </w:rPr>
              <w:t>:</w:t>
            </w:r>
          </w:p>
          <w:p>
            <w:pPr>
              <w:pStyle w:val="TableParagraph"/>
              <w:ind w:left="104" w:right="318"/>
              <w:rPr>
                <w:sz w:val="12"/>
              </w:rPr>
            </w:pPr>
            <w:r>
              <w:rPr>
                <w:sz w:val="12"/>
              </w:rPr>
              <w:t>Horizontal: Comisión de Cuentas Públicas.</w:t>
            </w:r>
          </w:p>
          <w:p>
            <w:pPr>
              <w:pStyle w:val="TableParagraph"/>
              <w:spacing w:before="2"/>
              <w:ind w:left="104" w:right="98"/>
              <w:rPr>
                <w:sz w:val="12"/>
              </w:rPr>
            </w:pPr>
            <w:r>
              <w:rPr>
                <w:sz w:val="12"/>
              </w:rPr>
              <w:t>Vertical: El informe anual se pone a disposición del público.</w:t>
            </w:r>
          </w:p>
        </w:tc>
      </w:tr>
    </w:tbl>
    <w:p>
      <w:pPr>
        <w:spacing w:line="240" w:lineRule="auto" w:before="0"/>
        <w:ind w:left="740" w:right="761" w:firstLine="0"/>
        <w:jc w:val="left"/>
        <w:rPr>
          <w:sz w:val="12"/>
        </w:rPr>
      </w:pPr>
      <w:r>
        <w:rPr/>
        <w:pict>
          <v:line style="position:absolute;mso-position-horizontal-relative:page;mso-position-vertical-relative:paragraph;z-index:-349816" from="374.929993pt,-99.992073pt" to="428.529993pt,-99.992073pt" stroked="true" strokeweight=".4pt" strokecolor="#000000">
            <w10:wrap type="none"/>
          </v:line>
        </w:pict>
      </w:r>
      <w:r>
        <w:rPr>
          <w:sz w:val="12"/>
        </w:rPr>
        <w:t>FUENTE: Figueroa (2007); Reino Unido: </w:t>
      </w:r>
      <w:hyperlink r:id="rId145">
        <w:r>
          <w:rPr>
            <w:sz w:val="12"/>
          </w:rPr>
          <w:t>http://www.nao.org.uk/publications/1012/wga_2009-10.aspx;</w:t>
        </w:r>
      </w:hyperlink>
      <w:r>
        <w:rPr>
          <w:sz w:val="12"/>
        </w:rPr>
        <w:t> Estados Unidos: http://www.gao.gov/browse/topic/Tax_Policy_and_Administration</w:t>
      </w:r>
      <w:hyperlink r:id="rId146">
        <w:r>
          <w:rPr>
            <w:sz w:val="12"/>
          </w:rPr>
          <w:t>http://www.ife.org.mx/documentos/DECEYEC/eua.htm#sistpol;</w:t>
        </w:r>
      </w:hyperlink>
      <w:r>
        <w:rPr>
          <w:sz w:val="12"/>
        </w:rPr>
        <w:t> México: </w:t>
      </w:r>
      <w:hyperlink r:id="rId147">
        <w:r>
          <w:rPr>
            <w:sz w:val="12"/>
          </w:rPr>
          <w:t>http://mexicity.blogspot.mx/2008/08/sistema-electoral-de-mexico.html</w:t>
        </w:r>
      </w:hyperlink>
      <w:r>
        <w:rPr>
          <w:sz w:val="12"/>
        </w:rPr>
        <w:t> y http://asf.gob.mx; Alemania: </w:t>
      </w:r>
      <w:hyperlink r:id="rId148">
        <w:r>
          <w:rPr>
            <w:sz w:val="12"/>
          </w:rPr>
          <w:t>http://www.juridicas.unam.mx/navjus/gob/de.htm</w:t>
        </w:r>
      </w:hyperlink>
      <w:r>
        <w:rPr>
          <w:sz w:val="12"/>
        </w:rPr>
        <w:t> yEspaña: </w:t>
      </w:r>
      <w:hyperlink r:id="rId149">
        <w:r>
          <w:rPr>
            <w:sz w:val="12"/>
          </w:rPr>
          <w:t>http://www.ife.org.mx/documentos/DECEYEC/espana.htm#sistpol;</w:t>
        </w:r>
      </w:hyperlink>
      <w:r>
        <w:rPr>
          <w:sz w:val="12"/>
        </w:rPr>
        <w:t> </w:t>
      </w:r>
      <w:hyperlink r:id="rId150">
        <w:r>
          <w:rPr>
            <w:sz w:val="12"/>
          </w:rPr>
          <w:t>http://www.asturiasliberal.org/colaboraciones/piensa_en_liberal/espanna_alemania_poder_judicial_poder_ejecutivo_y_referen_2.php</w:t>
        </w:r>
      </w:hyperlink>
    </w:p>
    <w:p>
      <w:pPr>
        <w:pStyle w:val="BodyText"/>
        <w:rPr>
          <w:sz w:val="12"/>
        </w:rPr>
      </w:pPr>
    </w:p>
    <w:p>
      <w:pPr>
        <w:pStyle w:val="BodyText"/>
        <w:rPr>
          <w:sz w:val="12"/>
        </w:rPr>
      </w:pPr>
    </w:p>
    <w:p>
      <w:pPr>
        <w:pStyle w:val="BodyText"/>
        <w:spacing w:before="3"/>
        <w:rPr>
          <w:sz w:val="12"/>
        </w:rPr>
      </w:pPr>
    </w:p>
    <w:p>
      <w:pPr>
        <w:pStyle w:val="BodyText"/>
        <w:spacing w:line="360" w:lineRule="auto"/>
        <w:ind w:left="740" w:right="719" w:firstLine="359"/>
        <w:jc w:val="both"/>
      </w:pPr>
      <w:r>
        <w:rPr/>
        <w:t>Las</w:t>
      </w:r>
      <w:r>
        <w:rPr>
          <w:spacing w:val="-16"/>
        </w:rPr>
        <w:t> </w:t>
      </w:r>
      <w:r>
        <w:rPr/>
        <w:t>semejanzas</w:t>
      </w:r>
      <w:r>
        <w:rPr>
          <w:spacing w:val="-12"/>
        </w:rPr>
        <w:t> </w:t>
      </w:r>
      <w:r>
        <w:rPr/>
        <w:t>y</w:t>
      </w:r>
      <w:r>
        <w:rPr>
          <w:spacing w:val="-20"/>
        </w:rPr>
        <w:t> </w:t>
      </w:r>
      <w:r>
        <w:rPr/>
        <w:t>diferencias</w:t>
      </w:r>
      <w:r>
        <w:rPr>
          <w:spacing w:val="-12"/>
        </w:rPr>
        <w:t> </w:t>
      </w:r>
      <w:r>
        <w:rPr>
          <w:spacing w:val="-2"/>
        </w:rPr>
        <w:t>más</w:t>
      </w:r>
      <w:r>
        <w:rPr>
          <w:spacing w:val="-16"/>
        </w:rPr>
        <w:t> </w:t>
      </w:r>
      <w:r>
        <w:rPr/>
        <w:t>importantes</w:t>
      </w:r>
      <w:r>
        <w:rPr>
          <w:spacing w:val="-16"/>
        </w:rPr>
        <w:t> </w:t>
      </w:r>
      <w:r>
        <w:rPr/>
        <w:t>de</w:t>
      </w:r>
      <w:r>
        <w:rPr>
          <w:spacing w:val="-14"/>
        </w:rPr>
        <w:t> </w:t>
      </w:r>
      <w:r>
        <w:rPr/>
        <w:t>los</w:t>
      </w:r>
      <w:r>
        <w:rPr>
          <w:spacing w:val="-12"/>
        </w:rPr>
        <w:t> </w:t>
      </w:r>
      <w:r>
        <w:rPr/>
        <w:t>modelos</w:t>
      </w:r>
      <w:r>
        <w:rPr>
          <w:spacing w:val="-16"/>
        </w:rPr>
        <w:t> </w:t>
      </w:r>
      <w:r>
        <w:rPr/>
        <w:t>institucionales se</w:t>
      </w:r>
      <w:r>
        <w:rPr>
          <w:spacing w:val="-5"/>
        </w:rPr>
        <w:t> </w:t>
      </w:r>
      <w:r>
        <w:rPr/>
        <w:t>presentan</w:t>
      </w:r>
      <w:r>
        <w:rPr>
          <w:spacing w:val="-5"/>
        </w:rPr>
        <w:t> </w:t>
      </w:r>
      <w:r>
        <w:rPr/>
        <w:t>en</w:t>
      </w:r>
      <w:r>
        <w:rPr>
          <w:spacing w:val="-5"/>
        </w:rPr>
        <w:t> </w:t>
      </w:r>
      <w:r>
        <w:rPr/>
        <w:t>el</w:t>
      </w:r>
      <w:r>
        <w:rPr>
          <w:spacing w:val="-1"/>
        </w:rPr>
        <w:t> </w:t>
      </w:r>
      <w:r>
        <w:rPr/>
        <w:t>modelo</w:t>
      </w:r>
      <w:r>
        <w:rPr>
          <w:spacing w:val="-5"/>
        </w:rPr>
        <w:t> </w:t>
      </w:r>
      <w:r>
        <w:rPr/>
        <w:t>alemán,</w:t>
      </w:r>
      <w:r>
        <w:rPr>
          <w:spacing w:val="-3"/>
        </w:rPr>
        <w:t> </w:t>
      </w:r>
      <w:r>
        <w:rPr/>
        <w:t>considerado</w:t>
      </w:r>
      <w:r>
        <w:rPr>
          <w:spacing w:val="-5"/>
        </w:rPr>
        <w:t> </w:t>
      </w:r>
      <w:r>
        <w:rPr/>
        <w:t>único</w:t>
      </w:r>
      <w:r>
        <w:rPr>
          <w:spacing w:val="-5"/>
        </w:rPr>
        <w:t> </w:t>
      </w:r>
      <w:r>
        <w:rPr/>
        <w:t>en</w:t>
      </w:r>
      <w:r>
        <w:rPr>
          <w:spacing w:val="-5"/>
        </w:rPr>
        <w:t> </w:t>
      </w:r>
      <w:r>
        <w:rPr/>
        <w:t>su</w:t>
      </w:r>
      <w:r>
        <w:rPr>
          <w:spacing w:val="-5"/>
        </w:rPr>
        <w:t> </w:t>
      </w:r>
      <w:r>
        <w:rPr/>
        <w:t>diseño</w:t>
      </w:r>
      <w:r>
        <w:rPr>
          <w:spacing w:val="-5"/>
        </w:rPr>
        <w:t> </w:t>
      </w:r>
      <w:r>
        <w:rPr/>
        <w:t>institucional (Figueroa, 2007: 66), por no estar supeditado a poder federal alguno. Sus características más relevantes son las</w:t>
      </w:r>
      <w:r>
        <w:rPr>
          <w:spacing w:val="-23"/>
        </w:rPr>
        <w:t> </w:t>
      </w:r>
      <w:r>
        <w:rPr/>
        <w:t>siguientes:</w:t>
      </w:r>
    </w:p>
    <w:p>
      <w:pPr>
        <w:pStyle w:val="BodyText"/>
      </w:pPr>
    </w:p>
    <w:p>
      <w:pPr>
        <w:pStyle w:val="ListParagraph"/>
        <w:numPr>
          <w:ilvl w:val="3"/>
          <w:numId w:val="62"/>
        </w:numPr>
        <w:tabs>
          <w:tab w:pos="1461" w:val="left" w:leader="none"/>
        </w:tabs>
        <w:spacing w:line="240" w:lineRule="auto" w:before="142" w:after="0"/>
        <w:ind w:left="1461" w:right="0" w:hanging="361"/>
        <w:jc w:val="left"/>
        <w:rPr>
          <w:sz w:val="24"/>
        </w:rPr>
      </w:pPr>
      <w:r>
        <w:rPr>
          <w:sz w:val="24"/>
        </w:rPr>
        <w:t>Aspectos</w:t>
      </w:r>
      <w:r>
        <w:rPr>
          <w:spacing w:val="-14"/>
          <w:sz w:val="24"/>
        </w:rPr>
        <w:t> </w:t>
      </w:r>
      <w:r>
        <w:rPr>
          <w:sz w:val="24"/>
        </w:rPr>
        <w:t>semejantes:</w:t>
      </w:r>
    </w:p>
    <w:p>
      <w:pPr>
        <w:pStyle w:val="ListParagraph"/>
        <w:numPr>
          <w:ilvl w:val="4"/>
          <w:numId w:val="62"/>
        </w:numPr>
        <w:tabs>
          <w:tab w:pos="1872" w:val="left" w:leader="none"/>
          <w:tab w:pos="1873" w:val="left" w:leader="none"/>
        </w:tabs>
        <w:spacing w:line="240" w:lineRule="auto" w:before="140" w:after="0"/>
        <w:ind w:left="1873" w:right="0" w:hanging="424"/>
        <w:jc w:val="left"/>
        <w:rPr>
          <w:sz w:val="24"/>
        </w:rPr>
      </w:pPr>
      <w:r>
        <w:rPr>
          <w:sz w:val="24"/>
        </w:rPr>
        <w:t>Principio de división de</w:t>
      </w:r>
      <w:r>
        <w:rPr>
          <w:spacing w:val="-20"/>
          <w:sz w:val="24"/>
        </w:rPr>
        <w:t> </w:t>
      </w:r>
      <w:r>
        <w:rPr>
          <w:sz w:val="24"/>
        </w:rPr>
        <w:t>poderes.</w:t>
      </w:r>
    </w:p>
    <w:p>
      <w:pPr>
        <w:pStyle w:val="ListParagraph"/>
        <w:numPr>
          <w:ilvl w:val="4"/>
          <w:numId w:val="62"/>
        </w:numPr>
        <w:tabs>
          <w:tab w:pos="1873" w:val="left" w:leader="none"/>
        </w:tabs>
        <w:spacing w:line="362" w:lineRule="auto" w:before="136" w:after="0"/>
        <w:ind w:left="1873" w:right="723" w:hanging="424"/>
        <w:jc w:val="both"/>
        <w:rPr>
          <w:sz w:val="24"/>
        </w:rPr>
      </w:pPr>
      <w:r>
        <w:rPr>
          <w:sz w:val="24"/>
        </w:rPr>
        <w:t>No evalúan las decisiones de las políticas públicas, sólo sus resultados.</w:t>
      </w:r>
    </w:p>
    <w:p>
      <w:pPr>
        <w:pStyle w:val="ListParagraph"/>
        <w:numPr>
          <w:ilvl w:val="4"/>
          <w:numId w:val="62"/>
        </w:numPr>
        <w:tabs>
          <w:tab w:pos="1872" w:val="left" w:leader="none"/>
          <w:tab w:pos="1873" w:val="left" w:leader="none"/>
        </w:tabs>
        <w:spacing w:line="275" w:lineRule="exact" w:before="0" w:after="0"/>
        <w:ind w:left="1873" w:right="0" w:hanging="424"/>
        <w:jc w:val="left"/>
        <w:rPr>
          <w:sz w:val="24"/>
        </w:rPr>
      </w:pPr>
      <w:r>
        <w:rPr>
          <w:sz w:val="24"/>
        </w:rPr>
        <w:t>Cuenta con dos tipos de controles: interno y</w:t>
      </w:r>
      <w:r>
        <w:rPr>
          <w:spacing w:val="-24"/>
          <w:sz w:val="24"/>
        </w:rPr>
        <w:t> </w:t>
      </w:r>
      <w:r>
        <w:rPr>
          <w:sz w:val="24"/>
        </w:rPr>
        <w:t>externo.</w:t>
      </w:r>
    </w:p>
    <w:p>
      <w:pPr>
        <w:pStyle w:val="ListParagraph"/>
        <w:numPr>
          <w:ilvl w:val="4"/>
          <w:numId w:val="62"/>
        </w:numPr>
        <w:tabs>
          <w:tab w:pos="1873" w:val="left" w:leader="none"/>
        </w:tabs>
        <w:spacing w:line="360" w:lineRule="auto" w:before="140" w:after="0"/>
        <w:ind w:left="1873" w:right="728" w:hanging="424"/>
        <w:jc w:val="both"/>
        <w:rPr>
          <w:sz w:val="24"/>
        </w:rPr>
      </w:pPr>
      <w:r>
        <w:rPr>
          <w:sz w:val="24"/>
        </w:rPr>
        <w:t>Rinden cuentas de forma horizontal (ante el congreso o parlamento) y vertical (ante la sociedad mediante hacer públicos los informes anuales de</w:t>
      </w:r>
      <w:r>
        <w:rPr>
          <w:spacing w:val="-14"/>
          <w:sz w:val="24"/>
        </w:rPr>
        <w:t> </w:t>
      </w:r>
      <w:r>
        <w:rPr>
          <w:sz w:val="24"/>
        </w:rPr>
        <w:t>auditoría).</w:t>
      </w:r>
    </w:p>
    <w:p>
      <w:pPr>
        <w:pStyle w:val="BodyText"/>
      </w:pPr>
    </w:p>
    <w:p>
      <w:pPr>
        <w:pStyle w:val="ListParagraph"/>
        <w:numPr>
          <w:ilvl w:val="3"/>
          <w:numId w:val="62"/>
        </w:numPr>
        <w:tabs>
          <w:tab w:pos="1461" w:val="left" w:leader="none"/>
        </w:tabs>
        <w:spacing w:line="240" w:lineRule="auto" w:before="141" w:after="0"/>
        <w:ind w:left="1461" w:right="0" w:hanging="361"/>
        <w:jc w:val="left"/>
        <w:rPr>
          <w:sz w:val="24"/>
        </w:rPr>
      </w:pPr>
      <w:r>
        <w:rPr>
          <w:sz w:val="24"/>
        </w:rPr>
        <w:t>Diferencias:</w:t>
      </w:r>
    </w:p>
    <w:p>
      <w:pPr>
        <w:pStyle w:val="ListParagraph"/>
        <w:numPr>
          <w:ilvl w:val="4"/>
          <w:numId w:val="62"/>
        </w:numPr>
        <w:tabs>
          <w:tab w:pos="1873" w:val="left" w:leader="none"/>
        </w:tabs>
        <w:spacing w:line="362" w:lineRule="auto" w:before="136" w:after="0"/>
        <w:ind w:left="1873" w:right="725" w:hanging="424"/>
        <w:jc w:val="both"/>
        <w:rPr>
          <w:sz w:val="24"/>
        </w:rPr>
      </w:pPr>
      <w:r>
        <w:rPr>
          <w:sz w:val="24"/>
        </w:rPr>
        <w:t>Tipo</w:t>
      </w:r>
      <w:r>
        <w:rPr>
          <w:spacing w:val="-21"/>
          <w:sz w:val="24"/>
        </w:rPr>
        <w:t> </w:t>
      </w:r>
      <w:r>
        <w:rPr>
          <w:sz w:val="24"/>
        </w:rPr>
        <w:t>de</w:t>
      </w:r>
      <w:r>
        <w:rPr>
          <w:spacing w:val="-21"/>
          <w:sz w:val="24"/>
        </w:rPr>
        <w:t> </w:t>
      </w:r>
      <w:r>
        <w:rPr>
          <w:sz w:val="24"/>
        </w:rPr>
        <w:t>autonomía:</w:t>
      </w:r>
      <w:r>
        <w:rPr>
          <w:spacing w:val="-18"/>
          <w:sz w:val="24"/>
        </w:rPr>
        <w:t> </w:t>
      </w:r>
      <w:r>
        <w:rPr>
          <w:sz w:val="24"/>
        </w:rPr>
        <w:t>Total</w:t>
      </w:r>
      <w:r>
        <w:rPr>
          <w:spacing w:val="-20"/>
          <w:sz w:val="24"/>
        </w:rPr>
        <w:t> </w:t>
      </w:r>
      <w:r>
        <w:rPr>
          <w:sz w:val="24"/>
        </w:rPr>
        <w:t>en</w:t>
      </w:r>
      <w:r>
        <w:rPr>
          <w:spacing w:val="-21"/>
          <w:sz w:val="24"/>
        </w:rPr>
        <w:t> </w:t>
      </w:r>
      <w:r>
        <w:rPr>
          <w:sz w:val="24"/>
        </w:rPr>
        <w:t>Alemania,</w:t>
      </w:r>
      <w:r>
        <w:rPr>
          <w:spacing w:val="-14"/>
          <w:sz w:val="24"/>
        </w:rPr>
        <w:t> </w:t>
      </w:r>
      <w:r>
        <w:rPr>
          <w:sz w:val="24"/>
        </w:rPr>
        <w:t>mientras</w:t>
      </w:r>
      <w:r>
        <w:rPr>
          <w:spacing w:val="-19"/>
          <w:sz w:val="24"/>
        </w:rPr>
        <w:t> </w:t>
      </w:r>
      <w:r>
        <w:rPr>
          <w:sz w:val="24"/>
        </w:rPr>
        <w:t>que</w:t>
      </w:r>
      <w:r>
        <w:rPr>
          <w:spacing w:val="-21"/>
          <w:sz w:val="24"/>
        </w:rPr>
        <w:t> </w:t>
      </w:r>
      <w:r>
        <w:rPr>
          <w:sz w:val="24"/>
        </w:rPr>
        <w:t>los</w:t>
      </w:r>
      <w:r>
        <w:rPr>
          <w:spacing w:val="-15"/>
          <w:sz w:val="24"/>
        </w:rPr>
        <w:t> </w:t>
      </w:r>
      <w:r>
        <w:rPr>
          <w:sz w:val="24"/>
        </w:rPr>
        <w:t>demás</w:t>
      </w:r>
      <w:r>
        <w:rPr>
          <w:spacing w:val="-19"/>
          <w:sz w:val="24"/>
        </w:rPr>
        <w:t> </w:t>
      </w:r>
      <w:r>
        <w:rPr>
          <w:sz w:val="24"/>
        </w:rPr>
        <w:t>países se relacionan con el congreso o</w:t>
      </w:r>
      <w:r>
        <w:rPr>
          <w:spacing w:val="-24"/>
          <w:sz w:val="24"/>
        </w:rPr>
        <w:t> </w:t>
      </w:r>
      <w:r>
        <w:rPr>
          <w:sz w:val="24"/>
        </w:rPr>
        <w:t>parlamento.</w:t>
      </w:r>
    </w:p>
    <w:p>
      <w:pPr>
        <w:pStyle w:val="ListParagraph"/>
        <w:numPr>
          <w:ilvl w:val="4"/>
          <w:numId w:val="62"/>
        </w:numPr>
        <w:tabs>
          <w:tab w:pos="1873" w:val="left" w:leader="none"/>
        </w:tabs>
        <w:spacing w:line="362" w:lineRule="auto" w:before="0" w:after="0"/>
        <w:ind w:left="1873" w:right="728" w:hanging="424"/>
        <w:jc w:val="both"/>
        <w:rPr>
          <w:sz w:val="24"/>
        </w:rPr>
      </w:pPr>
      <w:r>
        <w:rPr>
          <w:sz w:val="24"/>
        </w:rPr>
        <w:t>La</w:t>
      </w:r>
      <w:r>
        <w:rPr>
          <w:spacing w:val="-16"/>
          <w:sz w:val="24"/>
        </w:rPr>
        <w:t> </w:t>
      </w:r>
      <w:r>
        <w:rPr>
          <w:sz w:val="24"/>
        </w:rPr>
        <w:t>efectividad</w:t>
      </w:r>
      <w:r>
        <w:rPr>
          <w:spacing w:val="-16"/>
          <w:sz w:val="24"/>
        </w:rPr>
        <w:t> </w:t>
      </w:r>
      <w:r>
        <w:rPr>
          <w:sz w:val="24"/>
        </w:rPr>
        <w:t>del</w:t>
      </w:r>
      <w:r>
        <w:rPr>
          <w:spacing w:val="-15"/>
          <w:sz w:val="24"/>
        </w:rPr>
        <w:t> </w:t>
      </w:r>
      <w:r>
        <w:rPr>
          <w:sz w:val="24"/>
        </w:rPr>
        <w:t>contrapeso:</w:t>
      </w:r>
      <w:r>
        <w:rPr>
          <w:spacing w:val="-13"/>
          <w:sz w:val="24"/>
        </w:rPr>
        <w:t> </w:t>
      </w:r>
      <w:r>
        <w:rPr>
          <w:sz w:val="24"/>
        </w:rPr>
        <w:t>en</w:t>
      </w:r>
      <w:r>
        <w:rPr>
          <w:spacing w:val="-12"/>
          <w:sz w:val="24"/>
        </w:rPr>
        <w:t> </w:t>
      </w:r>
      <w:r>
        <w:rPr>
          <w:sz w:val="24"/>
        </w:rPr>
        <w:t>Alemania</w:t>
      </w:r>
      <w:r>
        <w:rPr>
          <w:spacing w:val="-12"/>
          <w:sz w:val="24"/>
        </w:rPr>
        <w:t> </w:t>
      </w:r>
      <w:r>
        <w:rPr>
          <w:sz w:val="24"/>
        </w:rPr>
        <w:t>el</w:t>
      </w:r>
      <w:r>
        <w:rPr>
          <w:spacing w:val="-15"/>
          <w:sz w:val="24"/>
        </w:rPr>
        <w:t> </w:t>
      </w:r>
      <w:r>
        <w:rPr>
          <w:sz w:val="24"/>
        </w:rPr>
        <w:t>Parlamento</w:t>
      </w:r>
      <w:r>
        <w:rPr>
          <w:spacing w:val="-12"/>
          <w:sz w:val="24"/>
        </w:rPr>
        <w:t> </w:t>
      </w:r>
      <w:r>
        <w:rPr>
          <w:sz w:val="24"/>
        </w:rPr>
        <w:t>y</w:t>
      </w:r>
      <w:r>
        <w:rPr>
          <w:spacing w:val="-14"/>
          <w:sz w:val="24"/>
        </w:rPr>
        <w:t> </w:t>
      </w:r>
      <w:r>
        <w:rPr>
          <w:sz w:val="24"/>
        </w:rPr>
        <w:t>el</w:t>
      </w:r>
      <w:r>
        <w:rPr>
          <w:spacing w:val="-15"/>
          <w:sz w:val="24"/>
        </w:rPr>
        <w:t> </w:t>
      </w:r>
      <w:r>
        <w:rPr>
          <w:sz w:val="24"/>
        </w:rPr>
        <w:t>Senado revisan en forma conjunta la actuación del</w:t>
      </w:r>
      <w:r>
        <w:rPr>
          <w:spacing w:val="-30"/>
          <w:sz w:val="24"/>
        </w:rPr>
        <w:t> </w:t>
      </w:r>
      <w:r>
        <w:rPr>
          <w:sz w:val="24"/>
        </w:rPr>
        <w:t>Ejecutivo.</w:t>
      </w:r>
    </w:p>
    <w:p>
      <w:pPr>
        <w:pStyle w:val="ListParagraph"/>
        <w:numPr>
          <w:ilvl w:val="4"/>
          <w:numId w:val="62"/>
        </w:numPr>
        <w:tabs>
          <w:tab w:pos="1873" w:val="left" w:leader="none"/>
        </w:tabs>
        <w:spacing w:line="360" w:lineRule="auto" w:before="0" w:after="0"/>
        <w:ind w:left="1873" w:right="722" w:hanging="424"/>
        <w:jc w:val="both"/>
        <w:rPr>
          <w:sz w:val="24"/>
        </w:rPr>
      </w:pPr>
      <w:r>
        <w:rPr>
          <w:sz w:val="24"/>
        </w:rPr>
        <w:t>Blindaje político: en Alemania los miembros del Tribunal tienen independencia</w:t>
      </w:r>
      <w:r>
        <w:rPr>
          <w:spacing w:val="-8"/>
          <w:sz w:val="24"/>
        </w:rPr>
        <w:t> </w:t>
      </w:r>
      <w:r>
        <w:rPr>
          <w:sz w:val="24"/>
        </w:rPr>
        <w:t>judicial,</w:t>
      </w:r>
      <w:r>
        <w:rPr>
          <w:spacing w:val="-6"/>
          <w:sz w:val="24"/>
        </w:rPr>
        <w:t> </w:t>
      </w:r>
      <w:r>
        <w:rPr>
          <w:sz w:val="24"/>
        </w:rPr>
        <w:t>personal</w:t>
      </w:r>
      <w:r>
        <w:rPr>
          <w:spacing w:val="-5"/>
          <w:sz w:val="24"/>
        </w:rPr>
        <w:t> </w:t>
      </w:r>
      <w:r>
        <w:rPr>
          <w:sz w:val="24"/>
        </w:rPr>
        <w:t>y</w:t>
      </w:r>
      <w:r>
        <w:rPr>
          <w:spacing w:val="-7"/>
          <w:sz w:val="24"/>
        </w:rPr>
        <w:t> </w:t>
      </w:r>
      <w:r>
        <w:rPr>
          <w:sz w:val="24"/>
        </w:rPr>
        <w:t>material,</w:t>
      </w:r>
      <w:r>
        <w:rPr>
          <w:spacing w:val="-3"/>
          <w:sz w:val="24"/>
        </w:rPr>
        <w:t> </w:t>
      </w:r>
      <w:r>
        <w:rPr>
          <w:sz w:val="24"/>
        </w:rPr>
        <w:t>y</w:t>
      </w:r>
      <w:r>
        <w:rPr>
          <w:spacing w:val="-10"/>
          <w:sz w:val="24"/>
        </w:rPr>
        <w:t> </w:t>
      </w:r>
      <w:r>
        <w:rPr>
          <w:sz w:val="24"/>
        </w:rPr>
        <w:t>solo</w:t>
      </w:r>
      <w:r>
        <w:rPr>
          <w:spacing w:val="-8"/>
          <w:sz w:val="24"/>
        </w:rPr>
        <w:t> </w:t>
      </w:r>
      <w:r>
        <w:rPr>
          <w:sz w:val="24"/>
        </w:rPr>
        <w:t>la</w:t>
      </w:r>
      <w:r>
        <w:rPr>
          <w:spacing w:val="-8"/>
          <w:sz w:val="24"/>
        </w:rPr>
        <w:t> </w:t>
      </w:r>
      <w:r>
        <w:rPr>
          <w:sz w:val="24"/>
        </w:rPr>
        <w:t>Corte</w:t>
      </w:r>
      <w:r>
        <w:rPr>
          <w:spacing w:val="-8"/>
          <w:sz w:val="24"/>
        </w:rPr>
        <w:t> </w:t>
      </w:r>
      <w:r>
        <w:rPr>
          <w:sz w:val="24"/>
        </w:rPr>
        <w:t>Federal</w:t>
      </w:r>
      <w:r>
        <w:rPr>
          <w:spacing w:val="-7"/>
          <w:sz w:val="24"/>
        </w:rPr>
        <w:t> </w:t>
      </w:r>
      <w:r>
        <w:rPr>
          <w:sz w:val="24"/>
        </w:rPr>
        <w:t>de Justicia resuelve la remoción o</w:t>
      </w:r>
      <w:r>
        <w:rPr>
          <w:spacing w:val="-24"/>
          <w:sz w:val="24"/>
        </w:rPr>
        <w:t> </w:t>
      </w:r>
      <w:r>
        <w:rPr>
          <w:sz w:val="24"/>
        </w:rPr>
        <w:t>sanciones.</w:t>
      </w:r>
    </w:p>
    <w:p>
      <w:pPr>
        <w:pStyle w:val="ListParagraph"/>
        <w:numPr>
          <w:ilvl w:val="4"/>
          <w:numId w:val="62"/>
        </w:numPr>
        <w:tabs>
          <w:tab w:pos="1873" w:val="left" w:leader="none"/>
        </w:tabs>
        <w:spacing w:line="362" w:lineRule="auto" w:before="2" w:after="0"/>
        <w:ind w:left="1873" w:right="719" w:hanging="424"/>
        <w:jc w:val="both"/>
        <w:rPr>
          <w:sz w:val="24"/>
        </w:rPr>
      </w:pPr>
      <w:r>
        <w:rPr>
          <w:sz w:val="24"/>
        </w:rPr>
        <w:t>El impulso al </w:t>
      </w:r>
      <w:r>
        <w:rPr>
          <w:i/>
          <w:sz w:val="24"/>
        </w:rPr>
        <w:t>enforcement </w:t>
      </w:r>
      <w:r>
        <w:rPr>
          <w:sz w:val="24"/>
        </w:rPr>
        <w:t>de la rendición de cuentas, mediante el informe bianual en el que se da seguimiento a las observaciones y recomendaciones de</w:t>
      </w:r>
      <w:r>
        <w:rPr>
          <w:spacing w:val="-14"/>
          <w:sz w:val="24"/>
        </w:rPr>
        <w:t> </w:t>
      </w:r>
      <w:r>
        <w:rPr>
          <w:sz w:val="24"/>
        </w:rPr>
        <w:t>Alemania</w:t>
      </w:r>
    </w:p>
    <w:p>
      <w:pPr>
        <w:spacing w:after="0" w:line="362" w:lineRule="auto"/>
        <w:jc w:val="both"/>
        <w:rPr>
          <w:sz w:val="24"/>
        </w:rPr>
        <w:sectPr>
          <w:pgSz w:w="11910" w:h="16840"/>
          <w:pgMar w:header="0" w:footer="998" w:top="1400" w:bottom="1180" w:left="960" w:right="980"/>
        </w:sectPr>
      </w:pPr>
    </w:p>
    <w:p>
      <w:pPr>
        <w:pStyle w:val="ListParagraph"/>
        <w:numPr>
          <w:ilvl w:val="4"/>
          <w:numId w:val="62"/>
        </w:numPr>
        <w:tabs>
          <w:tab w:pos="1312" w:val="left" w:leader="none"/>
          <w:tab w:pos="1313" w:val="left" w:leader="none"/>
        </w:tabs>
        <w:spacing w:line="357" w:lineRule="auto" w:before="39" w:after="0"/>
        <w:ind w:left="1313" w:right="209" w:hanging="424"/>
        <w:jc w:val="left"/>
        <w:rPr>
          <w:sz w:val="16"/>
        </w:rPr>
      </w:pPr>
      <w:r>
        <w:rPr>
          <w:sz w:val="24"/>
        </w:rPr>
        <w:t>En Alemania existe una responsabilidad directa del poder Ejecutivo ante el Judicial y el</w:t>
      </w:r>
      <w:r>
        <w:rPr>
          <w:spacing w:val="-17"/>
          <w:sz w:val="24"/>
        </w:rPr>
        <w:t> </w:t>
      </w:r>
      <w:r>
        <w:rPr>
          <w:sz w:val="24"/>
        </w:rPr>
        <w:t>Legislativo.</w:t>
      </w:r>
      <w:r>
        <w:rPr>
          <w:position w:val="8"/>
          <w:sz w:val="16"/>
        </w:rPr>
        <w:t>87</w:t>
      </w:r>
    </w:p>
    <w:p>
      <w:pPr>
        <w:pStyle w:val="BodyText"/>
        <w:spacing w:before="2"/>
        <w:rPr>
          <w:sz w:val="36"/>
        </w:rPr>
      </w:pPr>
    </w:p>
    <w:p>
      <w:pPr>
        <w:pStyle w:val="BodyText"/>
        <w:spacing w:line="360" w:lineRule="auto"/>
        <w:ind w:left="180" w:right="203" w:firstLine="708"/>
        <w:jc w:val="both"/>
      </w:pPr>
      <w:r>
        <w:rPr/>
        <w:t>De</w:t>
      </w:r>
      <w:r>
        <w:rPr>
          <w:spacing w:val="-8"/>
        </w:rPr>
        <w:t> </w:t>
      </w:r>
      <w:r>
        <w:rPr/>
        <w:t>los</w:t>
      </w:r>
      <w:r>
        <w:rPr>
          <w:spacing w:val="-6"/>
        </w:rPr>
        <w:t> </w:t>
      </w:r>
      <w:r>
        <w:rPr/>
        <w:t>237</w:t>
      </w:r>
      <w:r>
        <w:rPr>
          <w:spacing w:val="-8"/>
        </w:rPr>
        <w:t> </w:t>
      </w:r>
      <w:r>
        <w:rPr/>
        <w:t>países</w:t>
      </w:r>
      <w:r>
        <w:rPr>
          <w:spacing w:val="-6"/>
        </w:rPr>
        <w:t> </w:t>
      </w:r>
      <w:r>
        <w:rPr/>
        <w:t>del</w:t>
      </w:r>
      <w:r>
        <w:rPr>
          <w:spacing w:val="-7"/>
        </w:rPr>
        <w:t> </w:t>
      </w:r>
      <w:r>
        <w:rPr/>
        <w:t>mundo,</w:t>
      </w:r>
      <w:r>
        <w:rPr>
          <w:spacing w:val="-5"/>
        </w:rPr>
        <w:t> </w:t>
      </w:r>
      <w:r>
        <w:rPr/>
        <w:t>185</w:t>
      </w:r>
      <w:r>
        <w:rPr>
          <w:spacing w:val="-8"/>
        </w:rPr>
        <w:t> </w:t>
      </w:r>
      <w:r>
        <w:rPr/>
        <w:t>(78.1%)</w:t>
      </w:r>
      <w:r>
        <w:rPr>
          <w:spacing w:val="-6"/>
        </w:rPr>
        <w:t> </w:t>
      </w:r>
      <w:r>
        <w:rPr/>
        <w:t>presentan</w:t>
      </w:r>
      <w:r>
        <w:rPr>
          <w:spacing w:val="-8"/>
        </w:rPr>
        <w:t> </w:t>
      </w:r>
      <w:r>
        <w:rPr/>
        <w:t>información</w:t>
      </w:r>
      <w:r>
        <w:rPr>
          <w:spacing w:val="-8"/>
        </w:rPr>
        <w:t> </w:t>
      </w:r>
      <w:r>
        <w:rPr/>
        <w:t>relativa a su modelo institucional de rendición de cuentas. En el siguiente cuadro se muestra el número de instituciones por continente, de acuerdo con el modelo adoptado por cada</w:t>
      </w:r>
      <w:r>
        <w:rPr>
          <w:spacing w:val="-15"/>
        </w:rPr>
        <w:t> </w:t>
      </w:r>
      <w:r>
        <w:rPr/>
        <w:t>Estado.</w:t>
      </w:r>
    </w:p>
    <w:p>
      <w:pPr>
        <w:pStyle w:val="BodyText"/>
      </w:pPr>
    </w:p>
    <w:p>
      <w:pPr>
        <w:pStyle w:val="BodyText"/>
        <w:spacing w:before="3"/>
        <w:rPr>
          <w:sz w:val="23"/>
        </w:rPr>
      </w:pPr>
    </w:p>
    <w:p>
      <w:pPr>
        <w:spacing w:before="0"/>
        <w:ind w:left="1141" w:right="0" w:firstLine="0"/>
        <w:jc w:val="left"/>
        <w:rPr>
          <w:sz w:val="20"/>
        </w:rPr>
      </w:pPr>
      <w:bookmarkStart w:name="_bookmark66" w:id="89"/>
      <w:bookmarkEnd w:id="89"/>
      <w:r>
        <w:rPr/>
      </w:r>
      <w:r>
        <w:rPr>
          <w:sz w:val="20"/>
        </w:rPr>
        <w:t>Cuadro 3. 6. Tipos de instituciones de rendición de cuentas por continente</w:t>
      </w:r>
    </w:p>
    <w:p>
      <w:pPr>
        <w:pStyle w:val="BodyText"/>
        <w:spacing w:before="6"/>
        <w:rPr>
          <w:sz w:val="17"/>
        </w:rPr>
      </w:pPr>
    </w:p>
    <w:tbl>
      <w:tblPr>
        <w:tblW w:w="0" w:type="auto"/>
        <w:jc w:val="left"/>
        <w:tblInd w:w="11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88"/>
        <w:gridCol w:w="1001"/>
        <w:gridCol w:w="1356"/>
        <w:gridCol w:w="1168"/>
        <w:gridCol w:w="1165"/>
        <w:gridCol w:w="1168"/>
        <w:gridCol w:w="1168"/>
      </w:tblGrid>
      <w:tr>
        <w:trPr>
          <w:trHeight w:val="657" w:hRule="exact"/>
        </w:trPr>
        <w:tc>
          <w:tcPr>
            <w:tcW w:w="1588" w:type="dxa"/>
            <w:tcBorders>
              <w:top w:val="single" w:sz="11" w:space="0" w:color="D9D9D9"/>
              <w:left w:val="single" w:sz="11" w:space="0" w:color="D9D9D9"/>
              <w:bottom w:val="single" w:sz="11" w:space="0" w:color="D9D9D9"/>
              <w:right w:val="single" w:sz="11" w:space="0" w:color="D9D9D9"/>
            </w:tcBorders>
          </w:tcPr>
          <w:p>
            <w:pPr>
              <w:pStyle w:val="TableParagraph"/>
              <w:spacing w:before="102"/>
              <w:ind w:left="361"/>
              <w:rPr>
                <w:b/>
                <w:sz w:val="16"/>
              </w:rPr>
            </w:pPr>
            <w:r>
              <w:rPr>
                <w:b/>
                <w:sz w:val="16"/>
              </w:rPr>
              <w:t>Continente</w:t>
            </w:r>
          </w:p>
        </w:tc>
        <w:tc>
          <w:tcPr>
            <w:tcW w:w="1001" w:type="dxa"/>
            <w:tcBorders>
              <w:top w:val="single" w:sz="11" w:space="0" w:color="D9D9D9"/>
              <w:left w:val="single" w:sz="11" w:space="0" w:color="D9D9D9"/>
              <w:bottom w:val="single" w:sz="11" w:space="0" w:color="D9D9D9"/>
              <w:right w:val="single" w:sz="11" w:space="0" w:color="D9D9D9"/>
            </w:tcBorders>
          </w:tcPr>
          <w:p>
            <w:pPr>
              <w:pStyle w:val="TableParagraph"/>
              <w:spacing w:line="276" w:lineRule="auto"/>
              <w:ind w:left="122" w:right="15" w:firstLine="64"/>
              <w:rPr>
                <w:b/>
                <w:sz w:val="16"/>
              </w:rPr>
            </w:pPr>
            <w:r>
              <w:rPr>
                <w:b/>
                <w:sz w:val="16"/>
              </w:rPr>
              <w:t>Número de países</w:t>
            </w:r>
          </w:p>
        </w:tc>
        <w:tc>
          <w:tcPr>
            <w:tcW w:w="1356" w:type="dxa"/>
            <w:tcBorders>
              <w:top w:val="single" w:sz="11" w:space="0" w:color="D9D9D9"/>
              <w:left w:val="single" w:sz="11" w:space="0" w:color="D9D9D9"/>
              <w:bottom w:val="single" w:sz="11" w:space="0" w:color="D9D9D9"/>
              <w:right w:val="single" w:sz="11" w:space="0" w:color="D9D9D9"/>
            </w:tcBorders>
          </w:tcPr>
          <w:p>
            <w:pPr>
              <w:pStyle w:val="TableParagraph"/>
              <w:spacing w:line="276" w:lineRule="auto"/>
              <w:ind w:left="362" w:right="295" w:hanging="52"/>
              <w:rPr>
                <w:b/>
                <w:sz w:val="16"/>
              </w:rPr>
            </w:pPr>
            <w:r>
              <w:rPr>
                <w:b/>
                <w:sz w:val="16"/>
              </w:rPr>
              <w:t>Auditoría General</w:t>
            </w:r>
          </w:p>
        </w:tc>
        <w:tc>
          <w:tcPr>
            <w:tcW w:w="1168" w:type="dxa"/>
            <w:tcBorders>
              <w:top w:val="single" w:sz="11" w:space="0" w:color="D9D9D9"/>
              <w:left w:val="single" w:sz="11" w:space="0" w:color="D9D9D9"/>
              <w:bottom w:val="single" w:sz="11" w:space="0" w:color="D9D9D9"/>
              <w:right w:val="single" w:sz="11" w:space="0" w:color="D9D9D9"/>
            </w:tcBorders>
          </w:tcPr>
          <w:p>
            <w:pPr>
              <w:pStyle w:val="TableParagraph"/>
              <w:spacing w:line="276" w:lineRule="auto"/>
              <w:ind w:left="269" w:hanging="124"/>
              <w:rPr>
                <w:b/>
                <w:sz w:val="16"/>
              </w:rPr>
            </w:pPr>
            <w:r>
              <w:rPr>
                <w:b/>
                <w:sz w:val="16"/>
              </w:rPr>
              <w:t>Contraloría General</w:t>
            </w:r>
          </w:p>
        </w:tc>
        <w:tc>
          <w:tcPr>
            <w:tcW w:w="1165" w:type="dxa"/>
            <w:tcBorders>
              <w:top w:val="single" w:sz="11" w:space="0" w:color="D9D9D9"/>
              <w:left w:val="single" w:sz="11" w:space="0" w:color="D9D9D9"/>
              <w:bottom w:val="single" w:sz="11" w:space="0" w:color="D9D9D9"/>
              <w:right w:val="single" w:sz="11" w:space="0" w:color="D9D9D9"/>
            </w:tcBorders>
          </w:tcPr>
          <w:p>
            <w:pPr>
              <w:pStyle w:val="TableParagraph"/>
              <w:spacing w:line="276" w:lineRule="auto"/>
              <w:ind w:left="253" w:right="117" w:hanging="116"/>
              <w:rPr>
                <w:b/>
                <w:sz w:val="16"/>
              </w:rPr>
            </w:pPr>
            <w:r>
              <w:rPr>
                <w:b/>
                <w:sz w:val="16"/>
              </w:rPr>
              <w:t>Tribunal de Cuentas</w:t>
            </w:r>
          </w:p>
        </w:tc>
        <w:tc>
          <w:tcPr>
            <w:tcW w:w="1168" w:type="dxa"/>
            <w:tcBorders>
              <w:top w:val="single" w:sz="11" w:space="0" w:color="D9D9D9"/>
              <w:left w:val="single" w:sz="11" w:space="0" w:color="D9D9D9"/>
              <w:bottom w:val="single" w:sz="11" w:space="0" w:color="D9D9D9"/>
              <w:right w:val="single" w:sz="11" w:space="0" w:color="D9D9D9"/>
            </w:tcBorders>
          </w:tcPr>
          <w:p>
            <w:pPr>
              <w:pStyle w:val="TableParagraph"/>
              <w:spacing w:line="276" w:lineRule="auto"/>
              <w:ind w:left="218" w:right="121" w:hanging="81"/>
              <w:rPr>
                <w:b/>
                <w:sz w:val="16"/>
              </w:rPr>
            </w:pPr>
            <w:r>
              <w:rPr>
                <w:b/>
                <w:sz w:val="16"/>
              </w:rPr>
              <w:t>Consejo de Auditoría</w:t>
            </w:r>
          </w:p>
        </w:tc>
        <w:tc>
          <w:tcPr>
            <w:tcW w:w="1168" w:type="dxa"/>
            <w:tcBorders>
              <w:top w:val="single" w:sz="11" w:space="0" w:color="D9D9D9"/>
              <w:left w:val="single" w:sz="11" w:space="0" w:color="D9D9D9"/>
              <w:bottom w:val="single" w:sz="11" w:space="0" w:color="D9D9D9"/>
              <w:right w:val="single" w:sz="11" w:space="0" w:color="D9D9D9"/>
            </w:tcBorders>
          </w:tcPr>
          <w:p>
            <w:pPr>
              <w:pStyle w:val="TableParagraph"/>
              <w:spacing w:before="102"/>
              <w:ind w:left="334" w:right="339"/>
              <w:jc w:val="center"/>
              <w:rPr>
                <w:b/>
                <w:sz w:val="16"/>
              </w:rPr>
            </w:pPr>
            <w:r>
              <w:rPr>
                <w:b/>
                <w:sz w:val="16"/>
              </w:rPr>
              <w:t>Otros</w:t>
            </w:r>
          </w:p>
        </w:tc>
      </w:tr>
      <w:tr>
        <w:trPr>
          <w:trHeight w:val="242" w:hRule="exact"/>
        </w:trPr>
        <w:tc>
          <w:tcPr>
            <w:tcW w:w="1588" w:type="dxa"/>
            <w:tcBorders>
              <w:top w:val="single" w:sz="11" w:space="0" w:color="D9D9D9"/>
            </w:tcBorders>
          </w:tcPr>
          <w:p>
            <w:pPr>
              <w:pStyle w:val="TableParagraph"/>
              <w:spacing w:line="192" w:lineRule="exact"/>
              <w:ind w:left="175"/>
              <w:rPr>
                <w:sz w:val="17"/>
              </w:rPr>
            </w:pPr>
            <w:r>
              <w:rPr>
                <w:sz w:val="17"/>
              </w:rPr>
              <w:t>África</w:t>
            </w:r>
          </w:p>
        </w:tc>
        <w:tc>
          <w:tcPr>
            <w:tcW w:w="1001" w:type="dxa"/>
            <w:tcBorders>
              <w:top w:val="single" w:sz="11" w:space="0" w:color="D9D9D9"/>
            </w:tcBorders>
          </w:tcPr>
          <w:p>
            <w:pPr>
              <w:pStyle w:val="TableParagraph"/>
              <w:spacing w:line="192" w:lineRule="exact"/>
              <w:ind w:left="374" w:right="295"/>
              <w:jc w:val="center"/>
              <w:rPr>
                <w:sz w:val="17"/>
              </w:rPr>
            </w:pPr>
            <w:r>
              <w:rPr>
                <w:sz w:val="17"/>
              </w:rPr>
              <w:t>51</w:t>
            </w:r>
          </w:p>
        </w:tc>
        <w:tc>
          <w:tcPr>
            <w:tcW w:w="1356" w:type="dxa"/>
            <w:tcBorders>
              <w:top w:val="single" w:sz="11" w:space="0" w:color="D9D9D9"/>
            </w:tcBorders>
          </w:tcPr>
          <w:p>
            <w:pPr>
              <w:pStyle w:val="TableParagraph"/>
              <w:spacing w:line="192" w:lineRule="exact"/>
              <w:ind w:left="558" w:right="491"/>
              <w:jc w:val="center"/>
              <w:rPr>
                <w:sz w:val="17"/>
              </w:rPr>
            </w:pPr>
            <w:r>
              <w:rPr>
                <w:sz w:val="17"/>
              </w:rPr>
              <w:t>19</w:t>
            </w:r>
          </w:p>
        </w:tc>
        <w:tc>
          <w:tcPr>
            <w:tcW w:w="1168" w:type="dxa"/>
            <w:tcBorders>
              <w:top w:val="single" w:sz="11" w:space="0" w:color="D9D9D9"/>
            </w:tcBorders>
          </w:tcPr>
          <w:p>
            <w:pPr>
              <w:pStyle w:val="TableParagraph"/>
              <w:spacing w:line="192" w:lineRule="exact"/>
              <w:ind w:right="494"/>
              <w:jc w:val="right"/>
              <w:rPr>
                <w:sz w:val="17"/>
              </w:rPr>
            </w:pPr>
            <w:r>
              <w:rPr>
                <w:w w:val="101"/>
                <w:sz w:val="17"/>
              </w:rPr>
              <w:t>0</w:t>
            </w:r>
          </w:p>
        </w:tc>
        <w:tc>
          <w:tcPr>
            <w:tcW w:w="1165" w:type="dxa"/>
            <w:tcBorders>
              <w:top w:val="single" w:sz="11" w:space="0" w:color="D9D9D9"/>
            </w:tcBorders>
          </w:tcPr>
          <w:p>
            <w:pPr>
              <w:pStyle w:val="TableParagraph"/>
              <w:spacing w:line="192" w:lineRule="exact"/>
              <w:ind w:left="501" w:right="425"/>
              <w:jc w:val="center"/>
              <w:rPr>
                <w:sz w:val="17"/>
              </w:rPr>
            </w:pPr>
            <w:r>
              <w:rPr>
                <w:sz w:val="17"/>
              </w:rPr>
              <w:t>21</w:t>
            </w:r>
          </w:p>
        </w:tc>
        <w:tc>
          <w:tcPr>
            <w:tcW w:w="1168" w:type="dxa"/>
            <w:tcBorders>
              <w:top w:val="single" w:sz="11" w:space="0" w:color="D9D9D9"/>
            </w:tcBorders>
          </w:tcPr>
          <w:p>
            <w:pPr>
              <w:pStyle w:val="TableParagraph"/>
              <w:spacing w:line="192" w:lineRule="exact"/>
              <w:ind w:left="71"/>
              <w:jc w:val="center"/>
              <w:rPr>
                <w:sz w:val="17"/>
              </w:rPr>
            </w:pPr>
            <w:r>
              <w:rPr>
                <w:w w:val="101"/>
                <w:sz w:val="17"/>
              </w:rPr>
              <w:t>0</w:t>
            </w:r>
          </w:p>
        </w:tc>
        <w:tc>
          <w:tcPr>
            <w:tcW w:w="1168" w:type="dxa"/>
            <w:tcBorders>
              <w:top w:val="single" w:sz="11" w:space="0" w:color="D9D9D9"/>
            </w:tcBorders>
          </w:tcPr>
          <w:p>
            <w:pPr>
              <w:pStyle w:val="TableParagraph"/>
              <w:spacing w:line="192" w:lineRule="exact"/>
              <w:ind w:left="501" w:right="429"/>
              <w:jc w:val="center"/>
              <w:rPr>
                <w:sz w:val="17"/>
              </w:rPr>
            </w:pPr>
            <w:r>
              <w:rPr>
                <w:sz w:val="17"/>
              </w:rPr>
              <w:t>11</w:t>
            </w:r>
          </w:p>
        </w:tc>
      </w:tr>
      <w:tr>
        <w:trPr>
          <w:trHeight w:val="236" w:hRule="exact"/>
        </w:trPr>
        <w:tc>
          <w:tcPr>
            <w:tcW w:w="1588" w:type="dxa"/>
          </w:tcPr>
          <w:p>
            <w:pPr>
              <w:pStyle w:val="TableParagraph"/>
              <w:ind w:left="175"/>
              <w:rPr>
                <w:sz w:val="17"/>
              </w:rPr>
            </w:pPr>
            <w:r>
              <w:rPr>
                <w:sz w:val="17"/>
              </w:rPr>
              <w:t>América</w:t>
            </w:r>
          </w:p>
        </w:tc>
        <w:tc>
          <w:tcPr>
            <w:tcW w:w="1001" w:type="dxa"/>
          </w:tcPr>
          <w:p>
            <w:pPr>
              <w:pStyle w:val="TableParagraph"/>
              <w:ind w:left="374" w:right="295"/>
              <w:jc w:val="center"/>
              <w:rPr>
                <w:sz w:val="17"/>
              </w:rPr>
            </w:pPr>
            <w:r>
              <w:rPr>
                <w:sz w:val="17"/>
              </w:rPr>
              <w:t>37</w:t>
            </w:r>
          </w:p>
        </w:tc>
        <w:tc>
          <w:tcPr>
            <w:tcW w:w="1356" w:type="dxa"/>
          </w:tcPr>
          <w:p>
            <w:pPr>
              <w:pStyle w:val="TableParagraph"/>
              <w:ind w:left="558" w:right="491"/>
              <w:jc w:val="center"/>
              <w:rPr>
                <w:sz w:val="17"/>
              </w:rPr>
            </w:pPr>
            <w:r>
              <w:rPr>
                <w:sz w:val="17"/>
              </w:rPr>
              <w:t>11</w:t>
            </w:r>
          </w:p>
        </w:tc>
        <w:tc>
          <w:tcPr>
            <w:tcW w:w="1168" w:type="dxa"/>
          </w:tcPr>
          <w:p>
            <w:pPr>
              <w:pStyle w:val="TableParagraph"/>
              <w:ind w:right="447"/>
              <w:jc w:val="right"/>
              <w:rPr>
                <w:sz w:val="17"/>
              </w:rPr>
            </w:pPr>
            <w:r>
              <w:rPr>
                <w:sz w:val="17"/>
              </w:rPr>
              <w:t>12</w:t>
            </w:r>
          </w:p>
        </w:tc>
        <w:tc>
          <w:tcPr>
            <w:tcW w:w="1165" w:type="dxa"/>
          </w:tcPr>
          <w:p>
            <w:pPr>
              <w:pStyle w:val="TableParagraph"/>
              <w:ind w:left="76"/>
              <w:jc w:val="center"/>
              <w:rPr>
                <w:sz w:val="17"/>
              </w:rPr>
            </w:pPr>
            <w:r>
              <w:rPr>
                <w:w w:val="101"/>
                <w:sz w:val="17"/>
              </w:rPr>
              <w:t>7</w:t>
            </w:r>
          </w:p>
        </w:tc>
        <w:tc>
          <w:tcPr>
            <w:tcW w:w="1168" w:type="dxa"/>
          </w:tcPr>
          <w:p>
            <w:pPr>
              <w:pStyle w:val="TableParagraph"/>
              <w:ind w:left="71"/>
              <w:jc w:val="center"/>
              <w:rPr>
                <w:sz w:val="17"/>
              </w:rPr>
            </w:pPr>
            <w:r>
              <w:rPr>
                <w:w w:val="101"/>
                <w:sz w:val="17"/>
              </w:rPr>
              <w:t>0</w:t>
            </w:r>
          </w:p>
        </w:tc>
        <w:tc>
          <w:tcPr>
            <w:tcW w:w="1168" w:type="dxa"/>
          </w:tcPr>
          <w:p>
            <w:pPr>
              <w:pStyle w:val="TableParagraph"/>
              <w:ind w:left="71"/>
              <w:jc w:val="center"/>
              <w:rPr>
                <w:sz w:val="17"/>
              </w:rPr>
            </w:pPr>
            <w:r>
              <w:rPr>
                <w:w w:val="101"/>
                <w:sz w:val="17"/>
              </w:rPr>
              <w:t>7</w:t>
            </w:r>
          </w:p>
        </w:tc>
      </w:tr>
      <w:tr>
        <w:trPr>
          <w:trHeight w:val="236" w:hRule="exact"/>
        </w:trPr>
        <w:tc>
          <w:tcPr>
            <w:tcW w:w="1588" w:type="dxa"/>
            <w:tcBorders>
              <w:left w:val="single" w:sz="2" w:space="0" w:color="000000"/>
            </w:tcBorders>
          </w:tcPr>
          <w:p>
            <w:pPr>
              <w:pStyle w:val="TableParagraph"/>
              <w:spacing w:line="192" w:lineRule="exact"/>
              <w:ind w:left="178"/>
              <w:rPr>
                <w:sz w:val="17"/>
              </w:rPr>
            </w:pPr>
            <w:r>
              <w:rPr>
                <w:sz w:val="17"/>
              </w:rPr>
              <w:t>Asia</w:t>
            </w:r>
          </w:p>
        </w:tc>
        <w:tc>
          <w:tcPr>
            <w:tcW w:w="1001" w:type="dxa"/>
          </w:tcPr>
          <w:p>
            <w:pPr>
              <w:pStyle w:val="TableParagraph"/>
              <w:spacing w:line="192" w:lineRule="exact"/>
              <w:ind w:left="374" w:right="295"/>
              <w:jc w:val="center"/>
              <w:rPr>
                <w:sz w:val="17"/>
              </w:rPr>
            </w:pPr>
            <w:r>
              <w:rPr>
                <w:sz w:val="17"/>
              </w:rPr>
              <w:t>40</w:t>
            </w:r>
          </w:p>
        </w:tc>
        <w:tc>
          <w:tcPr>
            <w:tcW w:w="1356" w:type="dxa"/>
          </w:tcPr>
          <w:p>
            <w:pPr>
              <w:pStyle w:val="TableParagraph"/>
              <w:spacing w:line="192" w:lineRule="exact"/>
              <w:ind w:left="558" w:right="491"/>
              <w:jc w:val="center"/>
              <w:rPr>
                <w:sz w:val="17"/>
              </w:rPr>
            </w:pPr>
            <w:r>
              <w:rPr>
                <w:sz w:val="17"/>
              </w:rPr>
              <w:t>23</w:t>
            </w:r>
          </w:p>
        </w:tc>
        <w:tc>
          <w:tcPr>
            <w:tcW w:w="1168" w:type="dxa"/>
          </w:tcPr>
          <w:p>
            <w:pPr>
              <w:pStyle w:val="TableParagraph"/>
              <w:spacing w:line="192" w:lineRule="exact"/>
              <w:ind w:right="494"/>
              <w:jc w:val="right"/>
              <w:rPr>
                <w:sz w:val="17"/>
              </w:rPr>
            </w:pPr>
            <w:r>
              <w:rPr>
                <w:w w:val="101"/>
                <w:sz w:val="17"/>
              </w:rPr>
              <w:t>0</w:t>
            </w:r>
          </w:p>
        </w:tc>
        <w:tc>
          <w:tcPr>
            <w:tcW w:w="1165" w:type="dxa"/>
          </w:tcPr>
          <w:p>
            <w:pPr>
              <w:pStyle w:val="TableParagraph"/>
              <w:spacing w:line="192" w:lineRule="exact"/>
              <w:ind w:left="76"/>
              <w:jc w:val="center"/>
              <w:rPr>
                <w:sz w:val="17"/>
              </w:rPr>
            </w:pPr>
            <w:r>
              <w:rPr>
                <w:w w:val="101"/>
                <w:sz w:val="17"/>
              </w:rPr>
              <w:t>6</w:t>
            </w:r>
          </w:p>
        </w:tc>
        <w:tc>
          <w:tcPr>
            <w:tcW w:w="1168" w:type="dxa"/>
          </w:tcPr>
          <w:p>
            <w:pPr>
              <w:pStyle w:val="TableParagraph"/>
              <w:spacing w:line="192" w:lineRule="exact"/>
              <w:ind w:left="71"/>
              <w:jc w:val="center"/>
              <w:rPr>
                <w:sz w:val="17"/>
              </w:rPr>
            </w:pPr>
            <w:r>
              <w:rPr>
                <w:w w:val="101"/>
                <w:sz w:val="17"/>
              </w:rPr>
              <w:t>4</w:t>
            </w:r>
          </w:p>
        </w:tc>
        <w:tc>
          <w:tcPr>
            <w:tcW w:w="1168" w:type="dxa"/>
          </w:tcPr>
          <w:p>
            <w:pPr>
              <w:pStyle w:val="TableParagraph"/>
              <w:spacing w:line="192" w:lineRule="exact"/>
              <w:ind w:left="71"/>
              <w:jc w:val="center"/>
              <w:rPr>
                <w:sz w:val="17"/>
              </w:rPr>
            </w:pPr>
            <w:r>
              <w:rPr>
                <w:w w:val="101"/>
                <w:sz w:val="17"/>
              </w:rPr>
              <w:t>7</w:t>
            </w:r>
          </w:p>
        </w:tc>
      </w:tr>
      <w:tr>
        <w:trPr>
          <w:trHeight w:val="232" w:hRule="exact"/>
        </w:trPr>
        <w:tc>
          <w:tcPr>
            <w:tcW w:w="1588" w:type="dxa"/>
          </w:tcPr>
          <w:p>
            <w:pPr>
              <w:pStyle w:val="TableParagraph"/>
              <w:spacing w:line="192" w:lineRule="exact"/>
              <w:ind w:left="175"/>
              <w:rPr>
                <w:sz w:val="17"/>
              </w:rPr>
            </w:pPr>
            <w:r>
              <w:rPr>
                <w:sz w:val="17"/>
              </w:rPr>
              <w:t>Europa</w:t>
            </w:r>
          </w:p>
        </w:tc>
        <w:tc>
          <w:tcPr>
            <w:tcW w:w="1001" w:type="dxa"/>
          </w:tcPr>
          <w:p>
            <w:pPr>
              <w:pStyle w:val="TableParagraph"/>
              <w:spacing w:line="192" w:lineRule="exact"/>
              <w:ind w:left="374" w:right="295"/>
              <w:jc w:val="center"/>
              <w:rPr>
                <w:sz w:val="17"/>
              </w:rPr>
            </w:pPr>
            <w:r>
              <w:rPr>
                <w:sz w:val="17"/>
              </w:rPr>
              <w:t>42</w:t>
            </w:r>
          </w:p>
        </w:tc>
        <w:tc>
          <w:tcPr>
            <w:tcW w:w="1356" w:type="dxa"/>
          </w:tcPr>
          <w:p>
            <w:pPr>
              <w:pStyle w:val="TableParagraph"/>
              <w:spacing w:line="192" w:lineRule="exact"/>
              <w:ind w:left="524" w:right="526"/>
              <w:jc w:val="center"/>
              <w:rPr>
                <w:sz w:val="17"/>
              </w:rPr>
            </w:pPr>
            <w:r>
              <w:rPr>
                <w:sz w:val="17"/>
              </w:rPr>
              <w:t>18</w:t>
            </w:r>
          </w:p>
        </w:tc>
        <w:tc>
          <w:tcPr>
            <w:tcW w:w="1168" w:type="dxa"/>
          </w:tcPr>
          <w:p>
            <w:pPr>
              <w:pStyle w:val="TableParagraph"/>
              <w:spacing w:line="192" w:lineRule="exact"/>
              <w:ind w:right="494"/>
              <w:jc w:val="right"/>
              <w:rPr>
                <w:sz w:val="17"/>
              </w:rPr>
            </w:pPr>
            <w:r>
              <w:rPr>
                <w:w w:val="101"/>
                <w:sz w:val="17"/>
              </w:rPr>
              <w:t>0</w:t>
            </w:r>
          </w:p>
        </w:tc>
        <w:tc>
          <w:tcPr>
            <w:tcW w:w="1165" w:type="dxa"/>
          </w:tcPr>
          <w:p>
            <w:pPr>
              <w:pStyle w:val="TableParagraph"/>
              <w:spacing w:line="192" w:lineRule="exact"/>
              <w:ind w:left="501" w:right="425"/>
              <w:jc w:val="center"/>
              <w:rPr>
                <w:sz w:val="17"/>
              </w:rPr>
            </w:pPr>
            <w:r>
              <w:rPr>
                <w:sz w:val="17"/>
              </w:rPr>
              <w:t>18</w:t>
            </w:r>
          </w:p>
        </w:tc>
        <w:tc>
          <w:tcPr>
            <w:tcW w:w="1168" w:type="dxa"/>
          </w:tcPr>
          <w:p>
            <w:pPr>
              <w:pStyle w:val="TableParagraph"/>
              <w:spacing w:line="192" w:lineRule="exact"/>
              <w:ind w:left="71"/>
              <w:jc w:val="center"/>
              <w:rPr>
                <w:sz w:val="17"/>
              </w:rPr>
            </w:pPr>
            <w:r>
              <w:rPr>
                <w:w w:val="101"/>
                <w:sz w:val="17"/>
              </w:rPr>
              <w:t>0</w:t>
            </w:r>
          </w:p>
        </w:tc>
        <w:tc>
          <w:tcPr>
            <w:tcW w:w="1168" w:type="dxa"/>
          </w:tcPr>
          <w:p>
            <w:pPr>
              <w:pStyle w:val="TableParagraph"/>
              <w:spacing w:line="192" w:lineRule="exact"/>
              <w:ind w:left="71"/>
              <w:jc w:val="center"/>
              <w:rPr>
                <w:sz w:val="17"/>
              </w:rPr>
            </w:pPr>
            <w:r>
              <w:rPr>
                <w:w w:val="101"/>
                <w:sz w:val="17"/>
              </w:rPr>
              <w:t>6</w:t>
            </w:r>
          </w:p>
        </w:tc>
      </w:tr>
      <w:tr>
        <w:trPr>
          <w:trHeight w:val="238" w:hRule="exact"/>
        </w:trPr>
        <w:tc>
          <w:tcPr>
            <w:tcW w:w="1588" w:type="dxa"/>
            <w:tcBorders>
              <w:left w:val="single" w:sz="2" w:space="0" w:color="000000"/>
            </w:tcBorders>
          </w:tcPr>
          <w:p>
            <w:pPr>
              <w:pStyle w:val="TableParagraph"/>
              <w:ind w:left="178"/>
              <w:rPr>
                <w:sz w:val="17"/>
              </w:rPr>
            </w:pPr>
            <w:r>
              <w:rPr>
                <w:sz w:val="17"/>
              </w:rPr>
              <w:t>Oceanía</w:t>
            </w:r>
          </w:p>
        </w:tc>
        <w:tc>
          <w:tcPr>
            <w:tcW w:w="1001" w:type="dxa"/>
          </w:tcPr>
          <w:p>
            <w:pPr>
              <w:pStyle w:val="TableParagraph"/>
              <w:ind w:left="374" w:right="295"/>
              <w:jc w:val="center"/>
              <w:rPr>
                <w:sz w:val="17"/>
              </w:rPr>
            </w:pPr>
            <w:r>
              <w:rPr>
                <w:sz w:val="17"/>
              </w:rPr>
              <w:t>15</w:t>
            </w:r>
          </w:p>
        </w:tc>
        <w:tc>
          <w:tcPr>
            <w:tcW w:w="1356" w:type="dxa"/>
          </w:tcPr>
          <w:p>
            <w:pPr>
              <w:pStyle w:val="TableParagraph"/>
              <w:ind w:left="558" w:right="491"/>
              <w:jc w:val="center"/>
              <w:rPr>
                <w:sz w:val="17"/>
              </w:rPr>
            </w:pPr>
            <w:r>
              <w:rPr>
                <w:sz w:val="17"/>
              </w:rPr>
              <w:t>13</w:t>
            </w:r>
          </w:p>
        </w:tc>
        <w:tc>
          <w:tcPr>
            <w:tcW w:w="1168" w:type="dxa"/>
          </w:tcPr>
          <w:p>
            <w:pPr>
              <w:pStyle w:val="TableParagraph"/>
              <w:ind w:right="494"/>
              <w:jc w:val="right"/>
              <w:rPr>
                <w:sz w:val="17"/>
              </w:rPr>
            </w:pPr>
            <w:r>
              <w:rPr>
                <w:w w:val="101"/>
                <w:sz w:val="17"/>
              </w:rPr>
              <w:t>0</w:t>
            </w:r>
          </w:p>
        </w:tc>
        <w:tc>
          <w:tcPr>
            <w:tcW w:w="1165" w:type="dxa"/>
          </w:tcPr>
          <w:p>
            <w:pPr>
              <w:pStyle w:val="TableParagraph"/>
              <w:ind w:left="76"/>
              <w:jc w:val="center"/>
              <w:rPr>
                <w:sz w:val="17"/>
              </w:rPr>
            </w:pPr>
            <w:r>
              <w:rPr>
                <w:w w:val="101"/>
                <w:sz w:val="17"/>
              </w:rPr>
              <w:t>0</w:t>
            </w:r>
          </w:p>
        </w:tc>
        <w:tc>
          <w:tcPr>
            <w:tcW w:w="1168" w:type="dxa"/>
          </w:tcPr>
          <w:p>
            <w:pPr>
              <w:pStyle w:val="TableParagraph"/>
              <w:ind w:left="71"/>
              <w:jc w:val="center"/>
              <w:rPr>
                <w:sz w:val="17"/>
              </w:rPr>
            </w:pPr>
            <w:r>
              <w:rPr>
                <w:w w:val="101"/>
                <w:sz w:val="17"/>
              </w:rPr>
              <w:t>0</w:t>
            </w:r>
          </w:p>
        </w:tc>
        <w:tc>
          <w:tcPr>
            <w:tcW w:w="1168" w:type="dxa"/>
          </w:tcPr>
          <w:p>
            <w:pPr>
              <w:pStyle w:val="TableParagraph"/>
              <w:ind w:left="71"/>
              <w:jc w:val="center"/>
              <w:rPr>
                <w:sz w:val="17"/>
              </w:rPr>
            </w:pPr>
            <w:r>
              <w:rPr>
                <w:w w:val="101"/>
                <w:sz w:val="17"/>
              </w:rPr>
              <w:t>2</w:t>
            </w:r>
          </w:p>
        </w:tc>
      </w:tr>
      <w:tr>
        <w:trPr>
          <w:trHeight w:val="234" w:hRule="exact"/>
        </w:trPr>
        <w:tc>
          <w:tcPr>
            <w:tcW w:w="1588" w:type="dxa"/>
            <w:shd w:val="clear" w:color="auto" w:fill="D9D9D9"/>
          </w:tcPr>
          <w:p>
            <w:pPr>
              <w:pStyle w:val="TableParagraph"/>
              <w:spacing w:line="190" w:lineRule="exact"/>
              <w:ind w:right="98"/>
              <w:jc w:val="right"/>
              <w:rPr>
                <w:b/>
                <w:sz w:val="17"/>
              </w:rPr>
            </w:pPr>
            <w:r>
              <w:rPr>
                <w:b/>
                <w:sz w:val="17"/>
              </w:rPr>
              <w:t>Total</w:t>
            </w:r>
          </w:p>
        </w:tc>
        <w:tc>
          <w:tcPr>
            <w:tcW w:w="1001" w:type="dxa"/>
            <w:shd w:val="clear" w:color="auto" w:fill="D9D9D9"/>
          </w:tcPr>
          <w:p>
            <w:pPr>
              <w:pStyle w:val="TableParagraph"/>
              <w:spacing w:line="190" w:lineRule="exact"/>
              <w:ind w:left="374" w:right="295"/>
              <w:jc w:val="center"/>
              <w:rPr>
                <w:b/>
                <w:sz w:val="17"/>
              </w:rPr>
            </w:pPr>
            <w:r>
              <w:rPr>
                <w:b/>
                <w:sz w:val="17"/>
              </w:rPr>
              <w:t>185</w:t>
            </w:r>
          </w:p>
        </w:tc>
        <w:tc>
          <w:tcPr>
            <w:tcW w:w="1356" w:type="dxa"/>
            <w:shd w:val="clear" w:color="auto" w:fill="D9D9D9"/>
          </w:tcPr>
          <w:p>
            <w:pPr>
              <w:pStyle w:val="TableParagraph"/>
              <w:spacing w:line="190" w:lineRule="exact"/>
              <w:ind w:left="558" w:right="491"/>
              <w:jc w:val="center"/>
              <w:rPr>
                <w:b/>
                <w:sz w:val="17"/>
              </w:rPr>
            </w:pPr>
            <w:r>
              <w:rPr>
                <w:b/>
                <w:sz w:val="17"/>
              </w:rPr>
              <w:t>84</w:t>
            </w:r>
          </w:p>
        </w:tc>
        <w:tc>
          <w:tcPr>
            <w:tcW w:w="1168" w:type="dxa"/>
            <w:shd w:val="clear" w:color="auto" w:fill="D9D9D9"/>
          </w:tcPr>
          <w:p>
            <w:pPr>
              <w:pStyle w:val="TableParagraph"/>
              <w:spacing w:line="190" w:lineRule="exact"/>
              <w:ind w:right="447"/>
              <w:jc w:val="right"/>
              <w:rPr>
                <w:b/>
                <w:sz w:val="17"/>
              </w:rPr>
            </w:pPr>
            <w:r>
              <w:rPr>
                <w:b/>
                <w:sz w:val="17"/>
              </w:rPr>
              <w:t>12</w:t>
            </w:r>
          </w:p>
        </w:tc>
        <w:tc>
          <w:tcPr>
            <w:tcW w:w="1165" w:type="dxa"/>
            <w:shd w:val="clear" w:color="auto" w:fill="D9D9D9"/>
          </w:tcPr>
          <w:p>
            <w:pPr>
              <w:pStyle w:val="TableParagraph"/>
              <w:spacing w:line="190" w:lineRule="exact"/>
              <w:ind w:left="501" w:right="425"/>
              <w:jc w:val="center"/>
              <w:rPr>
                <w:b/>
                <w:sz w:val="17"/>
              </w:rPr>
            </w:pPr>
            <w:r>
              <w:rPr>
                <w:b/>
                <w:sz w:val="17"/>
              </w:rPr>
              <w:t>52</w:t>
            </w:r>
          </w:p>
        </w:tc>
        <w:tc>
          <w:tcPr>
            <w:tcW w:w="1168" w:type="dxa"/>
            <w:shd w:val="clear" w:color="auto" w:fill="D9D9D9"/>
          </w:tcPr>
          <w:p>
            <w:pPr>
              <w:pStyle w:val="TableParagraph"/>
              <w:spacing w:line="190" w:lineRule="exact"/>
              <w:ind w:left="71"/>
              <w:jc w:val="center"/>
              <w:rPr>
                <w:b/>
                <w:sz w:val="17"/>
              </w:rPr>
            </w:pPr>
            <w:r>
              <w:rPr>
                <w:b/>
                <w:w w:val="101"/>
                <w:sz w:val="17"/>
              </w:rPr>
              <w:t>4</w:t>
            </w:r>
          </w:p>
        </w:tc>
        <w:tc>
          <w:tcPr>
            <w:tcW w:w="1168" w:type="dxa"/>
            <w:shd w:val="clear" w:color="auto" w:fill="D9D9D9"/>
          </w:tcPr>
          <w:p>
            <w:pPr>
              <w:pStyle w:val="TableParagraph"/>
              <w:spacing w:line="190" w:lineRule="exact"/>
              <w:ind w:left="501" w:right="429"/>
              <w:jc w:val="center"/>
              <w:rPr>
                <w:b/>
                <w:sz w:val="17"/>
              </w:rPr>
            </w:pPr>
            <w:r>
              <w:rPr>
                <w:b/>
                <w:sz w:val="17"/>
              </w:rPr>
              <w:t>33</w:t>
            </w:r>
          </w:p>
        </w:tc>
      </w:tr>
      <w:tr>
        <w:trPr>
          <w:trHeight w:val="234" w:hRule="exact"/>
        </w:trPr>
        <w:tc>
          <w:tcPr>
            <w:tcW w:w="1588" w:type="dxa"/>
            <w:tcBorders>
              <w:left w:val="single" w:sz="2" w:space="0" w:color="000000"/>
              <w:bottom w:val="single" w:sz="2" w:space="0" w:color="000000"/>
            </w:tcBorders>
            <w:shd w:val="clear" w:color="auto" w:fill="D9D9D9"/>
          </w:tcPr>
          <w:p>
            <w:pPr>
              <w:pStyle w:val="TableParagraph"/>
              <w:spacing w:line="188" w:lineRule="exact"/>
              <w:ind w:right="99"/>
              <w:jc w:val="right"/>
              <w:rPr>
                <w:b/>
                <w:sz w:val="17"/>
              </w:rPr>
            </w:pPr>
            <w:r>
              <w:rPr>
                <w:b/>
                <w:sz w:val="17"/>
              </w:rPr>
              <w:t>Porcentaje</w:t>
            </w:r>
          </w:p>
        </w:tc>
        <w:tc>
          <w:tcPr>
            <w:tcW w:w="1001" w:type="dxa"/>
            <w:shd w:val="clear" w:color="auto" w:fill="D9D9D9"/>
          </w:tcPr>
          <w:p>
            <w:pPr>
              <w:pStyle w:val="TableParagraph"/>
              <w:spacing w:line="188" w:lineRule="exact"/>
              <w:ind w:left="374" w:right="295"/>
              <w:jc w:val="center"/>
              <w:rPr>
                <w:b/>
                <w:sz w:val="17"/>
              </w:rPr>
            </w:pPr>
            <w:r>
              <w:rPr>
                <w:b/>
                <w:sz w:val="17"/>
              </w:rPr>
              <w:t>100</w:t>
            </w:r>
          </w:p>
        </w:tc>
        <w:tc>
          <w:tcPr>
            <w:tcW w:w="1356" w:type="dxa"/>
            <w:shd w:val="clear" w:color="auto" w:fill="D9D9D9"/>
          </w:tcPr>
          <w:p>
            <w:pPr>
              <w:pStyle w:val="TableParagraph"/>
              <w:spacing w:line="188" w:lineRule="exact"/>
              <w:ind w:left="558" w:right="491"/>
              <w:jc w:val="center"/>
              <w:rPr>
                <w:b/>
                <w:sz w:val="17"/>
              </w:rPr>
            </w:pPr>
            <w:r>
              <w:rPr>
                <w:b/>
                <w:sz w:val="17"/>
              </w:rPr>
              <w:t>45</w:t>
            </w:r>
          </w:p>
        </w:tc>
        <w:tc>
          <w:tcPr>
            <w:tcW w:w="1168" w:type="dxa"/>
            <w:shd w:val="clear" w:color="auto" w:fill="D9D9D9"/>
          </w:tcPr>
          <w:p>
            <w:pPr>
              <w:pStyle w:val="TableParagraph"/>
              <w:spacing w:line="188" w:lineRule="exact"/>
              <w:ind w:right="494"/>
              <w:jc w:val="right"/>
              <w:rPr>
                <w:b/>
                <w:sz w:val="17"/>
              </w:rPr>
            </w:pPr>
            <w:r>
              <w:rPr>
                <w:b/>
                <w:w w:val="101"/>
                <w:sz w:val="17"/>
              </w:rPr>
              <w:t>7</w:t>
            </w:r>
          </w:p>
        </w:tc>
        <w:tc>
          <w:tcPr>
            <w:tcW w:w="1165" w:type="dxa"/>
            <w:shd w:val="clear" w:color="auto" w:fill="D9D9D9"/>
          </w:tcPr>
          <w:p>
            <w:pPr>
              <w:pStyle w:val="TableParagraph"/>
              <w:spacing w:line="188" w:lineRule="exact"/>
              <w:ind w:left="501" w:right="425"/>
              <w:jc w:val="center"/>
              <w:rPr>
                <w:b/>
                <w:sz w:val="17"/>
              </w:rPr>
            </w:pPr>
            <w:r>
              <w:rPr>
                <w:b/>
                <w:sz w:val="17"/>
              </w:rPr>
              <w:t>28</w:t>
            </w:r>
          </w:p>
        </w:tc>
        <w:tc>
          <w:tcPr>
            <w:tcW w:w="1168" w:type="dxa"/>
            <w:shd w:val="clear" w:color="auto" w:fill="D9D9D9"/>
          </w:tcPr>
          <w:p>
            <w:pPr>
              <w:pStyle w:val="TableParagraph"/>
              <w:spacing w:line="188" w:lineRule="exact"/>
              <w:ind w:left="71"/>
              <w:jc w:val="center"/>
              <w:rPr>
                <w:b/>
                <w:sz w:val="17"/>
              </w:rPr>
            </w:pPr>
            <w:r>
              <w:rPr>
                <w:b/>
                <w:w w:val="101"/>
                <w:sz w:val="17"/>
              </w:rPr>
              <w:t>2</w:t>
            </w:r>
          </w:p>
        </w:tc>
        <w:tc>
          <w:tcPr>
            <w:tcW w:w="1168" w:type="dxa"/>
            <w:shd w:val="clear" w:color="auto" w:fill="D9D9D9"/>
          </w:tcPr>
          <w:p>
            <w:pPr>
              <w:pStyle w:val="TableParagraph"/>
              <w:spacing w:line="188" w:lineRule="exact"/>
              <w:ind w:left="501" w:right="429"/>
              <w:jc w:val="center"/>
              <w:rPr>
                <w:b/>
                <w:sz w:val="17"/>
              </w:rPr>
            </w:pPr>
            <w:r>
              <w:rPr>
                <w:b/>
                <w:sz w:val="17"/>
              </w:rPr>
              <w:t>18</w:t>
            </w:r>
          </w:p>
        </w:tc>
      </w:tr>
    </w:tbl>
    <w:p>
      <w:pPr>
        <w:pStyle w:val="BodyText"/>
        <w:spacing w:before="4"/>
        <w:rPr>
          <w:sz w:val="14"/>
        </w:rPr>
      </w:pPr>
    </w:p>
    <w:p>
      <w:pPr>
        <w:spacing w:before="85"/>
        <w:ind w:left="889" w:right="0" w:firstLine="0"/>
        <w:jc w:val="left"/>
        <w:rPr>
          <w:sz w:val="12"/>
        </w:rPr>
      </w:pPr>
      <w:r>
        <w:rPr>
          <w:sz w:val="12"/>
        </w:rPr>
        <w:t>FUENTE:   Ackerman (2006: 26).</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7"/>
        <w:rPr>
          <w:sz w:val="12"/>
        </w:rPr>
      </w:pPr>
    </w:p>
    <w:p>
      <w:pPr>
        <w:pStyle w:val="Heading3"/>
        <w:numPr>
          <w:ilvl w:val="2"/>
          <w:numId w:val="62"/>
        </w:numPr>
        <w:tabs>
          <w:tab w:pos="780" w:val="left" w:leader="none"/>
        </w:tabs>
        <w:spacing w:line="357" w:lineRule="auto" w:before="0" w:after="0"/>
        <w:ind w:left="180" w:right="1215" w:firstLine="0"/>
        <w:jc w:val="left"/>
      </w:pPr>
      <w:bookmarkStart w:name="_bookmark67" w:id="90"/>
      <w:bookmarkEnd w:id="90"/>
      <w:r>
        <w:rPr>
          <w:b w:val="0"/>
        </w:rPr>
      </w:r>
      <w:bookmarkStart w:name="_bookmark67" w:id="91"/>
      <w:bookmarkEnd w:id="91"/>
      <w:r>
        <w:rPr/>
        <w:t>L</w:t>
      </w:r>
      <w:r>
        <w:rPr/>
        <w:t>a Organización Internacional de Entidades de</w:t>
      </w:r>
      <w:r>
        <w:rPr>
          <w:spacing w:val="-28"/>
        </w:rPr>
        <w:t> </w:t>
      </w:r>
      <w:r>
        <w:rPr/>
        <w:t>Fiscalización Superior</w:t>
      </w:r>
    </w:p>
    <w:p>
      <w:pPr>
        <w:pStyle w:val="BodyText"/>
        <w:rPr>
          <w:b/>
        </w:rPr>
      </w:pPr>
    </w:p>
    <w:p>
      <w:pPr>
        <w:pStyle w:val="BodyText"/>
        <w:spacing w:line="357" w:lineRule="auto" w:before="149"/>
        <w:ind w:left="180" w:right="199"/>
        <w:jc w:val="both"/>
      </w:pPr>
      <w:r>
        <w:rPr/>
        <w:t>Las instituciones fiscalizadoras superiores del mundo básicamente tienen la misma finalidad</w:t>
      </w:r>
      <w:r>
        <w:rPr>
          <w:position w:val="8"/>
          <w:sz w:val="16"/>
        </w:rPr>
        <w:t>88</w:t>
      </w:r>
      <w:r>
        <w:rPr/>
        <w:t>y varias se han agrupado en la INTOSAI, organización que integra a 185 países; siendo la mayor parte de éstos son miembros de la ONU.</w:t>
      </w:r>
    </w:p>
    <w:p>
      <w:pPr>
        <w:pStyle w:val="BodyText"/>
        <w:spacing w:line="357" w:lineRule="auto" w:before="9"/>
        <w:ind w:left="180" w:right="202" w:firstLine="708"/>
        <w:jc w:val="both"/>
      </w:pPr>
      <w:r>
        <w:rPr/>
        <w:t>La INTOSAI es un organismo autónomo, independiente y se considera a sí mismo como apolítico, clasificado como una organización no gubernamental con un estatus especial en el Consejo Económico y Social de las Naciones Unidas.</w:t>
      </w:r>
      <w:r>
        <w:rPr>
          <w:position w:val="8"/>
          <w:sz w:val="16"/>
        </w:rPr>
        <w:t>89</w:t>
      </w:r>
      <w:r>
        <w:rPr/>
        <w:t>La organización fue creada en 1953 en la Habana Cuba por   acuerdo</w:t>
      </w:r>
    </w:p>
    <w:p>
      <w:pPr>
        <w:pStyle w:val="BodyText"/>
        <w:spacing w:before="6"/>
        <w:rPr>
          <w:sz w:val="23"/>
        </w:rPr>
      </w:pPr>
      <w:r>
        <w:rPr/>
        <w:pict>
          <v:line style="position:absolute;mso-position-horizontal-relative:page;mso-position-vertical-relative:paragraph;z-index:8512;mso-wrap-distance-left:0;mso-wrap-distance-right:0" from="85.025002pt,15.902309pt" to="229.075002pt,15.902309pt" stroked="true" strokeweight=".79999pt" strokecolor="#000000">
            <w10:wrap type="topAndBottom"/>
          </v:line>
        </w:pict>
      </w:r>
    </w:p>
    <w:p>
      <w:pPr>
        <w:spacing w:line="249" w:lineRule="auto" w:before="59"/>
        <w:ind w:left="180" w:right="0" w:firstLine="0"/>
        <w:jc w:val="left"/>
        <w:rPr>
          <w:sz w:val="16"/>
        </w:rPr>
      </w:pPr>
      <w:r>
        <w:rPr>
          <w:rFonts w:ascii="Times New Roman"/>
          <w:position w:val="7"/>
          <w:sz w:val="13"/>
        </w:rPr>
        <w:t>87</w:t>
      </w:r>
      <w:r>
        <w:rPr>
          <w:i/>
          <w:sz w:val="16"/>
        </w:rPr>
        <w:t>European </w:t>
      </w:r>
      <w:r>
        <w:rPr>
          <w:sz w:val="16"/>
        </w:rPr>
        <w:t>Commission, </w:t>
      </w:r>
      <w:r>
        <w:rPr>
          <w:i/>
          <w:sz w:val="16"/>
        </w:rPr>
        <w:t>EU reseach on social sciences and humanities, analysing public accountability proceditures in </w:t>
      </w:r>
      <w:r>
        <w:rPr>
          <w:i/>
          <w:sz w:val="16"/>
        </w:rPr>
        <w:t>temporary European context</w:t>
      </w:r>
      <w:r>
        <w:rPr>
          <w:sz w:val="16"/>
        </w:rPr>
        <w:t>, PubAcc</w:t>
      </w:r>
    </w:p>
    <w:p>
      <w:pPr>
        <w:spacing w:line="240" w:lineRule="auto" w:before="0"/>
        <w:ind w:left="180" w:right="2157" w:firstLine="0"/>
        <w:jc w:val="left"/>
        <w:rPr>
          <w:sz w:val="16"/>
        </w:rPr>
      </w:pPr>
      <w:r>
        <w:rPr>
          <w:sz w:val="16"/>
        </w:rPr>
        <w:t>Disponible en: </w:t>
      </w:r>
      <w:hyperlink r:id="rId152">
        <w:r>
          <w:rPr>
            <w:sz w:val="16"/>
          </w:rPr>
          <w:t>http://cordis.europa.eu/documents/documentlibrary/100123971EN6.pdf</w:t>
        </w:r>
      </w:hyperlink>
      <w:r>
        <w:rPr>
          <w:sz w:val="16"/>
        </w:rPr>
        <w:t> [Fecha de consulta: 16 de septiembre, 2015]</w:t>
      </w:r>
    </w:p>
    <w:p>
      <w:pPr>
        <w:spacing w:line="244" w:lineRule="auto" w:before="0"/>
        <w:ind w:left="180" w:right="204" w:firstLine="0"/>
        <w:jc w:val="both"/>
        <w:rPr>
          <w:sz w:val="16"/>
        </w:rPr>
      </w:pPr>
      <w:r>
        <w:rPr>
          <w:rFonts w:ascii="Times New Roman" w:hAnsi="Times New Roman"/>
          <w:position w:val="7"/>
          <w:sz w:val="13"/>
        </w:rPr>
        <w:t>88</w:t>
      </w:r>
      <w:r>
        <w:rPr>
          <w:sz w:val="16"/>
        </w:rPr>
        <w:t>De acuerdo con la INTOSAI, IX Congreso, (1977), Declaración de Lima sobre las Líneas Básicas de la Fiscalización, los objetivos específicos de la fiscalización son: </w:t>
      </w:r>
      <w:r>
        <w:rPr>
          <w:i/>
          <w:sz w:val="16"/>
        </w:rPr>
        <w:t>la apropiada y eficaz utilización de los fondos públicos, la búsqueda de </w:t>
      </w:r>
      <w:r>
        <w:rPr>
          <w:i/>
          <w:sz w:val="16"/>
        </w:rPr>
        <w:t>una gestión rigurosa, la regularidad de la acción administrativa y la información, tanto a los poderes públicos como al país, mediante la publicación de informes objetivos</w:t>
      </w:r>
      <w:r>
        <w:rPr>
          <w:sz w:val="16"/>
        </w:rPr>
        <w:t>.</w:t>
      </w:r>
    </w:p>
    <w:p>
      <w:pPr>
        <w:spacing w:line="180" w:lineRule="exact" w:before="0"/>
        <w:ind w:left="180" w:right="0" w:firstLine="0"/>
        <w:jc w:val="both"/>
        <w:rPr>
          <w:sz w:val="16"/>
        </w:rPr>
      </w:pPr>
      <w:r>
        <w:rPr>
          <w:sz w:val="16"/>
        </w:rPr>
        <w:t>IX Congreso de, Declaración de Lima sobre las Líneas Básicas de la Fiscalización, artículo 1º.</w:t>
      </w:r>
    </w:p>
    <w:p>
      <w:pPr>
        <w:spacing w:line="181" w:lineRule="exact" w:before="0"/>
        <w:ind w:left="180" w:right="0" w:firstLine="0"/>
        <w:jc w:val="both"/>
        <w:rPr>
          <w:sz w:val="16"/>
        </w:rPr>
      </w:pPr>
      <w:r>
        <w:rPr>
          <w:sz w:val="16"/>
        </w:rPr>
        <w:t>Disponible en: </w:t>
      </w:r>
      <w:hyperlink r:id="rId153">
        <w:r>
          <w:rPr>
            <w:color w:val="0000FF"/>
            <w:sz w:val="16"/>
            <w:u w:val="single" w:color="0000FF"/>
          </w:rPr>
          <w:t>http://biblio.juridicas.unam.mx/libros/4/1611/15.pdf </w:t>
        </w:r>
      </w:hyperlink>
      <w:r>
        <w:rPr>
          <w:sz w:val="16"/>
        </w:rPr>
        <w:t>[Fecha de consulta: 18 de septiembre, 2015]</w:t>
      </w:r>
    </w:p>
    <w:p>
      <w:pPr>
        <w:spacing w:line="223" w:lineRule="exact" w:before="0"/>
        <w:ind w:left="180" w:right="0" w:firstLine="0"/>
        <w:jc w:val="both"/>
        <w:rPr>
          <w:sz w:val="16"/>
        </w:rPr>
      </w:pPr>
      <w:r>
        <w:rPr>
          <w:rFonts w:ascii="Times New Roman"/>
          <w:position w:val="7"/>
          <w:sz w:val="13"/>
        </w:rPr>
        <w:t>89</w:t>
      </w:r>
      <w:r>
        <w:rPr>
          <w:i/>
          <w:sz w:val="16"/>
        </w:rPr>
        <w:t>United Nations, Economic and Social Council</w:t>
      </w:r>
      <w:r>
        <w:rPr>
          <w:sz w:val="16"/>
        </w:rPr>
        <w:t>.</w:t>
      </w:r>
    </w:p>
    <w:p>
      <w:pPr>
        <w:spacing w:after="0" w:line="223" w:lineRule="exact"/>
        <w:jc w:val="both"/>
        <w:rPr>
          <w:sz w:val="16"/>
        </w:rPr>
        <w:sectPr>
          <w:footerReference w:type="default" r:id="rId151"/>
          <w:pgSz w:w="11910" w:h="16840"/>
          <w:pgMar w:footer="998" w:header="0" w:top="1360" w:bottom="1180" w:left="1520" w:right="1500"/>
        </w:sectPr>
      </w:pPr>
    </w:p>
    <w:p>
      <w:pPr>
        <w:spacing w:line="362" w:lineRule="auto" w:before="55"/>
        <w:ind w:left="120" w:right="86" w:firstLine="0"/>
        <w:jc w:val="left"/>
        <w:rPr>
          <w:sz w:val="24"/>
        </w:rPr>
      </w:pPr>
      <w:r>
        <w:rPr>
          <w:sz w:val="24"/>
        </w:rPr>
        <w:t>de 34 estados participantes en el </w:t>
      </w:r>
      <w:r>
        <w:rPr>
          <w:i/>
          <w:sz w:val="24"/>
        </w:rPr>
        <w:t>Primer Congreso Internacional de Entidades </w:t>
      </w:r>
      <w:r>
        <w:rPr>
          <w:i/>
          <w:sz w:val="24"/>
        </w:rPr>
        <w:t>Fiscalizadoras Superiores</w:t>
      </w:r>
      <w:r>
        <w:rPr>
          <w:sz w:val="24"/>
        </w:rPr>
        <w:t>.</w:t>
      </w:r>
    </w:p>
    <w:p>
      <w:pPr>
        <w:pStyle w:val="BodyText"/>
        <w:spacing w:line="360" w:lineRule="auto" w:before="3"/>
        <w:ind w:left="120" w:right="100" w:firstLine="708"/>
        <w:jc w:val="both"/>
      </w:pPr>
      <w:r>
        <w:rPr/>
        <w:t>El objetivo de la organización es el intercambio de experiencias, difundir técnicas, examinar problemas metodológicos, técnicos, administrativos, financieros</w:t>
      </w:r>
      <w:r>
        <w:rPr>
          <w:spacing w:val="-7"/>
        </w:rPr>
        <w:t> </w:t>
      </w:r>
      <w:r>
        <w:rPr/>
        <w:t>y</w:t>
      </w:r>
      <w:r>
        <w:rPr>
          <w:spacing w:val="-14"/>
        </w:rPr>
        <w:t> </w:t>
      </w:r>
      <w:r>
        <w:rPr/>
        <w:t>de</w:t>
      </w:r>
      <w:r>
        <w:rPr>
          <w:spacing w:val="-12"/>
        </w:rPr>
        <w:t> </w:t>
      </w:r>
      <w:r>
        <w:rPr/>
        <w:t>desempeño</w:t>
      </w:r>
      <w:r>
        <w:rPr>
          <w:spacing w:val="-12"/>
        </w:rPr>
        <w:t> </w:t>
      </w:r>
      <w:r>
        <w:rPr/>
        <w:t>y</w:t>
      </w:r>
      <w:r>
        <w:rPr>
          <w:spacing w:val="-14"/>
        </w:rPr>
        <w:t> </w:t>
      </w:r>
      <w:r>
        <w:rPr/>
        <w:t>el</w:t>
      </w:r>
      <w:r>
        <w:rPr>
          <w:spacing w:val="-12"/>
        </w:rPr>
        <w:t> </w:t>
      </w:r>
      <w:r>
        <w:rPr/>
        <w:t>apoyo</w:t>
      </w:r>
      <w:r>
        <w:rPr>
          <w:spacing w:val="-12"/>
        </w:rPr>
        <w:t> </w:t>
      </w:r>
      <w:r>
        <w:rPr/>
        <w:t>mutuo</w:t>
      </w:r>
      <w:r>
        <w:rPr>
          <w:spacing w:val="-12"/>
        </w:rPr>
        <w:t> </w:t>
      </w:r>
      <w:r>
        <w:rPr/>
        <w:t>entre</w:t>
      </w:r>
      <w:r>
        <w:rPr>
          <w:spacing w:val="-12"/>
        </w:rPr>
        <w:t> </w:t>
      </w:r>
      <w:r>
        <w:rPr/>
        <w:t>los</w:t>
      </w:r>
      <w:r>
        <w:rPr>
          <w:spacing w:val="-7"/>
        </w:rPr>
        <w:t> </w:t>
      </w:r>
      <w:r>
        <w:rPr/>
        <w:t>miembros</w:t>
      </w:r>
      <w:r>
        <w:rPr>
          <w:spacing w:val="-11"/>
        </w:rPr>
        <w:t> </w:t>
      </w:r>
      <w:r>
        <w:rPr/>
        <w:t>de</w:t>
      </w:r>
      <w:r>
        <w:rPr>
          <w:spacing w:val="-12"/>
        </w:rPr>
        <w:t> </w:t>
      </w:r>
      <w:r>
        <w:rPr/>
        <w:t>la</w:t>
      </w:r>
      <w:r>
        <w:rPr>
          <w:spacing w:val="-12"/>
        </w:rPr>
        <w:t> </w:t>
      </w:r>
      <w:r>
        <w:rPr/>
        <w:t>INTOSAI para</w:t>
      </w:r>
      <w:r>
        <w:rPr>
          <w:spacing w:val="-13"/>
        </w:rPr>
        <w:t> </w:t>
      </w:r>
      <w:r>
        <w:rPr/>
        <w:t>que</w:t>
      </w:r>
      <w:r>
        <w:rPr>
          <w:spacing w:val="-13"/>
        </w:rPr>
        <w:t> </w:t>
      </w:r>
      <w:r>
        <w:rPr/>
        <w:t>la</w:t>
      </w:r>
      <w:r>
        <w:rPr>
          <w:spacing w:val="-13"/>
        </w:rPr>
        <w:t> </w:t>
      </w:r>
      <w:r>
        <w:rPr/>
        <w:t>fiscalización</w:t>
      </w:r>
      <w:r>
        <w:rPr>
          <w:spacing w:val="-13"/>
        </w:rPr>
        <w:t> </w:t>
      </w:r>
      <w:r>
        <w:rPr/>
        <w:t>pública</w:t>
      </w:r>
      <w:r>
        <w:rPr>
          <w:spacing w:val="-13"/>
        </w:rPr>
        <w:t> </w:t>
      </w:r>
      <w:r>
        <w:rPr/>
        <w:t>se</w:t>
      </w:r>
      <w:r>
        <w:rPr>
          <w:spacing w:val="-13"/>
        </w:rPr>
        <w:t> </w:t>
      </w:r>
      <w:r>
        <w:rPr/>
        <w:t>fortalezca.</w:t>
      </w:r>
      <w:r>
        <w:rPr>
          <w:spacing w:val="-11"/>
        </w:rPr>
        <w:t> </w:t>
      </w:r>
      <w:r>
        <w:rPr/>
        <w:t>La</w:t>
      </w:r>
      <w:r>
        <w:rPr>
          <w:spacing w:val="-10"/>
        </w:rPr>
        <w:t> </w:t>
      </w:r>
      <w:r>
        <w:rPr/>
        <w:t>INTOSAI</w:t>
      </w:r>
      <w:r>
        <w:rPr>
          <w:spacing w:val="-14"/>
        </w:rPr>
        <w:t> </w:t>
      </w:r>
      <w:r>
        <w:rPr/>
        <w:t>desarrolla</w:t>
      </w:r>
      <w:r>
        <w:rPr>
          <w:spacing w:val="-13"/>
        </w:rPr>
        <w:t> </w:t>
      </w:r>
      <w:r>
        <w:rPr/>
        <w:t>directrices, normas, métodos de auditoría y fomenta el intercambio de información entre los países</w:t>
      </w:r>
      <w:r>
        <w:rPr>
          <w:spacing w:val="-11"/>
        </w:rPr>
        <w:t> </w:t>
      </w:r>
      <w:r>
        <w:rPr/>
        <w:t>miembros.</w:t>
      </w:r>
    </w:p>
    <w:p>
      <w:pPr>
        <w:pStyle w:val="BodyText"/>
        <w:spacing w:line="360" w:lineRule="auto" w:before="2"/>
        <w:ind w:left="120" w:right="104" w:firstLine="708"/>
        <w:jc w:val="both"/>
        <w:rPr>
          <w:sz w:val="16"/>
        </w:rPr>
      </w:pPr>
      <w:r>
        <w:rPr/>
        <w:t>La INTOSAI es el organismo pionero en el marco de la fiscalización del sector público, por lo cual esta institución difunde normas internacionales, desarrolla técnicas y metodologías afines, promueve el intercambio de información y proporciona cursos de capacitación entre sus miembros; por tal motivo</w:t>
      </w:r>
      <w:r>
        <w:rPr>
          <w:spacing w:val="-16"/>
        </w:rPr>
        <w:t> </w:t>
      </w:r>
      <w:r>
        <w:rPr/>
        <w:t>se</w:t>
      </w:r>
      <w:r>
        <w:rPr>
          <w:spacing w:val="-16"/>
        </w:rPr>
        <w:t> </w:t>
      </w:r>
      <w:r>
        <w:rPr/>
        <w:t>organiza</w:t>
      </w:r>
      <w:r>
        <w:rPr>
          <w:spacing w:val="-16"/>
        </w:rPr>
        <w:t> </w:t>
      </w:r>
      <w:r>
        <w:rPr/>
        <w:t>regionalmente</w:t>
      </w:r>
      <w:r>
        <w:rPr>
          <w:spacing w:val="-16"/>
        </w:rPr>
        <w:t> </w:t>
      </w:r>
      <w:r>
        <w:rPr/>
        <w:t>para</w:t>
      </w:r>
      <w:r>
        <w:rPr>
          <w:spacing w:val="-16"/>
        </w:rPr>
        <w:t> </w:t>
      </w:r>
      <w:r>
        <w:rPr/>
        <w:t>enfocar</w:t>
      </w:r>
      <w:r>
        <w:rPr>
          <w:spacing w:val="-14"/>
        </w:rPr>
        <w:t> </w:t>
      </w:r>
      <w:r>
        <w:rPr/>
        <w:t>el</w:t>
      </w:r>
      <w:r>
        <w:rPr>
          <w:spacing w:val="-15"/>
        </w:rPr>
        <w:t> </w:t>
      </w:r>
      <w:r>
        <w:rPr/>
        <w:t>trabajo</w:t>
      </w:r>
      <w:r>
        <w:rPr>
          <w:spacing w:val="-12"/>
        </w:rPr>
        <w:t> </w:t>
      </w:r>
      <w:r>
        <w:rPr/>
        <w:t>y</w:t>
      </w:r>
      <w:r>
        <w:rPr>
          <w:spacing w:val="-18"/>
        </w:rPr>
        <w:t> </w:t>
      </w:r>
      <w:r>
        <w:rPr/>
        <w:t>consolidar</w:t>
      </w:r>
      <w:r>
        <w:rPr>
          <w:spacing w:val="-14"/>
        </w:rPr>
        <w:t> </w:t>
      </w:r>
      <w:r>
        <w:rPr/>
        <w:t>de</w:t>
      </w:r>
      <w:r>
        <w:rPr>
          <w:spacing w:val="-16"/>
        </w:rPr>
        <w:t> </w:t>
      </w:r>
      <w:r>
        <w:rPr/>
        <w:t>manera adecuada la atención de sus</w:t>
      </w:r>
      <w:r>
        <w:rPr>
          <w:spacing w:val="-19"/>
        </w:rPr>
        <w:t> </w:t>
      </w:r>
      <w:r>
        <w:rPr/>
        <w:t>objetivos.</w:t>
      </w:r>
      <w:r>
        <w:rPr>
          <w:position w:val="8"/>
          <w:sz w:val="16"/>
        </w:rPr>
        <w:t>90</w:t>
      </w:r>
    </w:p>
    <w:p>
      <w:pPr>
        <w:pStyle w:val="BodyText"/>
        <w:spacing w:line="360" w:lineRule="auto"/>
        <w:ind w:left="120" w:right="101" w:firstLine="708"/>
        <w:jc w:val="both"/>
        <w:rPr>
          <w:sz w:val="16"/>
        </w:rPr>
      </w:pPr>
      <w:r>
        <w:rPr/>
        <w:t>En seguimiento de los mandatos de cada congreso, el Comité Directivo de la organización se reúne anualmente en el Órgano de Dirección de la INTOSAI,</w:t>
      </w:r>
      <w:r>
        <w:rPr>
          <w:spacing w:val="-6"/>
        </w:rPr>
        <w:t> </w:t>
      </w:r>
      <w:r>
        <w:rPr/>
        <w:t>alternando</w:t>
      </w:r>
      <w:r>
        <w:rPr>
          <w:spacing w:val="-9"/>
        </w:rPr>
        <w:t> </w:t>
      </w:r>
      <w:r>
        <w:rPr/>
        <w:t>las</w:t>
      </w:r>
      <w:r>
        <w:rPr>
          <w:spacing w:val="-7"/>
        </w:rPr>
        <w:t> </w:t>
      </w:r>
      <w:r>
        <w:rPr/>
        <w:t>sedes</w:t>
      </w:r>
      <w:r>
        <w:rPr>
          <w:spacing w:val="-7"/>
        </w:rPr>
        <w:t> </w:t>
      </w:r>
      <w:r>
        <w:rPr/>
        <w:t>de</w:t>
      </w:r>
      <w:r>
        <w:rPr>
          <w:spacing w:val="-9"/>
        </w:rPr>
        <w:t> </w:t>
      </w:r>
      <w:r>
        <w:rPr/>
        <w:t>dichas</w:t>
      </w:r>
      <w:r>
        <w:rPr>
          <w:spacing w:val="-7"/>
        </w:rPr>
        <w:t> </w:t>
      </w:r>
      <w:r>
        <w:rPr/>
        <w:t>reuniones</w:t>
      </w:r>
      <w:r>
        <w:rPr>
          <w:spacing w:val="-7"/>
        </w:rPr>
        <w:t> </w:t>
      </w:r>
      <w:r>
        <w:rPr/>
        <w:t>entre</w:t>
      </w:r>
      <w:r>
        <w:rPr>
          <w:spacing w:val="-9"/>
        </w:rPr>
        <w:t> </w:t>
      </w:r>
      <w:r>
        <w:rPr/>
        <w:t>Viena,</w:t>
      </w:r>
      <w:r>
        <w:rPr>
          <w:spacing w:val="-6"/>
        </w:rPr>
        <w:t> </w:t>
      </w:r>
      <w:r>
        <w:rPr/>
        <w:t>Austria,</w:t>
      </w:r>
      <w:r>
        <w:rPr>
          <w:spacing w:val="-6"/>
        </w:rPr>
        <w:t> </w:t>
      </w:r>
      <w:r>
        <w:rPr/>
        <w:t>ciudad de</w:t>
      </w:r>
      <w:r>
        <w:rPr>
          <w:spacing w:val="-8"/>
        </w:rPr>
        <w:t> </w:t>
      </w:r>
      <w:r>
        <w:rPr/>
        <w:t>residencia</w:t>
      </w:r>
      <w:r>
        <w:rPr>
          <w:spacing w:val="-8"/>
        </w:rPr>
        <w:t> </w:t>
      </w:r>
      <w:r>
        <w:rPr/>
        <w:t>de</w:t>
      </w:r>
      <w:r>
        <w:rPr>
          <w:spacing w:val="-8"/>
        </w:rPr>
        <w:t> </w:t>
      </w:r>
      <w:r>
        <w:rPr/>
        <w:t>la</w:t>
      </w:r>
      <w:r>
        <w:rPr>
          <w:spacing w:val="-8"/>
        </w:rPr>
        <w:t> </w:t>
      </w:r>
      <w:r>
        <w:rPr/>
        <w:t>Secretaría</w:t>
      </w:r>
      <w:r>
        <w:rPr>
          <w:spacing w:val="-8"/>
        </w:rPr>
        <w:t> </w:t>
      </w:r>
      <w:r>
        <w:rPr/>
        <w:t>General,</w:t>
      </w:r>
      <w:r>
        <w:rPr>
          <w:spacing w:val="-5"/>
        </w:rPr>
        <w:t> </w:t>
      </w:r>
      <w:r>
        <w:rPr/>
        <w:t>y</w:t>
      </w:r>
      <w:r>
        <w:rPr>
          <w:spacing w:val="-10"/>
        </w:rPr>
        <w:t> </w:t>
      </w:r>
      <w:r>
        <w:rPr/>
        <w:t>la</w:t>
      </w:r>
      <w:r>
        <w:rPr>
          <w:spacing w:val="-8"/>
        </w:rPr>
        <w:t> </w:t>
      </w:r>
      <w:r>
        <w:rPr/>
        <w:t>sede</w:t>
      </w:r>
      <w:r>
        <w:rPr>
          <w:spacing w:val="-8"/>
        </w:rPr>
        <w:t> </w:t>
      </w:r>
      <w:r>
        <w:rPr/>
        <w:t>designada</w:t>
      </w:r>
      <w:r>
        <w:rPr>
          <w:spacing w:val="-8"/>
        </w:rPr>
        <w:t> </w:t>
      </w:r>
      <w:r>
        <w:rPr/>
        <w:t>para</w:t>
      </w:r>
      <w:r>
        <w:rPr>
          <w:spacing w:val="-8"/>
        </w:rPr>
        <w:t> </w:t>
      </w:r>
      <w:r>
        <w:rPr/>
        <w:t>el</w:t>
      </w:r>
      <w:r>
        <w:rPr>
          <w:spacing w:val="-7"/>
        </w:rPr>
        <w:t> </w:t>
      </w:r>
      <w:r>
        <w:rPr/>
        <w:t>congreso</w:t>
      </w:r>
      <w:r>
        <w:rPr>
          <w:spacing w:val="-4"/>
        </w:rPr>
        <w:t> </w:t>
      </w:r>
      <w:r>
        <w:rPr/>
        <w:t>de la</w:t>
      </w:r>
      <w:r>
        <w:rPr>
          <w:spacing w:val="-10"/>
        </w:rPr>
        <w:t> </w:t>
      </w:r>
      <w:r>
        <w:rPr/>
        <w:t>organización.</w:t>
      </w:r>
      <w:r>
        <w:rPr>
          <w:position w:val="8"/>
          <w:sz w:val="16"/>
        </w:rPr>
        <w:t>91</w:t>
      </w:r>
    </w:p>
    <w:p>
      <w:pPr>
        <w:pStyle w:val="BodyText"/>
        <w:spacing w:line="360" w:lineRule="auto" w:before="2"/>
        <w:ind w:left="120" w:right="104" w:firstLine="708"/>
        <w:jc w:val="both"/>
      </w:pPr>
      <w:r>
        <w:rPr/>
        <w:t>Una forma de facilitar la cooperación internacional, profesional y técnica, es la integración regional de las Entidades de Fiscalización Superior miembros de</w:t>
      </w:r>
      <w:r>
        <w:rPr>
          <w:spacing w:val="-5"/>
        </w:rPr>
        <w:t> </w:t>
      </w:r>
      <w:r>
        <w:rPr/>
        <w:t>la</w:t>
      </w:r>
      <w:r>
        <w:rPr>
          <w:spacing w:val="-5"/>
        </w:rPr>
        <w:t> </w:t>
      </w:r>
      <w:r>
        <w:rPr/>
        <w:t>INTOSAI,</w:t>
      </w:r>
      <w:r>
        <w:rPr>
          <w:spacing w:val="-4"/>
        </w:rPr>
        <w:t> </w:t>
      </w:r>
      <w:r>
        <w:rPr/>
        <w:t>mediante</w:t>
      </w:r>
      <w:r>
        <w:rPr>
          <w:spacing w:val="-5"/>
        </w:rPr>
        <w:t> </w:t>
      </w:r>
      <w:r>
        <w:rPr/>
        <w:t>la</w:t>
      </w:r>
      <w:r>
        <w:rPr>
          <w:spacing w:val="-5"/>
        </w:rPr>
        <w:t> </w:t>
      </w:r>
      <w:r>
        <w:rPr/>
        <w:t>conformación</w:t>
      </w:r>
      <w:r>
        <w:rPr>
          <w:spacing w:val="-5"/>
        </w:rPr>
        <w:t> </w:t>
      </w:r>
      <w:r>
        <w:rPr/>
        <w:t>de</w:t>
      </w:r>
      <w:r>
        <w:rPr>
          <w:spacing w:val="-5"/>
        </w:rPr>
        <w:t> </w:t>
      </w:r>
      <w:r>
        <w:rPr/>
        <w:t>siete</w:t>
      </w:r>
      <w:r>
        <w:rPr>
          <w:spacing w:val="-5"/>
        </w:rPr>
        <w:t> </w:t>
      </w:r>
      <w:r>
        <w:rPr/>
        <w:t>grupos</w:t>
      </w:r>
      <w:r>
        <w:rPr>
          <w:spacing w:val="-4"/>
        </w:rPr>
        <w:t> </w:t>
      </w:r>
      <w:r>
        <w:rPr/>
        <w:t>regionales</w:t>
      </w:r>
      <w:r>
        <w:rPr>
          <w:spacing w:val="-4"/>
        </w:rPr>
        <w:t> </w:t>
      </w:r>
      <w:r>
        <w:rPr/>
        <w:t>de</w:t>
      </w:r>
      <w:r>
        <w:rPr>
          <w:spacing w:val="-5"/>
        </w:rPr>
        <w:t> </w:t>
      </w:r>
      <w:r>
        <w:rPr/>
        <w:t>trabajo, los cuales centran su atención en asuntos de fiscalización propios de cada región. La organización integra en el mundo a todos los tribunales de cuentas, cámaras de cuentas, contralorías generales y auditorías generales y superiores de los 185 países en las siguientes</w:t>
      </w:r>
      <w:r>
        <w:rPr>
          <w:spacing w:val="-29"/>
        </w:rPr>
        <w:t> </w:t>
      </w:r>
      <w:r>
        <w:rPr/>
        <w:t>organizaciones: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8536;mso-wrap-distance-left:0;mso-wrap-distance-right:0" from="85.025002pt,16.591726pt" to="229.075002pt,16.591726pt" stroked="true" strokeweight=".79999pt" strokecolor="#000000">
            <w10:wrap type="topAndBottom"/>
          </v:line>
        </w:pict>
      </w:r>
    </w:p>
    <w:p>
      <w:pPr>
        <w:spacing w:line="252" w:lineRule="auto" w:before="59"/>
        <w:ind w:left="120" w:right="86" w:firstLine="0"/>
        <w:jc w:val="left"/>
        <w:rPr>
          <w:sz w:val="16"/>
        </w:rPr>
      </w:pPr>
      <w:r>
        <w:rPr>
          <w:rFonts w:ascii="Times New Roman" w:hAnsi="Times New Roman"/>
          <w:position w:val="7"/>
          <w:sz w:val="13"/>
        </w:rPr>
        <w:t>90</w:t>
      </w:r>
      <w:r>
        <w:rPr>
          <w:sz w:val="16"/>
        </w:rPr>
        <w:t>La</w:t>
      </w:r>
      <w:r>
        <w:rPr>
          <w:spacing w:val="-12"/>
          <w:sz w:val="16"/>
        </w:rPr>
        <w:t> </w:t>
      </w:r>
      <w:r>
        <w:rPr>
          <w:sz w:val="16"/>
        </w:rPr>
        <w:t>propuesta</w:t>
      </w:r>
      <w:r>
        <w:rPr>
          <w:spacing w:val="-11"/>
          <w:sz w:val="16"/>
        </w:rPr>
        <w:t> </w:t>
      </w:r>
      <w:r>
        <w:rPr>
          <w:sz w:val="16"/>
        </w:rPr>
        <w:t>para</w:t>
      </w:r>
      <w:r>
        <w:rPr>
          <w:spacing w:val="-12"/>
          <w:sz w:val="16"/>
        </w:rPr>
        <w:t> </w:t>
      </w:r>
      <w:r>
        <w:rPr>
          <w:sz w:val="16"/>
        </w:rPr>
        <w:t>fundar</w:t>
      </w:r>
      <w:r>
        <w:rPr>
          <w:spacing w:val="-8"/>
          <w:sz w:val="16"/>
        </w:rPr>
        <w:t> </w:t>
      </w:r>
      <w:r>
        <w:rPr>
          <w:sz w:val="16"/>
        </w:rPr>
        <w:t>la</w:t>
      </w:r>
      <w:r>
        <w:rPr>
          <w:spacing w:val="-8"/>
          <w:sz w:val="16"/>
        </w:rPr>
        <w:t> </w:t>
      </w:r>
      <w:r>
        <w:rPr>
          <w:sz w:val="16"/>
        </w:rPr>
        <w:t>INTOSAI,</w:t>
      </w:r>
      <w:r>
        <w:rPr>
          <w:spacing w:val="-11"/>
          <w:sz w:val="16"/>
        </w:rPr>
        <w:t> </w:t>
      </w:r>
      <w:r>
        <w:rPr>
          <w:sz w:val="16"/>
        </w:rPr>
        <w:t>fue</w:t>
      </w:r>
      <w:r>
        <w:rPr>
          <w:spacing w:val="-8"/>
          <w:sz w:val="16"/>
        </w:rPr>
        <w:t> </w:t>
      </w:r>
      <w:r>
        <w:rPr>
          <w:sz w:val="16"/>
        </w:rPr>
        <w:t>una</w:t>
      </w:r>
      <w:r>
        <w:rPr>
          <w:spacing w:val="-8"/>
          <w:sz w:val="16"/>
        </w:rPr>
        <w:t> </w:t>
      </w:r>
      <w:r>
        <w:rPr>
          <w:sz w:val="16"/>
        </w:rPr>
        <w:t>iniciativa</w:t>
      </w:r>
      <w:r>
        <w:rPr>
          <w:spacing w:val="-12"/>
          <w:sz w:val="16"/>
        </w:rPr>
        <w:t> </w:t>
      </w:r>
      <w:r>
        <w:rPr>
          <w:sz w:val="16"/>
        </w:rPr>
        <w:t>del</w:t>
      </w:r>
      <w:r>
        <w:rPr>
          <w:spacing w:val="-14"/>
          <w:sz w:val="16"/>
        </w:rPr>
        <w:t> </w:t>
      </w:r>
      <w:r>
        <w:rPr>
          <w:sz w:val="16"/>
        </w:rPr>
        <w:t>entonces</w:t>
      </w:r>
      <w:r>
        <w:rPr>
          <w:spacing w:val="-11"/>
          <w:sz w:val="16"/>
        </w:rPr>
        <w:t> </w:t>
      </w:r>
      <w:r>
        <w:rPr>
          <w:sz w:val="16"/>
        </w:rPr>
        <w:t>Presidente</w:t>
      </w:r>
      <w:r>
        <w:rPr>
          <w:spacing w:val="-8"/>
          <w:sz w:val="16"/>
        </w:rPr>
        <w:t> </w:t>
      </w:r>
      <w:r>
        <w:rPr>
          <w:sz w:val="16"/>
        </w:rPr>
        <w:t>de</w:t>
      </w:r>
      <w:r>
        <w:rPr>
          <w:spacing w:val="-8"/>
          <w:sz w:val="16"/>
        </w:rPr>
        <w:t> </w:t>
      </w:r>
      <w:r>
        <w:rPr>
          <w:sz w:val="16"/>
        </w:rPr>
        <w:t>la</w:t>
      </w:r>
      <w:r>
        <w:rPr>
          <w:spacing w:val="-12"/>
          <w:sz w:val="16"/>
        </w:rPr>
        <w:t> </w:t>
      </w:r>
      <w:r>
        <w:rPr>
          <w:sz w:val="16"/>
        </w:rPr>
        <w:t>Entidad</w:t>
      </w:r>
      <w:r>
        <w:rPr>
          <w:spacing w:val="-12"/>
          <w:sz w:val="16"/>
        </w:rPr>
        <w:t> </w:t>
      </w:r>
      <w:r>
        <w:rPr>
          <w:sz w:val="16"/>
        </w:rPr>
        <w:t>de</w:t>
      </w:r>
      <w:r>
        <w:rPr>
          <w:spacing w:val="-12"/>
          <w:sz w:val="16"/>
        </w:rPr>
        <w:t> </w:t>
      </w:r>
      <w:r>
        <w:rPr>
          <w:sz w:val="16"/>
        </w:rPr>
        <w:t>Fiscalización</w:t>
      </w:r>
      <w:r>
        <w:rPr>
          <w:spacing w:val="-12"/>
          <w:sz w:val="16"/>
        </w:rPr>
        <w:t> </w:t>
      </w:r>
      <w:r>
        <w:rPr>
          <w:sz w:val="16"/>
        </w:rPr>
        <w:t>Superior de Cuba; Emilio Fernández Camus, en: </w:t>
      </w:r>
      <w:hyperlink r:id="rId155">
        <w:r>
          <w:rPr>
            <w:sz w:val="16"/>
          </w:rPr>
          <w:t>http://intosai.org</w:t>
        </w:r>
      </w:hyperlink>
      <w:r>
        <w:rPr>
          <w:sz w:val="16"/>
        </w:rPr>
        <w:t> [Fecha de consulta: 22 de diciembre,</w:t>
      </w:r>
      <w:r>
        <w:rPr>
          <w:spacing w:val="-28"/>
          <w:sz w:val="16"/>
        </w:rPr>
        <w:t> </w:t>
      </w:r>
      <w:r>
        <w:rPr>
          <w:sz w:val="16"/>
        </w:rPr>
        <w:t>2015]</w:t>
      </w:r>
    </w:p>
    <w:p>
      <w:pPr>
        <w:spacing w:line="175" w:lineRule="exact" w:before="0"/>
        <w:ind w:left="120" w:right="86" w:firstLine="0"/>
        <w:jc w:val="left"/>
        <w:rPr>
          <w:sz w:val="16"/>
        </w:rPr>
      </w:pPr>
      <w:r>
        <w:rPr>
          <w:position w:val="6"/>
          <w:sz w:val="10"/>
        </w:rPr>
        <w:t>91</w:t>
      </w:r>
      <w:r>
        <w:rPr>
          <w:spacing w:val="6"/>
          <w:position w:val="6"/>
          <w:sz w:val="10"/>
        </w:rPr>
        <w:t> </w:t>
      </w:r>
      <w:r>
        <w:rPr>
          <w:sz w:val="16"/>
        </w:rPr>
        <w:t>Auditoria</w:t>
      </w:r>
      <w:r>
        <w:rPr>
          <w:spacing w:val="-12"/>
          <w:sz w:val="16"/>
        </w:rPr>
        <w:t> </w:t>
      </w:r>
      <w:r>
        <w:rPr>
          <w:sz w:val="16"/>
        </w:rPr>
        <w:t>Superior</w:t>
      </w:r>
      <w:r>
        <w:rPr>
          <w:spacing w:val="-12"/>
          <w:sz w:val="16"/>
        </w:rPr>
        <w:t> </w:t>
      </w:r>
      <w:r>
        <w:rPr>
          <w:sz w:val="16"/>
        </w:rPr>
        <w:t>de</w:t>
      </w:r>
      <w:r>
        <w:rPr>
          <w:spacing w:val="-8"/>
          <w:sz w:val="16"/>
        </w:rPr>
        <w:t> </w:t>
      </w:r>
      <w:r>
        <w:rPr>
          <w:sz w:val="16"/>
        </w:rPr>
        <w:t>la</w:t>
      </w:r>
      <w:r>
        <w:rPr>
          <w:spacing w:val="-12"/>
          <w:sz w:val="16"/>
        </w:rPr>
        <w:t> </w:t>
      </w:r>
      <w:r>
        <w:rPr>
          <w:sz w:val="16"/>
        </w:rPr>
        <w:t>Federación.</w:t>
      </w:r>
      <w:r>
        <w:rPr>
          <w:spacing w:val="-11"/>
          <w:sz w:val="16"/>
        </w:rPr>
        <w:t> </w:t>
      </w:r>
      <w:r>
        <w:rPr>
          <w:sz w:val="16"/>
        </w:rPr>
        <w:t>Mensaje</w:t>
      </w:r>
      <w:r>
        <w:rPr>
          <w:spacing w:val="-12"/>
          <w:sz w:val="16"/>
        </w:rPr>
        <w:t> </w:t>
      </w:r>
      <w:r>
        <w:rPr>
          <w:sz w:val="16"/>
        </w:rPr>
        <w:t>del</w:t>
      </w:r>
      <w:r>
        <w:rPr>
          <w:spacing w:val="-14"/>
          <w:sz w:val="16"/>
        </w:rPr>
        <w:t> </w:t>
      </w:r>
      <w:r>
        <w:rPr>
          <w:sz w:val="16"/>
        </w:rPr>
        <w:t>C.C.P.</w:t>
      </w:r>
      <w:r>
        <w:rPr>
          <w:spacing w:val="-7"/>
          <w:sz w:val="16"/>
        </w:rPr>
        <w:t> </w:t>
      </w:r>
      <w:r>
        <w:rPr>
          <w:sz w:val="16"/>
        </w:rPr>
        <w:t>Arturo</w:t>
      </w:r>
      <w:r>
        <w:rPr>
          <w:spacing w:val="-12"/>
          <w:sz w:val="16"/>
        </w:rPr>
        <w:t> </w:t>
      </w:r>
      <w:r>
        <w:rPr>
          <w:sz w:val="16"/>
        </w:rPr>
        <w:t>González</w:t>
      </w:r>
      <w:r>
        <w:rPr>
          <w:spacing w:val="-11"/>
          <w:sz w:val="16"/>
        </w:rPr>
        <w:t> </w:t>
      </w:r>
      <w:r>
        <w:rPr>
          <w:sz w:val="16"/>
        </w:rPr>
        <w:t>de</w:t>
      </w:r>
      <w:r>
        <w:rPr>
          <w:spacing w:val="-12"/>
          <w:sz w:val="16"/>
        </w:rPr>
        <w:t> </w:t>
      </w:r>
      <w:r>
        <w:rPr>
          <w:sz w:val="16"/>
        </w:rPr>
        <w:t>Aragón,</w:t>
      </w:r>
      <w:r>
        <w:rPr>
          <w:spacing w:val="-11"/>
          <w:sz w:val="16"/>
        </w:rPr>
        <w:t> </w:t>
      </w:r>
      <w:r>
        <w:rPr>
          <w:sz w:val="16"/>
        </w:rPr>
        <w:t>Auditor</w:t>
      </w:r>
      <w:r>
        <w:rPr>
          <w:spacing w:val="-12"/>
          <w:sz w:val="16"/>
        </w:rPr>
        <w:t> </w:t>
      </w:r>
      <w:r>
        <w:rPr>
          <w:sz w:val="16"/>
        </w:rPr>
        <w:t>Superior</w:t>
      </w:r>
      <w:r>
        <w:rPr>
          <w:spacing w:val="-8"/>
          <w:sz w:val="16"/>
        </w:rPr>
        <w:t> </w:t>
      </w:r>
      <w:r>
        <w:rPr>
          <w:sz w:val="16"/>
        </w:rPr>
        <w:t>de</w:t>
      </w:r>
      <w:r>
        <w:rPr>
          <w:spacing w:val="-8"/>
          <w:sz w:val="16"/>
        </w:rPr>
        <w:t> </w:t>
      </w:r>
      <w:r>
        <w:rPr>
          <w:sz w:val="16"/>
        </w:rPr>
        <w:t>la</w:t>
      </w:r>
      <w:r>
        <w:rPr>
          <w:spacing w:val="-12"/>
          <w:sz w:val="16"/>
        </w:rPr>
        <w:t> </w:t>
      </w:r>
      <w:r>
        <w:rPr>
          <w:sz w:val="16"/>
        </w:rPr>
        <w:t>Federación.</w:t>
      </w:r>
    </w:p>
    <w:p>
      <w:pPr>
        <w:spacing w:before="0"/>
        <w:ind w:left="120" w:right="86" w:firstLine="0"/>
        <w:jc w:val="left"/>
        <w:rPr>
          <w:sz w:val="16"/>
        </w:rPr>
      </w:pPr>
      <w:r>
        <w:rPr>
          <w:sz w:val="16"/>
        </w:rPr>
        <w:t>Seminario: “</w:t>
      </w:r>
      <w:r>
        <w:rPr>
          <w:i/>
          <w:sz w:val="16"/>
        </w:rPr>
        <w:t>Control y Fiscalización Municipal 2006- 2009</w:t>
      </w:r>
      <w:r>
        <w:rPr>
          <w:sz w:val="16"/>
        </w:rPr>
        <w:t>”. México 2007. Disponible en: </w:t>
      </w:r>
      <w:hyperlink r:id="rId156">
        <w:r>
          <w:rPr>
            <w:color w:val="0000FF"/>
            <w:sz w:val="16"/>
            <w:u w:val="single" w:color="0000FF"/>
          </w:rPr>
          <w:t>www.asf.gob.mx</w:t>
        </w:r>
      </w:hyperlink>
      <w:r>
        <w:rPr>
          <w:color w:val="0000FF"/>
          <w:sz w:val="16"/>
          <w:u w:val="single" w:color="0000FF"/>
        </w:rPr>
        <w:t> </w:t>
      </w:r>
      <w:r>
        <w:rPr>
          <w:sz w:val="16"/>
        </w:rPr>
        <w:t>[Fecha de consulta: 22 de diciembre, 2015]</w:t>
      </w:r>
    </w:p>
    <w:p>
      <w:pPr>
        <w:spacing w:after="0"/>
        <w:jc w:val="left"/>
        <w:rPr>
          <w:sz w:val="16"/>
        </w:rPr>
        <w:sectPr>
          <w:footerReference w:type="default" r:id="rId154"/>
          <w:pgSz w:w="11910" w:h="16840"/>
          <w:pgMar w:footer="998" w:header="0" w:top="1340" w:bottom="1180" w:left="1580" w:right="1600"/>
          <w:pgNumType w:start="111"/>
        </w:sectPr>
      </w:pPr>
    </w:p>
    <w:p>
      <w:pPr>
        <w:spacing w:before="49"/>
        <w:ind w:left="793" w:right="86" w:firstLine="0"/>
        <w:jc w:val="left"/>
        <w:rPr>
          <w:sz w:val="20"/>
        </w:rPr>
      </w:pPr>
      <w:bookmarkStart w:name="_bookmark68" w:id="92"/>
      <w:bookmarkEnd w:id="92"/>
      <w:r>
        <w:rPr/>
      </w:r>
      <w:r>
        <w:rPr>
          <w:sz w:val="20"/>
        </w:rPr>
        <w:t>Cuadro 3. 7. Organizaciones de rendición de cuentas integrantes de la INTOSAI</w:t>
      </w:r>
    </w:p>
    <w:p>
      <w:pPr>
        <w:pStyle w:val="BodyText"/>
        <w:spacing w:before="6"/>
        <w:rPr>
          <w:sz w:val="17"/>
        </w:rPr>
      </w:pPr>
    </w:p>
    <w:tbl>
      <w:tblPr>
        <w:tblW w:w="0" w:type="auto"/>
        <w:jc w:val="left"/>
        <w:tblInd w:w="10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24"/>
        <w:gridCol w:w="5958"/>
        <w:gridCol w:w="1292"/>
      </w:tblGrid>
      <w:tr>
        <w:trPr>
          <w:trHeight w:val="584" w:hRule="exact"/>
        </w:trPr>
        <w:tc>
          <w:tcPr>
            <w:tcW w:w="1224" w:type="dxa"/>
            <w:tcBorders>
              <w:top w:val="single" w:sz="11" w:space="0" w:color="C0C0C0"/>
              <w:left w:val="single" w:sz="11" w:space="0" w:color="C0C0C0"/>
              <w:bottom w:val="single" w:sz="11" w:space="0" w:color="C0C0C0"/>
              <w:right w:val="single" w:sz="11" w:space="0" w:color="C0C0C0"/>
            </w:tcBorders>
          </w:tcPr>
          <w:p>
            <w:pPr>
              <w:pStyle w:val="TableParagraph"/>
              <w:spacing w:before="9"/>
              <w:rPr>
                <w:sz w:val="15"/>
              </w:rPr>
            </w:pPr>
          </w:p>
          <w:p>
            <w:pPr>
              <w:pStyle w:val="TableParagraph"/>
              <w:ind w:left="361"/>
              <w:rPr>
                <w:b/>
                <w:sz w:val="16"/>
              </w:rPr>
            </w:pPr>
            <w:r>
              <w:rPr>
                <w:b/>
                <w:sz w:val="16"/>
              </w:rPr>
              <w:t>Siglas</w:t>
            </w:r>
          </w:p>
        </w:tc>
        <w:tc>
          <w:tcPr>
            <w:tcW w:w="5958" w:type="dxa"/>
            <w:tcBorders>
              <w:top w:val="single" w:sz="11" w:space="0" w:color="C0C0C0"/>
              <w:left w:val="single" w:sz="11" w:space="0" w:color="C0C0C0"/>
              <w:bottom w:val="single" w:sz="11" w:space="0" w:color="C0C0C0"/>
              <w:right w:val="single" w:sz="11" w:space="0" w:color="C0C0C0"/>
            </w:tcBorders>
          </w:tcPr>
          <w:p>
            <w:pPr>
              <w:pStyle w:val="TableParagraph"/>
              <w:spacing w:before="9"/>
              <w:rPr>
                <w:sz w:val="15"/>
              </w:rPr>
            </w:pPr>
          </w:p>
          <w:p>
            <w:pPr>
              <w:pStyle w:val="TableParagraph"/>
              <w:ind w:left="2642" w:right="2642"/>
              <w:jc w:val="center"/>
              <w:rPr>
                <w:b/>
                <w:sz w:val="16"/>
              </w:rPr>
            </w:pPr>
            <w:r>
              <w:rPr>
                <w:b/>
                <w:sz w:val="16"/>
              </w:rPr>
              <w:t>Nombre</w:t>
            </w:r>
          </w:p>
        </w:tc>
        <w:tc>
          <w:tcPr>
            <w:tcW w:w="1292" w:type="dxa"/>
            <w:tcBorders>
              <w:top w:val="single" w:sz="11" w:space="0" w:color="C0C0C0"/>
              <w:left w:val="single" w:sz="11" w:space="0" w:color="C0C0C0"/>
              <w:bottom w:val="single" w:sz="11" w:space="0" w:color="C0C0C0"/>
              <w:right w:val="single" w:sz="11" w:space="0" w:color="C0C0C0"/>
            </w:tcBorders>
          </w:tcPr>
          <w:p>
            <w:pPr>
              <w:pStyle w:val="TableParagraph"/>
              <w:spacing w:line="276" w:lineRule="auto"/>
              <w:ind w:left="250" w:right="229" w:firstLine="112"/>
              <w:rPr>
                <w:b/>
                <w:sz w:val="16"/>
              </w:rPr>
            </w:pPr>
            <w:r>
              <w:rPr>
                <w:b/>
                <w:sz w:val="16"/>
              </w:rPr>
              <w:t>Año de fundación</w:t>
            </w:r>
          </w:p>
        </w:tc>
      </w:tr>
      <w:tr>
        <w:trPr>
          <w:trHeight w:val="230" w:hRule="exact"/>
        </w:trPr>
        <w:tc>
          <w:tcPr>
            <w:tcW w:w="1224" w:type="dxa"/>
            <w:tcBorders>
              <w:top w:val="single" w:sz="11" w:space="0" w:color="C0C0C0"/>
            </w:tcBorders>
          </w:tcPr>
          <w:p>
            <w:pPr>
              <w:pStyle w:val="TableParagraph"/>
              <w:spacing w:line="178" w:lineRule="exact"/>
              <w:ind w:left="103"/>
              <w:rPr>
                <w:sz w:val="16"/>
              </w:rPr>
            </w:pPr>
            <w:r>
              <w:rPr>
                <w:sz w:val="16"/>
              </w:rPr>
              <w:t>1. AFROSAI</w:t>
            </w:r>
          </w:p>
        </w:tc>
        <w:tc>
          <w:tcPr>
            <w:tcW w:w="5958" w:type="dxa"/>
            <w:tcBorders>
              <w:top w:val="single" w:sz="11" w:space="0" w:color="C0C0C0"/>
            </w:tcBorders>
          </w:tcPr>
          <w:p>
            <w:pPr>
              <w:pStyle w:val="TableParagraph"/>
              <w:spacing w:line="178" w:lineRule="exact"/>
              <w:ind w:left="104"/>
              <w:rPr>
                <w:sz w:val="16"/>
              </w:rPr>
            </w:pPr>
            <w:r>
              <w:rPr>
                <w:sz w:val="16"/>
              </w:rPr>
              <w:t>Organización de Entidades Fiscalizadoras Superiores de África</w:t>
            </w:r>
          </w:p>
        </w:tc>
        <w:tc>
          <w:tcPr>
            <w:tcW w:w="1292" w:type="dxa"/>
            <w:tcBorders>
              <w:top w:val="single" w:sz="11" w:space="0" w:color="C0C0C0"/>
            </w:tcBorders>
          </w:tcPr>
          <w:p>
            <w:pPr>
              <w:pStyle w:val="TableParagraph"/>
              <w:spacing w:line="178" w:lineRule="exact"/>
              <w:ind w:left="442" w:right="445"/>
              <w:jc w:val="center"/>
              <w:rPr>
                <w:sz w:val="16"/>
              </w:rPr>
            </w:pPr>
            <w:r>
              <w:rPr>
                <w:sz w:val="16"/>
              </w:rPr>
              <w:t>1976</w:t>
            </w:r>
          </w:p>
        </w:tc>
      </w:tr>
      <w:tr>
        <w:trPr>
          <w:trHeight w:val="224" w:hRule="exact"/>
        </w:trPr>
        <w:tc>
          <w:tcPr>
            <w:tcW w:w="1224" w:type="dxa"/>
          </w:tcPr>
          <w:p>
            <w:pPr>
              <w:pStyle w:val="TableParagraph"/>
              <w:spacing w:line="182" w:lineRule="exact"/>
              <w:ind w:left="103"/>
              <w:rPr>
                <w:sz w:val="16"/>
              </w:rPr>
            </w:pPr>
            <w:r>
              <w:rPr>
                <w:sz w:val="16"/>
              </w:rPr>
              <w:t>2. ARABOSAI</w:t>
            </w:r>
          </w:p>
        </w:tc>
        <w:tc>
          <w:tcPr>
            <w:tcW w:w="5958" w:type="dxa"/>
          </w:tcPr>
          <w:p>
            <w:pPr>
              <w:pStyle w:val="TableParagraph"/>
              <w:spacing w:line="182" w:lineRule="exact"/>
              <w:ind w:left="104"/>
              <w:rPr>
                <w:sz w:val="16"/>
              </w:rPr>
            </w:pPr>
            <w:r>
              <w:rPr>
                <w:sz w:val="16"/>
              </w:rPr>
              <w:t>Organización Árabe de Entidades Fiscalizadoras Superiores</w:t>
            </w:r>
          </w:p>
        </w:tc>
        <w:tc>
          <w:tcPr>
            <w:tcW w:w="1292" w:type="dxa"/>
          </w:tcPr>
          <w:p>
            <w:pPr>
              <w:pStyle w:val="TableParagraph"/>
              <w:spacing w:line="182" w:lineRule="exact"/>
              <w:ind w:left="442" w:right="445"/>
              <w:jc w:val="center"/>
              <w:rPr>
                <w:sz w:val="16"/>
              </w:rPr>
            </w:pPr>
            <w:r>
              <w:rPr>
                <w:sz w:val="16"/>
              </w:rPr>
              <w:t>1976</w:t>
            </w:r>
          </w:p>
        </w:tc>
      </w:tr>
      <w:tr>
        <w:trPr>
          <w:trHeight w:val="220" w:hRule="exact"/>
        </w:trPr>
        <w:tc>
          <w:tcPr>
            <w:tcW w:w="1224" w:type="dxa"/>
          </w:tcPr>
          <w:p>
            <w:pPr>
              <w:pStyle w:val="TableParagraph"/>
              <w:spacing w:line="178" w:lineRule="exact"/>
              <w:ind w:left="103"/>
              <w:rPr>
                <w:sz w:val="16"/>
              </w:rPr>
            </w:pPr>
            <w:r>
              <w:rPr>
                <w:sz w:val="16"/>
              </w:rPr>
              <w:t>3. ASOSAI</w:t>
            </w:r>
          </w:p>
        </w:tc>
        <w:tc>
          <w:tcPr>
            <w:tcW w:w="5958" w:type="dxa"/>
          </w:tcPr>
          <w:p>
            <w:pPr>
              <w:pStyle w:val="TableParagraph"/>
              <w:spacing w:line="178" w:lineRule="exact"/>
              <w:ind w:left="104"/>
              <w:rPr>
                <w:sz w:val="16"/>
              </w:rPr>
            </w:pPr>
            <w:r>
              <w:rPr>
                <w:sz w:val="16"/>
              </w:rPr>
              <w:t>Organización de Entidades Fiscalizadoras Superiores de Asia</w:t>
            </w:r>
          </w:p>
        </w:tc>
        <w:tc>
          <w:tcPr>
            <w:tcW w:w="1292" w:type="dxa"/>
          </w:tcPr>
          <w:p>
            <w:pPr>
              <w:pStyle w:val="TableParagraph"/>
              <w:spacing w:line="178" w:lineRule="exact"/>
              <w:ind w:left="442" w:right="445"/>
              <w:jc w:val="center"/>
              <w:rPr>
                <w:sz w:val="16"/>
              </w:rPr>
            </w:pPr>
            <w:r>
              <w:rPr>
                <w:sz w:val="16"/>
              </w:rPr>
              <w:t>1978</w:t>
            </w:r>
          </w:p>
        </w:tc>
      </w:tr>
      <w:tr>
        <w:trPr>
          <w:trHeight w:val="220" w:hRule="exact"/>
        </w:trPr>
        <w:tc>
          <w:tcPr>
            <w:tcW w:w="1224" w:type="dxa"/>
          </w:tcPr>
          <w:p>
            <w:pPr>
              <w:pStyle w:val="TableParagraph"/>
              <w:spacing w:line="178" w:lineRule="exact"/>
              <w:ind w:left="103"/>
              <w:rPr>
                <w:sz w:val="16"/>
              </w:rPr>
            </w:pPr>
            <w:r>
              <w:rPr>
                <w:sz w:val="16"/>
              </w:rPr>
              <w:t>4. CAROSAI</w:t>
            </w:r>
          </w:p>
        </w:tc>
        <w:tc>
          <w:tcPr>
            <w:tcW w:w="5958" w:type="dxa"/>
          </w:tcPr>
          <w:p>
            <w:pPr>
              <w:pStyle w:val="TableParagraph"/>
              <w:spacing w:line="178" w:lineRule="exact"/>
              <w:ind w:left="104"/>
              <w:rPr>
                <w:sz w:val="16"/>
              </w:rPr>
            </w:pPr>
            <w:r>
              <w:rPr>
                <w:sz w:val="16"/>
              </w:rPr>
              <w:t>Organización de Entidades Fiscalizadoras Superiores del Caribe</w:t>
            </w:r>
          </w:p>
        </w:tc>
        <w:tc>
          <w:tcPr>
            <w:tcW w:w="1292" w:type="dxa"/>
          </w:tcPr>
          <w:p>
            <w:pPr>
              <w:pStyle w:val="TableParagraph"/>
              <w:spacing w:line="178" w:lineRule="exact"/>
              <w:ind w:left="442" w:right="445"/>
              <w:jc w:val="center"/>
              <w:rPr>
                <w:sz w:val="16"/>
              </w:rPr>
            </w:pPr>
            <w:r>
              <w:rPr>
                <w:sz w:val="16"/>
              </w:rPr>
              <w:t>1988</w:t>
            </w:r>
          </w:p>
        </w:tc>
      </w:tr>
      <w:tr>
        <w:trPr>
          <w:trHeight w:val="224" w:hRule="exact"/>
        </w:trPr>
        <w:tc>
          <w:tcPr>
            <w:tcW w:w="1224" w:type="dxa"/>
          </w:tcPr>
          <w:p>
            <w:pPr>
              <w:pStyle w:val="TableParagraph"/>
              <w:spacing w:line="182" w:lineRule="exact"/>
              <w:ind w:left="103"/>
              <w:rPr>
                <w:sz w:val="16"/>
              </w:rPr>
            </w:pPr>
            <w:r>
              <w:rPr>
                <w:sz w:val="16"/>
              </w:rPr>
              <w:t>5. EUROSAI</w:t>
            </w:r>
          </w:p>
        </w:tc>
        <w:tc>
          <w:tcPr>
            <w:tcW w:w="5958" w:type="dxa"/>
          </w:tcPr>
          <w:p>
            <w:pPr>
              <w:pStyle w:val="TableParagraph"/>
              <w:spacing w:line="182" w:lineRule="exact"/>
              <w:ind w:left="104"/>
              <w:rPr>
                <w:sz w:val="16"/>
              </w:rPr>
            </w:pPr>
            <w:r>
              <w:rPr>
                <w:sz w:val="16"/>
              </w:rPr>
              <w:t>Organización de Entidades Fiscalizadoras Superiores de Europa</w:t>
            </w:r>
          </w:p>
        </w:tc>
        <w:tc>
          <w:tcPr>
            <w:tcW w:w="1292" w:type="dxa"/>
          </w:tcPr>
          <w:p>
            <w:pPr>
              <w:pStyle w:val="TableParagraph"/>
              <w:spacing w:line="182" w:lineRule="exact"/>
              <w:ind w:left="442" w:right="445"/>
              <w:jc w:val="center"/>
              <w:rPr>
                <w:sz w:val="16"/>
              </w:rPr>
            </w:pPr>
            <w:r>
              <w:rPr>
                <w:sz w:val="16"/>
              </w:rPr>
              <w:t>1990</w:t>
            </w:r>
          </w:p>
        </w:tc>
      </w:tr>
      <w:tr>
        <w:trPr>
          <w:trHeight w:val="376" w:hRule="exact"/>
        </w:trPr>
        <w:tc>
          <w:tcPr>
            <w:tcW w:w="1224" w:type="dxa"/>
          </w:tcPr>
          <w:p>
            <w:pPr>
              <w:pStyle w:val="TableParagraph"/>
              <w:spacing w:line="178" w:lineRule="exact"/>
              <w:ind w:left="103"/>
              <w:rPr>
                <w:sz w:val="16"/>
              </w:rPr>
            </w:pPr>
            <w:r>
              <w:rPr>
                <w:sz w:val="16"/>
              </w:rPr>
              <w:t>6. OLACEFS</w:t>
            </w:r>
          </w:p>
        </w:tc>
        <w:tc>
          <w:tcPr>
            <w:tcW w:w="5958" w:type="dxa"/>
          </w:tcPr>
          <w:p>
            <w:pPr>
              <w:pStyle w:val="TableParagraph"/>
              <w:ind w:left="104"/>
              <w:rPr>
                <w:sz w:val="16"/>
              </w:rPr>
            </w:pPr>
            <w:r>
              <w:rPr>
                <w:sz w:val="16"/>
              </w:rPr>
              <w:t>Organización Latinoamericana y del Caribe de Entidades Fiscalizadoras Superiores</w:t>
            </w:r>
          </w:p>
        </w:tc>
        <w:tc>
          <w:tcPr>
            <w:tcW w:w="1292" w:type="dxa"/>
          </w:tcPr>
          <w:p>
            <w:pPr>
              <w:pStyle w:val="TableParagraph"/>
              <w:spacing w:line="178" w:lineRule="exact"/>
              <w:ind w:left="442" w:right="445"/>
              <w:jc w:val="center"/>
              <w:rPr>
                <w:sz w:val="16"/>
              </w:rPr>
            </w:pPr>
            <w:r>
              <w:rPr>
                <w:sz w:val="16"/>
              </w:rPr>
              <w:t>1965</w:t>
            </w:r>
          </w:p>
        </w:tc>
      </w:tr>
      <w:tr>
        <w:trPr>
          <w:trHeight w:val="220" w:hRule="exact"/>
        </w:trPr>
        <w:tc>
          <w:tcPr>
            <w:tcW w:w="1224" w:type="dxa"/>
          </w:tcPr>
          <w:p>
            <w:pPr>
              <w:pStyle w:val="TableParagraph"/>
              <w:spacing w:line="182" w:lineRule="exact"/>
              <w:ind w:left="103"/>
              <w:rPr>
                <w:sz w:val="16"/>
              </w:rPr>
            </w:pPr>
            <w:r>
              <w:rPr>
                <w:sz w:val="16"/>
              </w:rPr>
              <w:t>7. SPASAI</w:t>
            </w:r>
          </w:p>
        </w:tc>
        <w:tc>
          <w:tcPr>
            <w:tcW w:w="5958" w:type="dxa"/>
          </w:tcPr>
          <w:p>
            <w:pPr>
              <w:pStyle w:val="TableParagraph"/>
              <w:spacing w:line="182" w:lineRule="exact"/>
              <w:ind w:left="104"/>
              <w:rPr>
                <w:sz w:val="16"/>
              </w:rPr>
            </w:pPr>
            <w:r>
              <w:rPr>
                <w:sz w:val="16"/>
              </w:rPr>
              <w:t>Organización de Entidades Fiscalizadoras Superiores del Pacífico Sur</w:t>
            </w:r>
          </w:p>
        </w:tc>
        <w:tc>
          <w:tcPr>
            <w:tcW w:w="1292" w:type="dxa"/>
          </w:tcPr>
          <w:p>
            <w:pPr>
              <w:pStyle w:val="TableParagraph"/>
              <w:spacing w:line="182" w:lineRule="exact"/>
              <w:ind w:left="442" w:right="445"/>
              <w:jc w:val="center"/>
              <w:rPr>
                <w:sz w:val="16"/>
              </w:rPr>
            </w:pPr>
            <w:r>
              <w:rPr>
                <w:sz w:val="16"/>
              </w:rPr>
              <w:t>1987</w:t>
            </w:r>
          </w:p>
        </w:tc>
      </w:tr>
    </w:tbl>
    <w:p>
      <w:pPr>
        <w:pStyle w:val="BodyText"/>
        <w:spacing w:before="1"/>
        <w:rPr>
          <w:sz w:val="12"/>
        </w:rPr>
      </w:pPr>
    </w:p>
    <w:p>
      <w:pPr>
        <w:spacing w:before="0"/>
        <w:ind w:left="100" w:right="86" w:firstLine="0"/>
        <w:jc w:val="left"/>
        <w:rPr>
          <w:sz w:val="12"/>
        </w:rPr>
      </w:pPr>
      <w:r>
        <w:rPr>
          <w:sz w:val="12"/>
        </w:rPr>
        <w:t>FUENTE:     INTOSAI. Disponible en: </w:t>
      </w:r>
      <w:hyperlink r:id="rId157">
        <w:r>
          <w:rPr>
            <w:sz w:val="12"/>
          </w:rPr>
          <w:t>http://www.intosai.org/es/grupos-regionales-de-trabajo.html</w:t>
        </w:r>
      </w:hyperlink>
      <w:r>
        <w:rPr>
          <w:sz w:val="12"/>
        </w:rPr>
        <w:t> [Fecha de consulta: 10 de octubre, 2015]</w:t>
      </w:r>
    </w:p>
    <w:p>
      <w:pPr>
        <w:pStyle w:val="BodyText"/>
        <w:rPr>
          <w:sz w:val="12"/>
        </w:rPr>
      </w:pPr>
    </w:p>
    <w:p>
      <w:pPr>
        <w:pStyle w:val="BodyText"/>
        <w:spacing w:before="5"/>
        <w:rPr>
          <w:sz w:val="13"/>
        </w:rPr>
      </w:pPr>
    </w:p>
    <w:p>
      <w:pPr>
        <w:pStyle w:val="BodyText"/>
        <w:spacing w:line="360" w:lineRule="auto" w:before="1"/>
        <w:ind w:left="100" w:right="118" w:firstLine="708"/>
        <w:jc w:val="both"/>
      </w:pPr>
      <w:r>
        <w:rPr/>
        <w:t>El</w:t>
      </w:r>
      <w:r>
        <w:rPr>
          <w:spacing w:val="-16"/>
        </w:rPr>
        <w:t> </w:t>
      </w:r>
      <w:r>
        <w:rPr/>
        <w:t>comité</w:t>
      </w:r>
      <w:r>
        <w:rPr>
          <w:spacing w:val="-12"/>
        </w:rPr>
        <w:t> </w:t>
      </w:r>
      <w:r>
        <w:rPr/>
        <w:t>directivo</w:t>
      </w:r>
      <w:r>
        <w:rPr>
          <w:spacing w:val="-16"/>
        </w:rPr>
        <w:t> </w:t>
      </w:r>
      <w:r>
        <w:rPr/>
        <w:t>de</w:t>
      </w:r>
      <w:r>
        <w:rPr>
          <w:spacing w:val="-16"/>
        </w:rPr>
        <w:t> </w:t>
      </w:r>
      <w:r>
        <w:rPr/>
        <w:t>la</w:t>
      </w:r>
      <w:r>
        <w:rPr>
          <w:spacing w:val="-12"/>
        </w:rPr>
        <w:t> </w:t>
      </w:r>
      <w:r>
        <w:rPr/>
        <w:t>INTOSAI,</w:t>
      </w:r>
      <w:r>
        <w:rPr>
          <w:spacing w:val="-13"/>
        </w:rPr>
        <w:t> </w:t>
      </w:r>
      <w:r>
        <w:rPr/>
        <w:t>denominado</w:t>
      </w:r>
      <w:r>
        <w:rPr>
          <w:spacing w:val="-12"/>
        </w:rPr>
        <w:t> </w:t>
      </w:r>
      <w:r>
        <w:rPr/>
        <w:t>INCOSAI,</w:t>
      </w:r>
      <w:r>
        <w:rPr>
          <w:spacing w:val="-13"/>
        </w:rPr>
        <w:t> </w:t>
      </w:r>
      <w:r>
        <w:rPr/>
        <w:t>publicó</w:t>
      </w:r>
      <w:r>
        <w:rPr>
          <w:spacing w:val="-16"/>
        </w:rPr>
        <w:t> </w:t>
      </w:r>
      <w:r>
        <w:rPr/>
        <w:t>en</w:t>
      </w:r>
      <w:r>
        <w:rPr>
          <w:spacing w:val="-16"/>
        </w:rPr>
        <w:t> </w:t>
      </w:r>
      <w:r>
        <w:rPr/>
        <w:t>1977 la </w:t>
      </w:r>
      <w:r>
        <w:rPr>
          <w:i/>
        </w:rPr>
        <w:t>Declaración de Lima de Criterios sobre las Normas de Auditoría</w:t>
      </w:r>
      <w:r>
        <w:rPr/>
        <w:t>, aplicable a cualquier sistema de administración pública implementado en los países miembros.</w:t>
      </w:r>
      <w:r>
        <w:rPr>
          <w:spacing w:val="-4"/>
        </w:rPr>
        <w:t> </w:t>
      </w:r>
      <w:r>
        <w:rPr/>
        <w:t>El</w:t>
      </w:r>
      <w:r>
        <w:rPr>
          <w:spacing w:val="-6"/>
        </w:rPr>
        <w:t> </w:t>
      </w:r>
      <w:r>
        <w:rPr/>
        <w:t>objetivo</w:t>
      </w:r>
      <w:r>
        <w:rPr>
          <w:spacing w:val="-6"/>
        </w:rPr>
        <w:t> </w:t>
      </w:r>
      <w:r>
        <w:rPr/>
        <w:t>del</w:t>
      </w:r>
      <w:r>
        <w:rPr>
          <w:spacing w:val="-6"/>
        </w:rPr>
        <w:t> </w:t>
      </w:r>
      <w:r>
        <w:rPr/>
        <w:t>documento</w:t>
      </w:r>
      <w:r>
        <w:rPr>
          <w:spacing w:val="-6"/>
        </w:rPr>
        <w:t> </w:t>
      </w:r>
      <w:r>
        <w:rPr/>
        <w:t>es</w:t>
      </w:r>
      <w:r>
        <w:rPr>
          <w:spacing w:val="-4"/>
        </w:rPr>
        <w:t> </w:t>
      </w:r>
      <w:r>
        <w:rPr/>
        <w:t>promover</w:t>
      </w:r>
      <w:r>
        <w:rPr>
          <w:spacing w:val="-4"/>
        </w:rPr>
        <w:t> </w:t>
      </w:r>
      <w:r>
        <w:rPr/>
        <w:t>la</w:t>
      </w:r>
      <w:r>
        <w:rPr>
          <w:spacing w:val="-6"/>
        </w:rPr>
        <w:t> </w:t>
      </w:r>
      <w:r>
        <w:rPr/>
        <w:t>independencia</w:t>
      </w:r>
      <w:r>
        <w:rPr>
          <w:spacing w:val="-6"/>
        </w:rPr>
        <w:t> </w:t>
      </w:r>
      <w:r>
        <w:rPr/>
        <w:t>de</w:t>
      </w:r>
      <w:r>
        <w:rPr>
          <w:spacing w:val="-6"/>
        </w:rPr>
        <w:t> </w:t>
      </w:r>
      <w:r>
        <w:rPr/>
        <w:t>las</w:t>
      </w:r>
      <w:r>
        <w:rPr>
          <w:spacing w:val="-4"/>
        </w:rPr>
        <w:t> </w:t>
      </w:r>
      <w:r>
        <w:rPr/>
        <w:t>EFS, lo que implica el funcionamiento razonable de las instituciones del Estado para asegurar el Estado de derecho y la</w:t>
      </w:r>
      <w:r>
        <w:rPr>
          <w:spacing w:val="-27"/>
        </w:rPr>
        <w:t> </w:t>
      </w:r>
      <w:r>
        <w:rPr/>
        <w:t>democracia.</w:t>
      </w:r>
    </w:p>
    <w:p>
      <w:pPr>
        <w:pStyle w:val="BodyText"/>
        <w:spacing w:line="360" w:lineRule="auto" w:before="5"/>
        <w:ind w:left="100" w:right="118" w:firstLine="708"/>
        <w:jc w:val="both"/>
      </w:pPr>
      <w:r>
        <w:rPr/>
        <w:t>La</w:t>
      </w:r>
      <w:r>
        <w:rPr>
          <w:spacing w:val="-16"/>
        </w:rPr>
        <w:t> </w:t>
      </w:r>
      <w:r>
        <w:rPr/>
        <w:t>Declaración</w:t>
      </w:r>
      <w:r>
        <w:rPr>
          <w:spacing w:val="-16"/>
        </w:rPr>
        <w:t> </w:t>
      </w:r>
      <w:r>
        <w:rPr/>
        <w:t>de</w:t>
      </w:r>
      <w:r>
        <w:rPr>
          <w:spacing w:val="-12"/>
        </w:rPr>
        <w:t> </w:t>
      </w:r>
      <w:r>
        <w:rPr/>
        <w:t>Lima</w:t>
      </w:r>
      <w:r>
        <w:rPr>
          <w:spacing w:val="-12"/>
        </w:rPr>
        <w:t> </w:t>
      </w:r>
      <w:r>
        <w:rPr/>
        <w:t>considera</w:t>
      </w:r>
      <w:r>
        <w:rPr>
          <w:spacing w:val="-16"/>
        </w:rPr>
        <w:t> </w:t>
      </w:r>
      <w:r>
        <w:rPr/>
        <w:t>que</w:t>
      </w:r>
      <w:r>
        <w:rPr>
          <w:spacing w:val="-12"/>
        </w:rPr>
        <w:t> </w:t>
      </w:r>
      <w:r>
        <w:rPr/>
        <w:t>la</w:t>
      </w:r>
      <w:r>
        <w:rPr>
          <w:spacing w:val="-16"/>
        </w:rPr>
        <w:t> </w:t>
      </w:r>
      <w:r>
        <w:rPr/>
        <w:t>economía</w:t>
      </w:r>
      <w:r>
        <w:rPr>
          <w:spacing w:val="-12"/>
        </w:rPr>
        <w:t> </w:t>
      </w:r>
      <w:r>
        <w:rPr/>
        <w:t>de</w:t>
      </w:r>
      <w:r>
        <w:rPr>
          <w:spacing w:val="-16"/>
        </w:rPr>
        <w:t> </w:t>
      </w:r>
      <w:r>
        <w:rPr/>
        <w:t>los</w:t>
      </w:r>
      <w:r>
        <w:rPr>
          <w:spacing w:val="-14"/>
        </w:rPr>
        <w:t> </w:t>
      </w:r>
      <w:r>
        <w:rPr/>
        <w:t>fondos</w:t>
      </w:r>
      <w:r>
        <w:rPr>
          <w:spacing w:val="-14"/>
        </w:rPr>
        <w:t> </w:t>
      </w:r>
      <w:r>
        <w:rPr/>
        <w:t>públicos es fundamental para mantener el equilibrio financiero del Estado. Para ello es indispensable</w:t>
      </w:r>
      <w:r>
        <w:rPr>
          <w:spacing w:val="-7"/>
        </w:rPr>
        <w:t> </w:t>
      </w:r>
      <w:r>
        <w:rPr/>
        <w:t>que</w:t>
      </w:r>
      <w:r>
        <w:rPr>
          <w:spacing w:val="-7"/>
        </w:rPr>
        <w:t> </w:t>
      </w:r>
      <w:r>
        <w:rPr/>
        <w:t>cada</w:t>
      </w:r>
      <w:r>
        <w:rPr>
          <w:spacing w:val="-7"/>
        </w:rPr>
        <w:t> </w:t>
      </w:r>
      <w:r>
        <w:rPr/>
        <w:t>Estado</w:t>
      </w:r>
      <w:r>
        <w:rPr>
          <w:spacing w:val="-7"/>
        </w:rPr>
        <w:t> </w:t>
      </w:r>
      <w:r>
        <w:rPr/>
        <w:t>cuente</w:t>
      </w:r>
      <w:r>
        <w:rPr>
          <w:spacing w:val="-7"/>
        </w:rPr>
        <w:t> </w:t>
      </w:r>
      <w:r>
        <w:rPr/>
        <w:t>con</w:t>
      </w:r>
      <w:r>
        <w:rPr>
          <w:spacing w:val="-7"/>
        </w:rPr>
        <w:t> </w:t>
      </w:r>
      <w:r>
        <w:rPr/>
        <w:t>una</w:t>
      </w:r>
      <w:r>
        <w:rPr>
          <w:spacing w:val="-7"/>
        </w:rPr>
        <w:t> </w:t>
      </w:r>
      <w:r>
        <w:rPr/>
        <w:t>EFS</w:t>
      </w:r>
      <w:r>
        <w:rPr>
          <w:spacing w:val="-5"/>
        </w:rPr>
        <w:t> </w:t>
      </w:r>
      <w:r>
        <w:rPr/>
        <w:t>eficaz</w:t>
      </w:r>
      <w:r>
        <w:rPr>
          <w:spacing w:val="-6"/>
        </w:rPr>
        <w:t> </w:t>
      </w:r>
      <w:r>
        <w:rPr/>
        <w:t>y</w:t>
      </w:r>
      <w:r>
        <w:rPr>
          <w:spacing w:val="-9"/>
        </w:rPr>
        <w:t> </w:t>
      </w:r>
      <w:r>
        <w:rPr/>
        <w:t>con</w:t>
      </w:r>
      <w:r>
        <w:rPr>
          <w:spacing w:val="-7"/>
        </w:rPr>
        <w:t> </w:t>
      </w:r>
      <w:r>
        <w:rPr/>
        <w:t>independencia de los poderes del Estado e influencias políticas. En las líneas básicas de fiscalización, acordadas en la Declaración de Lima (INTOSAI, 1977), se mencionó que la institución del control es inmanente a la economía financiera pública</w:t>
      </w:r>
      <w:r>
        <w:rPr>
          <w:spacing w:val="-8"/>
        </w:rPr>
        <w:t> </w:t>
      </w:r>
      <w:r>
        <w:rPr/>
        <w:t>y</w:t>
      </w:r>
      <w:r>
        <w:rPr>
          <w:spacing w:val="-10"/>
        </w:rPr>
        <w:t> </w:t>
      </w:r>
      <w:r>
        <w:rPr/>
        <w:t>que</w:t>
      </w:r>
      <w:r>
        <w:rPr>
          <w:spacing w:val="-8"/>
        </w:rPr>
        <w:t> </w:t>
      </w:r>
      <w:r>
        <w:rPr/>
        <w:t>el</w:t>
      </w:r>
      <w:r>
        <w:rPr>
          <w:spacing w:val="-7"/>
        </w:rPr>
        <w:t> </w:t>
      </w:r>
      <w:r>
        <w:rPr/>
        <w:t>control</w:t>
      </w:r>
      <w:r>
        <w:rPr>
          <w:spacing w:val="-7"/>
        </w:rPr>
        <w:t> </w:t>
      </w:r>
      <w:r>
        <w:rPr/>
        <w:t>es</w:t>
      </w:r>
      <w:r>
        <w:rPr>
          <w:spacing w:val="-5"/>
        </w:rPr>
        <w:t> </w:t>
      </w:r>
      <w:r>
        <w:rPr/>
        <w:t>un</w:t>
      </w:r>
      <w:r>
        <w:rPr>
          <w:spacing w:val="-8"/>
        </w:rPr>
        <w:t> </w:t>
      </w:r>
      <w:r>
        <w:rPr/>
        <w:t>coadyuvante</w:t>
      </w:r>
      <w:r>
        <w:rPr>
          <w:spacing w:val="-8"/>
        </w:rPr>
        <w:t> </w:t>
      </w:r>
      <w:r>
        <w:rPr/>
        <w:t>en</w:t>
      </w:r>
      <w:r>
        <w:rPr>
          <w:spacing w:val="-8"/>
        </w:rPr>
        <w:t> </w:t>
      </w:r>
      <w:r>
        <w:rPr/>
        <w:t>la</w:t>
      </w:r>
      <w:r>
        <w:rPr>
          <w:spacing w:val="-8"/>
        </w:rPr>
        <w:t> </w:t>
      </w:r>
      <w:r>
        <w:rPr/>
        <w:t>regulación,</w:t>
      </w:r>
      <w:r>
        <w:rPr>
          <w:spacing w:val="-5"/>
        </w:rPr>
        <w:t> </w:t>
      </w:r>
      <w:r>
        <w:rPr>
          <w:spacing w:val="-3"/>
        </w:rPr>
        <w:t>ya</w:t>
      </w:r>
      <w:r>
        <w:rPr>
          <w:spacing w:val="-8"/>
        </w:rPr>
        <w:t> </w:t>
      </w:r>
      <w:r>
        <w:rPr/>
        <w:t>que</w:t>
      </w:r>
      <w:r>
        <w:rPr>
          <w:spacing w:val="-8"/>
        </w:rPr>
        <w:t> </w:t>
      </w:r>
      <w:r>
        <w:rPr/>
        <w:t>se</w:t>
      </w:r>
      <w:r>
        <w:rPr>
          <w:spacing w:val="-8"/>
        </w:rPr>
        <w:t> </w:t>
      </w:r>
      <w:r>
        <w:rPr/>
        <w:t>mencionó que el control es un mecanismo regulador oportuno de desviaciones a la normativa y los principios de legalidad y economía de las operaciones financieras, y sirve para implementar acciones correctivas, determinar responsabilidades exigir resarcimientos y evitar recurrencias en el futuro. De acuerdo con las Líneas de Fiscalización, el control estatal mediante la fiscalización superior presenta las características</w:t>
      </w:r>
      <w:r>
        <w:rPr>
          <w:spacing w:val="-36"/>
        </w:rPr>
        <w:t> </w:t>
      </w:r>
      <w:r>
        <w:rPr/>
        <w:t>siguientes:</w:t>
      </w:r>
    </w:p>
    <w:p>
      <w:pPr>
        <w:spacing w:after="0" w:line="360" w:lineRule="auto"/>
        <w:jc w:val="both"/>
        <w:sectPr>
          <w:pgSz w:w="11910" w:h="16840"/>
          <w:pgMar w:header="0" w:footer="998" w:top="1580" w:bottom="1180" w:left="1600" w:right="1580"/>
        </w:sectPr>
      </w:pPr>
    </w:p>
    <w:p>
      <w:pPr>
        <w:spacing w:before="57"/>
        <w:ind w:left="2221" w:right="86" w:firstLine="0"/>
        <w:jc w:val="left"/>
        <w:rPr>
          <w:sz w:val="20"/>
        </w:rPr>
      </w:pPr>
      <w:bookmarkStart w:name="_bookmark69" w:id="93"/>
      <w:bookmarkEnd w:id="93"/>
      <w:r>
        <w:rPr/>
      </w:r>
      <w:r>
        <w:rPr>
          <w:sz w:val="20"/>
        </w:rPr>
        <w:t>Esquema 3. 2. Características del control estatal</w:t>
      </w:r>
    </w:p>
    <w:p>
      <w:pPr>
        <w:pStyle w:val="BodyText"/>
        <w:spacing w:before="5"/>
        <w:rPr>
          <w:sz w:val="14"/>
        </w:rPr>
      </w:pPr>
      <w:r>
        <w:rPr/>
        <w:pict>
          <v:group style="position:absolute;margin-left:93.400002pt;margin-top:10.260889pt;width:405.8pt;height:246.4pt;mso-position-horizontal-relative:page;mso-position-vertical-relative:paragraph;z-index:9064;mso-wrap-distance-left:0;mso-wrap-distance-right:0" coordorigin="1868,205" coordsize="8116,4928">
            <v:shape style="position:absolute;left:1868;top:205;width:8116;height:4928" type="#_x0000_t75" stroked="false">
              <v:imagedata r:id="rId158" o:title=""/>
            </v:shape>
            <v:rect style="position:absolute;left:1993;top:234;width:7950;height:4778" filled="true" fillcolor="#edebe0" stroked="false">
              <v:fill type="solid"/>
            </v:rect>
            <v:shape style="position:absolute;left:2856;top:677;width:2985;height:605" coordorigin="2856,677" coordsize="2985,605" path="m2974,1145l2856,1238,3008,1281,3017,1276,3020,1269,3023,1261,3018,1252,2997,1246,2893,1246,2886,1217,2949,1206,2997,1168,2998,1158,2985,1146,2974,1145xm2949,1206l2886,1217,2893,1246,2913,1243,2901,1243,2895,1217,2934,1217,2949,1206xm2956,1235l2893,1246,2997,1246,2956,1235xm2895,1217l2901,1243,2923,1225,2895,1217xm2923,1225l2901,1243,2913,1243,2956,1235,2923,1225xm5833,677l2949,1206,2923,1225,2956,1235,5840,706,5833,677xm2934,1217l2895,1217,2923,1225,2934,1217xe" filled="true" fillcolor="#497dba" stroked="false">
              <v:path arrowok="t"/>
              <v:fill type="solid"/>
            </v:shape>
            <v:rect style="position:absolute;left:2005;top:1353;width:1113;height:217" filled="true" fillcolor="#000000" stroked="false">
              <v:fill type="solid"/>
            </v:rect>
            <v:rect style="position:absolute;left:2005;top:1353;width:1113;height:217" filled="false" stroked="true" strokeweight="1.019352pt" strokecolor="#000000"/>
            <v:shape style="position:absolute;left:4363;top:678;width:1483;height:681" coordorigin="4363,678" coordsize="1483,681" path="m4459,1234l4448,1236,4363,1352,4523,1359,4531,1352,4531,1352,4402,1352,4386,1325,4442,1300,4478,1252,4475,1243,4459,1234xm4442,1300l4386,1325,4402,1352,4413,1347,4408,1347,4394,1324,4425,1324,4442,1300xm4458,1326l4402,1352,4531,1352,4532,1336,4524,1329,4458,1326xm4394,1324l4408,1347,4424,1325,4394,1324xm4424,1325l4408,1347,4413,1347,4458,1326,4424,1325xm5829,678l4442,1300,4424,1325,4458,1326,5845,704,5829,678xm4425,1324l4394,1324,4424,1325,4425,1324xe" filled="true" fillcolor="#497dba" stroked="false">
              <v:path arrowok="t"/>
              <v:fill type="solid"/>
            </v:shape>
            <v:shape style="position:absolute;left:2070;top:1747;width:983;height:2252" coordorigin="2070,1747" coordsize="983,2252" path="m3053,1747l3053,3577,2561,3999,2070,3577,2070,1747,3053,1747xe" filled="false" stroked="true" strokeweight="1.152044pt" strokecolor="#385d89">
              <v:path arrowok="t"/>
            </v:shape>
            <v:shape style="position:absolute;left:3250;top:1916;width:1179;height:2142" coordorigin="3250,1916" coordsize="1179,2142" path="m4428,1916l4428,3550,3839,4057,3250,3550,3250,1916,4428,1916xe" filled="false" stroked="true" strokeweight="1.140075pt" strokecolor="#385d89">
              <v:path arrowok="t"/>
            </v:shape>
            <v:shape style="position:absolute;left:4690;top:1690;width:983;height:2142" coordorigin="4690,1690" coordsize="983,2142" path="m5673,1690l5673,3409,5182,3831,4690,3409,4690,1690,5673,1690xe" filled="false" stroked="true" strokeweight="1.149725pt" strokecolor="#385d89">
              <v:path arrowok="t"/>
            </v:shape>
            <v:shape style="position:absolute;left:5401;top:4282;width:338;height:233" type="#_x0000_t75" stroked="false">
              <v:imagedata r:id="rId159" o:title=""/>
            </v:shape>
            <v:shape style="position:absolute;left:5337;top:4607;width:337;height:182" type="#_x0000_t75" stroked="false">
              <v:imagedata r:id="rId160" o:title=""/>
            </v:shape>
            <v:shape style="position:absolute;left:5687;top:676;width:161;height:677" coordorigin="5687,676" coordsize="161,677" path="m5707,1215l5690,1223,5687,1232,5762,1353,5783,1324,5781,1324,5746,1323,5748,1268,5722,1225,5717,1218,5707,1215xm5748,1268l5746,1323,5781,1324,5781,1316,5779,1316,5749,1315,5765,1294,5748,1268xm5829,1219l5818,1221,5783,1269,5781,1324,5783,1324,5842,1244,5847,1237,5845,1228,5829,1219xm5765,1294l5749,1315,5779,1316,5765,1294xm5783,1269l5765,1294,5779,1316,5781,1316,5783,1269xm5773,676l5748,1268,5765,1294,5783,1269,5808,677,5773,676xe" filled="true" fillcolor="#497dba" stroked="false">
              <v:path arrowok="t"/>
              <v:fill type="solid"/>
            </v:shape>
            <v:shape style="position:absolute;left:5782;top:655;width:1775;height:602" coordorigin="5782,655" coordsize="1775,602" path="m7459,1216l7394,1226,7388,1234,7391,1250,7400,1256,7532,1236,7519,1236,7459,1216xm7493,1211l7459,1216,7519,1236,7521,1231,7512,1231,7493,1211xm7445,1125l7430,1135,7429,1145,7435,1151,7471,1189,7531,1208,7519,1236,7532,1236,7557,1232,7456,1126,7445,1125xm7522,1207l7493,1211,7512,1231,7522,1207xm7529,1207l7522,1207,7512,1231,7521,1231,7531,1208,7529,1207xm5794,655l5782,683,7459,1216,7493,1211,7471,1189,5794,655xm7471,1189l7493,1211,7522,1207,7529,1207,7471,1189xe" filled="true" fillcolor="#497dba" stroked="false">
              <v:path arrowok="t"/>
              <v:fill type="solid"/>
            </v:shape>
            <v:shape style="position:absolute;left:1993;top:1342;width:1137;height:239" type="#_x0000_t202" filled="false" stroked="false">
              <v:textbox inset="0,0,0,0">
                <w:txbxContent>
                  <w:p>
                    <w:pPr>
                      <w:spacing w:before="49"/>
                      <w:ind w:left="94" w:right="0" w:firstLine="0"/>
                      <w:jc w:val="left"/>
                      <w:rPr>
                        <w:b/>
                        <w:sz w:val="12"/>
                      </w:rPr>
                    </w:pPr>
                    <w:r>
                      <w:rPr>
                        <w:b/>
                        <w:color w:val="FFFFFF"/>
                        <w:w w:val="115"/>
                        <w:sz w:val="12"/>
                      </w:rPr>
                      <w:t>Oportunidad</w:t>
                    </w:r>
                  </w:p>
                </w:txbxContent>
              </v:textbox>
              <w10:wrap type="none"/>
            </v:shape>
            <v:shape style="position:absolute;left:2157;top:1859;width:806;height:696" type="#_x0000_t202" filled="false" stroked="false">
              <v:textbox inset="0,0,0,0">
                <w:txbxContent>
                  <w:p>
                    <w:pPr>
                      <w:spacing w:line="101" w:lineRule="exact" w:before="0"/>
                      <w:ind w:left="2" w:right="0" w:firstLine="0"/>
                      <w:jc w:val="center"/>
                      <w:rPr>
                        <w:b/>
                        <w:sz w:val="10"/>
                      </w:rPr>
                    </w:pPr>
                    <w:r>
                      <w:rPr>
                        <w:b/>
                        <w:w w:val="115"/>
                        <w:sz w:val="10"/>
                      </w:rPr>
                      <w:t>Control Ex</w:t>
                    </w:r>
                  </w:p>
                  <w:p>
                    <w:pPr>
                      <w:spacing w:line="249" w:lineRule="auto" w:before="4"/>
                      <w:ind w:left="90" w:right="69" w:firstLine="195"/>
                      <w:jc w:val="left"/>
                      <w:rPr>
                        <w:sz w:val="10"/>
                      </w:rPr>
                    </w:pPr>
                    <w:r>
                      <w:rPr>
                        <w:b/>
                        <w:w w:val="115"/>
                        <w:sz w:val="10"/>
                      </w:rPr>
                      <w:t>ante </w:t>
                    </w:r>
                    <w:r>
                      <w:rPr>
                        <w:w w:val="115"/>
                        <w:sz w:val="10"/>
                      </w:rPr>
                      <w:t>(previo a las operaciones financiera o</w:t>
                    </w:r>
                  </w:p>
                  <w:p>
                    <w:pPr>
                      <w:spacing w:line="112" w:lineRule="exact" w:before="0"/>
                      <w:ind w:left="0" w:right="0" w:firstLine="0"/>
                      <w:jc w:val="center"/>
                      <w:rPr>
                        <w:sz w:val="10"/>
                      </w:rPr>
                    </w:pPr>
                    <w:r>
                      <w:rPr>
                        <w:w w:val="115"/>
                        <w:sz w:val="10"/>
                      </w:rPr>
                      <w:t>administrativas)</w:t>
                    </w:r>
                  </w:p>
                </w:txbxContent>
              </v:textbox>
              <w10:wrap type="none"/>
            </v:shape>
            <v:shape style="position:absolute;left:4732;top:1843;width:899;height:215" type="#_x0000_t202" filled="false" stroked="false">
              <v:textbox inset="0,0,0,0">
                <w:txbxContent>
                  <w:p>
                    <w:pPr>
                      <w:spacing w:line="104" w:lineRule="exact" w:before="5"/>
                      <w:ind w:left="209" w:right="-13" w:hanging="210"/>
                      <w:jc w:val="left"/>
                      <w:rPr>
                        <w:sz w:val="11"/>
                      </w:rPr>
                    </w:pPr>
                    <w:r>
                      <w:rPr>
                        <w:w w:val="115"/>
                        <w:sz w:val="11"/>
                      </w:rPr>
                      <w:t>De la institución revisada</w:t>
                    </w:r>
                  </w:p>
                </w:txbxContent>
              </v:textbox>
              <w10:wrap type="none"/>
            </v:shape>
            <v:shape style="position:absolute;left:3421;top:2266;width:835;height:100" type="#_x0000_t202" filled="false" stroked="false">
              <v:textbox inset="0,0,0,0">
                <w:txbxContent>
                  <w:p>
                    <w:pPr>
                      <w:spacing w:line="99" w:lineRule="exact" w:before="0"/>
                      <w:ind w:left="0" w:right="-16" w:firstLine="0"/>
                      <w:jc w:val="left"/>
                      <w:rPr>
                        <w:b/>
                        <w:sz w:val="10"/>
                      </w:rPr>
                    </w:pPr>
                    <w:r>
                      <w:rPr>
                        <w:b/>
                        <w:w w:val="115"/>
                        <w:sz w:val="10"/>
                      </w:rPr>
                      <w:t>Control Interno</w:t>
                    </w:r>
                  </w:p>
                </w:txbxContent>
              </v:textbox>
              <w10:wrap type="none"/>
            </v:shape>
            <v:shape style="position:absolute;left:4782;top:2519;width:800;height:215" type="#_x0000_t202" filled="false" stroked="false">
              <v:textbox inset="0,0,0,0">
                <w:txbxContent>
                  <w:p>
                    <w:pPr>
                      <w:spacing w:line="104" w:lineRule="exact" w:before="5"/>
                      <w:ind w:left="120" w:right="-14" w:hanging="121"/>
                      <w:jc w:val="left"/>
                      <w:rPr>
                        <w:sz w:val="11"/>
                      </w:rPr>
                    </w:pPr>
                    <w:r>
                      <w:rPr>
                        <w:w w:val="115"/>
                        <w:sz w:val="11"/>
                      </w:rPr>
                      <w:t>De influencias exteriores</w:t>
                    </w:r>
                  </w:p>
                </w:txbxContent>
              </v:textbox>
              <w10:wrap type="none"/>
            </v:shape>
            <v:shape style="position:absolute;left:2091;top:2898;width:806;height:695" type="#_x0000_t202" filled="false" stroked="false">
              <v:textbox inset="0,0,0,0">
                <w:txbxContent>
                  <w:p>
                    <w:pPr>
                      <w:spacing w:line="101" w:lineRule="exact" w:before="0"/>
                      <w:ind w:left="281" w:right="69" w:hanging="170"/>
                      <w:jc w:val="left"/>
                      <w:rPr>
                        <w:b/>
                        <w:sz w:val="10"/>
                      </w:rPr>
                    </w:pPr>
                    <w:r>
                      <w:rPr>
                        <w:b/>
                        <w:w w:val="115"/>
                        <w:sz w:val="10"/>
                      </w:rPr>
                      <w:t>Control Ex</w:t>
                    </w:r>
                  </w:p>
                  <w:p>
                    <w:pPr>
                      <w:spacing w:line="249" w:lineRule="auto" w:before="4"/>
                      <w:ind w:left="38" w:right="-13" w:firstLine="242"/>
                      <w:jc w:val="left"/>
                      <w:rPr>
                        <w:sz w:val="10"/>
                      </w:rPr>
                    </w:pPr>
                    <w:r>
                      <w:rPr>
                        <w:b/>
                        <w:w w:val="115"/>
                        <w:sz w:val="10"/>
                      </w:rPr>
                      <w:t>post </w:t>
                    </w:r>
                    <w:r>
                      <w:rPr>
                        <w:w w:val="115"/>
                        <w:sz w:val="10"/>
                      </w:rPr>
                      <w:t>(posterior a las operaciones</w:t>
                    </w:r>
                  </w:p>
                  <w:p>
                    <w:pPr>
                      <w:spacing w:line="249" w:lineRule="auto" w:before="0"/>
                      <w:ind w:left="0" w:right="-20" w:firstLine="106"/>
                      <w:jc w:val="left"/>
                      <w:rPr>
                        <w:sz w:val="10"/>
                      </w:rPr>
                    </w:pPr>
                    <w:r>
                      <w:rPr>
                        <w:w w:val="115"/>
                        <w:sz w:val="10"/>
                      </w:rPr>
                      <w:t>financiera o administrativas)</w:t>
                    </w:r>
                  </w:p>
                </w:txbxContent>
              </v:textbox>
              <w10:wrap type="none"/>
            </v:shape>
            <v:shape style="position:absolute;left:3401;top:2858;width:872;height:99" type="#_x0000_t202" filled="false" stroked="false">
              <v:textbox inset="0,0,0,0">
                <w:txbxContent>
                  <w:p>
                    <w:pPr>
                      <w:spacing w:line="99" w:lineRule="exact" w:before="0"/>
                      <w:ind w:left="0" w:right="-17" w:firstLine="0"/>
                      <w:jc w:val="left"/>
                      <w:rPr>
                        <w:b/>
                        <w:sz w:val="10"/>
                      </w:rPr>
                    </w:pPr>
                    <w:r>
                      <w:rPr>
                        <w:b/>
                        <w:w w:val="115"/>
                        <w:sz w:val="10"/>
                      </w:rPr>
                      <w:t>Control Externo</w:t>
                    </w:r>
                  </w:p>
                </w:txbxContent>
              </v:textbox>
              <w10:wrap type="none"/>
            </v:shape>
            <v:shape style="position:absolute;left:4884;top:2895;width:594;height:110" type="#_x0000_t202" filled="false" stroked="false">
              <v:textbox inset="0,0,0,0">
                <w:txbxContent>
                  <w:p>
                    <w:pPr>
                      <w:spacing w:line="110" w:lineRule="exact" w:before="0"/>
                      <w:ind w:left="0" w:right="-17" w:firstLine="0"/>
                      <w:jc w:val="left"/>
                      <w:rPr>
                        <w:sz w:val="11"/>
                      </w:rPr>
                    </w:pPr>
                    <w:r>
                      <w:rPr>
                        <w:w w:val="115"/>
                        <w:sz w:val="11"/>
                      </w:rPr>
                      <w:t>Financiera</w:t>
                    </w:r>
                  </w:p>
                </w:txbxContent>
              </v:textbox>
              <w10:wrap type="none"/>
            </v:shape>
            <v:shape style="position:absolute;left:4756;top:363;width:2160;height:278" type="#_x0000_t202" filled="false" stroked="false">
              <v:textbox inset="0,0,0,0">
                <w:txbxContent>
                  <w:p>
                    <w:pPr>
                      <w:spacing w:line="278" w:lineRule="exact" w:before="0"/>
                      <w:ind w:left="0" w:right="-8" w:firstLine="0"/>
                      <w:jc w:val="left"/>
                      <w:rPr>
                        <w:sz w:val="28"/>
                      </w:rPr>
                    </w:pPr>
                    <w:r>
                      <w:rPr>
                        <w:color w:val="001F5F"/>
                        <w:w w:val="115"/>
                        <w:sz w:val="28"/>
                      </w:rPr>
                      <w:t>Características</w:t>
                    </w:r>
                  </w:p>
                </w:txbxContent>
              </v:textbox>
              <w10:wrap type="none"/>
            </v:shape>
            <v:shape style="position:absolute;left:5935;top:2479;width:1114;height:1634" type="#_x0000_t202" filled="true" fillcolor="#edebe0" stroked="true" strokeweight="1.136245pt" strokecolor="#385d89">
              <v:textbox inset="0,0,0,0">
                <w:txbxContent>
                  <w:p>
                    <w:pPr>
                      <w:spacing w:line="240" w:lineRule="auto" w:before="3"/>
                      <w:rPr>
                        <w:sz w:val="9"/>
                      </w:rPr>
                    </w:pPr>
                  </w:p>
                  <w:p>
                    <w:pPr>
                      <w:spacing w:line="104" w:lineRule="exact" w:before="0"/>
                      <w:ind w:left="60" w:right="124" w:hanging="2"/>
                      <w:jc w:val="center"/>
                      <w:rPr>
                        <w:sz w:val="11"/>
                      </w:rPr>
                    </w:pPr>
                    <w:r>
                      <w:rPr>
                        <w:w w:val="115"/>
                        <w:sz w:val="11"/>
                      </w:rPr>
                      <w:t>Regulada por la constitución, de acuerdo con las circunstancias y necesidades de cada país</w:t>
                    </w:r>
                  </w:p>
                  <w:p>
                    <w:pPr>
                      <w:spacing w:line="104" w:lineRule="exact" w:before="47"/>
                      <w:ind w:left="94" w:right="90" w:hanging="2"/>
                      <w:jc w:val="center"/>
                      <w:rPr>
                        <w:sz w:val="11"/>
                      </w:rPr>
                    </w:pPr>
                    <w:r>
                      <w:rPr>
                        <w:w w:val="115"/>
                        <w:sz w:val="11"/>
                      </w:rPr>
                      <w:t>Regulada por la constitución, de acuerdo con las circunstancias y necesidades de cada país</w:t>
                    </w:r>
                  </w:p>
                </w:txbxContent>
              </v:textbox>
              <v:fill type="solid"/>
              <w10:wrap type="none"/>
            </v:shape>
            <v:shape style="position:absolute;left:7246;top:2535;width:1244;height:1578" type="#_x0000_t202" filled="true" fillcolor="#edebe0" stroked="true" strokeweight="1.126463pt" strokecolor="#385d89">
              <v:textbox inset="0,0,0,0">
                <w:txbxContent>
                  <w:p>
                    <w:pPr>
                      <w:spacing w:line="104" w:lineRule="exact" w:before="71"/>
                      <w:ind w:left="86" w:right="151" w:firstLine="0"/>
                      <w:jc w:val="center"/>
                      <w:rPr>
                        <w:sz w:val="11"/>
                      </w:rPr>
                    </w:pPr>
                    <w:r>
                      <w:rPr>
                        <w:w w:val="115"/>
                        <w:sz w:val="11"/>
                      </w:rPr>
                      <w:t>Sin subordinación del gobierno a la entidad fiscalizada</w:t>
                    </w:r>
                  </w:p>
                  <w:p>
                    <w:pPr>
                      <w:spacing w:line="240" w:lineRule="auto" w:before="11"/>
                      <w:rPr>
                        <w:sz w:val="11"/>
                      </w:rPr>
                    </w:pPr>
                  </w:p>
                  <w:p>
                    <w:pPr>
                      <w:spacing w:line="249" w:lineRule="auto" w:before="0"/>
                      <w:ind w:left="44" w:right="109" w:firstLine="0"/>
                      <w:jc w:val="center"/>
                      <w:rPr>
                        <w:sz w:val="11"/>
                      </w:rPr>
                    </w:pPr>
                    <w:r>
                      <w:rPr>
                        <w:w w:val="115"/>
                        <w:sz w:val="11"/>
                      </w:rPr>
                      <w:t>Responsabilidad gubernamental por operaciones u omisiones</w:t>
                    </w:r>
                  </w:p>
                </w:txbxContent>
              </v:textbox>
              <v:fill type="solid"/>
              <w10:wrap type="none"/>
            </v:shape>
            <v:shape style="position:absolute;left:8621;top:2592;width:1114;height:1522" type="#_x0000_t202" filled="true" fillcolor="#edebe0" stroked="true" strokeweight="1.131623pt" strokecolor="#385d89">
              <v:textbox inset="0,0,0,0">
                <w:txbxContent>
                  <w:p>
                    <w:pPr>
                      <w:spacing w:line="240" w:lineRule="auto" w:before="0"/>
                      <w:rPr>
                        <w:sz w:val="10"/>
                      </w:rPr>
                    </w:pPr>
                  </w:p>
                  <w:p>
                    <w:pPr>
                      <w:spacing w:line="104" w:lineRule="exact" w:before="61"/>
                      <w:ind w:left="121" w:right="118" w:firstLine="1"/>
                      <w:jc w:val="center"/>
                      <w:rPr>
                        <w:sz w:val="11"/>
                      </w:rPr>
                    </w:pPr>
                    <w:r>
                      <w:rPr>
                        <w:w w:val="115"/>
                        <w:sz w:val="11"/>
                      </w:rPr>
                      <w:t>Intercambio de experiencias</w:t>
                    </w:r>
                  </w:p>
                  <w:p>
                    <w:pPr>
                      <w:spacing w:line="104" w:lineRule="exact" w:before="88"/>
                      <w:ind w:left="72" w:right="68" w:hanging="2"/>
                      <w:jc w:val="center"/>
                      <w:rPr>
                        <w:sz w:val="11"/>
                      </w:rPr>
                    </w:pPr>
                    <w:r>
                      <w:rPr>
                        <w:w w:val="115"/>
                        <w:sz w:val="11"/>
                      </w:rPr>
                      <w:t>Elaboración de una terminología uniforme de control financiero público</w:t>
                    </w:r>
                  </w:p>
                </w:txbxContent>
              </v:textbox>
              <v:fill type="solid"/>
              <w10:wrap type="none"/>
            </v:shape>
            <v:shape style="position:absolute;left:3369;top:1398;width:1136;height:384" type="#_x0000_t202" filled="true" fillcolor="#000000" stroked="false">
              <v:textbox inset="0,0,0,0">
                <w:txbxContent>
                  <w:p>
                    <w:pPr>
                      <w:spacing w:line="249" w:lineRule="auto" w:before="49"/>
                      <w:ind w:left="332" w:right="306" w:hanging="13"/>
                      <w:jc w:val="left"/>
                      <w:rPr>
                        <w:b/>
                        <w:sz w:val="12"/>
                      </w:rPr>
                    </w:pPr>
                    <w:r>
                      <w:rPr>
                        <w:b/>
                        <w:color w:val="FFFFFF"/>
                        <w:w w:val="115"/>
                        <w:sz w:val="12"/>
                      </w:rPr>
                      <w:t>Tipo de control</w:t>
                    </w:r>
                  </w:p>
                </w:txbxContent>
              </v:textbox>
              <v:fill type="solid"/>
              <w10:wrap type="none"/>
            </v:shape>
            <v:shape style="position:absolute;left:4679;top:1398;width:1333;height:239" type="#_x0000_t202" filled="true" fillcolor="#000000" stroked="false">
              <v:textbox inset="0,0,0,0">
                <w:txbxContent>
                  <w:p>
                    <w:pPr>
                      <w:spacing w:before="49"/>
                      <w:ind w:left="94" w:right="0" w:firstLine="0"/>
                      <w:jc w:val="left"/>
                      <w:rPr>
                        <w:b/>
                        <w:sz w:val="12"/>
                      </w:rPr>
                    </w:pPr>
                    <w:r>
                      <w:rPr>
                        <w:b/>
                        <w:color w:val="FFFFFF"/>
                        <w:w w:val="115"/>
                        <w:sz w:val="12"/>
                      </w:rPr>
                      <w:t>Independencia  *</w:t>
                    </w:r>
                  </w:p>
                </w:txbxContent>
              </v:textbox>
              <v:fill type="solid"/>
              <w10:wrap type="none"/>
            </v:shape>
            <v:shape style="position:absolute;left:6120;top:1454;width:3823;height:239" type="#_x0000_t202" filled="true" fillcolor="#000000" stroked="false">
              <v:textbox inset="0,0,0,0">
                <w:txbxContent>
                  <w:p>
                    <w:pPr>
                      <w:spacing w:before="50"/>
                      <w:ind w:left="243" w:right="0" w:firstLine="0"/>
                      <w:jc w:val="left"/>
                      <w:rPr>
                        <w:b/>
                        <w:sz w:val="12"/>
                      </w:rPr>
                    </w:pPr>
                    <w:r>
                      <w:rPr>
                        <w:b/>
                        <w:color w:val="FFFFFF"/>
                        <w:w w:val="115"/>
                        <w:sz w:val="12"/>
                      </w:rPr>
                      <w:t>Relación de la institución de fiscalización superior</w:t>
                    </w:r>
                  </w:p>
                </w:txbxContent>
              </v:textbox>
              <v:fill type="solid"/>
              <w10:wrap type="none"/>
            </v:shape>
            <v:shape style="position:absolute;left:5859;top:1962;width:1201;height:347" type="#_x0000_t202" filled="true" fillcolor="#000000" stroked="false">
              <v:textbox inset="0,0,0,0">
                <w:txbxContent>
                  <w:p>
                    <w:pPr>
                      <w:spacing w:line="261" w:lineRule="auto" w:before="53"/>
                      <w:ind w:left="297" w:right="100" w:hanging="197"/>
                      <w:jc w:val="left"/>
                      <w:rPr>
                        <w:sz w:val="10"/>
                      </w:rPr>
                    </w:pPr>
                    <w:r>
                      <w:rPr>
                        <w:color w:val="FFFFFF"/>
                        <w:w w:val="120"/>
                        <w:sz w:val="10"/>
                      </w:rPr>
                      <w:t>Con el parlamento o congreso</w:t>
                    </w:r>
                  </w:p>
                </w:txbxContent>
              </v:textbox>
              <v:fill type="solid"/>
              <w10:wrap type="none"/>
            </v:shape>
            <v:shape style="position:absolute;left:7168;top:1962;width:1202;height:347" type="#_x0000_t202" filled="true" fillcolor="#000000" stroked="false">
              <v:textbox inset="0,0,0,0">
                <w:txbxContent>
                  <w:p>
                    <w:pPr>
                      <w:spacing w:line="261" w:lineRule="auto" w:before="53"/>
                      <w:ind w:left="142" w:right="81" w:hanging="35"/>
                      <w:jc w:val="left"/>
                      <w:rPr>
                        <w:sz w:val="10"/>
                      </w:rPr>
                    </w:pPr>
                    <w:r>
                      <w:rPr>
                        <w:color w:val="FFFFFF"/>
                        <w:w w:val="120"/>
                        <w:sz w:val="10"/>
                      </w:rPr>
                      <w:t>Con el gobierno y la administración</w:t>
                    </w:r>
                  </w:p>
                </w:txbxContent>
              </v:textbox>
              <v:fill type="solid"/>
              <w10:wrap type="none"/>
            </v:shape>
            <v:shape style="position:absolute;left:8545;top:1962;width:1201;height:473" type="#_x0000_t202" filled="true" fillcolor="#000000" stroked="false">
              <v:textbox inset="0,0,0,0">
                <w:txbxContent>
                  <w:p>
                    <w:pPr>
                      <w:spacing w:line="261" w:lineRule="auto" w:before="53"/>
                      <w:ind w:left="185" w:right="100" w:hanging="48"/>
                      <w:jc w:val="left"/>
                      <w:rPr>
                        <w:sz w:val="10"/>
                      </w:rPr>
                    </w:pPr>
                    <w:r>
                      <w:rPr>
                        <w:color w:val="FFFFFF"/>
                        <w:w w:val="120"/>
                        <w:sz w:val="10"/>
                      </w:rPr>
                      <w:t>Con organismos de fiscalización internacionales</w:t>
                    </w:r>
                  </w:p>
                </w:txbxContent>
              </v:textbox>
              <v:fill type="solid"/>
              <w10:wrap type="none"/>
            </v:shape>
            <v:shape style="position:absolute;left:2191;top:4102;width:3167;height:745" type="#_x0000_t202" filled="true" fillcolor="#000000" stroked="false">
              <v:textbox inset="0,0,0,0">
                <w:txbxContent>
                  <w:p>
                    <w:pPr>
                      <w:spacing w:line="249" w:lineRule="auto" w:before="52"/>
                      <w:ind w:left="453" w:right="454" w:hanging="2"/>
                      <w:jc w:val="center"/>
                      <w:rPr>
                        <w:sz w:val="18"/>
                      </w:rPr>
                    </w:pPr>
                    <w:r>
                      <w:rPr>
                        <w:color w:val="FFFFFF"/>
                        <w:w w:val="115"/>
                        <w:sz w:val="18"/>
                      </w:rPr>
                      <w:t>Rendición de cuentas (</w:t>
                    </w:r>
                    <w:r>
                      <w:rPr>
                        <w:color w:val="FFFFFF"/>
                        <w:w w:val="115"/>
                        <w:sz w:val="14"/>
                      </w:rPr>
                      <w:t>informe anual de la Entidad de Fiscalización Superior</w:t>
                    </w:r>
                    <w:r>
                      <w:rPr>
                        <w:color w:val="FFFFFF"/>
                        <w:w w:val="115"/>
                        <w:sz w:val="18"/>
                      </w:rPr>
                      <w:t>)</w:t>
                    </w:r>
                  </w:p>
                </w:txbxContent>
              </v:textbox>
              <v:fill type="solid"/>
              <w10:wrap type="none"/>
            </v:shape>
            <v:shape style="position:absolute;left:5990;top:4271;width:1071;height:347" type="#_x0000_t202" filled="true" fillcolor="#000000" stroked="false">
              <v:textbox inset="0,0,0,0">
                <w:txbxContent>
                  <w:p>
                    <w:pPr>
                      <w:spacing w:line="261" w:lineRule="auto" w:before="54"/>
                      <w:ind w:left="283" w:right="102" w:hanging="175"/>
                      <w:jc w:val="left"/>
                      <w:rPr>
                        <w:sz w:val="10"/>
                      </w:rPr>
                    </w:pPr>
                    <w:r>
                      <w:rPr>
                        <w:color w:val="FFFFFF"/>
                        <w:w w:val="120"/>
                        <w:sz w:val="10"/>
                      </w:rPr>
                      <w:t>Al parlamento o congreso</w:t>
                    </w:r>
                  </w:p>
                </w:txbxContent>
              </v:textbox>
              <v:fill type="solid"/>
              <w10:wrap type="none"/>
            </v:shape>
            <v:shape style="position:absolute;left:5990;top:4778;width:1071;height:221" type="#_x0000_t202" filled="true" fillcolor="#000000" stroked="false">
              <v:textbox inset="0,0,0,0">
                <w:txbxContent>
                  <w:p>
                    <w:pPr>
                      <w:spacing w:before="54"/>
                      <w:ind w:left="252" w:right="102" w:firstLine="0"/>
                      <w:jc w:val="left"/>
                      <w:rPr>
                        <w:sz w:val="10"/>
                      </w:rPr>
                    </w:pPr>
                    <w:r>
                      <w:rPr>
                        <w:color w:val="FFFFFF"/>
                        <w:w w:val="120"/>
                        <w:sz w:val="10"/>
                      </w:rPr>
                      <w:t>Al  público</w:t>
                    </w:r>
                  </w:p>
                </w:txbxContent>
              </v:textbox>
              <v:fill type="solid"/>
              <w10:wrap type="none"/>
            </v:shape>
            <w10:wrap type="topAndBottom"/>
          </v:group>
        </w:pict>
      </w:r>
    </w:p>
    <w:p>
      <w:pPr>
        <w:spacing w:line="137" w:lineRule="exact" w:before="108"/>
        <w:ind w:left="120" w:right="0" w:firstLine="0"/>
        <w:jc w:val="both"/>
        <w:rPr>
          <w:sz w:val="12"/>
        </w:rPr>
      </w:pPr>
      <w:r>
        <w:rPr>
          <w:sz w:val="12"/>
        </w:rPr>
        <w:t>FUENTE: INTOSAI,IX Congreso (1977).</w:t>
      </w:r>
    </w:p>
    <w:p>
      <w:pPr>
        <w:spacing w:line="244" w:lineRule="auto" w:before="0"/>
        <w:ind w:left="688" w:right="86" w:firstLine="0"/>
        <w:jc w:val="left"/>
        <w:rPr>
          <w:sz w:val="12"/>
        </w:rPr>
      </w:pPr>
      <w:r>
        <w:rPr>
          <w:sz w:val="12"/>
        </w:rPr>
        <w:t>Nota: De acuerdo con la INTOSAI, los pilares de la independencia de las EFS son: Marco legal, recursos, dirección personal, auditorías, acceso a la información, presentación de resultados de auditoría, contenido y planificación de los informes de auditoría y mecanismos de seguimiento eficaces.</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10"/>
        <w:rPr>
          <w:sz w:val="11"/>
        </w:rPr>
      </w:pPr>
    </w:p>
    <w:p>
      <w:pPr>
        <w:pStyle w:val="BodyText"/>
        <w:spacing w:line="360" w:lineRule="auto"/>
        <w:ind w:left="120" w:right="103" w:firstLine="567"/>
        <w:jc w:val="both"/>
      </w:pPr>
      <w:r>
        <w:rPr/>
        <w:t>En algunos países, principalmente los avanzados, como en Alemania, las instituciones</w:t>
      </w:r>
      <w:r>
        <w:rPr>
          <w:spacing w:val="-7"/>
        </w:rPr>
        <w:t> </w:t>
      </w:r>
      <w:r>
        <w:rPr/>
        <w:t>de</w:t>
      </w:r>
      <w:r>
        <w:rPr>
          <w:spacing w:val="-9"/>
        </w:rPr>
        <w:t> </w:t>
      </w:r>
      <w:r>
        <w:rPr/>
        <w:t>rendición</w:t>
      </w:r>
      <w:r>
        <w:rPr>
          <w:spacing w:val="-9"/>
        </w:rPr>
        <w:t> </w:t>
      </w:r>
      <w:r>
        <w:rPr/>
        <w:t>de</w:t>
      </w:r>
      <w:r>
        <w:rPr>
          <w:spacing w:val="-9"/>
        </w:rPr>
        <w:t> </w:t>
      </w:r>
      <w:r>
        <w:rPr/>
        <w:t>cuentas</w:t>
      </w:r>
      <w:r>
        <w:rPr>
          <w:spacing w:val="-7"/>
        </w:rPr>
        <w:t> </w:t>
      </w:r>
      <w:r>
        <w:rPr/>
        <w:t>asesoran</w:t>
      </w:r>
      <w:r>
        <w:rPr>
          <w:spacing w:val="-9"/>
        </w:rPr>
        <w:t> </w:t>
      </w:r>
      <w:r>
        <w:rPr/>
        <w:t>a</w:t>
      </w:r>
      <w:r>
        <w:rPr>
          <w:spacing w:val="-6"/>
        </w:rPr>
        <w:t> </w:t>
      </w:r>
      <w:r>
        <w:rPr/>
        <w:t>sus</w:t>
      </w:r>
      <w:r>
        <w:rPr>
          <w:spacing w:val="-7"/>
        </w:rPr>
        <w:t> </w:t>
      </w:r>
      <w:r>
        <w:rPr/>
        <w:t>gobiernos</w:t>
      </w:r>
      <w:r>
        <w:rPr>
          <w:spacing w:val="-7"/>
        </w:rPr>
        <w:t> </w:t>
      </w:r>
      <w:r>
        <w:rPr/>
        <w:t>y</w:t>
      </w:r>
      <w:r>
        <w:rPr>
          <w:spacing w:val="-11"/>
        </w:rPr>
        <w:t> </w:t>
      </w:r>
      <w:r>
        <w:rPr/>
        <w:t>legislaturas</w:t>
      </w:r>
      <w:r>
        <w:rPr>
          <w:spacing w:val="-7"/>
        </w:rPr>
        <w:t> </w:t>
      </w:r>
      <w:r>
        <w:rPr/>
        <w:t>en la elaboración del</w:t>
      </w:r>
      <w:r>
        <w:rPr>
          <w:spacing w:val="-22"/>
        </w:rPr>
        <w:t> </w:t>
      </w:r>
      <w:r>
        <w:rPr/>
        <w:t>presupuesto.</w:t>
      </w:r>
    </w:p>
    <w:p>
      <w:pPr>
        <w:pStyle w:val="BodyText"/>
      </w:pPr>
    </w:p>
    <w:p>
      <w:pPr>
        <w:pStyle w:val="BodyText"/>
        <w:spacing w:before="5"/>
        <w:rPr>
          <w:sz w:val="29"/>
        </w:rPr>
      </w:pPr>
    </w:p>
    <w:p>
      <w:pPr>
        <w:pStyle w:val="Heading3"/>
        <w:numPr>
          <w:ilvl w:val="2"/>
          <w:numId w:val="62"/>
        </w:numPr>
        <w:tabs>
          <w:tab w:pos="720" w:val="left" w:leader="none"/>
        </w:tabs>
        <w:spacing w:line="362" w:lineRule="auto" w:before="0" w:after="0"/>
        <w:ind w:left="120" w:right="728" w:firstLine="0"/>
        <w:jc w:val="left"/>
      </w:pPr>
      <w:bookmarkStart w:name="_bookmark70" w:id="94"/>
      <w:bookmarkEnd w:id="94"/>
      <w:r>
        <w:rPr>
          <w:b w:val="0"/>
        </w:rPr>
      </w:r>
      <w:bookmarkStart w:name="_bookmark70" w:id="95"/>
      <w:bookmarkEnd w:id="95"/>
      <w:r>
        <w:rPr/>
        <w:t>D</w:t>
      </w:r>
      <w:r>
        <w:rPr/>
        <w:t>eclaración de México sobre la Independencia de las</w:t>
      </w:r>
      <w:r>
        <w:rPr>
          <w:spacing w:val="-29"/>
        </w:rPr>
        <w:t> </w:t>
      </w:r>
      <w:r>
        <w:rPr/>
        <w:t>Entidades Fiscalizadoras</w:t>
      </w:r>
      <w:r>
        <w:rPr>
          <w:spacing w:val="-16"/>
        </w:rPr>
        <w:t> </w:t>
      </w:r>
      <w:r>
        <w:rPr/>
        <w:t>Superiores</w:t>
      </w:r>
    </w:p>
    <w:p>
      <w:pPr>
        <w:pStyle w:val="BodyText"/>
        <w:rPr>
          <w:b/>
        </w:rPr>
      </w:pPr>
    </w:p>
    <w:p>
      <w:pPr>
        <w:spacing w:line="360" w:lineRule="auto" w:before="138"/>
        <w:ind w:left="120" w:right="99" w:firstLine="0"/>
        <w:jc w:val="both"/>
        <w:rPr>
          <w:sz w:val="24"/>
        </w:rPr>
      </w:pPr>
      <w:r>
        <w:rPr>
          <w:sz w:val="24"/>
        </w:rPr>
        <w:t>En noviembre de 2007 se realizó en México el XIX Congreso de la INTOSAI</w:t>
      </w:r>
      <w:r>
        <w:rPr>
          <w:position w:val="8"/>
          <w:sz w:val="16"/>
        </w:rPr>
        <w:t>92 </w:t>
      </w:r>
      <w:r>
        <w:rPr>
          <w:sz w:val="24"/>
        </w:rPr>
        <w:t>del cual se publicó la </w:t>
      </w:r>
      <w:r>
        <w:rPr>
          <w:i/>
          <w:sz w:val="24"/>
        </w:rPr>
        <w:t>Declaración de México sobre Independencia de las </w:t>
      </w:r>
      <w:r>
        <w:rPr>
          <w:i/>
          <w:sz w:val="24"/>
        </w:rPr>
        <w:t>Entidades Fiscalizadoras Superiores </w:t>
      </w:r>
      <w:r>
        <w:rPr>
          <w:sz w:val="24"/>
        </w:rPr>
        <w:t>(clave ISSAI 10), documento difundido</w:t>
      </w:r>
      <w:r>
        <w:rPr>
          <w:spacing w:val="-40"/>
          <w:sz w:val="24"/>
        </w:rPr>
        <w:t> </w:t>
      </w:r>
      <w:r>
        <w:rPr>
          <w:sz w:val="24"/>
        </w:rPr>
        <w:t>con el objeto de contribuir al establecimiento de requisitos para la fiscalización del sector público. Los principios básicos son los</w:t>
      </w:r>
      <w:r>
        <w:rPr>
          <w:spacing w:val="-27"/>
          <w:sz w:val="24"/>
        </w:rPr>
        <w:t> </w:t>
      </w:r>
      <w:r>
        <w:rPr>
          <w:sz w:val="24"/>
        </w:rPr>
        <w:t>siguientes: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9088;mso-wrap-distance-left:0;mso-wrap-distance-right:0" from="85.025002pt,19.184776pt" to="229.075002pt,19.184776pt" stroked="true" strokeweight=".79999pt" strokecolor="#000000">
            <w10:wrap type="topAndBottom"/>
          </v:line>
        </w:pict>
      </w:r>
    </w:p>
    <w:p>
      <w:pPr>
        <w:spacing w:before="59"/>
        <w:ind w:left="120" w:right="86" w:firstLine="0"/>
        <w:jc w:val="left"/>
        <w:rPr>
          <w:sz w:val="16"/>
        </w:rPr>
      </w:pPr>
      <w:r>
        <w:rPr>
          <w:rFonts w:ascii="Times New Roman"/>
          <w:position w:val="7"/>
          <w:sz w:val="13"/>
        </w:rPr>
        <w:t>92</w:t>
      </w:r>
      <w:r>
        <w:rPr>
          <w:sz w:val="16"/>
        </w:rPr>
        <w:t>Disponible en: </w:t>
      </w:r>
      <w:hyperlink r:id="rId161">
        <w:r>
          <w:rPr>
            <w:color w:val="0000FF"/>
            <w:sz w:val="16"/>
            <w:u w:val="single" w:color="0000FF"/>
          </w:rPr>
          <w:t>http://www.incosai2007.org.mx/infogral.htm</w:t>
        </w:r>
        <w:r>
          <w:rPr>
            <w:color w:val="0000FF"/>
            <w:sz w:val="16"/>
          </w:rPr>
          <w:t>l</w:t>
        </w:r>
      </w:hyperlink>
      <w:r>
        <w:rPr>
          <w:color w:val="0000FF"/>
          <w:sz w:val="16"/>
        </w:rPr>
        <w:t> </w:t>
      </w:r>
      <w:r>
        <w:rPr>
          <w:sz w:val="16"/>
        </w:rPr>
        <w:t>[Fecha de consulta: 13 de octubre, 2015]</w:t>
      </w:r>
    </w:p>
    <w:p>
      <w:pPr>
        <w:spacing w:after="0"/>
        <w:jc w:val="left"/>
        <w:rPr>
          <w:sz w:val="16"/>
        </w:rPr>
        <w:sectPr>
          <w:pgSz w:w="11910" w:h="16840"/>
          <w:pgMar w:header="0" w:footer="998" w:top="1340" w:bottom="1180" w:left="1580" w:right="1600"/>
        </w:sectPr>
      </w:pPr>
    </w:p>
    <w:p>
      <w:pPr>
        <w:spacing w:before="49"/>
        <w:ind w:left="1401" w:right="86" w:firstLine="0"/>
        <w:jc w:val="left"/>
        <w:rPr>
          <w:sz w:val="20"/>
        </w:rPr>
      </w:pPr>
      <w:bookmarkStart w:name="_bookmark71" w:id="96"/>
      <w:bookmarkEnd w:id="96"/>
      <w:r>
        <w:rPr/>
      </w:r>
      <w:r>
        <w:rPr>
          <w:sz w:val="20"/>
        </w:rPr>
        <w:t>Cuadro 3. 8. Principios básicos de la INTOSAI para la fiscalización</w:t>
      </w:r>
    </w:p>
    <w:p>
      <w:pPr>
        <w:pStyle w:val="BodyText"/>
        <w:spacing w:before="6"/>
        <w:rPr>
          <w:sz w:val="17"/>
        </w:rPr>
      </w:pPr>
    </w:p>
    <w:tbl>
      <w:tblPr>
        <w:tblW w:w="0" w:type="auto"/>
        <w:jc w:val="left"/>
        <w:tblInd w:w="2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390"/>
      </w:tblGrid>
      <w:tr>
        <w:trPr>
          <w:trHeight w:val="492" w:hRule="exact"/>
        </w:trPr>
        <w:tc>
          <w:tcPr>
            <w:tcW w:w="8390" w:type="dxa"/>
          </w:tcPr>
          <w:p>
            <w:pPr>
              <w:pStyle w:val="TableParagraph"/>
              <w:spacing w:line="244" w:lineRule="auto"/>
              <w:ind w:left="104"/>
              <w:rPr>
                <w:sz w:val="14"/>
              </w:rPr>
            </w:pPr>
            <w:r>
              <w:rPr>
                <w:b/>
                <w:sz w:val="14"/>
              </w:rPr>
              <w:t>Principio 1: </w:t>
            </w:r>
            <w:r>
              <w:rPr>
                <w:sz w:val="14"/>
              </w:rPr>
              <w:t>La existencia de un marco constitucional, reglamentario o legal apropiado y eficaz, así como de disposiciones para la aplicación de </w:t>
            </w:r>
            <w:r>
              <w:rPr>
                <w:i/>
                <w:sz w:val="14"/>
              </w:rPr>
              <w:t>facto </w:t>
            </w:r>
            <w:r>
              <w:rPr>
                <w:sz w:val="14"/>
              </w:rPr>
              <w:t>de dicho marco.</w:t>
            </w:r>
          </w:p>
          <w:p>
            <w:pPr>
              <w:pStyle w:val="TableParagraph"/>
              <w:spacing w:line="157" w:lineRule="exact"/>
              <w:ind w:left="104"/>
              <w:rPr>
                <w:sz w:val="14"/>
              </w:rPr>
            </w:pPr>
            <w:r>
              <w:rPr>
                <w:sz w:val="14"/>
              </w:rPr>
              <w:t>Acción: Se requiere legislación que establezca, de manera detallada, el alcance de la independencia de la EFS.</w:t>
            </w:r>
          </w:p>
        </w:tc>
      </w:tr>
      <w:tr>
        <w:trPr>
          <w:trHeight w:val="1140" w:hRule="exact"/>
        </w:trPr>
        <w:tc>
          <w:tcPr>
            <w:tcW w:w="8390" w:type="dxa"/>
          </w:tcPr>
          <w:p>
            <w:pPr>
              <w:pStyle w:val="TableParagraph"/>
              <w:spacing w:line="244" w:lineRule="auto"/>
              <w:ind w:left="104"/>
              <w:rPr>
                <w:sz w:val="14"/>
              </w:rPr>
            </w:pPr>
            <w:r>
              <w:rPr>
                <w:b/>
                <w:sz w:val="14"/>
              </w:rPr>
              <w:t>Principio 2: </w:t>
            </w:r>
            <w:r>
              <w:rPr>
                <w:sz w:val="14"/>
              </w:rPr>
              <w:t>La independencia de la autoridad superior de la EFS, y de los “miembros” (para el caso de instituciones colegiadas), incluyendo la seguridad en el cargo y la inmunidad legal en el cumplimiento normal de sus obligaciones.</w:t>
            </w:r>
          </w:p>
          <w:p>
            <w:pPr>
              <w:pStyle w:val="TableParagraph"/>
              <w:spacing w:line="244" w:lineRule="auto"/>
              <w:ind w:left="104"/>
              <w:rPr>
                <w:sz w:val="14"/>
              </w:rPr>
            </w:pPr>
            <w:r>
              <w:rPr>
                <w:sz w:val="14"/>
              </w:rPr>
              <w:t>Acción: La legislación específica de las condiciones para la designación, reelección, contratación, destitución y retiro del titular de l a EFS y de los “miembros” en las instituciones colegiadas, quienes son:</w:t>
            </w:r>
          </w:p>
          <w:p>
            <w:pPr>
              <w:pStyle w:val="TableParagraph"/>
              <w:numPr>
                <w:ilvl w:val="0"/>
                <w:numId w:val="66"/>
              </w:numPr>
              <w:tabs>
                <w:tab w:pos="232" w:val="left" w:leader="none"/>
              </w:tabs>
              <w:spacing w:line="157" w:lineRule="exact" w:before="0" w:after="0"/>
              <w:ind w:left="231" w:right="0" w:hanging="143"/>
              <w:jc w:val="left"/>
              <w:rPr>
                <w:sz w:val="14"/>
              </w:rPr>
            </w:pPr>
            <w:r>
              <w:rPr>
                <w:sz w:val="14"/>
              </w:rPr>
              <w:t>Designados,</w:t>
            </w:r>
            <w:r>
              <w:rPr>
                <w:spacing w:val="-2"/>
                <w:sz w:val="14"/>
              </w:rPr>
              <w:t> </w:t>
            </w:r>
            <w:r>
              <w:rPr>
                <w:sz w:val="14"/>
              </w:rPr>
              <w:t>reelectos</w:t>
            </w:r>
            <w:r>
              <w:rPr>
                <w:spacing w:val="-2"/>
                <w:sz w:val="14"/>
              </w:rPr>
              <w:t> </w:t>
            </w:r>
            <w:r>
              <w:rPr>
                <w:sz w:val="14"/>
              </w:rPr>
              <w:t>o</w:t>
            </w:r>
            <w:r>
              <w:rPr>
                <w:spacing w:val="-5"/>
                <w:sz w:val="14"/>
              </w:rPr>
              <w:t> </w:t>
            </w:r>
            <w:r>
              <w:rPr>
                <w:sz w:val="14"/>
              </w:rPr>
              <w:t>destituidos</w:t>
            </w:r>
            <w:r>
              <w:rPr>
                <w:spacing w:val="2"/>
                <w:sz w:val="14"/>
              </w:rPr>
              <w:t> </w:t>
            </w:r>
            <w:r>
              <w:rPr>
                <w:spacing w:val="-3"/>
                <w:sz w:val="14"/>
              </w:rPr>
              <w:t>en</w:t>
            </w:r>
            <w:r>
              <w:rPr>
                <w:spacing w:val="-5"/>
                <w:sz w:val="14"/>
              </w:rPr>
              <w:t> </w:t>
            </w:r>
            <w:r>
              <w:rPr>
                <w:sz w:val="14"/>
              </w:rPr>
              <w:t>un</w:t>
            </w:r>
            <w:r>
              <w:rPr>
                <w:spacing w:val="-5"/>
                <w:sz w:val="14"/>
              </w:rPr>
              <w:t> </w:t>
            </w:r>
            <w:r>
              <w:rPr>
                <w:sz w:val="14"/>
              </w:rPr>
              <w:t>proceso</w:t>
            </w:r>
            <w:r>
              <w:rPr>
                <w:spacing w:val="-8"/>
                <w:sz w:val="14"/>
              </w:rPr>
              <w:t> </w:t>
            </w:r>
            <w:r>
              <w:rPr>
                <w:sz w:val="14"/>
              </w:rPr>
              <w:t>de</w:t>
            </w:r>
            <w:r>
              <w:rPr>
                <w:spacing w:val="-5"/>
                <w:sz w:val="14"/>
              </w:rPr>
              <w:t> </w:t>
            </w:r>
            <w:r>
              <w:rPr>
                <w:sz w:val="14"/>
              </w:rPr>
              <w:t>independiente</w:t>
            </w:r>
            <w:r>
              <w:rPr>
                <w:spacing w:val="-8"/>
                <w:sz w:val="14"/>
              </w:rPr>
              <w:t> </w:t>
            </w:r>
            <w:r>
              <w:rPr>
                <w:sz w:val="14"/>
              </w:rPr>
              <w:t>del</w:t>
            </w:r>
            <w:r>
              <w:rPr>
                <w:spacing w:val="-6"/>
                <w:sz w:val="14"/>
              </w:rPr>
              <w:t> </w:t>
            </w:r>
            <w:r>
              <w:rPr>
                <w:sz w:val="14"/>
              </w:rPr>
              <w:t>Poder</w:t>
            </w:r>
            <w:r>
              <w:rPr>
                <w:spacing w:val="-2"/>
                <w:sz w:val="14"/>
              </w:rPr>
              <w:t> </w:t>
            </w:r>
            <w:r>
              <w:rPr>
                <w:sz w:val="14"/>
              </w:rPr>
              <w:t>Ejecutivo.</w:t>
            </w:r>
          </w:p>
          <w:p>
            <w:pPr>
              <w:pStyle w:val="TableParagraph"/>
              <w:numPr>
                <w:ilvl w:val="0"/>
                <w:numId w:val="66"/>
              </w:numPr>
              <w:tabs>
                <w:tab w:pos="232" w:val="left" w:leader="none"/>
              </w:tabs>
              <w:spacing w:line="160" w:lineRule="exact" w:before="0" w:after="0"/>
              <w:ind w:left="231" w:right="0" w:hanging="143"/>
              <w:jc w:val="left"/>
              <w:rPr>
                <w:sz w:val="14"/>
              </w:rPr>
            </w:pPr>
            <w:r>
              <w:rPr>
                <w:sz w:val="14"/>
              </w:rPr>
              <w:t>Designados</w:t>
            </w:r>
            <w:r>
              <w:rPr>
                <w:spacing w:val="-3"/>
                <w:sz w:val="14"/>
              </w:rPr>
              <w:t> </w:t>
            </w:r>
            <w:r>
              <w:rPr>
                <w:sz w:val="14"/>
              </w:rPr>
              <w:t>por</w:t>
            </w:r>
            <w:r>
              <w:rPr>
                <w:spacing w:val="-3"/>
                <w:sz w:val="14"/>
              </w:rPr>
              <w:t> </w:t>
            </w:r>
            <w:r>
              <w:rPr>
                <w:sz w:val="14"/>
              </w:rPr>
              <w:t>períodos</w:t>
            </w:r>
            <w:r>
              <w:rPr>
                <w:spacing w:val="-3"/>
                <w:sz w:val="14"/>
              </w:rPr>
              <w:t> </w:t>
            </w:r>
            <w:r>
              <w:rPr>
                <w:sz w:val="14"/>
              </w:rPr>
              <w:t>prolongados para</w:t>
            </w:r>
            <w:r>
              <w:rPr>
                <w:spacing w:val="-10"/>
                <w:sz w:val="14"/>
              </w:rPr>
              <w:t> </w:t>
            </w:r>
            <w:r>
              <w:rPr>
                <w:sz w:val="14"/>
              </w:rPr>
              <w:t>permitirles</w:t>
            </w:r>
            <w:r>
              <w:rPr>
                <w:spacing w:val="-3"/>
                <w:sz w:val="14"/>
              </w:rPr>
              <w:t> </w:t>
            </w:r>
            <w:r>
              <w:rPr>
                <w:sz w:val="14"/>
              </w:rPr>
              <w:t>su</w:t>
            </w:r>
            <w:r>
              <w:rPr>
                <w:spacing w:val="-6"/>
                <w:sz w:val="14"/>
              </w:rPr>
              <w:t> </w:t>
            </w:r>
            <w:r>
              <w:rPr>
                <w:sz w:val="14"/>
              </w:rPr>
              <w:t>mandato</w:t>
            </w:r>
            <w:r>
              <w:rPr>
                <w:spacing w:val="-10"/>
                <w:sz w:val="14"/>
              </w:rPr>
              <w:t> </w:t>
            </w:r>
            <w:r>
              <w:rPr>
                <w:sz w:val="14"/>
              </w:rPr>
              <w:t>sin</w:t>
            </w:r>
            <w:r>
              <w:rPr>
                <w:spacing w:val="-6"/>
                <w:sz w:val="14"/>
              </w:rPr>
              <w:t> </w:t>
            </w:r>
            <w:r>
              <w:rPr>
                <w:sz w:val="14"/>
              </w:rPr>
              <w:t>temor a</w:t>
            </w:r>
            <w:r>
              <w:rPr>
                <w:spacing w:val="-10"/>
                <w:sz w:val="14"/>
              </w:rPr>
              <w:t> </w:t>
            </w:r>
            <w:r>
              <w:rPr>
                <w:sz w:val="14"/>
              </w:rPr>
              <w:t>represalias.</w:t>
            </w:r>
          </w:p>
          <w:p>
            <w:pPr>
              <w:pStyle w:val="TableParagraph"/>
              <w:spacing w:line="160" w:lineRule="exact"/>
              <w:ind w:left="104"/>
              <w:rPr>
                <w:sz w:val="14"/>
              </w:rPr>
            </w:pPr>
            <w:r>
              <w:rPr>
                <w:sz w:val="14"/>
              </w:rPr>
              <w:t>inmunes a cualquier proceso por cualquier acto, que resulte del normal cumplimiento de sus obligaciones</w:t>
            </w:r>
          </w:p>
        </w:tc>
      </w:tr>
      <w:tr>
        <w:trPr>
          <w:trHeight w:val="2425" w:hRule="exact"/>
        </w:trPr>
        <w:tc>
          <w:tcPr>
            <w:tcW w:w="8390" w:type="dxa"/>
          </w:tcPr>
          <w:p>
            <w:pPr>
              <w:pStyle w:val="TableParagraph"/>
              <w:spacing w:line="244" w:lineRule="auto"/>
              <w:ind w:left="104"/>
              <w:rPr>
                <w:sz w:val="14"/>
              </w:rPr>
            </w:pPr>
            <w:r>
              <w:rPr>
                <w:b/>
                <w:sz w:val="14"/>
              </w:rPr>
              <w:t>Principio 3: </w:t>
            </w:r>
            <w:r>
              <w:rPr>
                <w:sz w:val="14"/>
              </w:rPr>
              <w:t>Un mandato suficientemente amplio y facultades plenamente discrecionales en el cumplimiento de las funciones de la EFS.</w:t>
            </w:r>
          </w:p>
          <w:p>
            <w:pPr>
              <w:pStyle w:val="TableParagraph"/>
              <w:spacing w:line="160" w:lineRule="exact"/>
              <w:ind w:left="104"/>
              <w:jc w:val="both"/>
              <w:rPr>
                <w:sz w:val="14"/>
              </w:rPr>
            </w:pPr>
            <w:r>
              <w:rPr>
                <w:sz w:val="14"/>
              </w:rPr>
              <w:t>Acción: Las EFS deben tener atribuciones para auditar:</w:t>
            </w:r>
          </w:p>
          <w:p>
            <w:pPr>
              <w:pStyle w:val="TableParagraph"/>
              <w:numPr>
                <w:ilvl w:val="0"/>
                <w:numId w:val="67"/>
              </w:numPr>
              <w:tabs>
                <w:tab w:pos="272" w:val="left" w:leader="none"/>
              </w:tabs>
              <w:spacing w:line="160" w:lineRule="exact" w:before="0" w:after="0"/>
              <w:ind w:left="271" w:right="0" w:hanging="183"/>
              <w:jc w:val="both"/>
              <w:rPr>
                <w:sz w:val="14"/>
              </w:rPr>
            </w:pPr>
            <w:r>
              <w:rPr>
                <w:sz w:val="14"/>
              </w:rPr>
              <w:t>La</w:t>
            </w:r>
            <w:r>
              <w:rPr>
                <w:spacing w:val="-9"/>
                <w:sz w:val="14"/>
              </w:rPr>
              <w:t> </w:t>
            </w:r>
            <w:r>
              <w:rPr>
                <w:sz w:val="14"/>
              </w:rPr>
              <w:t>utilización</w:t>
            </w:r>
            <w:r>
              <w:rPr>
                <w:spacing w:val="-5"/>
                <w:sz w:val="14"/>
              </w:rPr>
              <w:t> </w:t>
            </w:r>
            <w:r>
              <w:rPr>
                <w:sz w:val="14"/>
              </w:rPr>
              <w:t>de</w:t>
            </w:r>
            <w:r>
              <w:rPr>
                <w:spacing w:val="-5"/>
                <w:sz w:val="14"/>
              </w:rPr>
              <w:t> </w:t>
            </w:r>
            <w:r>
              <w:rPr>
                <w:sz w:val="14"/>
              </w:rPr>
              <w:t>los</w:t>
            </w:r>
            <w:r>
              <w:rPr>
                <w:spacing w:val="1"/>
                <w:sz w:val="14"/>
              </w:rPr>
              <w:t> </w:t>
            </w:r>
            <w:r>
              <w:rPr>
                <w:sz w:val="14"/>
              </w:rPr>
              <w:t>activos</w:t>
            </w:r>
            <w:r>
              <w:rPr>
                <w:spacing w:val="-2"/>
                <w:sz w:val="14"/>
              </w:rPr>
              <w:t> </w:t>
            </w:r>
            <w:r>
              <w:rPr>
                <w:sz w:val="14"/>
              </w:rPr>
              <w:t>públicos</w:t>
            </w:r>
            <w:r>
              <w:rPr>
                <w:spacing w:val="-2"/>
                <w:sz w:val="14"/>
              </w:rPr>
              <w:t> </w:t>
            </w:r>
            <w:r>
              <w:rPr>
                <w:sz w:val="14"/>
              </w:rPr>
              <w:t>del</w:t>
            </w:r>
            <w:r>
              <w:rPr>
                <w:spacing w:val="-7"/>
                <w:sz w:val="14"/>
              </w:rPr>
              <w:t> </w:t>
            </w:r>
            <w:r>
              <w:rPr>
                <w:sz w:val="14"/>
              </w:rPr>
              <w:t>receptor</w:t>
            </w:r>
            <w:r>
              <w:rPr>
                <w:spacing w:val="1"/>
                <w:sz w:val="14"/>
              </w:rPr>
              <w:t> </w:t>
            </w:r>
            <w:r>
              <w:rPr>
                <w:sz w:val="14"/>
              </w:rPr>
              <w:t>o</w:t>
            </w:r>
            <w:r>
              <w:rPr>
                <w:spacing w:val="-9"/>
                <w:sz w:val="14"/>
              </w:rPr>
              <w:t> </w:t>
            </w:r>
            <w:r>
              <w:rPr>
                <w:sz w:val="14"/>
              </w:rPr>
              <w:t>beneficiario,</w:t>
            </w:r>
            <w:r>
              <w:rPr>
                <w:spacing w:val="-2"/>
                <w:sz w:val="14"/>
              </w:rPr>
              <w:t> </w:t>
            </w:r>
            <w:r>
              <w:rPr>
                <w:sz w:val="14"/>
              </w:rPr>
              <w:t>de</w:t>
            </w:r>
            <w:r>
              <w:rPr>
                <w:spacing w:val="-9"/>
                <w:sz w:val="14"/>
              </w:rPr>
              <w:t> </w:t>
            </w:r>
            <w:r>
              <w:rPr>
                <w:sz w:val="14"/>
              </w:rPr>
              <w:t>cualquier</w:t>
            </w:r>
            <w:r>
              <w:rPr>
                <w:spacing w:val="-2"/>
                <w:sz w:val="14"/>
              </w:rPr>
              <w:t> </w:t>
            </w:r>
            <w:r>
              <w:rPr>
                <w:sz w:val="14"/>
              </w:rPr>
              <w:t>naturaleza</w:t>
            </w:r>
            <w:r>
              <w:rPr>
                <w:spacing w:val="-9"/>
                <w:sz w:val="14"/>
              </w:rPr>
              <w:t> </w:t>
            </w:r>
            <w:r>
              <w:rPr>
                <w:sz w:val="14"/>
              </w:rPr>
              <w:t>jurídica.</w:t>
            </w:r>
          </w:p>
          <w:p>
            <w:pPr>
              <w:pStyle w:val="TableParagraph"/>
              <w:numPr>
                <w:ilvl w:val="0"/>
                <w:numId w:val="67"/>
              </w:numPr>
              <w:tabs>
                <w:tab w:pos="272" w:val="left" w:leader="none"/>
              </w:tabs>
              <w:spacing w:line="160" w:lineRule="exact" w:before="0" w:after="0"/>
              <w:ind w:left="271" w:right="0" w:hanging="183"/>
              <w:jc w:val="both"/>
              <w:rPr>
                <w:sz w:val="14"/>
              </w:rPr>
            </w:pPr>
            <w:r>
              <w:rPr>
                <w:sz w:val="14"/>
              </w:rPr>
              <w:t>La</w:t>
            </w:r>
            <w:r>
              <w:rPr>
                <w:spacing w:val="-9"/>
                <w:sz w:val="14"/>
              </w:rPr>
              <w:t> </w:t>
            </w:r>
            <w:r>
              <w:rPr>
                <w:sz w:val="14"/>
              </w:rPr>
              <w:t>recaudación</w:t>
            </w:r>
            <w:r>
              <w:rPr>
                <w:spacing w:val="-6"/>
                <w:sz w:val="14"/>
              </w:rPr>
              <w:t> </w:t>
            </w:r>
            <w:r>
              <w:rPr>
                <w:sz w:val="14"/>
              </w:rPr>
              <w:t>de</w:t>
            </w:r>
            <w:r>
              <w:rPr>
                <w:spacing w:val="-6"/>
                <w:sz w:val="14"/>
              </w:rPr>
              <w:t> </w:t>
            </w:r>
            <w:r>
              <w:rPr>
                <w:sz w:val="14"/>
              </w:rPr>
              <w:t>ingresos adeudados al</w:t>
            </w:r>
            <w:r>
              <w:rPr>
                <w:spacing w:val="-8"/>
                <w:sz w:val="14"/>
              </w:rPr>
              <w:t> </w:t>
            </w:r>
            <w:r>
              <w:rPr>
                <w:sz w:val="14"/>
              </w:rPr>
              <w:t>gobierno</w:t>
            </w:r>
            <w:r>
              <w:rPr>
                <w:spacing w:val="-6"/>
                <w:sz w:val="14"/>
              </w:rPr>
              <w:t> </w:t>
            </w:r>
            <w:r>
              <w:rPr>
                <w:sz w:val="14"/>
              </w:rPr>
              <w:t>o</w:t>
            </w:r>
            <w:r>
              <w:rPr>
                <w:spacing w:val="-2"/>
                <w:sz w:val="14"/>
              </w:rPr>
              <w:t> </w:t>
            </w:r>
            <w:r>
              <w:rPr>
                <w:sz w:val="14"/>
              </w:rPr>
              <w:t>a</w:t>
            </w:r>
            <w:r>
              <w:rPr>
                <w:spacing w:val="-9"/>
                <w:sz w:val="14"/>
              </w:rPr>
              <w:t> </w:t>
            </w:r>
            <w:r>
              <w:rPr>
                <w:sz w:val="14"/>
              </w:rPr>
              <w:t>instituciones</w:t>
            </w:r>
            <w:r>
              <w:rPr>
                <w:spacing w:val="-3"/>
                <w:sz w:val="14"/>
              </w:rPr>
              <w:t> </w:t>
            </w:r>
            <w:r>
              <w:rPr>
                <w:sz w:val="14"/>
              </w:rPr>
              <w:t>públicas.</w:t>
            </w:r>
          </w:p>
          <w:p>
            <w:pPr>
              <w:pStyle w:val="TableParagraph"/>
              <w:numPr>
                <w:ilvl w:val="0"/>
                <w:numId w:val="67"/>
              </w:numPr>
              <w:tabs>
                <w:tab w:pos="272" w:val="left" w:leader="none"/>
              </w:tabs>
              <w:spacing w:line="160" w:lineRule="exact" w:before="0" w:after="0"/>
              <w:ind w:left="271" w:right="0" w:hanging="183"/>
              <w:jc w:val="both"/>
              <w:rPr>
                <w:sz w:val="14"/>
              </w:rPr>
            </w:pPr>
            <w:r>
              <w:rPr>
                <w:sz w:val="14"/>
              </w:rPr>
              <w:t>La</w:t>
            </w:r>
            <w:r>
              <w:rPr>
                <w:spacing w:val="-9"/>
                <w:sz w:val="14"/>
              </w:rPr>
              <w:t> </w:t>
            </w:r>
            <w:r>
              <w:rPr>
                <w:sz w:val="14"/>
              </w:rPr>
              <w:t>legalidad</w:t>
            </w:r>
            <w:r>
              <w:rPr>
                <w:spacing w:val="-2"/>
                <w:sz w:val="14"/>
              </w:rPr>
              <w:t> </w:t>
            </w:r>
            <w:r>
              <w:rPr>
                <w:sz w:val="14"/>
              </w:rPr>
              <w:t>y</w:t>
            </w:r>
            <w:r>
              <w:rPr>
                <w:spacing w:val="-6"/>
                <w:sz w:val="14"/>
              </w:rPr>
              <w:t> </w:t>
            </w:r>
            <w:r>
              <w:rPr>
                <w:sz w:val="14"/>
              </w:rPr>
              <w:t>regularidad</w:t>
            </w:r>
            <w:r>
              <w:rPr>
                <w:spacing w:val="-6"/>
                <w:sz w:val="14"/>
              </w:rPr>
              <w:t> </w:t>
            </w:r>
            <w:r>
              <w:rPr>
                <w:sz w:val="14"/>
              </w:rPr>
              <w:t>contable</w:t>
            </w:r>
            <w:r>
              <w:rPr>
                <w:spacing w:val="-6"/>
                <w:sz w:val="14"/>
              </w:rPr>
              <w:t> </w:t>
            </w:r>
            <w:r>
              <w:rPr>
                <w:sz w:val="14"/>
              </w:rPr>
              <w:t>del</w:t>
            </w:r>
            <w:r>
              <w:rPr>
                <w:spacing w:val="-7"/>
                <w:sz w:val="14"/>
              </w:rPr>
              <w:t> </w:t>
            </w:r>
            <w:r>
              <w:rPr>
                <w:sz w:val="14"/>
              </w:rPr>
              <w:t>gobierno</w:t>
            </w:r>
            <w:r>
              <w:rPr>
                <w:spacing w:val="-6"/>
                <w:sz w:val="14"/>
              </w:rPr>
              <w:t> </w:t>
            </w:r>
            <w:r>
              <w:rPr>
                <w:sz w:val="14"/>
              </w:rPr>
              <w:t>e</w:t>
            </w:r>
            <w:r>
              <w:rPr>
                <w:spacing w:val="-6"/>
                <w:sz w:val="14"/>
              </w:rPr>
              <w:t> </w:t>
            </w:r>
            <w:r>
              <w:rPr>
                <w:sz w:val="14"/>
              </w:rPr>
              <w:t>instituciones</w:t>
            </w:r>
            <w:r>
              <w:rPr>
                <w:spacing w:val="-3"/>
                <w:sz w:val="14"/>
              </w:rPr>
              <w:t> </w:t>
            </w:r>
            <w:r>
              <w:rPr>
                <w:sz w:val="14"/>
              </w:rPr>
              <w:t>públicas.</w:t>
            </w:r>
          </w:p>
          <w:p>
            <w:pPr>
              <w:pStyle w:val="TableParagraph"/>
              <w:numPr>
                <w:ilvl w:val="0"/>
                <w:numId w:val="67"/>
              </w:numPr>
              <w:tabs>
                <w:tab w:pos="272" w:val="left" w:leader="none"/>
              </w:tabs>
              <w:spacing w:line="160" w:lineRule="exact" w:before="3" w:after="0"/>
              <w:ind w:left="271" w:right="0" w:hanging="183"/>
              <w:jc w:val="both"/>
              <w:rPr>
                <w:sz w:val="14"/>
              </w:rPr>
            </w:pPr>
            <w:r>
              <w:rPr>
                <w:sz w:val="14"/>
              </w:rPr>
              <w:t>La</w:t>
            </w:r>
            <w:r>
              <w:rPr>
                <w:spacing w:val="-9"/>
                <w:sz w:val="14"/>
              </w:rPr>
              <w:t> </w:t>
            </w:r>
            <w:r>
              <w:rPr>
                <w:sz w:val="14"/>
              </w:rPr>
              <w:t>calidad</w:t>
            </w:r>
            <w:r>
              <w:rPr>
                <w:spacing w:val="-6"/>
                <w:sz w:val="14"/>
              </w:rPr>
              <w:t> </w:t>
            </w:r>
            <w:r>
              <w:rPr>
                <w:sz w:val="14"/>
              </w:rPr>
              <w:t>de</w:t>
            </w:r>
            <w:r>
              <w:rPr>
                <w:spacing w:val="-6"/>
                <w:sz w:val="14"/>
              </w:rPr>
              <w:t> </w:t>
            </w:r>
            <w:r>
              <w:rPr>
                <w:sz w:val="14"/>
              </w:rPr>
              <w:t>la</w:t>
            </w:r>
            <w:r>
              <w:rPr>
                <w:spacing w:val="-2"/>
                <w:sz w:val="14"/>
              </w:rPr>
              <w:t> </w:t>
            </w:r>
            <w:r>
              <w:rPr>
                <w:sz w:val="14"/>
              </w:rPr>
              <w:t>administración</w:t>
            </w:r>
            <w:r>
              <w:rPr>
                <w:spacing w:val="-2"/>
                <w:sz w:val="14"/>
              </w:rPr>
              <w:t> </w:t>
            </w:r>
            <w:r>
              <w:rPr>
                <w:sz w:val="14"/>
              </w:rPr>
              <w:t>e</w:t>
            </w:r>
            <w:r>
              <w:rPr>
                <w:spacing w:val="-6"/>
                <w:sz w:val="14"/>
              </w:rPr>
              <w:t> </w:t>
            </w:r>
            <w:r>
              <w:rPr>
                <w:sz w:val="14"/>
              </w:rPr>
              <w:t>información</w:t>
            </w:r>
            <w:r>
              <w:rPr>
                <w:spacing w:val="-6"/>
                <w:sz w:val="14"/>
              </w:rPr>
              <w:t> </w:t>
            </w:r>
            <w:r>
              <w:rPr>
                <w:sz w:val="14"/>
              </w:rPr>
              <w:t>financiera, y</w:t>
            </w:r>
          </w:p>
          <w:p>
            <w:pPr>
              <w:pStyle w:val="TableParagraph"/>
              <w:numPr>
                <w:ilvl w:val="0"/>
                <w:numId w:val="67"/>
              </w:numPr>
              <w:tabs>
                <w:tab w:pos="272" w:val="left" w:leader="none"/>
              </w:tabs>
              <w:spacing w:line="160" w:lineRule="exact" w:before="0" w:after="0"/>
              <w:ind w:left="271" w:right="0" w:hanging="183"/>
              <w:jc w:val="both"/>
              <w:rPr>
                <w:sz w:val="14"/>
              </w:rPr>
            </w:pPr>
            <w:r>
              <w:rPr>
                <w:sz w:val="14"/>
              </w:rPr>
              <w:t>La</w:t>
            </w:r>
            <w:r>
              <w:rPr>
                <w:spacing w:val="-7"/>
                <w:sz w:val="14"/>
              </w:rPr>
              <w:t> </w:t>
            </w:r>
            <w:r>
              <w:rPr>
                <w:sz w:val="14"/>
              </w:rPr>
              <w:t>economía,</w:t>
            </w:r>
            <w:r>
              <w:rPr>
                <w:spacing w:val="-2"/>
                <w:sz w:val="14"/>
              </w:rPr>
              <w:t> </w:t>
            </w:r>
            <w:r>
              <w:rPr>
                <w:sz w:val="14"/>
              </w:rPr>
              <w:t>eficiencia</w:t>
            </w:r>
            <w:r>
              <w:rPr>
                <w:spacing w:val="-7"/>
                <w:sz w:val="14"/>
              </w:rPr>
              <w:t> </w:t>
            </w:r>
            <w:r>
              <w:rPr>
                <w:sz w:val="14"/>
              </w:rPr>
              <w:t>y</w:t>
            </w:r>
            <w:r>
              <w:rPr>
                <w:spacing w:val="-4"/>
                <w:sz w:val="14"/>
              </w:rPr>
              <w:t> </w:t>
            </w:r>
            <w:r>
              <w:rPr>
                <w:sz w:val="14"/>
              </w:rPr>
              <w:t>eficacia</w:t>
            </w:r>
            <w:r>
              <w:rPr>
                <w:spacing w:val="-7"/>
                <w:sz w:val="14"/>
              </w:rPr>
              <w:t> </w:t>
            </w:r>
            <w:r>
              <w:rPr>
                <w:sz w:val="14"/>
              </w:rPr>
              <w:t>operativa</w:t>
            </w:r>
            <w:r>
              <w:rPr>
                <w:spacing w:val="-7"/>
                <w:sz w:val="14"/>
              </w:rPr>
              <w:t> </w:t>
            </w:r>
            <w:r>
              <w:rPr>
                <w:sz w:val="14"/>
              </w:rPr>
              <w:t>del</w:t>
            </w:r>
            <w:r>
              <w:rPr>
                <w:spacing w:val="-9"/>
                <w:sz w:val="14"/>
              </w:rPr>
              <w:t> </w:t>
            </w:r>
            <w:r>
              <w:rPr>
                <w:sz w:val="14"/>
              </w:rPr>
              <w:t>gobierno</w:t>
            </w:r>
            <w:r>
              <w:rPr>
                <w:spacing w:val="-7"/>
                <w:sz w:val="14"/>
              </w:rPr>
              <w:t> </w:t>
            </w:r>
            <w:r>
              <w:rPr>
                <w:sz w:val="14"/>
              </w:rPr>
              <w:t>e</w:t>
            </w:r>
            <w:r>
              <w:rPr>
                <w:spacing w:val="-7"/>
                <w:sz w:val="14"/>
              </w:rPr>
              <w:t> </w:t>
            </w:r>
            <w:r>
              <w:rPr>
                <w:sz w:val="14"/>
              </w:rPr>
              <w:t>instituciones</w:t>
            </w:r>
            <w:r>
              <w:rPr>
                <w:spacing w:val="-4"/>
                <w:sz w:val="14"/>
              </w:rPr>
              <w:t> </w:t>
            </w:r>
            <w:r>
              <w:rPr>
                <w:sz w:val="14"/>
              </w:rPr>
              <w:t>públicas.</w:t>
            </w:r>
          </w:p>
          <w:p>
            <w:pPr>
              <w:pStyle w:val="TableParagraph"/>
              <w:spacing w:line="242" w:lineRule="auto"/>
              <w:ind w:left="104" w:right="108"/>
              <w:jc w:val="both"/>
              <w:rPr>
                <w:sz w:val="14"/>
              </w:rPr>
            </w:pPr>
            <w:r>
              <w:rPr>
                <w:sz w:val="14"/>
              </w:rPr>
              <w:t>Las</w:t>
            </w:r>
            <w:r>
              <w:rPr>
                <w:spacing w:val="-6"/>
                <w:sz w:val="14"/>
              </w:rPr>
              <w:t> </w:t>
            </w:r>
            <w:r>
              <w:rPr>
                <w:sz w:val="14"/>
              </w:rPr>
              <w:t>EFS</w:t>
            </w:r>
            <w:r>
              <w:rPr>
                <w:spacing w:val="-9"/>
                <w:sz w:val="14"/>
              </w:rPr>
              <w:t> </w:t>
            </w:r>
            <w:r>
              <w:rPr>
                <w:sz w:val="14"/>
              </w:rPr>
              <w:t>no</w:t>
            </w:r>
            <w:r>
              <w:rPr>
                <w:spacing w:val="-9"/>
                <w:sz w:val="14"/>
              </w:rPr>
              <w:t> </w:t>
            </w:r>
            <w:r>
              <w:rPr>
                <w:sz w:val="14"/>
              </w:rPr>
              <w:t>auditan</w:t>
            </w:r>
            <w:r>
              <w:rPr>
                <w:spacing w:val="-5"/>
                <w:sz w:val="14"/>
              </w:rPr>
              <w:t> </w:t>
            </w:r>
            <w:r>
              <w:rPr>
                <w:sz w:val="14"/>
              </w:rPr>
              <w:t>la</w:t>
            </w:r>
            <w:r>
              <w:rPr>
                <w:spacing w:val="-13"/>
                <w:sz w:val="14"/>
              </w:rPr>
              <w:t> </w:t>
            </w:r>
            <w:r>
              <w:rPr>
                <w:sz w:val="14"/>
              </w:rPr>
              <w:t>política</w:t>
            </w:r>
            <w:r>
              <w:rPr>
                <w:spacing w:val="-13"/>
                <w:sz w:val="14"/>
              </w:rPr>
              <w:t> </w:t>
            </w:r>
            <w:r>
              <w:rPr>
                <w:sz w:val="14"/>
              </w:rPr>
              <w:t>del</w:t>
            </w:r>
            <w:r>
              <w:rPr>
                <w:spacing w:val="-10"/>
                <w:sz w:val="14"/>
              </w:rPr>
              <w:t> </w:t>
            </w:r>
            <w:r>
              <w:rPr>
                <w:sz w:val="14"/>
              </w:rPr>
              <w:t>gobierno</w:t>
            </w:r>
            <w:r>
              <w:rPr>
                <w:spacing w:val="-9"/>
                <w:sz w:val="14"/>
              </w:rPr>
              <w:t> </w:t>
            </w:r>
            <w:r>
              <w:rPr>
                <w:sz w:val="14"/>
              </w:rPr>
              <w:t>o</w:t>
            </w:r>
            <w:r>
              <w:rPr>
                <w:spacing w:val="-13"/>
                <w:sz w:val="14"/>
              </w:rPr>
              <w:t> </w:t>
            </w:r>
            <w:r>
              <w:rPr>
                <w:sz w:val="14"/>
              </w:rPr>
              <w:t>la</w:t>
            </w:r>
            <w:r>
              <w:rPr>
                <w:spacing w:val="-9"/>
                <w:sz w:val="14"/>
              </w:rPr>
              <w:t> </w:t>
            </w:r>
            <w:r>
              <w:rPr>
                <w:sz w:val="14"/>
              </w:rPr>
              <w:t>de</w:t>
            </w:r>
            <w:r>
              <w:rPr>
                <w:spacing w:val="-13"/>
                <w:sz w:val="14"/>
              </w:rPr>
              <w:t> </w:t>
            </w:r>
            <w:r>
              <w:rPr>
                <w:sz w:val="14"/>
              </w:rPr>
              <w:t>las</w:t>
            </w:r>
            <w:r>
              <w:rPr>
                <w:spacing w:val="-6"/>
                <w:sz w:val="14"/>
              </w:rPr>
              <w:t> </w:t>
            </w:r>
            <w:r>
              <w:rPr>
                <w:sz w:val="14"/>
              </w:rPr>
              <w:t>instituciones</w:t>
            </w:r>
            <w:r>
              <w:rPr>
                <w:spacing w:val="-3"/>
                <w:sz w:val="14"/>
              </w:rPr>
              <w:t> </w:t>
            </w:r>
            <w:r>
              <w:rPr>
                <w:sz w:val="14"/>
              </w:rPr>
              <w:t>públicas,</w:t>
            </w:r>
            <w:r>
              <w:rPr>
                <w:spacing w:val="-6"/>
                <w:sz w:val="14"/>
              </w:rPr>
              <w:t> </w:t>
            </w:r>
            <w:r>
              <w:rPr>
                <w:sz w:val="14"/>
              </w:rPr>
              <w:t>sino</w:t>
            </w:r>
            <w:r>
              <w:rPr>
                <w:spacing w:val="-13"/>
                <w:sz w:val="14"/>
              </w:rPr>
              <w:t> </w:t>
            </w:r>
            <w:r>
              <w:rPr>
                <w:sz w:val="14"/>
              </w:rPr>
              <w:t>que</w:t>
            </w:r>
            <w:r>
              <w:rPr>
                <w:spacing w:val="-13"/>
                <w:sz w:val="14"/>
              </w:rPr>
              <w:t> </w:t>
            </w:r>
            <w:r>
              <w:rPr>
                <w:sz w:val="14"/>
              </w:rPr>
              <w:t>se</w:t>
            </w:r>
            <w:r>
              <w:rPr>
                <w:spacing w:val="-9"/>
                <w:sz w:val="14"/>
              </w:rPr>
              <w:t> </w:t>
            </w:r>
            <w:r>
              <w:rPr>
                <w:sz w:val="14"/>
              </w:rPr>
              <w:t>limitan</w:t>
            </w:r>
            <w:r>
              <w:rPr>
                <w:spacing w:val="-5"/>
                <w:sz w:val="14"/>
              </w:rPr>
              <w:t> </w:t>
            </w:r>
            <w:r>
              <w:rPr>
                <w:sz w:val="14"/>
              </w:rPr>
              <w:t>a</w:t>
            </w:r>
            <w:r>
              <w:rPr>
                <w:spacing w:val="-9"/>
                <w:sz w:val="14"/>
              </w:rPr>
              <w:t> </w:t>
            </w:r>
            <w:r>
              <w:rPr>
                <w:sz w:val="14"/>
              </w:rPr>
              <w:t>auditar</w:t>
            </w:r>
            <w:r>
              <w:rPr>
                <w:spacing w:val="-6"/>
                <w:sz w:val="14"/>
              </w:rPr>
              <w:t> </w:t>
            </w:r>
            <w:r>
              <w:rPr>
                <w:sz w:val="14"/>
              </w:rPr>
              <w:t>los</w:t>
            </w:r>
            <w:r>
              <w:rPr>
                <w:spacing w:val="-6"/>
                <w:sz w:val="14"/>
              </w:rPr>
              <w:t> </w:t>
            </w:r>
            <w:r>
              <w:rPr>
                <w:sz w:val="14"/>
              </w:rPr>
              <w:t>resultados</w:t>
            </w:r>
            <w:r>
              <w:rPr>
                <w:spacing w:val="5"/>
                <w:sz w:val="14"/>
              </w:rPr>
              <w:t> </w:t>
            </w:r>
            <w:r>
              <w:rPr>
                <w:sz w:val="14"/>
              </w:rPr>
              <w:t>de</w:t>
            </w:r>
            <w:r>
              <w:rPr>
                <w:spacing w:val="-9"/>
                <w:sz w:val="14"/>
              </w:rPr>
              <w:t> </w:t>
            </w:r>
            <w:r>
              <w:rPr>
                <w:sz w:val="14"/>
              </w:rPr>
              <w:t>la</w:t>
            </w:r>
            <w:r>
              <w:rPr>
                <w:spacing w:val="-13"/>
                <w:sz w:val="14"/>
              </w:rPr>
              <w:t> </w:t>
            </w:r>
            <w:r>
              <w:rPr>
                <w:sz w:val="14"/>
              </w:rPr>
              <w:t>política. Las</w:t>
            </w:r>
            <w:r>
              <w:rPr>
                <w:spacing w:val="-6"/>
                <w:sz w:val="14"/>
              </w:rPr>
              <w:t> </w:t>
            </w:r>
            <w:r>
              <w:rPr>
                <w:sz w:val="14"/>
              </w:rPr>
              <w:t>EFS</w:t>
            </w:r>
            <w:r>
              <w:rPr>
                <w:spacing w:val="-5"/>
                <w:sz w:val="14"/>
              </w:rPr>
              <w:t> </w:t>
            </w:r>
            <w:r>
              <w:rPr>
                <w:sz w:val="14"/>
              </w:rPr>
              <w:t>deben</w:t>
            </w:r>
            <w:r>
              <w:rPr>
                <w:spacing w:val="-9"/>
                <w:sz w:val="14"/>
              </w:rPr>
              <w:t> </w:t>
            </w:r>
            <w:r>
              <w:rPr>
                <w:sz w:val="14"/>
              </w:rPr>
              <w:t>tener</w:t>
            </w:r>
            <w:r>
              <w:rPr>
                <w:spacing w:val="-6"/>
                <w:sz w:val="14"/>
              </w:rPr>
              <w:t> </w:t>
            </w:r>
            <w:r>
              <w:rPr>
                <w:sz w:val="14"/>
              </w:rPr>
              <w:t>facultad</w:t>
            </w:r>
            <w:r>
              <w:rPr>
                <w:spacing w:val="-9"/>
                <w:sz w:val="14"/>
              </w:rPr>
              <w:t> </w:t>
            </w:r>
            <w:r>
              <w:rPr>
                <w:sz w:val="14"/>
              </w:rPr>
              <w:t>total</w:t>
            </w:r>
            <w:r>
              <w:rPr>
                <w:spacing w:val="-7"/>
                <w:sz w:val="14"/>
              </w:rPr>
              <w:t> </w:t>
            </w:r>
            <w:r>
              <w:rPr>
                <w:sz w:val="14"/>
              </w:rPr>
              <w:t>para</w:t>
            </w:r>
            <w:r>
              <w:rPr>
                <w:spacing w:val="-12"/>
                <w:sz w:val="14"/>
              </w:rPr>
              <w:t> </w:t>
            </w:r>
            <w:r>
              <w:rPr>
                <w:sz w:val="14"/>
              </w:rPr>
              <w:t>cumplir</w:t>
            </w:r>
            <w:r>
              <w:rPr>
                <w:spacing w:val="-6"/>
                <w:sz w:val="14"/>
              </w:rPr>
              <w:t> </w:t>
            </w:r>
            <w:r>
              <w:rPr>
                <w:sz w:val="14"/>
              </w:rPr>
              <w:t>con</w:t>
            </w:r>
            <w:r>
              <w:rPr>
                <w:spacing w:val="-9"/>
                <w:sz w:val="14"/>
              </w:rPr>
              <w:t> </w:t>
            </w:r>
            <w:r>
              <w:rPr>
                <w:sz w:val="14"/>
              </w:rPr>
              <w:t>sus</w:t>
            </w:r>
            <w:r>
              <w:rPr>
                <w:spacing w:val="-6"/>
                <w:sz w:val="14"/>
              </w:rPr>
              <w:t> </w:t>
            </w:r>
            <w:r>
              <w:rPr>
                <w:sz w:val="14"/>
              </w:rPr>
              <w:t>responsabilidades</w:t>
            </w:r>
            <w:r>
              <w:rPr>
                <w:spacing w:val="-6"/>
                <w:sz w:val="14"/>
              </w:rPr>
              <w:t> </w:t>
            </w:r>
            <w:r>
              <w:rPr>
                <w:sz w:val="14"/>
              </w:rPr>
              <w:t>y</w:t>
            </w:r>
            <w:r>
              <w:rPr>
                <w:spacing w:val="-9"/>
                <w:sz w:val="14"/>
              </w:rPr>
              <w:t> </w:t>
            </w:r>
            <w:r>
              <w:rPr>
                <w:sz w:val="14"/>
              </w:rPr>
              <w:t>cooperar</w:t>
            </w:r>
            <w:r>
              <w:rPr>
                <w:spacing w:val="-6"/>
                <w:sz w:val="14"/>
              </w:rPr>
              <w:t> </w:t>
            </w:r>
            <w:r>
              <w:rPr>
                <w:sz w:val="14"/>
              </w:rPr>
              <w:t>con</w:t>
            </w:r>
            <w:r>
              <w:rPr>
                <w:spacing w:val="-9"/>
                <w:sz w:val="14"/>
              </w:rPr>
              <w:t> </w:t>
            </w:r>
            <w:r>
              <w:rPr>
                <w:sz w:val="14"/>
              </w:rPr>
              <w:t>los</w:t>
            </w:r>
            <w:r>
              <w:rPr>
                <w:spacing w:val="-6"/>
                <w:sz w:val="14"/>
              </w:rPr>
              <w:t> </w:t>
            </w:r>
            <w:r>
              <w:rPr>
                <w:sz w:val="14"/>
              </w:rPr>
              <w:t>gobiernos</w:t>
            </w:r>
            <w:r>
              <w:rPr>
                <w:spacing w:val="-3"/>
                <w:sz w:val="14"/>
              </w:rPr>
              <w:t> </w:t>
            </w:r>
            <w:r>
              <w:rPr>
                <w:sz w:val="14"/>
              </w:rPr>
              <w:t>e</w:t>
            </w:r>
            <w:r>
              <w:rPr>
                <w:spacing w:val="-12"/>
                <w:sz w:val="14"/>
              </w:rPr>
              <w:t> </w:t>
            </w:r>
            <w:r>
              <w:rPr>
                <w:sz w:val="14"/>
              </w:rPr>
              <w:t>instituciones</w:t>
            </w:r>
            <w:r>
              <w:rPr>
                <w:spacing w:val="-6"/>
                <w:sz w:val="14"/>
              </w:rPr>
              <w:t> </w:t>
            </w:r>
            <w:r>
              <w:rPr>
                <w:sz w:val="14"/>
              </w:rPr>
              <w:t>públicas</w:t>
            </w:r>
            <w:r>
              <w:rPr>
                <w:spacing w:val="-6"/>
                <w:sz w:val="14"/>
              </w:rPr>
              <w:t> </w:t>
            </w:r>
            <w:r>
              <w:rPr>
                <w:sz w:val="14"/>
              </w:rPr>
              <w:t>que procuran</w:t>
            </w:r>
            <w:r>
              <w:rPr>
                <w:spacing w:val="-5"/>
                <w:sz w:val="14"/>
              </w:rPr>
              <w:t> </w:t>
            </w:r>
            <w:r>
              <w:rPr>
                <w:sz w:val="14"/>
              </w:rPr>
              <w:t>mejorar</w:t>
            </w:r>
            <w:r>
              <w:rPr>
                <w:spacing w:val="-2"/>
                <w:sz w:val="14"/>
              </w:rPr>
              <w:t> </w:t>
            </w:r>
            <w:r>
              <w:rPr>
                <w:sz w:val="14"/>
              </w:rPr>
              <w:t>la</w:t>
            </w:r>
            <w:r>
              <w:rPr>
                <w:spacing w:val="-5"/>
                <w:sz w:val="14"/>
              </w:rPr>
              <w:t> </w:t>
            </w:r>
            <w:r>
              <w:rPr>
                <w:sz w:val="14"/>
              </w:rPr>
              <w:t>utilización</w:t>
            </w:r>
            <w:r>
              <w:rPr>
                <w:spacing w:val="-5"/>
                <w:sz w:val="14"/>
              </w:rPr>
              <w:t> </w:t>
            </w:r>
            <w:r>
              <w:rPr>
                <w:sz w:val="14"/>
              </w:rPr>
              <w:t>y</w:t>
            </w:r>
            <w:r>
              <w:rPr>
                <w:spacing w:val="-2"/>
                <w:sz w:val="14"/>
              </w:rPr>
              <w:t> </w:t>
            </w:r>
            <w:r>
              <w:rPr>
                <w:sz w:val="14"/>
              </w:rPr>
              <w:t>la</w:t>
            </w:r>
            <w:r>
              <w:rPr>
                <w:spacing w:val="-9"/>
                <w:sz w:val="14"/>
              </w:rPr>
              <w:t> </w:t>
            </w:r>
            <w:r>
              <w:rPr>
                <w:sz w:val="14"/>
              </w:rPr>
              <w:t>gestión</w:t>
            </w:r>
            <w:r>
              <w:rPr>
                <w:spacing w:val="-5"/>
                <w:sz w:val="14"/>
              </w:rPr>
              <w:t> </w:t>
            </w:r>
            <w:r>
              <w:rPr>
                <w:sz w:val="14"/>
              </w:rPr>
              <w:t>de</w:t>
            </w:r>
            <w:r>
              <w:rPr>
                <w:spacing w:val="-5"/>
                <w:sz w:val="14"/>
              </w:rPr>
              <w:t> </w:t>
            </w:r>
            <w:r>
              <w:rPr>
                <w:sz w:val="14"/>
              </w:rPr>
              <w:t>los</w:t>
            </w:r>
            <w:r>
              <w:rPr>
                <w:spacing w:val="-2"/>
                <w:sz w:val="14"/>
              </w:rPr>
              <w:t> </w:t>
            </w:r>
            <w:r>
              <w:rPr>
                <w:sz w:val="14"/>
              </w:rPr>
              <w:t>fondos</w:t>
            </w:r>
            <w:r>
              <w:rPr>
                <w:spacing w:val="-2"/>
                <w:sz w:val="14"/>
              </w:rPr>
              <w:t> </w:t>
            </w:r>
            <w:r>
              <w:rPr>
                <w:sz w:val="14"/>
              </w:rPr>
              <w:t>públicos.</w:t>
            </w:r>
          </w:p>
          <w:p>
            <w:pPr>
              <w:pStyle w:val="TableParagraph"/>
              <w:spacing w:line="160" w:lineRule="exact"/>
              <w:ind w:left="104" w:right="95"/>
              <w:rPr>
                <w:sz w:val="14"/>
              </w:rPr>
            </w:pPr>
            <w:r>
              <w:rPr>
                <w:sz w:val="14"/>
              </w:rPr>
              <w:t>Las EFS deben utilizar normas de trabajo, de auditorías apropiadas, y un código de ét ica, basados en los documentos oficiales de la INTOSAI, la </w:t>
            </w:r>
            <w:r>
              <w:rPr>
                <w:i/>
                <w:sz w:val="14"/>
              </w:rPr>
              <w:t>International Federación of Accountants </w:t>
            </w:r>
            <w:r>
              <w:rPr>
                <w:sz w:val="14"/>
              </w:rPr>
              <w:t>u otras entidades reguladoras reconocidas.</w:t>
            </w:r>
          </w:p>
          <w:p>
            <w:pPr>
              <w:pStyle w:val="TableParagraph"/>
              <w:spacing w:line="244" w:lineRule="auto"/>
              <w:ind w:left="104"/>
              <w:rPr>
                <w:sz w:val="14"/>
              </w:rPr>
            </w:pPr>
            <w:r>
              <w:rPr>
                <w:sz w:val="14"/>
              </w:rPr>
              <w:t>Las EFS deben presentar un informe anual al Poder Legislativo u otros órganos del Estado, de acuerdo con la constitución y normativa, y difundirlo al público.</w:t>
            </w:r>
          </w:p>
        </w:tc>
      </w:tr>
      <w:tr>
        <w:trPr>
          <w:trHeight w:val="492" w:hRule="exact"/>
        </w:trPr>
        <w:tc>
          <w:tcPr>
            <w:tcW w:w="8390" w:type="dxa"/>
          </w:tcPr>
          <w:p>
            <w:pPr>
              <w:pStyle w:val="TableParagraph"/>
              <w:spacing w:line="154" w:lineRule="exact"/>
              <w:ind w:left="104"/>
              <w:rPr>
                <w:sz w:val="14"/>
              </w:rPr>
            </w:pPr>
            <w:r>
              <w:rPr>
                <w:b/>
                <w:sz w:val="14"/>
              </w:rPr>
              <w:t>Principio 4: </w:t>
            </w:r>
            <w:r>
              <w:rPr>
                <w:sz w:val="14"/>
              </w:rPr>
              <w:t>Acceso irrestricto a la información.</w:t>
            </w:r>
          </w:p>
          <w:p>
            <w:pPr>
              <w:pStyle w:val="TableParagraph"/>
              <w:spacing w:before="7"/>
              <w:ind w:left="104" w:right="95"/>
              <w:rPr>
                <w:sz w:val="14"/>
              </w:rPr>
            </w:pPr>
            <w:r>
              <w:rPr>
                <w:sz w:val="14"/>
              </w:rPr>
              <w:t>Acción: Las EFS deben tener facultades para el acceso oportuno, ilimitado, directo y libre, a toda la documentación y la información necesaria para el cumplimiento de sus responsabilidades reglamentarias.</w:t>
            </w:r>
          </w:p>
        </w:tc>
      </w:tr>
      <w:tr>
        <w:trPr>
          <w:trHeight w:val="492" w:hRule="exact"/>
        </w:trPr>
        <w:tc>
          <w:tcPr>
            <w:tcW w:w="8390" w:type="dxa"/>
          </w:tcPr>
          <w:p>
            <w:pPr>
              <w:pStyle w:val="TableParagraph"/>
              <w:spacing w:line="158" w:lineRule="exact"/>
              <w:ind w:left="104"/>
              <w:rPr>
                <w:sz w:val="14"/>
              </w:rPr>
            </w:pPr>
            <w:r>
              <w:rPr>
                <w:b/>
                <w:sz w:val="14"/>
              </w:rPr>
              <w:t>Principio 5: </w:t>
            </w:r>
            <w:r>
              <w:rPr>
                <w:sz w:val="14"/>
              </w:rPr>
              <w:t>El derecho y la obligación de informar sobre su trabajo.</w:t>
            </w:r>
          </w:p>
          <w:p>
            <w:pPr>
              <w:pStyle w:val="TableParagraph"/>
              <w:spacing w:before="3"/>
              <w:ind w:left="104" w:right="95"/>
              <w:rPr>
                <w:sz w:val="14"/>
              </w:rPr>
            </w:pPr>
            <w:r>
              <w:rPr>
                <w:sz w:val="14"/>
              </w:rPr>
              <w:t>Acción: Las EFS no deben estar impedidas de informar sobre los resultados de su trabajo de auditoría. Deben estar obligadas por ley a informar por lo menos una vez al año sobre los resultados de su trabajo de auditoría</w:t>
            </w:r>
          </w:p>
        </w:tc>
      </w:tr>
      <w:tr>
        <w:trPr>
          <w:trHeight w:val="976" w:hRule="exact"/>
        </w:trPr>
        <w:tc>
          <w:tcPr>
            <w:tcW w:w="8390" w:type="dxa"/>
          </w:tcPr>
          <w:p>
            <w:pPr>
              <w:pStyle w:val="TableParagraph"/>
              <w:spacing w:line="244" w:lineRule="auto"/>
              <w:ind w:left="104" w:right="120"/>
              <w:jc w:val="both"/>
              <w:rPr>
                <w:sz w:val="14"/>
              </w:rPr>
            </w:pPr>
            <w:r>
              <w:rPr>
                <w:b/>
                <w:sz w:val="14"/>
              </w:rPr>
              <w:t>Principio 6: </w:t>
            </w:r>
            <w:r>
              <w:rPr>
                <w:sz w:val="14"/>
              </w:rPr>
              <w:t>Libertad de decidir el contenido y la oportunidad (momento) de sus informes de auditoría, al igual que su publicación y divulgación.</w:t>
            </w:r>
          </w:p>
          <w:p>
            <w:pPr>
              <w:pStyle w:val="TableParagraph"/>
              <w:spacing w:line="242" w:lineRule="auto"/>
              <w:ind w:left="104" w:right="100"/>
              <w:jc w:val="both"/>
              <w:rPr>
                <w:sz w:val="14"/>
              </w:rPr>
            </w:pPr>
            <w:r>
              <w:rPr>
                <w:sz w:val="14"/>
              </w:rPr>
              <w:t>Acción: Las EFS tienen libertad para decidir el contenido de sus informes de auditoría, para formular observaciones y recomendaciones (considerando la opinión de la entidad auditada), para decidir sobre la oportunidad de sus informes de auditoría (de acuerdo con los requisitos legales) y para publicar y divulgar sus informes.</w:t>
            </w:r>
          </w:p>
          <w:p>
            <w:pPr>
              <w:pStyle w:val="TableParagraph"/>
              <w:spacing w:line="158" w:lineRule="exact"/>
              <w:ind w:left="104"/>
              <w:jc w:val="both"/>
              <w:rPr>
                <w:sz w:val="14"/>
              </w:rPr>
            </w:pPr>
            <w:r>
              <w:rPr>
                <w:sz w:val="14"/>
              </w:rPr>
              <w:t>Las EFS pueden aceptar las solicitudes de auditoría del Poder Legislativo.</w:t>
            </w:r>
          </w:p>
        </w:tc>
      </w:tr>
      <w:tr>
        <w:trPr>
          <w:trHeight w:val="1460" w:hRule="exact"/>
        </w:trPr>
        <w:tc>
          <w:tcPr>
            <w:tcW w:w="8390" w:type="dxa"/>
          </w:tcPr>
          <w:p>
            <w:pPr>
              <w:pStyle w:val="TableParagraph"/>
              <w:spacing w:line="157" w:lineRule="exact"/>
              <w:ind w:left="104"/>
              <w:jc w:val="both"/>
              <w:rPr>
                <w:sz w:val="14"/>
              </w:rPr>
            </w:pPr>
            <w:r>
              <w:rPr>
                <w:b/>
                <w:sz w:val="14"/>
              </w:rPr>
              <w:t>Principio 7: </w:t>
            </w:r>
            <w:r>
              <w:rPr>
                <w:sz w:val="14"/>
              </w:rPr>
              <w:t>La existencia de mecanismos eficaces de seguimiento de las recomendaciones de la EFS.</w:t>
            </w:r>
          </w:p>
          <w:p>
            <w:pPr>
              <w:pStyle w:val="TableParagraph"/>
              <w:spacing w:line="244" w:lineRule="auto"/>
              <w:ind w:left="104" w:right="105"/>
              <w:jc w:val="both"/>
              <w:rPr>
                <w:sz w:val="14"/>
              </w:rPr>
            </w:pPr>
            <w:r>
              <w:rPr>
                <w:b/>
                <w:sz w:val="14"/>
              </w:rPr>
              <w:t>Acción: </w:t>
            </w:r>
            <w:r>
              <w:rPr>
                <w:sz w:val="14"/>
              </w:rPr>
              <w:t>Las EFS presentan sus informes de auditoría al Poder Legislativo, a una de sus comisiones, o al directorio de la entidad auditada, según corresponda, para la revisión y el seguimiento de las recomendaciones específicas sobre la adopción de medidas correctivas.</w:t>
            </w:r>
          </w:p>
          <w:p>
            <w:pPr>
              <w:pStyle w:val="TableParagraph"/>
              <w:spacing w:line="237" w:lineRule="auto"/>
              <w:ind w:left="104" w:right="114"/>
              <w:jc w:val="both"/>
              <w:rPr>
                <w:sz w:val="14"/>
              </w:rPr>
            </w:pPr>
            <w:r>
              <w:rPr>
                <w:sz w:val="14"/>
              </w:rPr>
              <w:t>Las EFS tienen su propio sistema interno de seguimiento para asegurar que las entidades auditadas sigan adecuadamente sus observaciones y recomendaciones, así como las del Poder Legislativo, una de sus comisiones, o las del directorio, según corresponda.</w:t>
            </w:r>
          </w:p>
          <w:p>
            <w:pPr>
              <w:pStyle w:val="TableParagraph"/>
              <w:spacing w:before="3"/>
              <w:ind w:left="104" w:right="117"/>
              <w:jc w:val="both"/>
              <w:rPr>
                <w:sz w:val="14"/>
              </w:rPr>
            </w:pPr>
            <w:r>
              <w:rPr>
                <w:sz w:val="14"/>
              </w:rPr>
              <w:t>Las</w:t>
            </w:r>
            <w:r>
              <w:rPr>
                <w:spacing w:val="-10"/>
                <w:sz w:val="14"/>
              </w:rPr>
              <w:t> </w:t>
            </w:r>
            <w:r>
              <w:rPr>
                <w:sz w:val="14"/>
              </w:rPr>
              <w:t>EFS</w:t>
            </w:r>
            <w:r>
              <w:rPr>
                <w:spacing w:val="-13"/>
                <w:sz w:val="14"/>
              </w:rPr>
              <w:t> </w:t>
            </w:r>
            <w:r>
              <w:rPr>
                <w:sz w:val="14"/>
              </w:rPr>
              <w:t>remiten</w:t>
            </w:r>
            <w:r>
              <w:rPr>
                <w:spacing w:val="-13"/>
                <w:sz w:val="14"/>
              </w:rPr>
              <w:t> </w:t>
            </w:r>
            <w:r>
              <w:rPr>
                <w:sz w:val="14"/>
              </w:rPr>
              <w:t>sus</w:t>
            </w:r>
            <w:r>
              <w:rPr>
                <w:spacing w:val="-9"/>
                <w:sz w:val="14"/>
              </w:rPr>
              <w:t> </w:t>
            </w:r>
            <w:r>
              <w:rPr>
                <w:sz w:val="14"/>
              </w:rPr>
              <w:t>informes</w:t>
            </w:r>
            <w:r>
              <w:rPr>
                <w:spacing w:val="-10"/>
                <w:sz w:val="14"/>
              </w:rPr>
              <w:t> </w:t>
            </w:r>
            <w:r>
              <w:rPr>
                <w:sz w:val="14"/>
              </w:rPr>
              <w:t>de</w:t>
            </w:r>
            <w:r>
              <w:rPr>
                <w:spacing w:val="-17"/>
                <w:sz w:val="14"/>
              </w:rPr>
              <w:t> </w:t>
            </w:r>
            <w:r>
              <w:rPr>
                <w:sz w:val="14"/>
              </w:rPr>
              <w:t>seguimiento</w:t>
            </w:r>
            <w:r>
              <w:rPr>
                <w:spacing w:val="-13"/>
                <w:sz w:val="14"/>
              </w:rPr>
              <w:t> </w:t>
            </w:r>
            <w:r>
              <w:rPr>
                <w:sz w:val="14"/>
              </w:rPr>
              <w:t>al</w:t>
            </w:r>
            <w:r>
              <w:rPr>
                <w:spacing w:val="-14"/>
                <w:sz w:val="14"/>
              </w:rPr>
              <w:t> </w:t>
            </w:r>
            <w:r>
              <w:rPr>
                <w:sz w:val="14"/>
              </w:rPr>
              <w:t>Poder</w:t>
            </w:r>
            <w:r>
              <w:rPr>
                <w:spacing w:val="-11"/>
                <w:sz w:val="14"/>
              </w:rPr>
              <w:t> </w:t>
            </w:r>
            <w:r>
              <w:rPr>
                <w:sz w:val="14"/>
              </w:rPr>
              <w:t>Legislativo,</w:t>
            </w:r>
            <w:r>
              <w:rPr>
                <w:spacing w:val="-7"/>
                <w:sz w:val="14"/>
              </w:rPr>
              <w:t> </w:t>
            </w:r>
            <w:r>
              <w:rPr>
                <w:sz w:val="14"/>
              </w:rPr>
              <w:t>o</w:t>
            </w:r>
            <w:r>
              <w:rPr>
                <w:spacing w:val="-13"/>
                <w:sz w:val="14"/>
              </w:rPr>
              <w:t> </w:t>
            </w:r>
            <w:r>
              <w:rPr>
                <w:sz w:val="14"/>
              </w:rPr>
              <w:t>a</w:t>
            </w:r>
            <w:r>
              <w:rPr>
                <w:spacing w:val="-17"/>
                <w:sz w:val="14"/>
              </w:rPr>
              <w:t> </w:t>
            </w:r>
            <w:r>
              <w:rPr>
                <w:sz w:val="14"/>
              </w:rPr>
              <w:t>la</w:t>
            </w:r>
            <w:r>
              <w:rPr>
                <w:spacing w:val="-13"/>
                <w:sz w:val="14"/>
              </w:rPr>
              <w:t> </w:t>
            </w:r>
            <w:r>
              <w:rPr>
                <w:sz w:val="14"/>
              </w:rPr>
              <w:t>entidad</w:t>
            </w:r>
            <w:r>
              <w:rPr>
                <w:spacing w:val="-10"/>
                <w:sz w:val="14"/>
              </w:rPr>
              <w:t> </w:t>
            </w:r>
            <w:r>
              <w:rPr>
                <w:sz w:val="14"/>
              </w:rPr>
              <w:t>auditada,</w:t>
            </w:r>
            <w:r>
              <w:rPr>
                <w:spacing w:val="-11"/>
                <w:sz w:val="14"/>
              </w:rPr>
              <w:t> </w:t>
            </w:r>
            <w:r>
              <w:rPr>
                <w:sz w:val="14"/>
              </w:rPr>
              <w:t>según</w:t>
            </w:r>
            <w:r>
              <w:rPr>
                <w:spacing w:val="-13"/>
                <w:sz w:val="14"/>
              </w:rPr>
              <w:t> </w:t>
            </w:r>
            <w:r>
              <w:rPr>
                <w:sz w:val="14"/>
              </w:rPr>
              <w:t>corresponda,</w:t>
            </w:r>
            <w:r>
              <w:rPr>
                <w:spacing w:val="-11"/>
                <w:sz w:val="14"/>
              </w:rPr>
              <w:t> </w:t>
            </w:r>
            <w:r>
              <w:rPr>
                <w:sz w:val="14"/>
              </w:rPr>
              <w:t>para</w:t>
            </w:r>
            <w:r>
              <w:rPr>
                <w:spacing w:val="-17"/>
                <w:sz w:val="14"/>
              </w:rPr>
              <w:t> </w:t>
            </w:r>
            <w:r>
              <w:rPr>
                <w:sz w:val="14"/>
              </w:rPr>
              <w:t>su</w:t>
            </w:r>
            <w:r>
              <w:rPr>
                <w:spacing w:val="-13"/>
                <w:sz w:val="14"/>
              </w:rPr>
              <w:t> </w:t>
            </w:r>
            <w:r>
              <w:rPr>
                <w:sz w:val="14"/>
              </w:rPr>
              <w:t>consideración y</w:t>
            </w:r>
            <w:r>
              <w:rPr>
                <w:spacing w:val="-4"/>
                <w:sz w:val="14"/>
              </w:rPr>
              <w:t> </w:t>
            </w:r>
            <w:r>
              <w:rPr>
                <w:sz w:val="14"/>
              </w:rPr>
              <w:t>para</w:t>
            </w:r>
            <w:r>
              <w:rPr>
                <w:spacing w:val="-8"/>
                <w:sz w:val="14"/>
              </w:rPr>
              <w:t> </w:t>
            </w:r>
            <w:r>
              <w:rPr>
                <w:sz w:val="14"/>
              </w:rPr>
              <w:t>que</w:t>
            </w:r>
            <w:r>
              <w:rPr>
                <w:spacing w:val="-4"/>
                <w:sz w:val="14"/>
              </w:rPr>
              <w:t> </w:t>
            </w:r>
            <w:r>
              <w:rPr>
                <w:sz w:val="14"/>
              </w:rPr>
              <w:t>adopten</w:t>
            </w:r>
            <w:r>
              <w:rPr>
                <w:spacing w:val="-4"/>
                <w:sz w:val="14"/>
              </w:rPr>
              <w:t> </w:t>
            </w:r>
            <w:r>
              <w:rPr>
                <w:sz w:val="14"/>
              </w:rPr>
              <w:t>las</w:t>
            </w:r>
            <w:r>
              <w:rPr>
                <w:spacing w:val="-2"/>
                <w:sz w:val="14"/>
              </w:rPr>
              <w:t> </w:t>
            </w:r>
            <w:r>
              <w:rPr>
                <w:sz w:val="14"/>
              </w:rPr>
              <w:t>medidas</w:t>
            </w:r>
            <w:r>
              <w:rPr>
                <w:spacing w:val="-2"/>
                <w:sz w:val="14"/>
              </w:rPr>
              <w:t> </w:t>
            </w:r>
            <w:r>
              <w:rPr>
                <w:sz w:val="14"/>
              </w:rPr>
              <w:t>pertinentes,</w:t>
            </w:r>
            <w:r>
              <w:rPr>
                <w:spacing w:val="-2"/>
                <w:sz w:val="14"/>
              </w:rPr>
              <w:t> </w:t>
            </w:r>
            <w:r>
              <w:rPr>
                <w:sz w:val="14"/>
              </w:rPr>
              <w:t>sin</w:t>
            </w:r>
            <w:r>
              <w:rPr>
                <w:spacing w:val="-4"/>
                <w:sz w:val="14"/>
              </w:rPr>
              <w:t> </w:t>
            </w:r>
            <w:r>
              <w:rPr>
                <w:sz w:val="14"/>
              </w:rPr>
              <w:t>detrimento</w:t>
            </w:r>
            <w:r>
              <w:rPr>
                <w:spacing w:val="-8"/>
                <w:sz w:val="14"/>
              </w:rPr>
              <w:t> </w:t>
            </w:r>
            <w:r>
              <w:rPr>
                <w:sz w:val="14"/>
              </w:rPr>
              <w:t>de</w:t>
            </w:r>
            <w:r>
              <w:rPr>
                <w:spacing w:val="-4"/>
                <w:sz w:val="14"/>
              </w:rPr>
              <w:t> </w:t>
            </w:r>
            <w:r>
              <w:rPr>
                <w:sz w:val="14"/>
              </w:rPr>
              <w:t>la</w:t>
            </w:r>
            <w:r>
              <w:rPr>
                <w:spacing w:val="-1"/>
                <w:sz w:val="14"/>
              </w:rPr>
              <w:t> </w:t>
            </w:r>
            <w:r>
              <w:rPr>
                <w:sz w:val="14"/>
              </w:rPr>
              <w:t>aplicación</w:t>
            </w:r>
            <w:r>
              <w:rPr>
                <w:spacing w:val="-4"/>
                <w:sz w:val="14"/>
              </w:rPr>
              <w:t> </w:t>
            </w:r>
            <w:r>
              <w:rPr>
                <w:sz w:val="14"/>
              </w:rPr>
              <w:t>de</w:t>
            </w:r>
            <w:r>
              <w:rPr>
                <w:spacing w:val="-8"/>
                <w:sz w:val="14"/>
              </w:rPr>
              <w:t> </w:t>
            </w:r>
            <w:r>
              <w:rPr>
                <w:sz w:val="14"/>
              </w:rPr>
              <w:t>sanciones.</w:t>
            </w:r>
          </w:p>
        </w:tc>
      </w:tr>
      <w:tr>
        <w:trPr>
          <w:trHeight w:val="976" w:hRule="exact"/>
        </w:trPr>
        <w:tc>
          <w:tcPr>
            <w:tcW w:w="8390" w:type="dxa"/>
          </w:tcPr>
          <w:p>
            <w:pPr>
              <w:pStyle w:val="TableParagraph"/>
              <w:spacing w:line="244" w:lineRule="auto"/>
              <w:ind w:left="104"/>
              <w:rPr>
                <w:sz w:val="14"/>
              </w:rPr>
            </w:pPr>
            <w:r>
              <w:rPr>
                <w:b/>
                <w:sz w:val="14"/>
              </w:rPr>
              <w:t>Principio 8: </w:t>
            </w:r>
            <w:r>
              <w:rPr>
                <w:sz w:val="14"/>
              </w:rPr>
              <w:t>Autonomía financiera y gerencial/administrativa, al igual que disponibilidad de recursos humanos, materiales y económicos apropiados.</w:t>
            </w:r>
          </w:p>
          <w:p>
            <w:pPr>
              <w:pStyle w:val="TableParagraph"/>
              <w:ind w:left="104" w:right="95"/>
              <w:rPr>
                <w:sz w:val="14"/>
              </w:rPr>
            </w:pPr>
            <w:r>
              <w:rPr>
                <w:sz w:val="14"/>
              </w:rPr>
              <w:t>Acción: El Poder Ejecutivo no debe controlar ni supeditar el acceso a los recursos de las EFS, debe asegurar que las EFS tengan los recursos adecuados para cumplir con su mandato.</w:t>
            </w:r>
          </w:p>
          <w:p>
            <w:pPr>
              <w:pStyle w:val="TableParagraph"/>
              <w:spacing w:before="3"/>
              <w:ind w:left="104"/>
              <w:rPr>
                <w:sz w:val="14"/>
              </w:rPr>
            </w:pPr>
            <w:r>
              <w:rPr>
                <w:sz w:val="14"/>
              </w:rPr>
              <w:t>Las</w:t>
            </w:r>
            <w:r>
              <w:rPr>
                <w:spacing w:val="-10"/>
                <w:sz w:val="14"/>
              </w:rPr>
              <w:t> </w:t>
            </w:r>
            <w:r>
              <w:rPr>
                <w:sz w:val="14"/>
              </w:rPr>
              <w:t>EFS</w:t>
            </w:r>
            <w:r>
              <w:rPr>
                <w:spacing w:val="-13"/>
                <w:sz w:val="14"/>
              </w:rPr>
              <w:t> </w:t>
            </w:r>
            <w:r>
              <w:rPr>
                <w:sz w:val="14"/>
              </w:rPr>
              <w:t>tienen</w:t>
            </w:r>
            <w:r>
              <w:rPr>
                <w:spacing w:val="-10"/>
                <w:sz w:val="14"/>
              </w:rPr>
              <w:t> </w:t>
            </w:r>
            <w:r>
              <w:rPr>
                <w:sz w:val="14"/>
              </w:rPr>
              <w:t>derecho</w:t>
            </w:r>
            <w:r>
              <w:rPr>
                <w:spacing w:val="-13"/>
                <w:sz w:val="14"/>
              </w:rPr>
              <w:t> </w:t>
            </w:r>
            <w:r>
              <w:rPr>
                <w:sz w:val="14"/>
              </w:rPr>
              <w:t>de</w:t>
            </w:r>
            <w:r>
              <w:rPr>
                <w:spacing w:val="-13"/>
                <w:sz w:val="14"/>
              </w:rPr>
              <w:t> </w:t>
            </w:r>
            <w:r>
              <w:rPr>
                <w:sz w:val="14"/>
              </w:rPr>
              <w:t>apelar</w:t>
            </w:r>
            <w:r>
              <w:rPr>
                <w:spacing w:val="-7"/>
                <w:sz w:val="14"/>
              </w:rPr>
              <w:t> </w:t>
            </w:r>
            <w:r>
              <w:rPr>
                <w:sz w:val="14"/>
              </w:rPr>
              <w:t>directamente</w:t>
            </w:r>
            <w:r>
              <w:rPr>
                <w:spacing w:val="-13"/>
                <w:sz w:val="14"/>
              </w:rPr>
              <w:t> </w:t>
            </w:r>
            <w:r>
              <w:rPr>
                <w:sz w:val="14"/>
              </w:rPr>
              <w:t>ante</w:t>
            </w:r>
            <w:r>
              <w:rPr>
                <w:spacing w:val="-13"/>
                <w:sz w:val="14"/>
              </w:rPr>
              <w:t> </w:t>
            </w:r>
            <w:r>
              <w:rPr>
                <w:sz w:val="14"/>
              </w:rPr>
              <w:t>el</w:t>
            </w:r>
            <w:r>
              <w:rPr>
                <w:spacing w:val="-14"/>
                <w:sz w:val="14"/>
              </w:rPr>
              <w:t> </w:t>
            </w:r>
            <w:r>
              <w:rPr>
                <w:sz w:val="14"/>
              </w:rPr>
              <w:t>Poder</w:t>
            </w:r>
            <w:r>
              <w:rPr>
                <w:spacing w:val="-11"/>
                <w:sz w:val="14"/>
              </w:rPr>
              <w:t> </w:t>
            </w:r>
            <w:r>
              <w:rPr>
                <w:sz w:val="14"/>
              </w:rPr>
              <w:t>Legislativo</w:t>
            </w:r>
            <w:r>
              <w:rPr>
                <w:spacing w:val="-17"/>
                <w:sz w:val="14"/>
              </w:rPr>
              <w:t> </w:t>
            </w:r>
            <w:r>
              <w:rPr>
                <w:sz w:val="14"/>
              </w:rPr>
              <w:t>si</w:t>
            </w:r>
            <w:r>
              <w:rPr>
                <w:spacing w:val="-11"/>
                <w:sz w:val="14"/>
              </w:rPr>
              <w:t> </w:t>
            </w:r>
            <w:r>
              <w:rPr>
                <w:sz w:val="14"/>
              </w:rPr>
              <w:t>los</w:t>
            </w:r>
            <w:r>
              <w:rPr>
                <w:spacing w:val="-10"/>
                <w:sz w:val="14"/>
              </w:rPr>
              <w:t> </w:t>
            </w:r>
            <w:r>
              <w:rPr>
                <w:sz w:val="14"/>
              </w:rPr>
              <w:t>recursos</w:t>
            </w:r>
            <w:r>
              <w:rPr>
                <w:spacing w:val="-7"/>
                <w:sz w:val="14"/>
              </w:rPr>
              <w:t> </w:t>
            </w:r>
            <w:r>
              <w:rPr>
                <w:sz w:val="14"/>
              </w:rPr>
              <w:t>asignados</w:t>
            </w:r>
            <w:r>
              <w:rPr>
                <w:spacing w:val="-10"/>
                <w:sz w:val="14"/>
              </w:rPr>
              <w:t> </w:t>
            </w:r>
            <w:r>
              <w:rPr>
                <w:sz w:val="14"/>
              </w:rPr>
              <w:t>resultan</w:t>
            </w:r>
            <w:r>
              <w:rPr>
                <w:spacing w:val="-10"/>
                <w:sz w:val="14"/>
              </w:rPr>
              <w:t> </w:t>
            </w:r>
            <w:r>
              <w:rPr>
                <w:sz w:val="14"/>
              </w:rPr>
              <w:t>insuficientes</w:t>
            </w:r>
            <w:r>
              <w:rPr>
                <w:spacing w:val="-10"/>
                <w:sz w:val="14"/>
              </w:rPr>
              <w:t> </w:t>
            </w:r>
            <w:r>
              <w:rPr>
                <w:sz w:val="14"/>
              </w:rPr>
              <w:t>para</w:t>
            </w:r>
            <w:r>
              <w:rPr>
                <w:spacing w:val="-7"/>
                <w:sz w:val="14"/>
              </w:rPr>
              <w:t> </w:t>
            </w:r>
            <w:r>
              <w:rPr>
                <w:sz w:val="14"/>
              </w:rPr>
              <w:t>cumplir con su</w:t>
            </w:r>
            <w:r>
              <w:rPr>
                <w:spacing w:val="-11"/>
                <w:sz w:val="14"/>
              </w:rPr>
              <w:t> </w:t>
            </w:r>
            <w:r>
              <w:rPr>
                <w:sz w:val="14"/>
              </w:rPr>
              <w:t>mandato.</w:t>
            </w:r>
          </w:p>
        </w:tc>
      </w:tr>
    </w:tbl>
    <w:p>
      <w:pPr>
        <w:pStyle w:val="BodyText"/>
        <w:spacing w:before="9"/>
        <w:rPr>
          <w:sz w:val="11"/>
        </w:rPr>
      </w:pPr>
    </w:p>
    <w:p>
      <w:pPr>
        <w:spacing w:before="0"/>
        <w:ind w:left="100" w:right="86" w:firstLine="0"/>
        <w:jc w:val="left"/>
        <w:rPr>
          <w:b/>
          <w:sz w:val="12"/>
        </w:rPr>
      </w:pPr>
      <w:r>
        <w:rPr>
          <w:sz w:val="12"/>
        </w:rPr>
        <w:t>FUENTE:      INTOSAI, IX Congreso</w:t>
      </w:r>
      <w:r>
        <w:rPr>
          <w:b/>
          <w:sz w:val="12"/>
        </w:rPr>
        <w:t>.</w:t>
      </w:r>
    </w:p>
    <w:p>
      <w:pPr>
        <w:spacing w:line="137" w:lineRule="exact" w:before="2"/>
        <w:ind w:left="809" w:right="86" w:firstLine="0"/>
        <w:jc w:val="left"/>
        <w:rPr>
          <w:sz w:val="12"/>
        </w:rPr>
      </w:pPr>
      <w:r>
        <w:rPr>
          <w:sz w:val="12"/>
        </w:rPr>
        <w:t>Disponible en:</w:t>
      </w:r>
    </w:p>
    <w:p>
      <w:pPr>
        <w:spacing w:line="242" w:lineRule="auto" w:before="0"/>
        <w:ind w:left="809" w:right="243" w:firstLine="0"/>
        <w:jc w:val="left"/>
        <w:rPr>
          <w:sz w:val="12"/>
        </w:rPr>
      </w:pPr>
      <w:hyperlink r:id="rId162">
        <w:r>
          <w:rPr>
            <w:color w:val="0000FF"/>
            <w:sz w:val="12"/>
            <w:u w:val="single" w:color="0000FF"/>
          </w:rPr>
          <w:t>http://www.intosai.org/es/documentos/intosai/documentos-basicos/declaraciones-de-lima-y-mexico/declaracion-de-mexico-sobre-independencia-</w:t>
        </w:r>
      </w:hyperlink>
      <w:r>
        <w:rPr>
          <w:color w:val="0000FF"/>
          <w:sz w:val="12"/>
          <w:u w:val="single" w:color="0000FF"/>
        </w:rPr>
        <w:t> </w:t>
      </w:r>
      <w:hyperlink r:id="rId162">
        <w:r>
          <w:rPr>
            <w:color w:val="0000FF"/>
            <w:sz w:val="12"/>
            <w:u w:val="single" w:color="0000FF"/>
          </w:rPr>
          <w:t>de-la-efs.htm</w:t>
        </w:r>
        <w:r>
          <w:rPr>
            <w:color w:val="0000FF"/>
            <w:sz w:val="12"/>
          </w:rPr>
          <w:t>l</w:t>
        </w:r>
      </w:hyperlink>
    </w:p>
    <w:p>
      <w:pPr>
        <w:spacing w:line="134" w:lineRule="exact" w:before="0"/>
        <w:ind w:left="809" w:right="86" w:firstLine="0"/>
        <w:jc w:val="left"/>
        <w:rPr>
          <w:sz w:val="12"/>
        </w:rPr>
      </w:pPr>
      <w:r>
        <w:rPr>
          <w:sz w:val="12"/>
        </w:rPr>
        <w:t>[Fecha de consulta: 17 de septiembrel, 2015]</w:t>
      </w:r>
    </w:p>
    <w:p>
      <w:pPr>
        <w:spacing w:after="0" w:line="134" w:lineRule="exact"/>
        <w:jc w:val="left"/>
        <w:rPr>
          <w:sz w:val="12"/>
        </w:rPr>
        <w:sectPr>
          <w:pgSz w:w="11910" w:h="16840"/>
          <w:pgMar w:header="0" w:footer="998" w:top="1580" w:bottom="1180" w:left="1600" w:right="1580"/>
        </w:sectPr>
      </w:pPr>
    </w:p>
    <w:p>
      <w:pPr>
        <w:pStyle w:val="Heading2"/>
        <w:numPr>
          <w:ilvl w:val="1"/>
          <w:numId w:val="62"/>
        </w:numPr>
        <w:tabs>
          <w:tab w:pos="553" w:val="left" w:leader="none"/>
        </w:tabs>
        <w:spacing w:line="240" w:lineRule="auto" w:before="52" w:after="0"/>
        <w:ind w:left="552" w:right="0" w:hanging="432"/>
        <w:jc w:val="both"/>
      </w:pPr>
      <w:bookmarkStart w:name="_bookmark72" w:id="97"/>
      <w:bookmarkEnd w:id="97"/>
      <w:r>
        <w:rPr>
          <w:b w:val="0"/>
        </w:rPr>
      </w:r>
      <w:bookmarkStart w:name="_bookmark72" w:id="98"/>
      <w:bookmarkEnd w:id="98"/>
      <w:r>
        <w:rPr/>
        <w:t>G</w:t>
      </w:r>
      <w:r>
        <w:rPr/>
        <w:t>obernanza, rendición de cuentas y</w:t>
      </w:r>
      <w:r>
        <w:rPr>
          <w:spacing w:val="-15"/>
        </w:rPr>
        <w:t> </w:t>
      </w:r>
      <w:r>
        <w:rPr/>
        <w:t>corrupción</w:t>
      </w:r>
    </w:p>
    <w:p>
      <w:pPr>
        <w:pStyle w:val="BodyText"/>
        <w:rPr>
          <w:b/>
          <w:sz w:val="26"/>
        </w:rPr>
      </w:pPr>
    </w:p>
    <w:p>
      <w:pPr>
        <w:pStyle w:val="BodyText"/>
        <w:rPr>
          <w:b/>
          <w:sz w:val="26"/>
        </w:rPr>
      </w:pPr>
    </w:p>
    <w:p>
      <w:pPr>
        <w:pStyle w:val="BodyText"/>
        <w:spacing w:line="360" w:lineRule="auto" w:before="217"/>
        <w:ind w:left="120" w:right="99"/>
        <w:jc w:val="both"/>
      </w:pPr>
      <w:r>
        <w:rPr/>
        <w:t>En la INTOSAI se considera que el papel de las EFS comprende el fortalecimiento de la gobernanza y el desempeño de las finanzas públicas mediante</w:t>
      </w:r>
      <w:r>
        <w:rPr>
          <w:spacing w:val="-9"/>
        </w:rPr>
        <w:t> </w:t>
      </w:r>
      <w:r>
        <w:rPr/>
        <w:t>la</w:t>
      </w:r>
      <w:r>
        <w:rPr>
          <w:spacing w:val="-9"/>
        </w:rPr>
        <w:t> </w:t>
      </w:r>
      <w:r>
        <w:rPr/>
        <w:t>supervisión;</w:t>
      </w:r>
      <w:r>
        <w:rPr>
          <w:spacing w:val="-6"/>
        </w:rPr>
        <w:t> </w:t>
      </w:r>
      <w:r>
        <w:rPr/>
        <w:t>y</w:t>
      </w:r>
      <w:r>
        <w:rPr>
          <w:spacing w:val="-11"/>
        </w:rPr>
        <w:t> </w:t>
      </w:r>
      <w:r>
        <w:rPr/>
        <w:t>la</w:t>
      </w:r>
      <w:r>
        <w:rPr>
          <w:spacing w:val="-9"/>
        </w:rPr>
        <w:t> </w:t>
      </w:r>
      <w:r>
        <w:rPr/>
        <w:t>influencia</w:t>
      </w:r>
      <w:r>
        <w:rPr>
          <w:spacing w:val="-5"/>
        </w:rPr>
        <w:t> </w:t>
      </w:r>
      <w:r>
        <w:rPr/>
        <w:t>en</w:t>
      </w:r>
      <w:r>
        <w:rPr>
          <w:spacing w:val="-9"/>
        </w:rPr>
        <w:t> </w:t>
      </w:r>
      <w:r>
        <w:rPr/>
        <w:t>las</w:t>
      </w:r>
      <w:r>
        <w:rPr>
          <w:spacing w:val="-7"/>
        </w:rPr>
        <w:t> </w:t>
      </w:r>
      <w:r>
        <w:rPr/>
        <w:t>vidas</w:t>
      </w:r>
      <w:r>
        <w:rPr>
          <w:spacing w:val="-7"/>
        </w:rPr>
        <w:t> </w:t>
      </w:r>
      <w:r>
        <w:rPr/>
        <w:t>de</w:t>
      </w:r>
      <w:r>
        <w:rPr>
          <w:spacing w:val="-9"/>
        </w:rPr>
        <w:t> </w:t>
      </w:r>
      <w:r>
        <w:rPr/>
        <w:t>los</w:t>
      </w:r>
      <w:r>
        <w:rPr>
          <w:spacing w:val="-7"/>
        </w:rPr>
        <w:t> </w:t>
      </w:r>
      <w:r>
        <w:rPr/>
        <w:t>ciudadanos.</w:t>
      </w:r>
      <w:r>
        <w:rPr>
          <w:spacing w:val="-6"/>
        </w:rPr>
        <w:t> </w:t>
      </w:r>
      <w:r>
        <w:rPr/>
        <w:t>Esto</w:t>
      </w:r>
      <w:r>
        <w:rPr>
          <w:spacing w:val="-9"/>
        </w:rPr>
        <w:t> </w:t>
      </w:r>
      <w:r>
        <w:rPr/>
        <w:t>solo puede lograrse si las EFS contribuyen a un efectivo control político y si la población percibe que las EFS son instituciones independientes de los tres poderes.</w:t>
      </w:r>
    </w:p>
    <w:p>
      <w:pPr>
        <w:pStyle w:val="BodyText"/>
        <w:spacing w:line="360" w:lineRule="auto" w:before="2"/>
        <w:ind w:left="120" w:right="101" w:firstLine="708"/>
        <w:jc w:val="both"/>
        <w:rPr>
          <w:sz w:val="16"/>
        </w:rPr>
      </w:pPr>
      <w:r>
        <w:rPr/>
        <w:t>La gobernanza requiere que la rendición de cuentas actúe contra la corrupción.</w:t>
      </w:r>
      <w:r>
        <w:rPr>
          <w:spacing w:val="-10"/>
        </w:rPr>
        <w:t> </w:t>
      </w:r>
      <w:r>
        <w:rPr/>
        <w:t>La</w:t>
      </w:r>
      <w:r>
        <w:rPr>
          <w:spacing w:val="-13"/>
        </w:rPr>
        <w:t> </w:t>
      </w:r>
      <w:r>
        <w:rPr/>
        <w:t>INTOSAI</w:t>
      </w:r>
      <w:r>
        <w:rPr>
          <w:spacing w:val="-14"/>
        </w:rPr>
        <w:t> </w:t>
      </w:r>
      <w:r>
        <w:rPr/>
        <w:t>reconoce</w:t>
      </w:r>
      <w:r>
        <w:rPr>
          <w:spacing w:val="-13"/>
        </w:rPr>
        <w:t> </w:t>
      </w:r>
      <w:r>
        <w:rPr/>
        <w:t>que</w:t>
      </w:r>
      <w:r>
        <w:rPr>
          <w:spacing w:val="-13"/>
        </w:rPr>
        <w:t> </w:t>
      </w:r>
      <w:r>
        <w:rPr/>
        <w:t>la</w:t>
      </w:r>
      <w:r>
        <w:rPr>
          <w:spacing w:val="-13"/>
        </w:rPr>
        <w:t> </w:t>
      </w:r>
      <w:r>
        <w:rPr/>
        <w:t>corrupción</w:t>
      </w:r>
      <w:r>
        <w:rPr>
          <w:spacing w:val="-13"/>
        </w:rPr>
        <w:t> </w:t>
      </w:r>
      <w:r>
        <w:rPr/>
        <w:t>es</w:t>
      </w:r>
      <w:r>
        <w:rPr>
          <w:spacing w:val="-11"/>
        </w:rPr>
        <w:t> </w:t>
      </w:r>
      <w:r>
        <w:rPr/>
        <w:t>un</w:t>
      </w:r>
      <w:r>
        <w:rPr>
          <w:spacing w:val="-13"/>
        </w:rPr>
        <w:t> </w:t>
      </w:r>
      <w:r>
        <w:rPr/>
        <w:t>problema</w:t>
      </w:r>
      <w:r>
        <w:rPr>
          <w:spacing w:val="-13"/>
        </w:rPr>
        <w:t> </w:t>
      </w:r>
      <w:r>
        <w:rPr/>
        <w:t>mundial</w:t>
      </w:r>
      <w:r>
        <w:rPr>
          <w:spacing w:val="-12"/>
        </w:rPr>
        <w:t> </w:t>
      </w:r>
      <w:r>
        <w:rPr/>
        <w:t>que afecta las finanzas públicas, el Estado de Derecho, el orden social, la seguridad y aumenta la pobreza; por lo anterior, la INTOSAI promueve la lucha contra la corrupción, en el cumplimiento de su responsabilidad de garantizar la transparencia, en congruencia con lo establecido en el marco de la </w:t>
      </w:r>
      <w:r>
        <w:rPr>
          <w:i/>
        </w:rPr>
        <w:t>Convención </w:t>
      </w:r>
      <w:r>
        <w:rPr>
          <w:i/>
        </w:rPr>
        <w:t>de las Naciones Unidas contra la</w:t>
      </w:r>
      <w:r>
        <w:rPr>
          <w:i/>
          <w:spacing w:val="-23"/>
        </w:rPr>
        <w:t> </w:t>
      </w:r>
      <w:r>
        <w:rPr>
          <w:i/>
        </w:rPr>
        <w:t>Corrupción</w:t>
      </w:r>
      <w:r>
        <w:rPr/>
        <w:t>.</w:t>
      </w:r>
      <w:r>
        <w:rPr>
          <w:position w:val="8"/>
          <w:sz w:val="16"/>
        </w:rPr>
        <w:t>93</w:t>
      </w:r>
    </w:p>
    <w:p>
      <w:pPr>
        <w:pStyle w:val="BodyText"/>
        <w:spacing w:line="360" w:lineRule="auto" w:before="6"/>
        <w:ind w:left="120" w:right="98" w:firstLine="708"/>
        <w:jc w:val="both"/>
        <w:rPr>
          <w:sz w:val="16"/>
        </w:rPr>
      </w:pPr>
      <w:r>
        <w:rPr/>
        <w:t>La rendición de cuentas y la gobernanza son elementos indispensables en</w:t>
      </w:r>
      <w:r>
        <w:rPr>
          <w:spacing w:val="-16"/>
        </w:rPr>
        <w:t> </w:t>
      </w:r>
      <w:r>
        <w:rPr/>
        <w:t>una</w:t>
      </w:r>
      <w:r>
        <w:rPr>
          <w:spacing w:val="-16"/>
        </w:rPr>
        <w:t> </w:t>
      </w:r>
      <w:r>
        <w:rPr/>
        <w:t>democracia</w:t>
      </w:r>
      <w:r>
        <w:rPr>
          <w:spacing w:val="-13"/>
        </w:rPr>
        <w:t> </w:t>
      </w:r>
      <w:r>
        <w:rPr/>
        <w:t>para</w:t>
      </w:r>
      <w:r>
        <w:rPr>
          <w:spacing w:val="-16"/>
        </w:rPr>
        <w:t> </w:t>
      </w:r>
      <w:r>
        <w:rPr/>
        <w:t>reducir</w:t>
      </w:r>
      <w:r>
        <w:rPr>
          <w:spacing w:val="-15"/>
        </w:rPr>
        <w:t> </w:t>
      </w:r>
      <w:r>
        <w:rPr/>
        <w:t>la</w:t>
      </w:r>
      <w:r>
        <w:rPr>
          <w:spacing w:val="-16"/>
        </w:rPr>
        <w:t> </w:t>
      </w:r>
      <w:r>
        <w:rPr/>
        <w:t>corrupción;</w:t>
      </w:r>
      <w:r>
        <w:rPr>
          <w:spacing w:val="-14"/>
        </w:rPr>
        <w:t> </w:t>
      </w:r>
      <w:r>
        <w:rPr/>
        <w:t>por</w:t>
      </w:r>
      <w:r>
        <w:rPr>
          <w:spacing w:val="-15"/>
        </w:rPr>
        <w:t> </w:t>
      </w:r>
      <w:r>
        <w:rPr/>
        <w:t>ello,</w:t>
      </w:r>
      <w:r>
        <w:rPr>
          <w:spacing w:val="-14"/>
        </w:rPr>
        <w:t> </w:t>
      </w:r>
      <w:r>
        <w:rPr/>
        <w:t>la</w:t>
      </w:r>
      <w:r>
        <w:rPr>
          <w:spacing w:val="-16"/>
        </w:rPr>
        <w:t> </w:t>
      </w:r>
      <w:r>
        <w:rPr/>
        <w:t>fiscalización</w:t>
      </w:r>
      <w:r>
        <w:rPr>
          <w:spacing w:val="-16"/>
        </w:rPr>
        <w:t> </w:t>
      </w:r>
      <w:r>
        <w:rPr/>
        <w:t>debe</w:t>
      </w:r>
      <w:r>
        <w:rPr>
          <w:spacing w:val="-16"/>
        </w:rPr>
        <w:t> </w:t>
      </w:r>
      <w:r>
        <w:rPr/>
        <w:t>tener un efecto positivo sobre la confianza en la sociedad, </w:t>
      </w:r>
      <w:r>
        <w:rPr>
          <w:spacing w:val="-3"/>
        </w:rPr>
        <w:t>ya </w:t>
      </w:r>
      <w:r>
        <w:rPr/>
        <w:t>que es posible que, con la</w:t>
      </w:r>
      <w:r>
        <w:rPr>
          <w:spacing w:val="-12"/>
        </w:rPr>
        <w:t> </w:t>
      </w:r>
      <w:r>
        <w:rPr/>
        <w:t>presión</w:t>
      </w:r>
      <w:r>
        <w:rPr>
          <w:spacing w:val="-12"/>
        </w:rPr>
        <w:t> </w:t>
      </w:r>
      <w:r>
        <w:rPr/>
        <w:t>social,</w:t>
      </w:r>
      <w:r>
        <w:rPr>
          <w:spacing w:val="-9"/>
        </w:rPr>
        <w:t> </w:t>
      </w:r>
      <w:r>
        <w:rPr/>
        <w:t>la</w:t>
      </w:r>
      <w:r>
        <w:rPr>
          <w:spacing w:val="-12"/>
        </w:rPr>
        <w:t> </w:t>
      </w:r>
      <w:r>
        <w:rPr/>
        <w:t>clase</w:t>
      </w:r>
      <w:r>
        <w:rPr>
          <w:spacing w:val="-12"/>
        </w:rPr>
        <w:t> </w:t>
      </w:r>
      <w:r>
        <w:rPr/>
        <w:t>política</w:t>
      </w:r>
      <w:r>
        <w:rPr>
          <w:spacing w:val="-12"/>
        </w:rPr>
        <w:t> </w:t>
      </w:r>
      <w:r>
        <w:rPr/>
        <w:t>modifique</w:t>
      </w:r>
      <w:r>
        <w:rPr>
          <w:spacing w:val="-12"/>
        </w:rPr>
        <w:t> </w:t>
      </w:r>
      <w:r>
        <w:rPr/>
        <w:t>su</w:t>
      </w:r>
      <w:r>
        <w:rPr>
          <w:spacing w:val="-12"/>
        </w:rPr>
        <w:t> </w:t>
      </w:r>
      <w:r>
        <w:rPr/>
        <w:t>conducta</w:t>
      </w:r>
      <w:r>
        <w:rPr>
          <w:spacing w:val="-12"/>
        </w:rPr>
        <w:t> </w:t>
      </w:r>
      <w:r>
        <w:rPr/>
        <w:t>corrupta</w:t>
      </w:r>
      <w:r>
        <w:rPr>
          <w:spacing w:val="-11"/>
        </w:rPr>
        <w:t> </w:t>
      </w:r>
      <w:r>
        <w:rPr/>
        <w:t>al</w:t>
      </w:r>
      <w:r>
        <w:rPr>
          <w:spacing w:val="-11"/>
        </w:rPr>
        <w:t> </w:t>
      </w:r>
      <w:r>
        <w:rPr/>
        <w:t>ser</w:t>
      </w:r>
      <w:r>
        <w:rPr>
          <w:spacing w:val="-10"/>
        </w:rPr>
        <w:t> </w:t>
      </w:r>
      <w:r>
        <w:rPr/>
        <w:t>objeto</w:t>
      </w:r>
      <w:r>
        <w:rPr>
          <w:spacing w:val="-12"/>
        </w:rPr>
        <w:t> </w:t>
      </w:r>
      <w:r>
        <w:rPr/>
        <w:t>de inspección y sanción. En el XIX Simposio de las Naciones Unidas/INTOSAI, realizado en Austria en 2007 se creó el grupo de trabajo evaluador del </w:t>
      </w:r>
      <w:r>
        <w:rPr>
          <w:i/>
        </w:rPr>
        <w:t>Marco </w:t>
      </w:r>
      <w:r>
        <w:rPr>
          <w:i/>
        </w:rPr>
        <w:t>para Comunicar y Fomentar el Valor y Beneficio de las EFS </w:t>
      </w:r>
      <w:r>
        <w:rPr/>
        <w:t>de las instituciones de</w:t>
      </w:r>
      <w:r>
        <w:rPr>
          <w:spacing w:val="-8"/>
        </w:rPr>
        <w:t> </w:t>
      </w:r>
      <w:r>
        <w:rPr/>
        <w:t>rendición</w:t>
      </w:r>
      <w:r>
        <w:rPr>
          <w:spacing w:val="-8"/>
        </w:rPr>
        <w:t> </w:t>
      </w:r>
      <w:r>
        <w:rPr/>
        <w:t>de</w:t>
      </w:r>
      <w:r>
        <w:rPr>
          <w:spacing w:val="-8"/>
        </w:rPr>
        <w:t> </w:t>
      </w:r>
      <w:r>
        <w:rPr/>
        <w:t>cuentas.</w:t>
      </w:r>
      <w:r>
        <w:rPr>
          <w:spacing w:val="-5"/>
        </w:rPr>
        <w:t> </w:t>
      </w:r>
      <w:r>
        <w:rPr/>
        <w:t>De</w:t>
      </w:r>
      <w:r>
        <w:rPr>
          <w:spacing w:val="-8"/>
        </w:rPr>
        <w:t> </w:t>
      </w:r>
      <w:r>
        <w:rPr/>
        <w:t>los</w:t>
      </w:r>
      <w:r>
        <w:rPr>
          <w:spacing w:val="-6"/>
        </w:rPr>
        <w:t> </w:t>
      </w:r>
      <w:r>
        <w:rPr/>
        <w:t>13</w:t>
      </w:r>
      <w:r>
        <w:rPr>
          <w:spacing w:val="-8"/>
        </w:rPr>
        <w:t> </w:t>
      </w:r>
      <w:r>
        <w:rPr/>
        <w:t>requisitos</w:t>
      </w:r>
      <w:r>
        <w:rPr>
          <w:spacing w:val="-6"/>
        </w:rPr>
        <w:t> </w:t>
      </w:r>
      <w:r>
        <w:rPr/>
        <w:t>considerados</w:t>
      </w:r>
      <w:r>
        <w:rPr>
          <w:spacing w:val="-3"/>
        </w:rPr>
        <w:t> </w:t>
      </w:r>
      <w:r>
        <w:rPr/>
        <w:t>en</w:t>
      </w:r>
      <w:r>
        <w:rPr>
          <w:spacing w:val="-8"/>
        </w:rPr>
        <w:t> </w:t>
      </w:r>
      <w:r>
        <w:rPr/>
        <w:t>el</w:t>
      </w:r>
      <w:r>
        <w:rPr>
          <w:spacing w:val="-4"/>
        </w:rPr>
        <w:t> </w:t>
      </w:r>
      <w:r>
        <w:rPr/>
        <w:t>marco,</w:t>
      </w:r>
      <w:r>
        <w:rPr>
          <w:spacing w:val="-5"/>
        </w:rPr>
        <w:t> </w:t>
      </w:r>
      <w:r>
        <w:rPr/>
        <w:t>el</w:t>
      </w:r>
      <w:r>
        <w:rPr>
          <w:spacing w:val="-7"/>
        </w:rPr>
        <w:t> </w:t>
      </w:r>
      <w:r>
        <w:rPr/>
        <w:t>5</w:t>
      </w:r>
      <w:r>
        <w:rPr>
          <w:spacing w:val="-8"/>
        </w:rPr>
        <w:t> </w:t>
      </w:r>
      <w:r>
        <w:rPr/>
        <w:t>y</w:t>
      </w:r>
      <w:r>
        <w:rPr>
          <w:spacing w:val="-10"/>
        </w:rPr>
        <w:t> </w:t>
      </w:r>
      <w:r>
        <w:rPr/>
        <w:t>el 11 se orientan a promover una buena</w:t>
      </w:r>
      <w:r>
        <w:rPr>
          <w:spacing w:val="-22"/>
        </w:rPr>
        <w:t> </w:t>
      </w:r>
      <w:r>
        <w:rPr/>
        <w:t>gobernanza:</w:t>
      </w:r>
      <w:r>
        <w:rPr>
          <w:position w:val="8"/>
          <w:sz w:val="16"/>
        </w:rPr>
        <w:t>94</w:t>
      </w:r>
    </w:p>
    <w:p>
      <w:pPr>
        <w:pStyle w:val="BodyText"/>
        <w:rPr>
          <w:sz w:val="36"/>
        </w:rPr>
      </w:pPr>
    </w:p>
    <w:p>
      <w:pPr>
        <w:pStyle w:val="ListParagraph"/>
        <w:numPr>
          <w:ilvl w:val="0"/>
          <w:numId w:val="68"/>
        </w:numPr>
        <w:tabs>
          <w:tab w:pos="405" w:val="left" w:leader="none"/>
        </w:tabs>
        <w:spacing w:line="360" w:lineRule="auto" w:before="0" w:after="0"/>
        <w:ind w:left="404" w:right="105" w:hanging="284"/>
        <w:jc w:val="left"/>
        <w:rPr>
          <w:sz w:val="24"/>
        </w:rPr>
      </w:pPr>
      <w:r>
        <w:rPr>
          <w:sz w:val="24"/>
        </w:rPr>
        <w:t>“Objetivo 1: Ser reconocida como una institución que hace una diferencia en las vidas de los Ciudadanos. Requisitos</w:t>
      </w:r>
      <w:r>
        <w:rPr>
          <w:spacing w:val="-33"/>
          <w:sz w:val="24"/>
        </w:rPr>
        <w:t> </w:t>
      </w:r>
      <w:r>
        <w:rPr>
          <w:sz w:val="24"/>
        </w:rPr>
        <w:t>fundamentales: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9112;mso-wrap-distance-left:0;mso-wrap-distance-right:0" from="85.025002pt,11.759768pt" to="229.075002pt,11.759768pt" stroked="true" strokeweight=".79999pt" strokecolor="#000000">
            <w10:wrap type="topAndBottom"/>
          </v:line>
        </w:pict>
      </w:r>
    </w:p>
    <w:p>
      <w:pPr>
        <w:spacing w:line="254" w:lineRule="auto" w:before="60"/>
        <w:ind w:left="120" w:right="86" w:firstLine="0"/>
        <w:jc w:val="left"/>
        <w:rPr>
          <w:sz w:val="16"/>
        </w:rPr>
      </w:pPr>
      <w:r>
        <w:rPr>
          <w:rFonts w:ascii="Times New Roman"/>
          <w:position w:val="7"/>
          <w:sz w:val="13"/>
        </w:rPr>
        <w:t>93</w:t>
      </w:r>
      <w:r>
        <w:rPr>
          <w:sz w:val="16"/>
        </w:rPr>
        <w:t>Disponible en: </w:t>
      </w:r>
      <w:hyperlink r:id="rId163">
        <w:r>
          <w:rPr>
            <w:color w:val="0000FF"/>
            <w:sz w:val="16"/>
            <w:u w:val="single" w:color="0000FF"/>
          </w:rPr>
          <w:t>http://www.unodc.org/pdf/corruption/publications_unodc_convention-s.pdf</w:t>
        </w:r>
      </w:hyperlink>
      <w:r>
        <w:rPr>
          <w:color w:val="0000FF"/>
          <w:sz w:val="16"/>
          <w:u w:val="single" w:color="0000FF"/>
        </w:rPr>
        <w:t> </w:t>
      </w:r>
      <w:r>
        <w:rPr>
          <w:sz w:val="16"/>
        </w:rPr>
        <w:t>[Fecha de consulta: 11 de octubre, 2015]</w:t>
      </w:r>
    </w:p>
    <w:p>
      <w:pPr>
        <w:spacing w:line="192" w:lineRule="exact" w:before="21"/>
        <w:ind w:left="120" w:right="1340" w:firstLine="0"/>
        <w:jc w:val="left"/>
        <w:rPr>
          <w:sz w:val="16"/>
        </w:rPr>
      </w:pPr>
      <w:r>
        <w:rPr>
          <w:rFonts w:ascii="Times New Roman"/>
          <w:position w:val="7"/>
          <w:sz w:val="13"/>
        </w:rPr>
        <w:t>94</w:t>
      </w:r>
      <w:r>
        <w:rPr>
          <w:sz w:val="16"/>
        </w:rPr>
        <w:t>Disponible en: </w:t>
      </w:r>
      <w:hyperlink r:id="rId164">
        <w:r>
          <w:rPr>
            <w:sz w:val="16"/>
          </w:rPr>
          <w:t>http://www.asf.gob.mx/uploads/61_Publicaciones_tecnicas/Autonomia_web.pdf</w:t>
        </w:r>
      </w:hyperlink>
      <w:r>
        <w:rPr>
          <w:sz w:val="16"/>
        </w:rPr>
        <w:t> [Fecha de consulta: 15 de octubre, 2015]</w:t>
      </w:r>
    </w:p>
    <w:p>
      <w:pPr>
        <w:spacing w:after="0" w:line="192" w:lineRule="exact"/>
        <w:jc w:val="left"/>
        <w:rPr>
          <w:sz w:val="16"/>
        </w:rPr>
        <w:sectPr>
          <w:pgSz w:w="11910" w:h="16840"/>
          <w:pgMar w:header="0" w:footer="998" w:top="1340" w:bottom="1180" w:left="1580" w:right="1600"/>
        </w:sectPr>
      </w:pPr>
    </w:p>
    <w:p>
      <w:pPr>
        <w:spacing w:line="360" w:lineRule="auto" w:before="55"/>
        <w:ind w:left="1093" w:right="104" w:hanging="272"/>
        <w:jc w:val="both"/>
        <w:rPr>
          <w:i/>
          <w:sz w:val="24"/>
        </w:rPr>
      </w:pPr>
      <w:r>
        <w:rPr>
          <w:sz w:val="24"/>
        </w:rPr>
        <w:t>5: </w:t>
      </w:r>
      <w:r>
        <w:rPr>
          <w:i/>
          <w:sz w:val="24"/>
        </w:rPr>
        <w:t>Permitir al Poder Legislativo, a una de sus comisiones o a los </w:t>
      </w:r>
      <w:r>
        <w:rPr>
          <w:i/>
          <w:sz w:val="24"/>
        </w:rPr>
        <w:t>encargados de la gobernanza cumplir con sus correspondientes responsabilidades para dar respuesta a los hallazgos y recomendaciones de la auditoría y poner en práctica las medidas correctivas adecuadas.</w:t>
      </w:r>
    </w:p>
    <w:p>
      <w:pPr>
        <w:spacing w:line="360" w:lineRule="auto" w:before="6"/>
        <w:ind w:left="1517" w:right="101" w:firstLine="0"/>
        <w:jc w:val="both"/>
        <w:rPr>
          <w:i/>
          <w:sz w:val="24"/>
        </w:rPr>
      </w:pPr>
      <w:r>
        <w:rPr>
          <w:i/>
          <w:sz w:val="24"/>
        </w:rPr>
        <w:t>La</w:t>
      </w:r>
      <w:r>
        <w:rPr>
          <w:i/>
          <w:spacing w:val="-16"/>
          <w:sz w:val="24"/>
        </w:rPr>
        <w:t> </w:t>
      </w:r>
      <w:r>
        <w:rPr>
          <w:i/>
          <w:sz w:val="24"/>
        </w:rPr>
        <w:t>relación</w:t>
      </w:r>
      <w:r>
        <w:rPr>
          <w:i/>
          <w:spacing w:val="-16"/>
          <w:sz w:val="24"/>
        </w:rPr>
        <w:t> </w:t>
      </w:r>
      <w:r>
        <w:rPr>
          <w:i/>
          <w:sz w:val="24"/>
        </w:rPr>
        <w:t>con</w:t>
      </w:r>
      <w:r>
        <w:rPr>
          <w:i/>
          <w:spacing w:val="-16"/>
          <w:sz w:val="24"/>
        </w:rPr>
        <w:t> </w:t>
      </w:r>
      <w:r>
        <w:rPr>
          <w:i/>
          <w:sz w:val="24"/>
        </w:rPr>
        <w:t>el</w:t>
      </w:r>
      <w:r>
        <w:rPr>
          <w:i/>
          <w:spacing w:val="-15"/>
          <w:sz w:val="24"/>
        </w:rPr>
        <w:t> </w:t>
      </w:r>
      <w:r>
        <w:rPr>
          <w:i/>
          <w:sz w:val="24"/>
        </w:rPr>
        <w:t>Parlamento</w:t>
      </w:r>
      <w:r>
        <w:rPr>
          <w:i/>
          <w:spacing w:val="-14"/>
          <w:sz w:val="24"/>
        </w:rPr>
        <w:t> </w:t>
      </w:r>
      <w:r>
        <w:rPr>
          <w:i/>
          <w:sz w:val="24"/>
        </w:rPr>
        <w:t>tiene</w:t>
      </w:r>
      <w:r>
        <w:rPr>
          <w:i/>
          <w:spacing w:val="-16"/>
          <w:sz w:val="24"/>
        </w:rPr>
        <w:t> </w:t>
      </w:r>
      <w:r>
        <w:rPr>
          <w:i/>
          <w:sz w:val="24"/>
        </w:rPr>
        <w:t>un</w:t>
      </w:r>
      <w:r>
        <w:rPr>
          <w:i/>
          <w:spacing w:val="-12"/>
          <w:sz w:val="24"/>
        </w:rPr>
        <w:t> </w:t>
      </w:r>
      <w:r>
        <w:rPr>
          <w:i/>
          <w:sz w:val="24"/>
        </w:rPr>
        <w:t>papel</w:t>
      </w:r>
      <w:r>
        <w:rPr>
          <w:i/>
          <w:spacing w:val="-15"/>
          <w:sz w:val="24"/>
        </w:rPr>
        <w:t> </w:t>
      </w:r>
      <w:r>
        <w:rPr>
          <w:i/>
          <w:sz w:val="24"/>
        </w:rPr>
        <w:t>crucial</w:t>
      </w:r>
      <w:r>
        <w:rPr>
          <w:i/>
          <w:spacing w:val="-11"/>
          <w:sz w:val="24"/>
        </w:rPr>
        <w:t> </w:t>
      </w:r>
      <w:r>
        <w:rPr>
          <w:i/>
          <w:sz w:val="24"/>
        </w:rPr>
        <w:t>para</w:t>
      </w:r>
      <w:r>
        <w:rPr>
          <w:i/>
          <w:spacing w:val="-12"/>
          <w:sz w:val="24"/>
        </w:rPr>
        <w:t> </w:t>
      </w:r>
      <w:r>
        <w:rPr>
          <w:i/>
          <w:sz w:val="24"/>
        </w:rPr>
        <w:t>garantizar </w:t>
      </w:r>
      <w:r>
        <w:rPr>
          <w:i/>
          <w:sz w:val="24"/>
        </w:rPr>
        <w:t>el uso eficaz de las conclusiones de la auditoría, ya que las EFS y el</w:t>
      </w:r>
      <w:r>
        <w:rPr>
          <w:i/>
          <w:spacing w:val="-12"/>
          <w:sz w:val="24"/>
        </w:rPr>
        <w:t> </w:t>
      </w:r>
      <w:r>
        <w:rPr>
          <w:i/>
          <w:sz w:val="24"/>
        </w:rPr>
        <w:t>poder</w:t>
      </w:r>
      <w:r>
        <w:rPr>
          <w:i/>
          <w:spacing w:val="-8"/>
          <w:sz w:val="24"/>
        </w:rPr>
        <w:t> </w:t>
      </w:r>
      <w:r>
        <w:rPr>
          <w:i/>
          <w:sz w:val="24"/>
        </w:rPr>
        <w:t>judicial</w:t>
      </w:r>
      <w:r>
        <w:rPr>
          <w:i/>
          <w:spacing w:val="-12"/>
          <w:sz w:val="24"/>
        </w:rPr>
        <w:t> </w:t>
      </w:r>
      <w:r>
        <w:rPr>
          <w:i/>
          <w:sz w:val="24"/>
        </w:rPr>
        <w:t>pueden</w:t>
      </w:r>
      <w:r>
        <w:rPr>
          <w:i/>
          <w:spacing w:val="-10"/>
          <w:sz w:val="24"/>
        </w:rPr>
        <w:t> </w:t>
      </w:r>
      <w:r>
        <w:rPr>
          <w:i/>
          <w:sz w:val="24"/>
        </w:rPr>
        <w:t>apoyarse</w:t>
      </w:r>
      <w:r>
        <w:rPr>
          <w:i/>
          <w:spacing w:val="-10"/>
          <w:sz w:val="24"/>
        </w:rPr>
        <w:t> </w:t>
      </w:r>
      <w:r>
        <w:rPr>
          <w:i/>
          <w:sz w:val="24"/>
        </w:rPr>
        <w:t>mutuamente</w:t>
      </w:r>
      <w:r>
        <w:rPr>
          <w:i/>
          <w:spacing w:val="-10"/>
          <w:sz w:val="24"/>
        </w:rPr>
        <w:t> </w:t>
      </w:r>
      <w:r>
        <w:rPr>
          <w:i/>
          <w:sz w:val="24"/>
        </w:rPr>
        <w:t>para</w:t>
      </w:r>
      <w:r>
        <w:rPr>
          <w:i/>
          <w:spacing w:val="-13"/>
          <w:sz w:val="24"/>
        </w:rPr>
        <w:t> </w:t>
      </w:r>
      <w:r>
        <w:rPr>
          <w:i/>
          <w:sz w:val="24"/>
        </w:rPr>
        <w:t>garantizar</w:t>
      </w:r>
      <w:r>
        <w:rPr>
          <w:i/>
          <w:spacing w:val="-11"/>
          <w:sz w:val="24"/>
        </w:rPr>
        <w:t> </w:t>
      </w:r>
      <w:r>
        <w:rPr>
          <w:i/>
          <w:sz w:val="24"/>
        </w:rPr>
        <w:t>una gobernanza</w:t>
      </w:r>
      <w:r>
        <w:rPr>
          <w:i/>
          <w:spacing w:val="-17"/>
          <w:sz w:val="24"/>
        </w:rPr>
        <w:t> </w:t>
      </w:r>
      <w:r>
        <w:rPr>
          <w:i/>
          <w:sz w:val="24"/>
        </w:rPr>
        <w:t>eficaz.</w:t>
      </w:r>
    </w:p>
    <w:p>
      <w:pPr>
        <w:pStyle w:val="BodyText"/>
        <w:spacing w:before="7"/>
        <w:rPr>
          <w:i/>
          <w:sz w:val="25"/>
        </w:rPr>
      </w:pPr>
    </w:p>
    <w:p>
      <w:pPr>
        <w:pStyle w:val="BodyText"/>
        <w:spacing w:line="820" w:lineRule="atLeast"/>
        <w:ind w:left="809" w:right="385" w:hanging="709"/>
        <w:rPr>
          <w:i/>
        </w:rPr>
      </w:pPr>
      <w:r>
        <w:rPr/>
        <w:t>Objetivo 2: Ser reconocidas como instituciones con un modelo independiente 11: </w:t>
      </w:r>
      <w:r>
        <w:rPr>
          <w:i/>
        </w:rPr>
        <w:t>Buena Gobernanza.</w:t>
      </w:r>
    </w:p>
    <w:p>
      <w:pPr>
        <w:spacing w:line="360" w:lineRule="auto" w:before="136"/>
        <w:ind w:left="100" w:right="106" w:firstLine="0"/>
        <w:jc w:val="both"/>
        <w:rPr>
          <w:i/>
          <w:sz w:val="24"/>
        </w:rPr>
      </w:pPr>
      <w:r>
        <w:rPr>
          <w:i/>
          <w:sz w:val="24"/>
        </w:rPr>
        <w:t>La buena gobernanza es aplicable a toda organización, en función de asistir a </w:t>
      </w:r>
      <w:r>
        <w:rPr>
          <w:i/>
          <w:sz w:val="24"/>
        </w:rPr>
        <w:t>sus líderes a tomar mejores decisiones y a gestionar los riesgos, con el fin de alcanzar los objetivos de la organización.</w:t>
      </w:r>
    </w:p>
    <w:p>
      <w:pPr>
        <w:spacing w:line="357" w:lineRule="auto" w:before="6"/>
        <w:ind w:left="100" w:right="105" w:firstLine="0"/>
        <w:jc w:val="both"/>
        <w:rPr>
          <w:i/>
          <w:sz w:val="24"/>
        </w:rPr>
      </w:pPr>
      <w:r>
        <w:rPr>
          <w:i/>
          <w:sz w:val="24"/>
        </w:rPr>
        <w:t>La</w:t>
      </w:r>
      <w:r>
        <w:rPr>
          <w:i/>
          <w:spacing w:val="-6"/>
          <w:sz w:val="24"/>
        </w:rPr>
        <w:t> </w:t>
      </w:r>
      <w:r>
        <w:rPr>
          <w:i/>
          <w:sz w:val="24"/>
        </w:rPr>
        <w:t>buena</w:t>
      </w:r>
      <w:r>
        <w:rPr>
          <w:i/>
          <w:spacing w:val="-6"/>
          <w:sz w:val="24"/>
        </w:rPr>
        <w:t> </w:t>
      </w:r>
      <w:r>
        <w:rPr>
          <w:i/>
          <w:sz w:val="24"/>
        </w:rPr>
        <w:t>gobernanza</w:t>
      </w:r>
      <w:r>
        <w:rPr>
          <w:i/>
          <w:spacing w:val="-3"/>
          <w:sz w:val="24"/>
        </w:rPr>
        <w:t> </w:t>
      </w:r>
      <w:r>
        <w:rPr>
          <w:i/>
          <w:sz w:val="24"/>
        </w:rPr>
        <w:t>y</w:t>
      </w:r>
      <w:r>
        <w:rPr>
          <w:i/>
          <w:spacing w:val="-4"/>
          <w:sz w:val="24"/>
        </w:rPr>
        <w:t> </w:t>
      </w:r>
      <w:r>
        <w:rPr>
          <w:i/>
          <w:sz w:val="24"/>
        </w:rPr>
        <w:t>la</w:t>
      </w:r>
      <w:r>
        <w:rPr>
          <w:i/>
          <w:spacing w:val="-6"/>
          <w:sz w:val="24"/>
        </w:rPr>
        <w:t> </w:t>
      </w:r>
      <w:r>
        <w:rPr>
          <w:i/>
          <w:sz w:val="24"/>
        </w:rPr>
        <w:t>rendición</w:t>
      </w:r>
      <w:r>
        <w:rPr>
          <w:i/>
          <w:spacing w:val="-6"/>
          <w:sz w:val="24"/>
        </w:rPr>
        <w:t> </w:t>
      </w:r>
      <w:r>
        <w:rPr>
          <w:i/>
          <w:sz w:val="24"/>
        </w:rPr>
        <w:t>de</w:t>
      </w:r>
      <w:r>
        <w:rPr>
          <w:i/>
          <w:spacing w:val="-6"/>
          <w:sz w:val="24"/>
        </w:rPr>
        <w:t> </w:t>
      </w:r>
      <w:r>
        <w:rPr>
          <w:i/>
          <w:sz w:val="24"/>
        </w:rPr>
        <w:t>cuentas</w:t>
      </w:r>
      <w:r>
        <w:rPr>
          <w:i/>
          <w:spacing w:val="-4"/>
          <w:sz w:val="24"/>
        </w:rPr>
        <w:t> </w:t>
      </w:r>
      <w:r>
        <w:rPr>
          <w:i/>
          <w:sz w:val="24"/>
        </w:rPr>
        <w:t>están</w:t>
      </w:r>
      <w:r>
        <w:rPr>
          <w:i/>
          <w:spacing w:val="-6"/>
          <w:sz w:val="24"/>
        </w:rPr>
        <w:t> </w:t>
      </w:r>
      <w:r>
        <w:rPr>
          <w:i/>
          <w:sz w:val="24"/>
        </w:rPr>
        <w:t>relacionadas</w:t>
      </w:r>
      <w:r>
        <w:rPr>
          <w:i/>
          <w:spacing w:val="-4"/>
          <w:sz w:val="24"/>
        </w:rPr>
        <w:t> </w:t>
      </w:r>
      <w:r>
        <w:rPr>
          <w:i/>
          <w:sz w:val="24"/>
        </w:rPr>
        <w:t>entre</w:t>
      </w:r>
      <w:r>
        <w:rPr>
          <w:i/>
          <w:spacing w:val="-6"/>
          <w:sz w:val="24"/>
        </w:rPr>
        <w:t> </w:t>
      </w:r>
      <w:r>
        <w:rPr>
          <w:i/>
          <w:sz w:val="24"/>
        </w:rPr>
        <w:t>sí.</w:t>
      </w:r>
      <w:r>
        <w:rPr>
          <w:i/>
          <w:spacing w:val="-4"/>
          <w:sz w:val="24"/>
        </w:rPr>
        <w:t> </w:t>
      </w:r>
      <w:r>
        <w:rPr>
          <w:i/>
          <w:sz w:val="24"/>
        </w:rPr>
        <w:t>Las </w:t>
      </w:r>
      <w:r>
        <w:rPr>
          <w:i/>
          <w:sz w:val="24"/>
        </w:rPr>
        <w:t>EFS deben ser un arquetipo de la rendición de</w:t>
      </w:r>
      <w:r>
        <w:rPr>
          <w:i/>
          <w:spacing w:val="-28"/>
          <w:sz w:val="24"/>
        </w:rPr>
        <w:t> </w:t>
      </w:r>
      <w:r>
        <w:rPr>
          <w:i/>
          <w:sz w:val="24"/>
        </w:rPr>
        <w:t>cuentas.</w:t>
      </w:r>
    </w:p>
    <w:p>
      <w:pPr>
        <w:spacing w:line="360" w:lineRule="auto" w:before="8"/>
        <w:ind w:left="100" w:right="103" w:firstLine="0"/>
        <w:jc w:val="both"/>
        <w:rPr>
          <w:i/>
          <w:sz w:val="24"/>
        </w:rPr>
      </w:pPr>
      <w:r>
        <w:rPr>
          <w:i/>
          <w:sz w:val="24"/>
        </w:rPr>
        <w:t>Desde un punto de vista global, la buena gobernanza es percibida como un </w:t>
      </w:r>
      <w:r>
        <w:rPr>
          <w:i/>
          <w:sz w:val="24"/>
        </w:rPr>
        <w:t>requisito fundamental para toda organización exitosa. Algunos de los principios rectores de la buena gobernanza son:</w:t>
      </w:r>
    </w:p>
    <w:p>
      <w:pPr>
        <w:spacing w:line="362" w:lineRule="auto" w:before="2"/>
        <w:ind w:left="100" w:right="109" w:firstLine="0"/>
        <w:jc w:val="both"/>
        <w:rPr>
          <w:i/>
          <w:sz w:val="24"/>
        </w:rPr>
      </w:pPr>
      <w:r>
        <w:rPr>
          <w:i/>
          <w:sz w:val="24"/>
        </w:rPr>
        <w:t>La creación, mandato y funcionamiento de las EFS debe regirse por un marco </w:t>
      </w:r>
      <w:r>
        <w:rPr>
          <w:i/>
          <w:sz w:val="24"/>
        </w:rPr>
        <w:t>legislativo sólido que promueva los principios de buena gobernanza.</w:t>
      </w:r>
    </w:p>
    <w:p>
      <w:pPr>
        <w:spacing w:line="360" w:lineRule="auto" w:before="0"/>
        <w:ind w:left="100" w:right="82" w:firstLine="0"/>
        <w:jc w:val="left"/>
        <w:rPr>
          <w:i/>
          <w:sz w:val="24"/>
        </w:rPr>
      </w:pPr>
      <w:r>
        <w:rPr>
          <w:i/>
          <w:sz w:val="24"/>
        </w:rPr>
        <w:t>Debe</w:t>
      </w:r>
      <w:r>
        <w:rPr>
          <w:i/>
          <w:spacing w:val="-8"/>
          <w:sz w:val="24"/>
        </w:rPr>
        <w:t> </w:t>
      </w:r>
      <w:r>
        <w:rPr>
          <w:i/>
          <w:sz w:val="24"/>
        </w:rPr>
        <w:t>formalizarse</w:t>
      </w:r>
      <w:r>
        <w:rPr>
          <w:i/>
          <w:spacing w:val="-8"/>
          <w:sz w:val="24"/>
        </w:rPr>
        <w:t> </w:t>
      </w:r>
      <w:r>
        <w:rPr>
          <w:i/>
          <w:sz w:val="24"/>
        </w:rPr>
        <w:t>un</w:t>
      </w:r>
      <w:r>
        <w:rPr>
          <w:i/>
          <w:spacing w:val="-8"/>
          <w:sz w:val="24"/>
        </w:rPr>
        <w:t> </w:t>
      </w:r>
      <w:r>
        <w:rPr>
          <w:i/>
          <w:sz w:val="24"/>
        </w:rPr>
        <w:t>proceso</w:t>
      </w:r>
      <w:r>
        <w:rPr>
          <w:i/>
          <w:spacing w:val="-8"/>
          <w:sz w:val="24"/>
        </w:rPr>
        <w:t> </w:t>
      </w:r>
      <w:r>
        <w:rPr>
          <w:i/>
          <w:sz w:val="24"/>
        </w:rPr>
        <w:t>de</w:t>
      </w:r>
      <w:r>
        <w:rPr>
          <w:i/>
          <w:spacing w:val="-8"/>
          <w:sz w:val="24"/>
        </w:rPr>
        <w:t> </w:t>
      </w:r>
      <w:r>
        <w:rPr>
          <w:i/>
          <w:sz w:val="24"/>
        </w:rPr>
        <w:t>supervisión</w:t>
      </w:r>
      <w:r>
        <w:rPr>
          <w:i/>
          <w:spacing w:val="-8"/>
          <w:sz w:val="24"/>
        </w:rPr>
        <w:t> </w:t>
      </w:r>
      <w:r>
        <w:rPr>
          <w:i/>
          <w:sz w:val="24"/>
        </w:rPr>
        <w:t>independiente</w:t>
      </w:r>
      <w:r>
        <w:rPr>
          <w:i/>
          <w:spacing w:val="-8"/>
          <w:sz w:val="24"/>
        </w:rPr>
        <w:t> </w:t>
      </w:r>
      <w:r>
        <w:rPr>
          <w:i/>
          <w:sz w:val="24"/>
        </w:rPr>
        <w:t>del desempeño</w:t>
      </w:r>
      <w:r>
        <w:rPr>
          <w:i/>
          <w:spacing w:val="-8"/>
          <w:sz w:val="24"/>
        </w:rPr>
        <w:t> </w:t>
      </w:r>
      <w:r>
        <w:rPr>
          <w:i/>
          <w:sz w:val="24"/>
        </w:rPr>
        <w:t>y</w:t>
      </w:r>
      <w:r>
        <w:rPr>
          <w:i/>
          <w:spacing w:val="-6"/>
          <w:sz w:val="24"/>
        </w:rPr>
        <w:t> </w:t>
      </w:r>
      <w:r>
        <w:rPr>
          <w:i/>
          <w:sz w:val="24"/>
        </w:rPr>
        <w:t>la </w:t>
      </w:r>
      <w:r>
        <w:rPr>
          <w:i/>
          <w:sz w:val="24"/>
        </w:rPr>
        <w:t>rendición</w:t>
      </w:r>
      <w:r>
        <w:rPr>
          <w:i/>
          <w:spacing w:val="-12"/>
          <w:sz w:val="24"/>
        </w:rPr>
        <w:t> </w:t>
      </w:r>
      <w:r>
        <w:rPr>
          <w:i/>
          <w:sz w:val="24"/>
        </w:rPr>
        <w:t>de</w:t>
      </w:r>
      <w:r>
        <w:rPr>
          <w:i/>
          <w:spacing w:val="-16"/>
          <w:sz w:val="24"/>
        </w:rPr>
        <w:t> </w:t>
      </w:r>
      <w:r>
        <w:rPr>
          <w:i/>
          <w:sz w:val="24"/>
        </w:rPr>
        <w:t>cuentas</w:t>
      </w:r>
      <w:r>
        <w:rPr>
          <w:i/>
          <w:spacing w:val="-10"/>
          <w:sz w:val="24"/>
        </w:rPr>
        <w:t> </w:t>
      </w:r>
      <w:r>
        <w:rPr>
          <w:i/>
          <w:sz w:val="24"/>
        </w:rPr>
        <w:t>de</w:t>
      </w:r>
      <w:r>
        <w:rPr>
          <w:i/>
          <w:spacing w:val="-16"/>
          <w:sz w:val="24"/>
        </w:rPr>
        <w:t> </w:t>
      </w:r>
      <w:r>
        <w:rPr>
          <w:i/>
          <w:sz w:val="24"/>
        </w:rPr>
        <w:t>las</w:t>
      </w:r>
      <w:r>
        <w:rPr>
          <w:i/>
          <w:spacing w:val="-14"/>
          <w:sz w:val="24"/>
        </w:rPr>
        <w:t> </w:t>
      </w:r>
      <w:r>
        <w:rPr>
          <w:i/>
          <w:sz w:val="24"/>
        </w:rPr>
        <w:t>EFS,</w:t>
      </w:r>
      <w:r>
        <w:rPr>
          <w:i/>
          <w:spacing w:val="-13"/>
          <w:sz w:val="24"/>
        </w:rPr>
        <w:t> </w:t>
      </w:r>
      <w:r>
        <w:rPr>
          <w:i/>
          <w:sz w:val="24"/>
        </w:rPr>
        <w:t>ya</w:t>
      </w:r>
      <w:r>
        <w:rPr>
          <w:i/>
          <w:spacing w:val="-16"/>
          <w:sz w:val="24"/>
        </w:rPr>
        <w:t> </w:t>
      </w:r>
      <w:r>
        <w:rPr>
          <w:i/>
          <w:sz w:val="24"/>
        </w:rPr>
        <w:t>sea</w:t>
      </w:r>
      <w:r>
        <w:rPr>
          <w:i/>
          <w:spacing w:val="-16"/>
          <w:sz w:val="24"/>
        </w:rPr>
        <w:t> </w:t>
      </w:r>
      <w:r>
        <w:rPr>
          <w:i/>
          <w:sz w:val="24"/>
        </w:rPr>
        <w:t>a</w:t>
      </w:r>
      <w:r>
        <w:rPr>
          <w:i/>
          <w:spacing w:val="-16"/>
          <w:sz w:val="24"/>
        </w:rPr>
        <w:t> </w:t>
      </w:r>
      <w:r>
        <w:rPr>
          <w:i/>
          <w:sz w:val="24"/>
        </w:rPr>
        <w:t>través</w:t>
      </w:r>
      <w:r>
        <w:rPr>
          <w:i/>
          <w:spacing w:val="-14"/>
          <w:sz w:val="24"/>
        </w:rPr>
        <w:t> </w:t>
      </w:r>
      <w:r>
        <w:rPr>
          <w:i/>
          <w:sz w:val="24"/>
        </w:rPr>
        <w:t>de</w:t>
      </w:r>
      <w:r>
        <w:rPr>
          <w:i/>
          <w:spacing w:val="-16"/>
          <w:sz w:val="24"/>
        </w:rPr>
        <w:t> </w:t>
      </w:r>
      <w:r>
        <w:rPr>
          <w:i/>
          <w:sz w:val="24"/>
        </w:rPr>
        <w:t>un</w:t>
      </w:r>
      <w:r>
        <w:rPr>
          <w:i/>
          <w:spacing w:val="-12"/>
          <w:sz w:val="24"/>
        </w:rPr>
        <w:t> </w:t>
      </w:r>
      <w:r>
        <w:rPr>
          <w:i/>
          <w:sz w:val="24"/>
        </w:rPr>
        <w:t>organismo</w:t>
      </w:r>
      <w:r>
        <w:rPr>
          <w:i/>
          <w:spacing w:val="-12"/>
          <w:sz w:val="24"/>
        </w:rPr>
        <w:t> </w:t>
      </w:r>
      <w:r>
        <w:rPr>
          <w:i/>
          <w:sz w:val="24"/>
        </w:rPr>
        <w:t>independiente o de un comité parlamentario, sin comprometer la independencia de la</w:t>
      </w:r>
      <w:r>
        <w:rPr>
          <w:i/>
          <w:spacing w:val="-40"/>
          <w:sz w:val="24"/>
        </w:rPr>
        <w:t> </w:t>
      </w:r>
      <w:r>
        <w:rPr>
          <w:i/>
          <w:sz w:val="24"/>
        </w:rPr>
        <w:t>EFS.</w:t>
      </w:r>
      <w:r>
        <w:rPr>
          <w:i/>
          <w:spacing w:val="-4"/>
          <w:sz w:val="24"/>
        </w:rPr>
        <w:t> </w:t>
      </w:r>
      <w:r>
        <w:rPr>
          <w:i/>
          <w:sz w:val="24"/>
        </w:rPr>
        <w:t>Las </w:t>
      </w:r>
      <w:r>
        <w:rPr>
          <w:i/>
          <w:spacing w:val="-22"/>
          <w:sz w:val="24"/>
        </w:rPr>
        <w:t> </w:t>
      </w:r>
      <w:r>
        <w:rPr>
          <w:i/>
          <w:sz w:val="24"/>
        </w:rPr>
        <w:t>EFS deben tener una estructura  administrativa  adecuada  que  ponga  en práctica los procesos de buena</w:t>
      </w:r>
      <w:r>
        <w:rPr>
          <w:i/>
          <w:spacing w:val="-20"/>
          <w:sz w:val="24"/>
        </w:rPr>
        <w:t> </w:t>
      </w:r>
      <w:r>
        <w:rPr>
          <w:i/>
          <w:sz w:val="24"/>
        </w:rPr>
        <w:t>gobernanza.”</w:t>
      </w:r>
    </w:p>
    <w:p>
      <w:pPr>
        <w:pStyle w:val="BodyText"/>
        <w:spacing w:line="360" w:lineRule="auto" w:before="6"/>
        <w:ind w:left="100" w:right="104"/>
        <w:jc w:val="both"/>
      </w:pPr>
      <w:r>
        <w:rPr/>
        <w:t>Debido a la mayor difusión sobre los resultados de estudios nacionales e internacionales sobre la corrupción, la sociedad ha comenzado a adquirir conciencia de que la corrupción es un problema mundial. La corrupción impide el desarrollo de las economías, incide en la política y en la credibilidad de las instituciones del Estado.</w:t>
      </w:r>
    </w:p>
    <w:p>
      <w:pPr>
        <w:spacing w:after="0" w:line="360" w:lineRule="auto"/>
        <w:jc w:val="both"/>
        <w:sectPr>
          <w:pgSz w:w="11910" w:h="16840"/>
          <w:pgMar w:header="0" w:footer="998" w:top="1340" w:bottom="1180" w:left="1600" w:right="1600"/>
        </w:sectPr>
      </w:pPr>
    </w:p>
    <w:p>
      <w:pPr>
        <w:pStyle w:val="BodyText"/>
        <w:spacing w:line="362" w:lineRule="auto" w:before="55"/>
        <w:ind w:left="120" w:right="124" w:firstLine="708"/>
        <w:jc w:val="both"/>
      </w:pPr>
      <w:r>
        <w:rPr/>
        <w:t>Peter Eigen (2003: 15), fundador de la ONG </w:t>
      </w:r>
      <w:r>
        <w:rPr>
          <w:i/>
        </w:rPr>
        <w:t>Transparency International</w:t>
      </w:r>
      <w:r>
        <w:rPr/>
        <w:t>, definió la corrupción como el abuso del poder en beneficio privado, un vicio capital, que es la raíz de casi todos los problemas importantes y afecta a las zonas más pobres del mundo.</w:t>
      </w:r>
    </w:p>
    <w:p>
      <w:pPr>
        <w:pStyle w:val="BodyText"/>
        <w:spacing w:line="360" w:lineRule="auto"/>
        <w:ind w:left="120" w:right="121" w:firstLine="708"/>
        <w:jc w:val="both"/>
      </w:pPr>
      <w:r>
        <w:rPr/>
        <w:t>La UNESCO</w:t>
      </w:r>
      <w:r>
        <w:rPr>
          <w:position w:val="8"/>
          <w:sz w:val="16"/>
        </w:rPr>
        <w:t>95 </w:t>
      </w:r>
      <w:r>
        <w:rPr/>
        <w:t>(UNESCO/IIPI, 2009: 29) comentó que para el Banco Mundial la corrupción implica influir en el proceso de licitación o ejecución del contrato,</w:t>
      </w:r>
      <w:r>
        <w:rPr>
          <w:spacing w:val="-5"/>
        </w:rPr>
        <w:t> </w:t>
      </w:r>
      <w:r>
        <w:rPr/>
        <w:t>mientras</w:t>
      </w:r>
      <w:r>
        <w:rPr>
          <w:spacing w:val="-7"/>
        </w:rPr>
        <w:t> </w:t>
      </w:r>
      <w:r>
        <w:rPr/>
        <w:t>que</w:t>
      </w:r>
      <w:r>
        <w:rPr>
          <w:spacing w:val="-9"/>
        </w:rPr>
        <w:t> </w:t>
      </w:r>
      <w:r>
        <w:rPr/>
        <w:t>el</w:t>
      </w:r>
      <w:r>
        <w:rPr>
          <w:spacing w:val="-8"/>
        </w:rPr>
        <w:t> </w:t>
      </w:r>
      <w:r>
        <w:rPr/>
        <w:t>Banco</w:t>
      </w:r>
      <w:r>
        <w:rPr>
          <w:spacing w:val="-9"/>
        </w:rPr>
        <w:t> </w:t>
      </w:r>
      <w:r>
        <w:rPr/>
        <w:t>Asiático</w:t>
      </w:r>
      <w:r>
        <w:rPr>
          <w:spacing w:val="-9"/>
        </w:rPr>
        <w:t> </w:t>
      </w:r>
      <w:r>
        <w:rPr/>
        <w:t>de</w:t>
      </w:r>
      <w:r>
        <w:rPr>
          <w:spacing w:val="-9"/>
        </w:rPr>
        <w:t> </w:t>
      </w:r>
      <w:r>
        <w:rPr/>
        <w:t>Desarrollo</w:t>
      </w:r>
      <w:r>
        <w:rPr>
          <w:spacing w:val="-9"/>
        </w:rPr>
        <w:t> </w:t>
      </w:r>
      <w:r>
        <w:rPr/>
        <w:t>supone</w:t>
      </w:r>
      <w:r>
        <w:rPr>
          <w:spacing w:val="-9"/>
        </w:rPr>
        <w:t> </w:t>
      </w:r>
      <w:r>
        <w:rPr/>
        <w:t>que</w:t>
      </w:r>
      <w:r>
        <w:rPr>
          <w:spacing w:val="-9"/>
        </w:rPr>
        <w:t> </w:t>
      </w:r>
      <w:r>
        <w:rPr/>
        <w:t>la</w:t>
      </w:r>
      <w:r>
        <w:rPr>
          <w:spacing w:val="-9"/>
        </w:rPr>
        <w:t> </w:t>
      </w:r>
      <w:r>
        <w:rPr/>
        <w:t>corrupción implica</w:t>
      </w:r>
      <w:r>
        <w:rPr>
          <w:spacing w:val="-9"/>
        </w:rPr>
        <w:t> </w:t>
      </w:r>
      <w:r>
        <w:rPr/>
        <w:t>la</w:t>
      </w:r>
      <w:r>
        <w:rPr>
          <w:spacing w:val="-9"/>
        </w:rPr>
        <w:t> </w:t>
      </w:r>
      <w:r>
        <w:rPr/>
        <w:t>contratación</w:t>
      </w:r>
      <w:r>
        <w:rPr>
          <w:spacing w:val="-9"/>
        </w:rPr>
        <w:t> </w:t>
      </w:r>
      <w:r>
        <w:rPr/>
        <w:t>pública,</w:t>
      </w:r>
      <w:r>
        <w:rPr>
          <w:spacing w:val="-6"/>
        </w:rPr>
        <w:t> </w:t>
      </w:r>
      <w:r>
        <w:rPr/>
        <w:t>la</w:t>
      </w:r>
      <w:r>
        <w:rPr>
          <w:spacing w:val="-9"/>
        </w:rPr>
        <w:t> </w:t>
      </w:r>
      <w:r>
        <w:rPr/>
        <w:t>venta</w:t>
      </w:r>
      <w:r>
        <w:rPr>
          <w:spacing w:val="-9"/>
        </w:rPr>
        <w:t> </w:t>
      </w:r>
      <w:r>
        <w:rPr/>
        <w:t>de</w:t>
      </w:r>
      <w:r>
        <w:rPr>
          <w:spacing w:val="-9"/>
        </w:rPr>
        <w:t> </w:t>
      </w:r>
      <w:r>
        <w:rPr/>
        <w:t>cargos</w:t>
      </w:r>
      <w:r>
        <w:rPr>
          <w:spacing w:val="-7"/>
        </w:rPr>
        <w:t> </w:t>
      </w:r>
      <w:r>
        <w:rPr/>
        <w:t>públicos,</w:t>
      </w:r>
      <w:r>
        <w:rPr>
          <w:spacing w:val="-6"/>
        </w:rPr>
        <w:t> </w:t>
      </w:r>
      <w:r>
        <w:rPr/>
        <w:t>o</w:t>
      </w:r>
      <w:r>
        <w:rPr>
          <w:spacing w:val="-9"/>
        </w:rPr>
        <w:t> </w:t>
      </w:r>
      <w:r>
        <w:rPr/>
        <w:t>los</w:t>
      </w:r>
      <w:r>
        <w:rPr>
          <w:spacing w:val="-3"/>
        </w:rPr>
        <w:t> </w:t>
      </w:r>
      <w:r>
        <w:rPr/>
        <w:t>pagos</w:t>
      </w:r>
      <w:r>
        <w:rPr>
          <w:spacing w:val="-7"/>
        </w:rPr>
        <w:t> </w:t>
      </w:r>
      <w:r>
        <w:rPr/>
        <w:t>ilegales, que permiten un monopolio en el</w:t>
      </w:r>
      <w:r>
        <w:rPr>
          <w:spacing w:val="-24"/>
        </w:rPr>
        <w:t> </w:t>
      </w:r>
      <w:r>
        <w:rPr/>
        <w:t>mercado.</w:t>
      </w:r>
    </w:p>
    <w:p>
      <w:pPr>
        <w:pStyle w:val="BodyText"/>
        <w:spacing w:line="360" w:lineRule="auto" w:before="6"/>
        <w:ind w:left="120" w:right="173" w:firstLine="567"/>
        <w:jc w:val="both"/>
      </w:pPr>
      <w:r>
        <w:rPr/>
        <w:t>Peter Eigen (2003: 135) definió la corrupción como el abuso de confianza, una utilización fraudulenta del poder ejercido en beneficio privado.</w:t>
      </w:r>
    </w:p>
    <w:p>
      <w:pPr>
        <w:pStyle w:val="BodyText"/>
        <w:spacing w:line="360" w:lineRule="auto" w:before="6"/>
        <w:ind w:left="120" w:right="120" w:firstLine="567"/>
        <w:jc w:val="both"/>
      </w:pPr>
      <w:r>
        <w:rPr/>
        <w:t>Si bien las ONG miden la gobernanza, la rendición de cuentas y la corrupción, éstas por lo general solo fungen como diagnosticadoras de problemas e identificación de actores (a excepción del </w:t>
      </w:r>
      <w:r>
        <w:rPr>
          <w:i/>
        </w:rPr>
        <w:t>Global Integrity Report</w:t>
      </w:r>
      <w:r>
        <w:rPr/>
        <w:t>); sin embargo, los resultados de sus investigaciones han adquirido más importancia en los congresos y en las instituciones públicas.</w:t>
      </w:r>
    </w:p>
    <w:p>
      <w:pPr>
        <w:pStyle w:val="BodyText"/>
        <w:spacing w:line="360" w:lineRule="auto" w:before="2"/>
        <w:ind w:left="120" w:right="124" w:firstLine="567"/>
        <w:jc w:val="both"/>
      </w:pPr>
      <w:r>
        <w:rPr/>
        <w:t>Para reducir la corrupción se requiere de la actuación conjunta del Estado, la sociedad civil y el sector privado.Una sociedad con ciudadanos políticamente activos conocedores de sus derechos y de sus responsabilidades políticas, pueden disminuir las elevadas cifras presentadas en las estadísticas sobre la corrupción. El éxito de la gobernanza en reducir la corrupción depende de la eficiencia de la red de actores.</w:t>
      </w:r>
    </w:p>
    <w:p>
      <w:pPr>
        <w:pStyle w:val="BodyText"/>
        <w:spacing w:line="360" w:lineRule="auto" w:before="2"/>
        <w:ind w:left="120" w:right="123" w:firstLine="567"/>
        <w:jc w:val="both"/>
      </w:pPr>
      <w:r>
        <w:rPr/>
        <w:t>El poder político puede mejorar el desempeño de las instituciones que tienen como función principal elreducir la corrupción, así como de las instituciones de rendición de cuentas, y permitir la mayor participación de las ONG y la efectiva aplicación de las leyes mediante la división de poderes.</w:t>
      </w:r>
    </w:p>
    <w:p>
      <w:pPr>
        <w:pStyle w:val="BodyText"/>
        <w:spacing w:line="360" w:lineRule="auto" w:before="2"/>
        <w:ind w:left="120" w:right="115" w:firstLine="567"/>
        <w:jc w:val="both"/>
      </w:pPr>
      <w:r>
        <w:rPr/>
        <w:t>Eigen considera que los puntos en los que se debe trabajar para reducir la corrupción</w:t>
      </w:r>
      <w:r>
        <w:rPr>
          <w:spacing w:val="-16"/>
        </w:rPr>
        <w:t> </w:t>
      </w:r>
      <w:r>
        <w:rPr/>
        <w:t>son:</w:t>
      </w:r>
      <w:r>
        <w:rPr>
          <w:spacing w:val="-13"/>
        </w:rPr>
        <w:t> </w:t>
      </w:r>
      <w:r>
        <w:rPr/>
        <w:t>mejorar</w:t>
      </w:r>
      <w:r>
        <w:rPr>
          <w:spacing w:val="-14"/>
        </w:rPr>
        <w:t> </w:t>
      </w:r>
      <w:r>
        <w:rPr/>
        <w:t>la</w:t>
      </w:r>
      <w:r>
        <w:rPr>
          <w:spacing w:val="-16"/>
        </w:rPr>
        <w:t> </w:t>
      </w:r>
      <w:r>
        <w:rPr/>
        <w:t>calidad</w:t>
      </w:r>
      <w:r>
        <w:rPr>
          <w:spacing w:val="-16"/>
        </w:rPr>
        <w:t> </w:t>
      </w:r>
      <w:r>
        <w:rPr/>
        <w:t>de</w:t>
      </w:r>
      <w:r>
        <w:rPr>
          <w:spacing w:val="-12"/>
        </w:rPr>
        <w:t> </w:t>
      </w:r>
      <w:r>
        <w:rPr/>
        <w:t>la</w:t>
      </w:r>
      <w:r>
        <w:rPr>
          <w:spacing w:val="-16"/>
        </w:rPr>
        <w:t> </w:t>
      </w:r>
      <w:r>
        <w:rPr/>
        <w:t>información,</w:t>
      </w:r>
      <w:r>
        <w:rPr>
          <w:spacing w:val="-13"/>
        </w:rPr>
        <w:t> </w:t>
      </w:r>
      <w:r>
        <w:rPr/>
        <w:t>implementar</w:t>
      </w:r>
      <w:r>
        <w:rPr>
          <w:spacing w:val="-14"/>
        </w:rPr>
        <w:t> </w:t>
      </w:r>
      <w:r>
        <w:rPr/>
        <w:t>un</w:t>
      </w:r>
      <w:r>
        <w:rPr>
          <w:spacing w:val="-16"/>
        </w:rPr>
        <w:t> </w:t>
      </w:r>
      <w:r>
        <w:rPr/>
        <w:t>servicio</w:t>
      </w:r>
      <w:r>
        <w:rPr>
          <w:spacing w:val="-12"/>
        </w:rPr>
        <w:t> </w:t>
      </w:r>
      <w:r>
        <w:rPr/>
        <w:t>civil profesional, crear un marco legal efectivo, contar con poderes independientes, tener</w:t>
      </w:r>
      <w:r>
        <w:rPr>
          <w:spacing w:val="-19"/>
        </w:rPr>
        <w:t> </w:t>
      </w:r>
      <w:r>
        <w:rPr/>
        <w:t>un</w:t>
      </w:r>
      <w:r>
        <w:rPr>
          <w:spacing w:val="-21"/>
        </w:rPr>
        <w:t> </w:t>
      </w:r>
      <w:r>
        <w:rPr/>
        <w:t>control</w:t>
      </w:r>
      <w:r>
        <w:rPr>
          <w:spacing w:val="-20"/>
        </w:rPr>
        <w:t> </w:t>
      </w:r>
      <w:r>
        <w:rPr/>
        <w:t>gubernamental,</w:t>
      </w:r>
      <w:r>
        <w:rPr>
          <w:spacing w:val="-18"/>
        </w:rPr>
        <w:t> </w:t>
      </w:r>
      <w:r>
        <w:rPr/>
        <w:t>contar</w:t>
      </w:r>
      <w:r>
        <w:rPr>
          <w:spacing w:val="-19"/>
        </w:rPr>
        <w:t> </w:t>
      </w:r>
      <w:r>
        <w:rPr/>
        <w:t>con</w:t>
      </w:r>
      <w:r>
        <w:rPr>
          <w:spacing w:val="-21"/>
        </w:rPr>
        <w:t> </w:t>
      </w:r>
      <w:r>
        <w:rPr/>
        <w:t>instituciones</w:t>
      </w:r>
      <w:r>
        <w:rPr>
          <w:spacing w:val="-19"/>
        </w:rPr>
        <w:t> </w:t>
      </w:r>
      <w:r>
        <w:rPr/>
        <w:t>de</w:t>
      </w:r>
      <w:r>
        <w:rPr>
          <w:spacing w:val="-21"/>
        </w:rPr>
        <w:t> </w:t>
      </w:r>
      <w:r>
        <w:rPr/>
        <w:t>rendición</w:t>
      </w:r>
      <w:r>
        <w:rPr>
          <w:spacing w:val="-17"/>
        </w:rPr>
        <w:t> </w:t>
      </w:r>
      <w:r>
        <w:rPr/>
        <w:t>de</w:t>
      </w:r>
      <w:r>
        <w:rPr>
          <w:spacing w:val="-21"/>
        </w:rPr>
        <w:t> </w:t>
      </w:r>
      <w:r>
        <w:rPr/>
        <w:t>cuentas, proteger a denunciantes (testigos protegidos), prevenir el conflicto   </w:t>
      </w:r>
      <w:r>
        <w:rPr>
          <w:spacing w:val="40"/>
        </w:rPr>
        <w:t> </w:t>
      </w:r>
      <w:r>
        <w:rPr>
          <w:spacing w:val="2"/>
        </w:rPr>
        <w:t>de </w:t>
      </w:r>
      <w:r>
        <w:rPr/>
        <w:t>interés,</w:t>
      </w: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9136;mso-wrap-distance-left:0;mso-wrap-distance-right:0" from="85.025002pt,9.580858pt" to="229.075002pt,9.580858pt" stroked="true" strokeweight=".79999pt" strokecolor="#000000">
            <w10:wrap type="topAndBottom"/>
          </v:line>
        </w:pict>
      </w:r>
    </w:p>
    <w:p>
      <w:pPr>
        <w:spacing w:line="249" w:lineRule="auto" w:before="63"/>
        <w:ind w:left="120" w:right="272" w:firstLine="0"/>
        <w:jc w:val="left"/>
        <w:rPr>
          <w:sz w:val="16"/>
        </w:rPr>
      </w:pPr>
      <w:r>
        <w:rPr>
          <w:rFonts w:ascii="Times New Roman" w:hAnsi="Times New Roman"/>
          <w:position w:val="7"/>
          <w:sz w:val="13"/>
        </w:rPr>
        <w:t>95</w:t>
      </w:r>
      <w:hyperlink r:id="rId17">
        <w:r>
          <w:rPr>
            <w:sz w:val="16"/>
          </w:rPr>
          <w:t>Organización de las Naciones Unidas para la Educación, la Ciencia y la Cultura</w:t>
        </w:r>
      </w:hyperlink>
      <w:r>
        <w:rPr>
          <w:sz w:val="16"/>
        </w:rPr>
        <w:t> </w:t>
      </w:r>
      <w:hyperlink r:id="rId17">
        <w:r>
          <w:rPr>
            <w:sz w:val="16"/>
          </w:rPr>
          <w:t>(</w:t>
        </w:r>
        <w:r>
          <w:rPr>
            <w:rFonts w:ascii="Times New Roman" w:hAnsi="Times New Roman"/>
            <w:i/>
            <w:sz w:val="16"/>
          </w:rPr>
          <w:t>United Nations Educational, Scientific</w:t>
        </w:r>
      </w:hyperlink>
      <w:r>
        <w:rPr>
          <w:rFonts w:ascii="Times New Roman" w:hAnsi="Times New Roman"/>
          <w:i/>
          <w:sz w:val="16"/>
        </w:rPr>
        <w:t> </w:t>
      </w:r>
      <w:hyperlink r:id="rId17">
        <w:r>
          <w:rPr>
            <w:rFonts w:ascii="Times New Roman" w:hAnsi="Times New Roman"/>
            <w:i/>
            <w:sz w:val="16"/>
          </w:rPr>
          <w:t>and Cultural Organization)</w:t>
        </w:r>
        <w:r>
          <w:rPr>
            <w:sz w:val="16"/>
          </w:rPr>
          <w:t>.</w:t>
        </w:r>
      </w:hyperlink>
    </w:p>
    <w:p>
      <w:pPr>
        <w:spacing w:after="0" w:line="249" w:lineRule="auto"/>
        <w:jc w:val="left"/>
        <w:rPr>
          <w:sz w:val="16"/>
        </w:rPr>
        <w:sectPr>
          <w:pgSz w:w="11910" w:h="16840"/>
          <w:pgMar w:header="0" w:footer="998" w:top="1340" w:bottom="1180" w:left="1580" w:right="1580"/>
        </w:sectPr>
      </w:pPr>
    </w:p>
    <w:p>
      <w:pPr>
        <w:pStyle w:val="BodyText"/>
        <w:spacing w:line="362" w:lineRule="auto" w:before="39"/>
        <w:ind w:left="100" w:right="82"/>
      </w:pPr>
      <w:r>
        <w:rPr/>
        <w:t>lograr una cooperación internacional de organizaciones contra la corrupción, y sobre todo, contar con voluntad ética y política.</w:t>
      </w:r>
    </w:p>
    <w:p>
      <w:pPr>
        <w:spacing w:after="0" w:line="362" w:lineRule="auto"/>
        <w:sectPr>
          <w:pgSz w:w="11910" w:h="16840"/>
          <w:pgMar w:header="0" w:footer="998" w:top="1360" w:bottom="1180" w:left="1600" w:right="1600"/>
        </w:sectPr>
      </w:pPr>
    </w:p>
    <w:p>
      <w:pPr>
        <w:pStyle w:val="Heading1"/>
        <w:spacing w:line="360" w:lineRule="auto" w:before="54"/>
        <w:ind w:left="1713" w:right="585" w:hanging="1189"/>
        <w:jc w:val="left"/>
      </w:pPr>
      <w:bookmarkStart w:name="_bookmark73" w:id="99"/>
      <w:bookmarkEnd w:id="99"/>
      <w:r>
        <w:rPr>
          <w:b w:val="0"/>
        </w:rPr>
      </w:r>
      <w:r>
        <w:rPr/>
        <w:t>CAPÍTULO CUARTO. SIGLO XXI: POLÍTICAS PÚBLICAS Y EVALUACIÓN DEL ESTADO MEXICANO</w:t>
      </w:r>
    </w:p>
    <w:p>
      <w:pPr>
        <w:pStyle w:val="BodyText"/>
        <w:spacing w:before="3"/>
        <w:rPr>
          <w:b/>
          <w:sz w:val="25"/>
        </w:rPr>
      </w:pPr>
    </w:p>
    <w:p>
      <w:pPr>
        <w:pStyle w:val="BodyText"/>
        <w:spacing w:line="357" w:lineRule="auto"/>
        <w:ind w:left="120" w:right="203"/>
        <w:jc w:val="both"/>
      </w:pPr>
      <w:r>
        <w:rPr/>
        <w:t>En la década de los años noventa la academia mexicana dio un fuerte impulso al estudio de las políticas públicas con las aportaciones de Luis Aguilar.</w:t>
      </w:r>
      <w:r>
        <w:rPr>
          <w:position w:val="8"/>
          <w:sz w:val="16"/>
        </w:rPr>
        <w:t>96 </w:t>
      </w:r>
      <w:r>
        <w:rPr/>
        <w:t>Las políticas públicas</w:t>
      </w:r>
      <w:r>
        <w:rPr>
          <w:position w:val="8"/>
          <w:sz w:val="16"/>
        </w:rPr>
        <w:t>97 </w:t>
      </w:r>
      <w:r>
        <w:rPr/>
        <w:t>son decisiones del Estado que se originan en un proceso político</w:t>
      </w:r>
      <w:r>
        <w:rPr>
          <w:spacing w:val="-17"/>
        </w:rPr>
        <w:t> </w:t>
      </w:r>
      <w:r>
        <w:rPr/>
        <w:t>previo,</w:t>
      </w:r>
      <w:r>
        <w:rPr>
          <w:spacing w:val="-14"/>
        </w:rPr>
        <w:t> </w:t>
      </w:r>
      <w:r>
        <w:rPr/>
        <w:t>mediante</w:t>
      </w:r>
      <w:r>
        <w:rPr>
          <w:spacing w:val="-16"/>
        </w:rPr>
        <w:t> </w:t>
      </w:r>
      <w:r>
        <w:rPr/>
        <w:t>el</w:t>
      </w:r>
      <w:r>
        <w:rPr>
          <w:spacing w:val="-16"/>
        </w:rPr>
        <w:t> </w:t>
      </w:r>
      <w:r>
        <w:rPr/>
        <w:t>cual</w:t>
      </w:r>
      <w:r>
        <w:rPr>
          <w:spacing w:val="-16"/>
        </w:rPr>
        <w:t> </w:t>
      </w:r>
      <w:r>
        <w:rPr/>
        <w:t>se</w:t>
      </w:r>
      <w:r>
        <w:rPr>
          <w:spacing w:val="-17"/>
        </w:rPr>
        <w:t> </w:t>
      </w:r>
      <w:r>
        <w:rPr/>
        <w:t>seleccionan</w:t>
      </w:r>
      <w:r>
        <w:rPr>
          <w:spacing w:val="-13"/>
        </w:rPr>
        <w:t> </w:t>
      </w:r>
      <w:r>
        <w:rPr/>
        <w:t>y</w:t>
      </w:r>
      <w:r>
        <w:rPr>
          <w:spacing w:val="-19"/>
        </w:rPr>
        <w:t> </w:t>
      </w:r>
      <w:r>
        <w:rPr/>
        <w:t>definen</w:t>
      </w:r>
      <w:r>
        <w:rPr>
          <w:spacing w:val="-17"/>
        </w:rPr>
        <w:t> </w:t>
      </w:r>
      <w:r>
        <w:rPr/>
        <w:t>los</w:t>
      </w:r>
      <w:r>
        <w:rPr>
          <w:spacing w:val="-15"/>
        </w:rPr>
        <w:t> </w:t>
      </w:r>
      <w:r>
        <w:rPr/>
        <w:t>problemas</w:t>
      </w:r>
      <w:r>
        <w:rPr>
          <w:spacing w:val="-15"/>
        </w:rPr>
        <w:t> </w:t>
      </w:r>
      <w:r>
        <w:rPr/>
        <w:t>públicos. Debido a que el Estado tiene el monopolio legítimo de la coerción física, en las políticas públicas hay decisiones de</w:t>
      </w:r>
      <w:r>
        <w:rPr>
          <w:spacing w:val="-25"/>
        </w:rPr>
        <w:t> </w:t>
      </w:r>
      <w:r>
        <w:rPr/>
        <w:t>poder.</w:t>
      </w:r>
    </w:p>
    <w:p>
      <w:pPr>
        <w:pStyle w:val="BodyText"/>
        <w:spacing w:line="360" w:lineRule="auto" w:before="8"/>
        <w:ind w:left="120" w:right="103" w:firstLine="427"/>
        <w:jc w:val="both"/>
      </w:pPr>
      <w:r>
        <w:rPr/>
        <w:t>En este siglo, seleccionar las políticas que adoptará el Estado supone definir los problemas por atender.</w:t>
      </w:r>
      <w:r>
        <w:rPr>
          <w:position w:val="8"/>
          <w:sz w:val="16"/>
        </w:rPr>
        <w:t>98 </w:t>
      </w:r>
      <w:r>
        <w:rPr/>
        <w:t>El momento más importante en el diseño de las políticas públicas es el de priorizar los problemas que se deben resolverse, considerando primordialmente las políticas públicas que deben atender los deberes constitucionales y, sobre todo, examinar la viabilidad de su implementación y resultados.</w:t>
      </w:r>
    </w:p>
    <w:p>
      <w:pPr>
        <w:pStyle w:val="BodyText"/>
        <w:spacing w:line="360" w:lineRule="auto" w:before="6"/>
        <w:ind w:left="120" w:right="112" w:firstLine="427"/>
        <w:jc w:val="both"/>
      </w:pPr>
      <w:r>
        <w:rPr/>
        <w:t>Definir el problema significa encontrar las causas por las que esa situación está</w:t>
      </w:r>
      <w:r>
        <w:rPr>
          <w:spacing w:val="-14"/>
        </w:rPr>
        <w:t> </w:t>
      </w:r>
      <w:r>
        <w:rPr/>
        <w:t>sucediendo</w:t>
      </w:r>
      <w:r>
        <w:rPr>
          <w:spacing w:val="-14"/>
        </w:rPr>
        <w:t> </w:t>
      </w:r>
      <w:r>
        <w:rPr/>
        <w:t>y</w:t>
      </w:r>
      <w:r>
        <w:rPr>
          <w:spacing w:val="-16"/>
        </w:rPr>
        <w:t> </w:t>
      </w:r>
      <w:r>
        <w:rPr/>
        <w:t>encontrar</w:t>
      </w:r>
      <w:r>
        <w:rPr>
          <w:spacing w:val="-12"/>
        </w:rPr>
        <w:t> </w:t>
      </w:r>
      <w:r>
        <w:rPr/>
        <w:t>soluciones</w:t>
      </w:r>
      <w:r>
        <w:rPr>
          <w:spacing w:val="-12"/>
        </w:rPr>
        <w:t> </w:t>
      </w:r>
      <w:r>
        <w:rPr/>
        <w:t>factibles.</w:t>
      </w:r>
      <w:r>
        <w:rPr>
          <w:spacing w:val="-11"/>
        </w:rPr>
        <w:t> </w:t>
      </w:r>
      <w:r>
        <w:rPr/>
        <w:t>Una</w:t>
      </w:r>
      <w:r>
        <w:rPr>
          <w:spacing w:val="-14"/>
        </w:rPr>
        <w:t> </w:t>
      </w:r>
      <w:r>
        <w:rPr/>
        <w:t>política</w:t>
      </w:r>
      <w:r>
        <w:rPr>
          <w:spacing w:val="-14"/>
        </w:rPr>
        <w:t> </w:t>
      </w:r>
      <w:r>
        <w:rPr/>
        <w:t>no</w:t>
      </w:r>
      <w:r>
        <w:rPr>
          <w:spacing w:val="-14"/>
        </w:rPr>
        <w:t> </w:t>
      </w:r>
      <w:r>
        <w:rPr/>
        <w:t>puede</w:t>
      </w:r>
      <w:r>
        <w:rPr>
          <w:spacing w:val="-14"/>
        </w:rPr>
        <w:t> </w:t>
      </w:r>
      <w:r>
        <w:rPr/>
        <w:t>reducirse a decir que la rendición de cuentas es insuficiente para reducir la corrupción y generar la confianza de la sociedad, también debe encontrar las causas de la insuficiencia de esa rendición de</w:t>
      </w:r>
      <w:r>
        <w:rPr>
          <w:spacing w:val="-21"/>
        </w:rPr>
        <w:t> </w:t>
      </w:r>
      <w:r>
        <w:rPr/>
        <w:t>cuentas.</w:t>
      </w:r>
    </w:p>
    <w:p>
      <w:pPr>
        <w:pStyle w:val="BodyText"/>
        <w:spacing w:line="360" w:lineRule="auto" w:before="2"/>
        <w:ind w:left="120" w:right="110" w:firstLine="427"/>
        <w:jc w:val="both"/>
      </w:pPr>
      <w:r>
        <w:rPr/>
        <w:t>Esta</w:t>
      </w:r>
      <w:r>
        <w:rPr>
          <w:spacing w:val="-12"/>
        </w:rPr>
        <w:t> </w:t>
      </w:r>
      <w:r>
        <w:rPr/>
        <w:t>acción</w:t>
      </w:r>
      <w:r>
        <w:rPr>
          <w:spacing w:val="-12"/>
        </w:rPr>
        <w:t> </w:t>
      </w:r>
      <w:r>
        <w:rPr/>
        <w:t>del</w:t>
      </w:r>
      <w:r>
        <w:rPr>
          <w:spacing w:val="-11"/>
        </w:rPr>
        <w:t> </w:t>
      </w:r>
      <w:r>
        <w:rPr/>
        <w:t>Estado</w:t>
      </w:r>
      <w:r>
        <w:rPr>
          <w:spacing w:val="-12"/>
        </w:rPr>
        <w:t> </w:t>
      </w:r>
      <w:r>
        <w:rPr/>
        <w:t>es</w:t>
      </w:r>
      <w:r>
        <w:rPr>
          <w:spacing w:val="-6"/>
        </w:rPr>
        <w:t> </w:t>
      </w:r>
      <w:r>
        <w:rPr/>
        <w:t>muy</w:t>
      </w:r>
      <w:r>
        <w:rPr>
          <w:spacing w:val="-14"/>
        </w:rPr>
        <w:t> </w:t>
      </w:r>
      <w:r>
        <w:rPr/>
        <w:t>amplia</w:t>
      </w:r>
      <w:r>
        <w:rPr>
          <w:spacing w:val="-8"/>
        </w:rPr>
        <w:t> </w:t>
      </w:r>
      <w:r>
        <w:rPr/>
        <w:t>y</w:t>
      </w:r>
      <w:r>
        <w:rPr>
          <w:spacing w:val="-14"/>
        </w:rPr>
        <w:t> </w:t>
      </w:r>
      <w:r>
        <w:rPr/>
        <w:t>envolvente</w:t>
      </w:r>
      <w:r>
        <w:rPr>
          <w:spacing w:val="-12"/>
        </w:rPr>
        <w:t> </w:t>
      </w:r>
      <w:r>
        <w:rPr/>
        <w:t>porque</w:t>
      </w:r>
      <w:r>
        <w:rPr>
          <w:spacing w:val="-12"/>
        </w:rPr>
        <w:t> </w:t>
      </w:r>
      <w:r>
        <w:rPr/>
        <w:t>implica</w:t>
      </w:r>
      <w:r>
        <w:rPr>
          <w:spacing w:val="-12"/>
        </w:rPr>
        <w:t> </w:t>
      </w:r>
      <w:r>
        <w:rPr/>
        <w:t>el</w:t>
      </w:r>
      <w:r>
        <w:rPr>
          <w:spacing w:val="-11"/>
        </w:rPr>
        <w:t> </w:t>
      </w:r>
      <w:r>
        <w:rPr/>
        <w:t>examen de</w:t>
      </w:r>
      <w:r>
        <w:rPr>
          <w:spacing w:val="-13"/>
        </w:rPr>
        <w:t> </w:t>
      </w:r>
      <w:r>
        <w:rPr/>
        <w:t>todas</w:t>
      </w:r>
      <w:r>
        <w:rPr>
          <w:spacing w:val="-12"/>
        </w:rPr>
        <w:t> </w:t>
      </w:r>
      <w:r>
        <w:rPr/>
        <w:t>las</w:t>
      </w:r>
      <w:r>
        <w:rPr>
          <w:spacing w:val="-8"/>
        </w:rPr>
        <w:t> </w:t>
      </w:r>
      <w:r>
        <w:rPr/>
        <w:t>políticas</w:t>
      </w:r>
      <w:r>
        <w:rPr>
          <w:spacing w:val="-8"/>
        </w:rPr>
        <w:t> </w:t>
      </w:r>
      <w:r>
        <w:rPr/>
        <w:t>públicas,</w:t>
      </w:r>
      <w:r>
        <w:rPr>
          <w:spacing w:val="-11"/>
        </w:rPr>
        <w:t> </w:t>
      </w:r>
      <w:r>
        <w:rPr/>
        <w:t>analizar</w:t>
      </w:r>
      <w:r>
        <w:rPr>
          <w:spacing w:val="-12"/>
        </w:rPr>
        <w:t> </w:t>
      </w:r>
      <w:r>
        <w:rPr/>
        <w:t>su</w:t>
      </w:r>
      <w:r>
        <w:rPr>
          <w:spacing w:val="-13"/>
        </w:rPr>
        <w:t> </w:t>
      </w:r>
      <w:r>
        <w:rPr/>
        <w:t>correcta</w:t>
      </w:r>
      <w:r>
        <w:rPr>
          <w:spacing w:val="-13"/>
        </w:rPr>
        <w:t> </w:t>
      </w:r>
      <w:r>
        <w:rPr/>
        <w:t>implementación</w:t>
      </w:r>
      <w:r>
        <w:rPr>
          <w:spacing w:val="-10"/>
        </w:rPr>
        <w:t> </w:t>
      </w:r>
      <w:r>
        <w:rPr/>
        <w:t>y</w:t>
      </w:r>
      <w:r>
        <w:rPr>
          <w:spacing w:val="-12"/>
        </w:rPr>
        <w:t> </w:t>
      </w:r>
      <w:r>
        <w:rPr/>
        <w:t>las</w:t>
      </w:r>
      <w:r>
        <w:rPr>
          <w:spacing w:val="-12"/>
        </w:rPr>
        <w:t> </w:t>
      </w:r>
      <w:r>
        <w:rPr/>
        <w:t>posibles causas de su fracaso o insuficiencia. El principio rector de toda política  </w:t>
      </w:r>
      <w:r>
        <w:rPr>
          <w:spacing w:val="66"/>
        </w:rPr>
        <w:t> </w:t>
      </w:r>
      <w:r>
        <w:rPr/>
        <w:t>pública</w:t>
      </w: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9160;mso-wrap-distance-left:0;mso-wrap-distance-right:0" from="85.025002pt,9.866797pt" to="229.075002pt,9.866797pt" stroked="true" strokeweight=".80005pt" strokecolor="#000000">
            <w10:wrap type="topAndBottom"/>
          </v:line>
        </w:pict>
      </w:r>
    </w:p>
    <w:p>
      <w:pPr>
        <w:spacing w:line="244" w:lineRule="auto" w:before="65"/>
        <w:ind w:left="120" w:right="195" w:firstLine="0"/>
        <w:jc w:val="both"/>
        <w:rPr>
          <w:sz w:val="16"/>
        </w:rPr>
      </w:pPr>
      <w:r>
        <w:rPr>
          <w:rFonts w:ascii="Calibri" w:hAnsi="Calibri"/>
          <w:position w:val="8"/>
          <w:sz w:val="14"/>
        </w:rPr>
        <w:t>96</w:t>
      </w:r>
      <w:r>
        <w:rPr>
          <w:sz w:val="16"/>
        </w:rPr>
        <w:t>En 2011 la literatura mexicana consideró el tema </w:t>
      </w:r>
      <w:r>
        <w:rPr>
          <w:i/>
          <w:sz w:val="16"/>
        </w:rPr>
        <w:t>La evaluación de las Políticas Públicas en México</w:t>
      </w:r>
      <w:r>
        <w:rPr>
          <w:sz w:val="16"/>
        </w:rPr>
        <w:t>, con las aportaciones de José Ma. Ramos, José Sosa y Félix Acosta; sin embargo la ASF mediante la AED realizó previamente la</w:t>
      </w:r>
      <w:r>
        <w:rPr>
          <w:spacing w:val="-11"/>
          <w:sz w:val="16"/>
        </w:rPr>
        <w:t> </w:t>
      </w:r>
      <w:r>
        <w:rPr>
          <w:sz w:val="16"/>
        </w:rPr>
        <w:t>metodología</w:t>
      </w:r>
      <w:r>
        <w:rPr>
          <w:spacing w:val="-15"/>
          <w:sz w:val="16"/>
        </w:rPr>
        <w:t> </w:t>
      </w:r>
      <w:r>
        <w:rPr>
          <w:sz w:val="16"/>
        </w:rPr>
        <w:t>de</w:t>
      </w:r>
      <w:r>
        <w:rPr>
          <w:spacing w:val="-15"/>
          <w:sz w:val="16"/>
        </w:rPr>
        <w:t> </w:t>
      </w:r>
      <w:r>
        <w:rPr>
          <w:sz w:val="16"/>
        </w:rPr>
        <w:t>evaluación</w:t>
      </w:r>
      <w:r>
        <w:rPr>
          <w:spacing w:val="-15"/>
          <w:sz w:val="16"/>
        </w:rPr>
        <w:t> </w:t>
      </w:r>
      <w:r>
        <w:rPr>
          <w:sz w:val="16"/>
        </w:rPr>
        <w:t>de</w:t>
      </w:r>
      <w:r>
        <w:rPr>
          <w:spacing w:val="-11"/>
          <w:sz w:val="16"/>
        </w:rPr>
        <w:t> </w:t>
      </w:r>
      <w:r>
        <w:rPr>
          <w:sz w:val="16"/>
        </w:rPr>
        <w:t>políticas</w:t>
      </w:r>
      <w:r>
        <w:rPr>
          <w:spacing w:val="-14"/>
          <w:sz w:val="16"/>
        </w:rPr>
        <w:t> </w:t>
      </w:r>
      <w:r>
        <w:rPr>
          <w:sz w:val="16"/>
        </w:rPr>
        <w:t>públicas</w:t>
      </w:r>
      <w:r>
        <w:rPr>
          <w:spacing w:val="-14"/>
          <w:sz w:val="16"/>
        </w:rPr>
        <w:t> </w:t>
      </w:r>
      <w:r>
        <w:rPr>
          <w:sz w:val="16"/>
        </w:rPr>
        <w:t>en</w:t>
      </w:r>
      <w:r>
        <w:rPr>
          <w:spacing w:val="-15"/>
          <w:sz w:val="16"/>
        </w:rPr>
        <w:t> </w:t>
      </w:r>
      <w:r>
        <w:rPr>
          <w:sz w:val="16"/>
        </w:rPr>
        <w:t>el</w:t>
      </w:r>
      <w:r>
        <w:rPr>
          <w:spacing w:val="-13"/>
          <w:sz w:val="16"/>
        </w:rPr>
        <w:t> </w:t>
      </w:r>
      <w:r>
        <w:rPr>
          <w:sz w:val="16"/>
        </w:rPr>
        <w:t>año</w:t>
      </w:r>
      <w:r>
        <w:rPr>
          <w:spacing w:val="-15"/>
          <w:sz w:val="16"/>
        </w:rPr>
        <w:t> </w:t>
      </w:r>
      <w:r>
        <w:rPr>
          <w:sz w:val="16"/>
        </w:rPr>
        <w:t>2000</w:t>
      </w:r>
      <w:r>
        <w:rPr>
          <w:spacing w:val="-6"/>
          <w:sz w:val="16"/>
        </w:rPr>
        <w:t> </w:t>
      </w:r>
      <w:r>
        <w:rPr>
          <w:sz w:val="16"/>
        </w:rPr>
        <w:t>y</w:t>
      </w:r>
      <w:r>
        <w:rPr>
          <w:spacing w:val="-14"/>
          <w:sz w:val="16"/>
        </w:rPr>
        <w:t> </w:t>
      </w:r>
      <w:r>
        <w:rPr>
          <w:sz w:val="16"/>
        </w:rPr>
        <w:t>las</w:t>
      </w:r>
      <w:r>
        <w:rPr>
          <w:spacing w:val="-18"/>
          <w:sz w:val="16"/>
        </w:rPr>
        <w:t> </w:t>
      </w:r>
      <w:r>
        <w:rPr>
          <w:sz w:val="16"/>
        </w:rPr>
        <w:t>primeras</w:t>
      </w:r>
      <w:r>
        <w:rPr>
          <w:spacing w:val="-18"/>
          <w:sz w:val="16"/>
        </w:rPr>
        <w:t> </w:t>
      </w:r>
      <w:r>
        <w:rPr>
          <w:sz w:val="16"/>
        </w:rPr>
        <w:t>auditorías</w:t>
      </w:r>
      <w:r>
        <w:rPr>
          <w:spacing w:val="-18"/>
          <w:sz w:val="16"/>
        </w:rPr>
        <w:t> </w:t>
      </w:r>
      <w:r>
        <w:rPr>
          <w:sz w:val="16"/>
        </w:rPr>
        <w:t>de</w:t>
      </w:r>
      <w:r>
        <w:rPr>
          <w:spacing w:val="-15"/>
          <w:sz w:val="16"/>
        </w:rPr>
        <w:t> </w:t>
      </w:r>
      <w:r>
        <w:rPr>
          <w:sz w:val="16"/>
        </w:rPr>
        <w:t>desempeño;</w:t>
      </w:r>
      <w:r>
        <w:rPr>
          <w:spacing w:val="-11"/>
          <w:sz w:val="16"/>
        </w:rPr>
        <w:t> </w:t>
      </w:r>
      <w:r>
        <w:rPr>
          <w:sz w:val="16"/>
        </w:rPr>
        <w:t>la</w:t>
      </w:r>
      <w:r>
        <w:rPr>
          <w:spacing w:val="-15"/>
          <w:sz w:val="16"/>
        </w:rPr>
        <w:t> </w:t>
      </w:r>
      <w:r>
        <w:rPr>
          <w:sz w:val="16"/>
        </w:rPr>
        <w:t>metodología se </w:t>
      </w:r>
      <w:r>
        <w:rPr>
          <w:spacing w:val="-3"/>
          <w:sz w:val="16"/>
        </w:rPr>
        <w:t>ha </w:t>
      </w:r>
      <w:r>
        <w:rPr>
          <w:sz w:val="16"/>
        </w:rPr>
        <w:t>ido actualizando y mejorando anualmente con base en nuevos conocimientos en la materia: en las normas las experiencias nacionales e internacionales y de las entidades de fiscalización superior; en la INTOSAI, en </w:t>
      </w:r>
      <w:r>
        <w:rPr>
          <w:i/>
          <w:sz w:val="16"/>
        </w:rPr>
        <w:t>The Global </w:t>
      </w:r>
      <w:r>
        <w:rPr>
          <w:i/>
          <w:sz w:val="16"/>
        </w:rPr>
        <w:t>Working Group</w:t>
      </w:r>
      <w:r>
        <w:rPr>
          <w:sz w:val="16"/>
        </w:rPr>
        <w:t>, en la Organización Latinoamérica nay del Caribe de Entidades Fiscalizadoras Superiores, en la Asociación Nacional de Organismos de Fiscalización Superior y Control Gubernamental y, con base en sus propias experiencias prácticas. ASF/AED. </w:t>
      </w:r>
      <w:r>
        <w:rPr>
          <w:i/>
          <w:sz w:val="16"/>
        </w:rPr>
        <w:t>Marco operativo </w:t>
      </w:r>
      <w:r>
        <w:rPr>
          <w:sz w:val="16"/>
        </w:rPr>
        <w:t>(2006:10 y</w:t>
      </w:r>
      <w:r>
        <w:rPr>
          <w:spacing w:val="-19"/>
          <w:sz w:val="16"/>
        </w:rPr>
        <w:t> </w:t>
      </w:r>
      <w:r>
        <w:rPr>
          <w:sz w:val="16"/>
        </w:rPr>
        <w:t>156)</w:t>
      </w:r>
    </w:p>
    <w:p>
      <w:pPr>
        <w:spacing w:line="216" w:lineRule="exact" w:before="0"/>
        <w:ind w:left="120" w:right="0" w:firstLine="0"/>
        <w:jc w:val="both"/>
        <w:rPr>
          <w:sz w:val="16"/>
        </w:rPr>
      </w:pPr>
      <w:r>
        <w:rPr>
          <w:rFonts w:ascii="Times New Roman" w:hAnsi="Times New Roman"/>
          <w:position w:val="7"/>
          <w:sz w:val="13"/>
        </w:rPr>
        <w:t>97</w:t>
      </w:r>
      <w:r>
        <w:rPr>
          <w:sz w:val="16"/>
        </w:rPr>
        <w:t>“Las políticas públicas son aquellas decisiones de las autoridades jurídicamente reconocidas como públicas, así como</w:t>
      </w:r>
    </w:p>
    <w:p>
      <w:pPr>
        <w:spacing w:before="12"/>
        <w:ind w:left="120" w:right="202" w:firstLine="0"/>
        <w:jc w:val="both"/>
        <w:rPr>
          <w:sz w:val="16"/>
        </w:rPr>
      </w:pPr>
      <w:r>
        <w:rPr>
          <w:sz w:val="16"/>
        </w:rPr>
        <w:t>las estrategias y acciones de gobierno que atienden al interés público teniendo como criterio la decisión al mejor argumento esgrimido en discusión pública, […] una política gubernamental corresponde al funcionamiento de la estructura ejecutora.”</w:t>
      </w:r>
    </w:p>
    <w:p>
      <w:pPr>
        <w:spacing w:before="0"/>
        <w:ind w:left="120" w:right="142" w:firstLine="0"/>
        <w:jc w:val="left"/>
        <w:rPr>
          <w:sz w:val="16"/>
        </w:rPr>
      </w:pPr>
      <w:r>
        <w:rPr>
          <w:sz w:val="16"/>
        </w:rPr>
        <w:t>“[las políticas públicas son] los lineamientos, directrices y las acciones implementadas por el gobierno a través de instituciones, materializándose en programas y proyectos, que buscan atender las demandas de la sociedad. Incluyen el debate público en su proceso de conformación, formulación y evaluación; y son constituidas por recursos públicos.” (Salazar, 2008: 229-230)</w:t>
      </w:r>
    </w:p>
    <w:p>
      <w:pPr>
        <w:spacing w:line="249" w:lineRule="auto" w:before="0"/>
        <w:ind w:left="120" w:right="206" w:firstLine="0"/>
        <w:jc w:val="both"/>
        <w:rPr>
          <w:sz w:val="16"/>
        </w:rPr>
      </w:pPr>
      <w:r>
        <w:rPr>
          <w:rFonts w:ascii="Times New Roman" w:hAnsi="Times New Roman"/>
          <w:position w:val="7"/>
          <w:sz w:val="13"/>
        </w:rPr>
        <w:t>98</w:t>
      </w:r>
      <w:r>
        <w:rPr>
          <w:sz w:val="16"/>
        </w:rPr>
        <w:t>Problemas derivados del cumplimiento constitucional sobre provisión de bienes públicos y la prestación de servicios públicos.</w:t>
      </w:r>
    </w:p>
    <w:p>
      <w:pPr>
        <w:spacing w:after="0" w:line="249" w:lineRule="auto"/>
        <w:jc w:val="both"/>
        <w:rPr>
          <w:sz w:val="16"/>
        </w:rPr>
        <w:sectPr>
          <w:pgSz w:w="11910" w:h="16840"/>
          <w:pgMar w:header="0" w:footer="998" w:top="1340" w:bottom="1180" w:left="1580" w:right="1500"/>
        </w:sectPr>
      </w:pPr>
    </w:p>
    <w:p>
      <w:pPr>
        <w:pStyle w:val="BodyText"/>
        <w:spacing w:line="362" w:lineRule="auto" w:before="39"/>
        <w:ind w:left="120"/>
      </w:pPr>
      <w:r>
        <w:rPr/>
        <w:t>está</w:t>
      </w:r>
      <w:r>
        <w:rPr>
          <w:spacing w:val="-14"/>
        </w:rPr>
        <w:t> </w:t>
      </w:r>
      <w:r>
        <w:rPr/>
        <w:t>basado</w:t>
      </w:r>
      <w:r>
        <w:rPr>
          <w:spacing w:val="-14"/>
        </w:rPr>
        <w:t> </w:t>
      </w:r>
      <w:r>
        <w:rPr/>
        <w:t>en</w:t>
      </w:r>
      <w:r>
        <w:rPr>
          <w:spacing w:val="-13"/>
        </w:rPr>
        <w:t> </w:t>
      </w:r>
      <w:r>
        <w:rPr/>
        <w:t>la</w:t>
      </w:r>
      <w:r>
        <w:rPr>
          <w:spacing w:val="-14"/>
        </w:rPr>
        <w:t> </w:t>
      </w:r>
      <w:r>
        <w:rPr/>
        <w:t>filosofía</w:t>
      </w:r>
      <w:r>
        <w:rPr>
          <w:spacing w:val="-14"/>
        </w:rPr>
        <w:t> </w:t>
      </w:r>
      <w:r>
        <w:rPr/>
        <w:t>política:</w:t>
      </w:r>
      <w:r>
        <w:rPr>
          <w:spacing w:val="-11"/>
        </w:rPr>
        <w:t> </w:t>
      </w:r>
      <w:r>
        <w:rPr/>
        <w:t>cualquiera</w:t>
      </w:r>
      <w:r>
        <w:rPr>
          <w:spacing w:val="-14"/>
        </w:rPr>
        <w:t> </w:t>
      </w:r>
      <w:r>
        <w:rPr/>
        <w:t>que</w:t>
      </w:r>
      <w:r>
        <w:rPr>
          <w:spacing w:val="-14"/>
        </w:rPr>
        <w:t> </w:t>
      </w:r>
      <w:r>
        <w:rPr/>
        <w:t>proponga</w:t>
      </w:r>
      <w:r>
        <w:rPr>
          <w:spacing w:val="-14"/>
        </w:rPr>
        <w:t> </w:t>
      </w:r>
      <w:r>
        <w:rPr/>
        <w:t>algo</w:t>
      </w:r>
      <w:r>
        <w:rPr>
          <w:spacing w:val="-14"/>
        </w:rPr>
        <w:t> </w:t>
      </w:r>
      <w:r>
        <w:rPr/>
        <w:t>cuya</w:t>
      </w:r>
      <w:r>
        <w:rPr>
          <w:spacing w:val="-14"/>
        </w:rPr>
        <w:t> </w:t>
      </w:r>
      <w:r>
        <w:rPr/>
        <w:t>factibilidad se sabe imposible, comete un acto de</w:t>
      </w:r>
      <w:r>
        <w:rPr>
          <w:spacing w:val="-26"/>
        </w:rPr>
        <w:t> </w:t>
      </w:r>
      <w:r>
        <w:rPr/>
        <w:t>corrupción.</w:t>
      </w:r>
    </w:p>
    <w:p>
      <w:pPr>
        <w:pStyle w:val="BodyText"/>
      </w:pPr>
    </w:p>
    <w:p>
      <w:pPr>
        <w:pStyle w:val="BodyText"/>
        <w:spacing w:line="360" w:lineRule="auto" w:before="139"/>
        <w:ind w:left="120" w:right="203" w:firstLine="427"/>
        <w:jc w:val="both"/>
      </w:pPr>
      <w:r>
        <w:rPr/>
        <w:t>La política pública no es sólo una serie de procedimientos o rutinas, es una definición precisa sobre lo que el Estado quiere obtener. Si el Estado desea avanzar hacia la democracia y legitimarse, entonces debe mejorar la situación actual de gobernabilidad y el control de la corrupción.</w:t>
      </w:r>
    </w:p>
    <w:p>
      <w:pPr>
        <w:pStyle w:val="BodyText"/>
        <w:spacing w:line="360" w:lineRule="auto" w:before="6"/>
        <w:ind w:left="120" w:right="201" w:firstLine="427"/>
        <w:jc w:val="both"/>
        <w:rPr>
          <w:sz w:val="16"/>
        </w:rPr>
      </w:pPr>
      <w:r>
        <w:rPr/>
        <w:t>Por lo anterior, una política pública eficiente siempre debe buscar no sólo la mejor solución a los problemas, sino una mejor condición social, por lo que una política</w:t>
      </w:r>
      <w:r>
        <w:rPr>
          <w:spacing w:val="-20"/>
        </w:rPr>
        <w:t> </w:t>
      </w:r>
      <w:r>
        <w:rPr/>
        <w:t>pública</w:t>
      </w:r>
      <w:r>
        <w:rPr>
          <w:spacing w:val="-20"/>
        </w:rPr>
        <w:t> </w:t>
      </w:r>
      <w:r>
        <w:rPr/>
        <w:t>debe</w:t>
      </w:r>
      <w:r>
        <w:rPr>
          <w:spacing w:val="-20"/>
        </w:rPr>
        <w:t> </w:t>
      </w:r>
      <w:r>
        <w:rPr/>
        <w:t>revelar</w:t>
      </w:r>
      <w:r>
        <w:rPr>
          <w:spacing w:val="-16"/>
        </w:rPr>
        <w:t> </w:t>
      </w:r>
      <w:r>
        <w:rPr/>
        <w:t>tanto</w:t>
      </w:r>
      <w:r>
        <w:rPr>
          <w:spacing w:val="-20"/>
        </w:rPr>
        <w:t> </w:t>
      </w:r>
      <w:r>
        <w:rPr/>
        <w:t>el</w:t>
      </w:r>
      <w:r>
        <w:rPr>
          <w:spacing w:val="-19"/>
        </w:rPr>
        <w:t> </w:t>
      </w:r>
      <w:r>
        <w:rPr/>
        <w:t>objetivo</w:t>
      </w:r>
      <w:r>
        <w:rPr>
          <w:spacing w:val="-20"/>
        </w:rPr>
        <w:t> </w:t>
      </w:r>
      <w:r>
        <w:rPr/>
        <w:t>de</w:t>
      </w:r>
      <w:r>
        <w:rPr>
          <w:spacing w:val="-20"/>
        </w:rPr>
        <w:t> </w:t>
      </w:r>
      <w:r>
        <w:rPr/>
        <w:t>lo</w:t>
      </w:r>
      <w:r>
        <w:rPr>
          <w:spacing w:val="-20"/>
        </w:rPr>
        <w:t> </w:t>
      </w:r>
      <w:r>
        <w:rPr/>
        <w:t>que</w:t>
      </w:r>
      <w:r>
        <w:rPr>
          <w:spacing w:val="-20"/>
        </w:rPr>
        <w:t> </w:t>
      </w:r>
      <w:r>
        <w:rPr/>
        <w:t>persigue,</w:t>
      </w:r>
      <w:r>
        <w:rPr>
          <w:spacing w:val="-17"/>
        </w:rPr>
        <w:t> </w:t>
      </w:r>
      <w:r>
        <w:rPr/>
        <w:t>como</w:t>
      </w:r>
      <w:r>
        <w:rPr>
          <w:spacing w:val="-20"/>
        </w:rPr>
        <w:t> </w:t>
      </w:r>
      <w:r>
        <w:rPr/>
        <w:t>los</w:t>
      </w:r>
      <w:r>
        <w:rPr>
          <w:spacing w:val="-18"/>
        </w:rPr>
        <w:t> </w:t>
      </w:r>
      <w:r>
        <w:rPr/>
        <w:t>valores éticos</w:t>
      </w:r>
      <w:r>
        <w:rPr>
          <w:spacing w:val="-9"/>
        </w:rPr>
        <w:t> </w:t>
      </w:r>
      <w:r>
        <w:rPr/>
        <w:t>a</w:t>
      </w:r>
      <w:r>
        <w:rPr>
          <w:spacing w:val="-11"/>
        </w:rPr>
        <w:t> </w:t>
      </w:r>
      <w:r>
        <w:rPr/>
        <w:t>los</w:t>
      </w:r>
      <w:r>
        <w:rPr>
          <w:spacing w:val="-9"/>
        </w:rPr>
        <w:t> </w:t>
      </w:r>
      <w:r>
        <w:rPr/>
        <w:t>que</w:t>
      </w:r>
      <w:r>
        <w:rPr>
          <w:spacing w:val="-11"/>
        </w:rPr>
        <w:t> </w:t>
      </w:r>
      <w:r>
        <w:rPr/>
        <w:t>se</w:t>
      </w:r>
      <w:r>
        <w:rPr>
          <w:spacing w:val="-11"/>
        </w:rPr>
        <w:t> </w:t>
      </w:r>
      <w:r>
        <w:rPr/>
        <w:t>adscribe.</w:t>
      </w:r>
      <w:r>
        <w:rPr>
          <w:spacing w:val="-8"/>
        </w:rPr>
        <w:t> </w:t>
      </w:r>
      <w:r>
        <w:rPr/>
        <w:t>De</w:t>
      </w:r>
      <w:r>
        <w:rPr>
          <w:spacing w:val="-11"/>
        </w:rPr>
        <w:t> </w:t>
      </w:r>
      <w:r>
        <w:rPr/>
        <w:t>ello</w:t>
      </w:r>
      <w:r>
        <w:rPr>
          <w:spacing w:val="-11"/>
        </w:rPr>
        <w:t> </w:t>
      </w:r>
      <w:r>
        <w:rPr/>
        <w:t>se</w:t>
      </w:r>
      <w:r>
        <w:rPr>
          <w:spacing w:val="-11"/>
        </w:rPr>
        <w:t> </w:t>
      </w:r>
      <w:r>
        <w:rPr/>
        <w:t>desprende</w:t>
      </w:r>
      <w:r>
        <w:rPr>
          <w:spacing w:val="-11"/>
        </w:rPr>
        <w:t> </w:t>
      </w:r>
      <w:r>
        <w:rPr/>
        <w:t>que</w:t>
      </w:r>
      <w:r>
        <w:rPr>
          <w:spacing w:val="-11"/>
        </w:rPr>
        <w:t> </w:t>
      </w:r>
      <w:r>
        <w:rPr/>
        <w:t>la</w:t>
      </w:r>
      <w:r>
        <w:rPr>
          <w:spacing w:val="-11"/>
        </w:rPr>
        <w:t> </w:t>
      </w:r>
      <w:r>
        <w:rPr/>
        <w:t>política</w:t>
      </w:r>
      <w:r>
        <w:rPr>
          <w:spacing w:val="-11"/>
        </w:rPr>
        <w:t> </w:t>
      </w:r>
      <w:r>
        <w:rPr/>
        <w:t>de</w:t>
      </w:r>
      <w:r>
        <w:rPr>
          <w:spacing w:val="-11"/>
        </w:rPr>
        <w:t> </w:t>
      </w:r>
      <w:r>
        <w:rPr/>
        <w:t>rendición</w:t>
      </w:r>
      <w:r>
        <w:rPr>
          <w:spacing w:val="-11"/>
        </w:rPr>
        <w:t> </w:t>
      </w:r>
      <w:r>
        <w:rPr/>
        <w:t>de cuentas debe regirse por valores</w:t>
      </w:r>
      <w:r>
        <w:rPr>
          <w:spacing w:val="-16"/>
        </w:rPr>
        <w:t> </w:t>
      </w:r>
      <w:r>
        <w:rPr/>
        <w:t>éticos.</w:t>
      </w:r>
      <w:r>
        <w:rPr>
          <w:position w:val="8"/>
          <w:sz w:val="16"/>
        </w:rPr>
        <w:t>99</w:t>
      </w:r>
    </w:p>
    <w:p>
      <w:pPr>
        <w:pStyle w:val="BodyText"/>
        <w:spacing w:line="360" w:lineRule="auto"/>
        <w:ind w:left="120" w:right="201" w:firstLine="427"/>
        <w:jc w:val="both"/>
      </w:pPr>
      <w:r>
        <w:rPr/>
        <w:t>Las políticas públicas deben orientarse hacia la legalidad y seguir reglas estrictas; sin embargo, la repetición mecánica de trámites y procedimientos sin una</w:t>
      </w:r>
      <w:r>
        <w:rPr>
          <w:spacing w:val="-14"/>
        </w:rPr>
        <w:t> </w:t>
      </w:r>
      <w:r>
        <w:rPr/>
        <w:t>relación</w:t>
      </w:r>
      <w:r>
        <w:rPr>
          <w:spacing w:val="-14"/>
        </w:rPr>
        <w:t> </w:t>
      </w:r>
      <w:r>
        <w:rPr/>
        <w:t>con</w:t>
      </w:r>
      <w:r>
        <w:rPr>
          <w:spacing w:val="-14"/>
        </w:rPr>
        <w:t> </w:t>
      </w:r>
      <w:r>
        <w:rPr/>
        <w:t>los</w:t>
      </w:r>
      <w:r>
        <w:rPr>
          <w:spacing w:val="-12"/>
        </w:rPr>
        <w:t> </w:t>
      </w:r>
      <w:r>
        <w:rPr/>
        <w:t>problemas</w:t>
      </w:r>
      <w:r>
        <w:rPr>
          <w:spacing w:val="-12"/>
        </w:rPr>
        <w:t> </w:t>
      </w:r>
      <w:r>
        <w:rPr/>
        <w:t>públicos</w:t>
      </w:r>
      <w:r>
        <w:rPr>
          <w:spacing w:val="-12"/>
        </w:rPr>
        <w:t> </w:t>
      </w:r>
      <w:r>
        <w:rPr/>
        <w:t>que</w:t>
      </w:r>
      <w:r>
        <w:rPr>
          <w:spacing w:val="-14"/>
        </w:rPr>
        <w:t> </w:t>
      </w:r>
      <w:r>
        <w:rPr/>
        <w:t>enfrenta,</w:t>
      </w:r>
      <w:r>
        <w:rPr>
          <w:spacing w:val="-11"/>
        </w:rPr>
        <w:t> </w:t>
      </w:r>
      <w:r>
        <w:rPr/>
        <w:t>hace</w:t>
      </w:r>
      <w:r>
        <w:rPr>
          <w:spacing w:val="-14"/>
        </w:rPr>
        <w:t> </w:t>
      </w:r>
      <w:r>
        <w:rPr/>
        <w:t>que</w:t>
      </w:r>
      <w:r>
        <w:rPr>
          <w:spacing w:val="-14"/>
        </w:rPr>
        <w:t> </w:t>
      </w:r>
      <w:r>
        <w:rPr/>
        <w:t>la</w:t>
      </w:r>
      <w:r>
        <w:rPr>
          <w:spacing w:val="-14"/>
        </w:rPr>
        <w:t> </w:t>
      </w:r>
      <w:r>
        <w:rPr/>
        <w:t>política</w:t>
      </w:r>
      <w:r>
        <w:rPr>
          <w:spacing w:val="-14"/>
        </w:rPr>
        <w:t> </w:t>
      </w:r>
      <w:r>
        <w:rPr/>
        <w:t>pierda lo</w:t>
      </w:r>
      <w:r>
        <w:rPr>
          <w:spacing w:val="-14"/>
        </w:rPr>
        <w:t> </w:t>
      </w:r>
      <w:r>
        <w:rPr/>
        <w:t>fundamental:</w:t>
      </w:r>
      <w:r>
        <w:rPr>
          <w:spacing w:val="-11"/>
        </w:rPr>
        <w:t> </w:t>
      </w:r>
      <w:r>
        <w:rPr/>
        <w:t>la</w:t>
      </w:r>
      <w:r>
        <w:rPr>
          <w:spacing w:val="-14"/>
        </w:rPr>
        <w:t> </w:t>
      </w:r>
      <w:r>
        <w:rPr/>
        <w:t>atención</w:t>
      </w:r>
      <w:r>
        <w:rPr>
          <w:spacing w:val="-14"/>
        </w:rPr>
        <w:t> </w:t>
      </w:r>
      <w:r>
        <w:rPr/>
        <w:t>de</w:t>
      </w:r>
      <w:r>
        <w:rPr>
          <w:spacing w:val="-14"/>
        </w:rPr>
        <w:t> </w:t>
      </w:r>
      <w:r>
        <w:rPr/>
        <w:t>la</w:t>
      </w:r>
      <w:r>
        <w:rPr>
          <w:spacing w:val="-14"/>
        </w:rPr>
        <w:t> </w:t>
      </w:r>
      <w:r>
        <w:rPr/>
        <w:t>población</w:t>
      </w:r>
      <w:r>
        <w:rPr>
          <w:spacing w:val="-14"/>
        </w:rPr>
        <w:t> </w:t>
      </w:r>
      <w:r>
        <w:rPr/>
        <w:t>objetivo</w:t>
      </w:r>
      <w:r>
        <w:rPr>
          <w:spacing w:val="-14"/>
        </w:rPr>
        <w:t> </w:t>
      </w:r>
      <w:r>
        <w:rPr>
          <w:spacing w:val="-3"/>
        </w:rPr>
        <w:t>y,</w:t>
      </w:r>
      <w:r>
        <w:rPr>
          <w:spacing w:val="-7"/>
        </w:rPr>
        <w:t> </w:t>
      </w:r>
      <w:r>
        <w:rPr/>
        <w:t>en</w:t>
      </w:r>
      <w:r>
        <w:rPr>
          <w:spacing w:val="-14"/>
        </w:rPr>
        <w:t> </w:t>
      </w:r>
      <w:r>
        <w:rPr/>
        <w:t>consecuencia,</w:t>
      </w:r>
      <w:r>
        <w:rPr>
          <w:spacing w:val="-11"/>
        </w:rPr>
        <w:t> </w:t>
      </w:r>
      <w:r>
        <w:rPr/>
        <w:t>la</w:t>
      </w:r>
      <w:r>
        <w:rPr>
          <w:spacing w:val="-14"/>
        </w:rPr>
        <w:t> </w:t>
      </w:r>
      <w:r>
        <w:rPr/>
        <w:t>propia legitimación del</w:t>
      </w:r>
      <w:r>
        <w:rPr>
          <w:spacing w:val="-17"/>
        </w:rPr>
        <w:t> </w:t>
      </w:r>
      <w:r>
        <w:rPr/>
        <w:t>Estado.</w:t>
      </w:r>
    </w:p>
    <w:p>
      <w:pPr>
        <w:pStyle w:val="BodyText"/>
        <w:spacing w:line="357" w:lineRule="auto" w:before="1"/>
        <w:ind w:left="120" w:right="201" w:firstLine="427"/>
        <w:jc w:val="both"/>
        <w:rPr>
          <w:sz w:val="16"/>
        </w:rPr>
      </w:pPr>
      <w:r>
        <w:rPr/>
        <w:t>La</w:t>
      </w:r>
      <w:r>
        <w:rPr>
          <w:spacing w:val="-13"/>
        </w:rPr>
        <w:t> </w:t>
      </w:r>
      <w:r>
        <w:rPr/>
        <w:t>rendición</w:t>
      </w:r>
      <w:r>
        <w:rPr>
          <w:spacing w:val="-9"/>
        </w:rPr>
        <w:t> </w:t>
      </w:r>
      <w:r>
        <w:rPr/>
        <w:t>de</w:t>
      </w:r>
      <w:r>
        <w:rPr>
          <w:spacing w:val="-13"/>
        </w:rPr>
        <w:t> </w:t>
      </w:r>
      <w:r>
        <w:rPr/>
        <w:t>cuentas,</w:t>
      </w:r>
      <w:r>
        <w:rPr>
          <w:spacing w:val="-10"/>
        </w:rPr>
        <w:t> </w:t>
      </w:r>
      <w:r>
        <w:rPr/>
        <w:t>mediante</w:t>
      </w:r>
      <w:r>
        <w:rPr>
          <w:spacing w:val="-9"/>
        </w:rPr>
        <w:t> </w:t>
      </w:r>
      <w:r>
        <w:rPr/>
        <w:t>las</w:t>
      </w:r>
      <w:r>
        <w:rPr>
          <w:spacing w:val="-7"/>
        </w:rPr>
        <w:t> </w:t>
      </w:r>
      <w:r>
        <w:rPr/>
        <w:t>evaluaciones</w:t>
      </w:r>
      <w:r>
        <w:rPr>
          <w:spacing w:val="-7"/>
        </w:rPr>
        <w:t> </w:t>
      </w:r>
      <w:r>
        <w:rPr/>
        <w:t>al</w:t>
      </w:r>
      <w:r>
        <w:rPr>
          <w:spacing w:val="-8"/>
        </w:rPr>
        <w:t> </w:t>
      </w:r>
      <w:r>
        <w:rPr/>
        <w:t>desempeño</w:t>
      </w:r>
      <w:r>
        <w:rPr>
          <w:position w:val="8"/>
          <w:sz w:val="16"/>
        </w:rPr>
        <w:t>100</w:t>
      </w:r>
      <w:r>
        <w:rPr>
          <w:spacing w:val="10"/>
          <w:position w:val="8"/>
          <w:sz w:val="16"/>
        </w:rPr>
        <w:t> </w:t>
      </w:r>
      <w:r>
        <w:rPr/>
        <w:t>es</w:t>
      </w:r>
      <w:r>
        <w:rPr>
          <w:spacing w:val="-11"/>
        </w:rPr>
        <w:t> </w:t>
      </w:r>
      <w:r>
        <w:rPr/>
        <w:t>una herramienta evaluadora</w:t>
      </w:r>
      <w:r>
        <w:rPr>
          <w:position w:val="8"/>
          <w:sz w:val="16"/>
        </w:rPr>
        <w:t>101 </w:t>
      </w:r>
      <w:r>
        <w:rPr/>
        <w:t>de las políticas públicas, ya que no se remite a establecer algoritmos de cumplimiento de metas y objetivos, sino a medir el impacto de la política en la sociedad, mejorar la calidad del gasto público y coadyuvar en una mejor asignación de recursos, lo cual ayuda al Estado a orientarse hacia la</w:t>
      </w:r>
      <w:r>
        <w:rPr>
          <w:spacing w:val="-19"/>
        </w:rPr>
        <w:t> </w:t>
      </w:r>
      <w:r>
        <w:rPr/>
        <w:t>eficiencia.</w:t>
      </w:r>
      <w:r>
        <w:rPr>
          <w:position w:val="8"/>
          <w:sz w:val="16"/>
        </w:rPr>
        <w:t>102</w:t>
      </w:r>
    </w:p>
    <w:p>
      <w:pPr>
        <w:pStyle w:val="BodyText"/>
        <w:spacing w:before="5"/>
        <w:rPr>
          <w:sz w:val="21"/>
        </w:rPr>
      </w:pPr>
      <w:r>
        <w:rPr/>
        <w:pict>
          <v:line style="position:absolute;mso-position-horizontal-relative:page;mso-position-vertical-relative:paragraph;z-index:9184;mso-wrap-distance-left:0;mso-wrap-distance-right:0" from="85.025002pt,14.702309pt" to="229.075002pt,14.702309pt" stroked="true" strokeweight=".79999pt" strokecolor="#000000">
            <w10:wrap type="topAndBottom"/>
          </v:line>
        </w:pict>
      </w:r>
    </w:p>
    <w:p>
      <w:pPr>
        <w:spacing w:line="244" w:lineRule="auto" w:before="59"/>
        <w:ind w:left="120" w:right="196" w:firstLine="0"/>
        <w:jc w:val="both"/>
        <w:rPr>
          <w:sz w:val="16"/>
        </w:rPr>
      </w:pPr>
      <w:r>
        <w:rPr>
          <w:rFonts w:ascii="Times New Roman" w:hAnsi="Times New Roman"/>
          <w:position w:val="7"/>
          <w:sz w:val="13"/>
        </w:rPr>
        <w:t>99</w:t>
      </w:r>
      <w:r>
        <w:rPr>
          <w:sz w:val="16"/>
        </w:rPr>
        <w:t>La política de rendición de cuentas es el articulado institucional, normativo y pragmático orientado hacia el buen gobierno, que se requiere el Estado para lograr la confianza de la sociedad en su gobierno. La política de rendición de cuentas requiere de un marco legal, operacional y ético.</w:t>
      </w:r>
    </w:p>
    <w:p>
      <w:pPr>
        <w:spacing w:line="244" w:lineRule="auto" w:before="0"/>
        <w:ind w:left="120" w:right="200" w:firstLine="0"/>
        <w:jc w:val="both"/>
        <w:rPr>
          <w:sz w:val="16"/>
        </w:rPr>
      </w:pPr>
      <w:r>
        <w:rPr>
          <w:rFonts w:ascii="Calibri" w:hAnsi="Calibri"/>
          <w:position w:val="8"/>
          <w:sz w:val="14"/>
        </w:rPr>
        <w:t>100</w:t>
      </w:r>
      <w:r>
        <w:rPr>
          <w:sz w:val="16"/>
        </w:rPr>
        <w:t>La ASF considera que: “La auditoría de desempeño es una evaluación del quehacer público; en la que se mide la eficacia</w:t>
      </w:r>
      <w:r>
        <w:rPr>
          <w:spacing w:val="-12"/>
          <w:sz w:val="16"/>
        </w:rPr>
        <w:t> </w:t>
      </w:r>
      <w:r>
        <w:rPr>
          <w:sz w:val="16"/>
        </w:rPr>
        <w:t>(a</w:t>
      </w:r>
      <w:r>
        <w:rPr>
          <w:spacing w:val="-8"/>
          <w:sz w:val="16"/>
        </w:rPr>
        <w:t> </w:t>
      </w:r>
      <w:r>
        <w:rPr>
          <w:sz w:val="16"/>
        </w:rPr>
        <w:t>través</w:t>
      </w:r>
      <w:r>
        <w:rPr>
          <w:spacing w:val="-15"/>
          <w:sz w:val="16"/>
        </w:rPr>
        <w:t> </w:t>
      </w:r>
      <w:r>
        <w:rPr>
          <w:sz w:val="16"/>
        </w:rPr>
        <w:t>de</w:t>
      </w:r>
      <w:r>
        <w:rPr>
          <w:spacing w:val="-12"/>
          <w:sz w:val="16"/>
        </w:rPr>
        <w:t> </w:t>
      </w:r>
      <w:r>
        <w:rPr>
          <w:sz w:val="16"/>
        </w:rPr>
        <w:t>resultados,</w:t>
      </w:r>
      <w:r>
        <w:rPr>
          <w:spacing w:val="-8"/>
          <w:sz w:val="16"/>
        </w:rPr>
        <w:t> </w:t>
      </w:r>
      <w:r>
        <w:rPr>
          <w:sz w:val="16"/>
        </w:rPr>
        <w:t>con</w:t>
      </w:r>
      <w:r>
        <w:rPr>
          <w:spacing w:val="-12"/>
          <w:sz w:val="16"/>
        </w:rPr>
        <w:t> </w:t>
      </w:r>
      <w:r>
        <w:rPr>
          <w:sz w:val="16"/>
        </w:rPr>
        <w:t>base</w:t>
      </w:r>
      <w:r>
        <w:rPr>
          <w:spacing w:val="-8"/>
          <w:sz w:val="16"/>
        </w:rPr>
        <w:t> </w:t>
      </w:r>
      <w:r>
        <w:rPr>
          <w:sz w:val="16"/>
        </w:rPr>
        <w:t>en</w:t>
      </w:r>
      <w:r>
        <w:rPr>
          <w:spacing w:val="-12"/>
          <w:sz w:val="16"/>
        </w:rPr>
        <w:t> </w:t>
      </w:r>
      <w:r>
        <w:rPr>
          <w:sz w:val="16"/>
        </w:rPr>
        <w:t>indicadores</w:t>
      </w:r>
      <w:r>
        <w:rPr>
          <w:spacing w:val="-11"/>
          <w:sz w:val="16"/>
        </w:rPr>
        <w:t> </w:t>
      </w:r>
      <w:r>
        <w:rPr>
          <w:sz w:val="16"/>
        </w:rPr>
        <w:t>estratégicos),</w:t>
      </w:r>
      <w:r>
        <w:rPr>
          <w:spacing w:val="-7"/>
          <w:sz w:val="16"/>
        </w:rPr>
        <w:t> </w:t>
      </w:r>
      <w:r>
        <w:rPr>
          <w:sz w:val="16"/>
        </w:rPr>
        <w:t>la</w:t>
      </w:r>
      <w:r>
        <w:rPr>
          <w:spacing w:val="-12"/>
          <w:sz w:val="16"/>
        </w:rPr>
        <w:t> </w:t>
      </w:r>
      <w:r>
        <w:rPr>
          <w:sz w:val="16"/>
        </w:rPr>
        <w:t>eficiencia</w:t>
      </w:r>
      <w:r>
        <w:rPr>
          <w:spacing w:val="-12"/>
          <w:sz w:val="16"/>
        </w:rPr>
        <w:t> </w:t>
      </w:r>
      <w:r>
        <w:rPr>
          <w:sz w:val="16"/>
        </w:rPr>
        <w:t>(mediante</w:t>
      </w:r>
      <w:r>
        <w:rPr>
          <w:spacing w:val="-8"/>
          <w:sz w:val="16"/>
        </w:rPr>
        <w:t> </w:t>
      </w:r>
      <w:r>
        <w:rPr>
          <w:sz w:val="16"/>
        </w:rPr>
        <w:t>la</w:t>
      </w:r>
      <w:r>
        <w:rPr>
          <w:spacing w:val="-8"/>
          <w:sz w:val="16"/>
        </w:rPr>
        <w:t> </w:t>
      </w:r>
      <w:r>
        <w:rPr>
          <w:sz w:val="16"/>
        </w:rPr>
        <w:t>fidelidad</w:t>
      </w:r>
      <w:r>
        <w:rPr>
          <w:spacing w:val="-12"/>
          <w:sz w:val="16"/>
        </w:rPr>
        <w:t> </w:t>
      </w:r>
      <w:r>
        <w:rPr>
          <w:sz w:val="16"/>
        </w:rPr>
        <w:t>de</w:t>
      </w:r>
      <w:r>
        <w:rPr>
          <w:spacing w:val="-8"/>
          <w:sz w:val="16"/>
        </w:rPr>
        <w:t> </w:t>
      </w:r>
      <w:r>
        <w:rPr>
          <w:sz w:val="16"/>
        </w:rPr>
        <w:t>la</w:t>
      </w:r>
      <w:r>
        <w:rPr>
          <w:spacing w:val="-12"/>
          <w:sz w:val="16"/>
        </w:rPr>
        <w:t> </w:t>
      </w:r>
      <w:r>
        <w:rPr>
          <w:sz w:val="16"/>
        </w:rPr>
        <w:t>operación del programa, y con apoyo en indicadores de gestión) y la economía (medida por el costo de la política o programa público comparado contra los resultados obtenidos). Además, la auditoría de desempeño comprueba el impacto de los resultados</w:t>
      </w:r>
      <w:r>
        <w:rPr>
          <w:spacing w:val="-15"/>
          <w:sz w:val="16"/>
        </w:rPr>
        <w:t> </w:t>
      </w:r>
      <w:r>
        <w:rPr>
          <w:sz w:val="16"/>
        </w:rPr>
        <w:t>en</w:t>
      </w:r>
      <w:r>
        <w:rPr>
          <w:spacing w:val="-16"/>
          <w:sz w:val="16"/>
        </w:rPr>
        <w:t> </w:t>
      </w:r>
      <w:r>
        <w:rPr>
          <w:sz w:val="16"/>
        </w:rPr>
        <w:t>la</w:t>
      </w:r>
      <w:r>
        <w:rPr>
          <w:spacing w:val="-12"/>
          <w:sz w:val="16"/>
        </w:rPr>
        <w:t> </w:t>
      </w:r>
      <w:r>
        <w:rPr>
          <w:sz w:val="16"/>
        </w:rPr>
        <w:t>población</w:t>
      </w:r>
      <w:r>
        <w:rPr>
          <w:spacing w:val="-16"/>
          <w:sz w:val="16"/>
        </w:rPr>
        <w:t> </w:t>
      </w:r>
      <w:r>
        <w:rPr>
          <w:sz w:val="16"/>
        </w:rPr>
        <w:t>objetivo</w:t>
      </w:r>
      <w:r>
        <w:rPr>
          <w:spacing w:val="-12"/>
          <w:sz w:val="16"/>
        </w:rPr>
        <w:t> </w:t>
      </w:r>
      <w:r>
        <w:rPr>
          <w:sz w:val="16"/>
        </w:rPr>
        <w:t>a</w:t>
      </w:r>
      <w:r>
        <w:rPr>
          <w:spacing w:val="-12"/>
          <w:sz w:val="16"/>
        </w:rPr>
        <w:t> </w:t>
      </w:r>
      <w:r>
        <w:rPr>
          <w:sz w:val="16"/>
        </w:rPr>
        <w:t>través</w:t>
      </w:r>
      <w:r>
        <w:rPr>
          <w:spacing w:val="-15"/>
          <w:sz w:val="16"/>
        </w:rPr>
        <w:t> </w:t>
      </w:r>
      <w:r>
        <w:rPr>
          <w:sz w:val="16"/>
        </w:rPr>
        <w:t>de</w:t>
      </w:r>
      <w:r>
        <w:rPr>
          <w:spacing w:val="-8"/>
          <w:sz w:val="16"/>
        </w:rPr>
        <w:t> </w:t>
      </w:r>
      <w:r>
        <w:rPr>
          <w:sz w:val="16"/>
        </w:rPr>
        <w:t>indicadores</w:t>
      </w:r>
      <w:r>
        <w:rPr>
          <w:spacing w:val="-11"/>
          <w:sz w:val="16"/>
        </w:rPr>
        <w:t> </w:t>
      </w:r>
      <w:r>
        <w:rPr>
          <w:sz w:val="16"/>
        </w:rPr>
        <w:t>de</w:t>
      </w:r>
      <w:r>
        <w:rPr>
          <w:spacing w:val="-12"/>
          <w:sz w:val="16"/>
        </w:rPr>
        <w:t> </w:t>
      </w:r>
      <w:r>
        <w:rPr>
          <w:sz w:val="16"/>
        </w:rPr>
        <w:t>calidad</w:t>
      </w:r>
      <w:r>
        <w:rPr>
          <w:spacing w:val="-12"/>
          <w:sz w:val="16"/>
        </w:rPr>
        <w:t> </w:t>
      </w:r>
      <w:r>
        <w:rPr>
          <w:sz w:val="16"/>
        </w:rPr>
        <w:t>y</w:t>
      </w:r>
      <w:r>
        <w:rPr>
          <w:spacing w:val="-15"/>
          <w:sz w:val="16"/>
        </w:rPr>
        <w:t> </w:t>
      </w:r>
      <w:r>
        <w:rPr>
          <w:sz w:val="16"/>
        </w:rPr>
        <w:t>de</w:t>
      </w:r>
      <w:r>
        <w:rPr>
          <w:spacing w:val="-8"/>
          <w:sz w:val="16"/>
        </w:rPr>
        <w:t> </w:t>
      </w:r>
      <w:r>
        <w:rPr>
          <w:sz w:val="16"/>
        </w:rPr>
        <w:t>satisfacción</w:t>
      </w:r>
      <w:r>
        <w:rPr>
          <w:spacing w:val="-16"/>
          <w:sz w:val="16"/>
        </w:rPr>
        <w:t> </w:t>
      </w:r>
      <w:r>
        <w:rPr>
          <w:sz w:val="16"/>
        </w:rPr>
        <w:t>del</w:t>
      </w:r>
      <w:r>
        <w:rPr>
          <w:spacing w:val="-8"/>
          <w:sz w:val="16"/>
        </w:rPr>
        <w:t> </w:t>
      </w:r>
      <w:r>
        <w:rPr>
          <w:sz w:val="16"/>
        </w:rPr>
        <w:t>ciudadano.</w:t>
      </w:r>
      <w:r>
        <w:rPr>
          <w:spacing w:val="-11"/>
          <w:sz w:val="16"/>
        </w:rPr>
        <w:t> </w:t>
      </w:r>
      <w:r>
        <w:rPr>
          <w:sz w:val="16"/>
        </w:rPr>
        <w:t>Finalmente,</w:t>
      </w:r>
      <w:r>
        <w:rPr>
          <w:spacing w:val="-11"/>
          <w:sz w:val="16"/>
        </w:rPr>
        <w:t> </w:t>
      </w:r>
      <w:r>
        <w:rPr>
          <w:sz w:val="16"/>
        </w:rPr>
        <w:t>analiza el</w:t>
      </w:r>
      <w:r>
        <w:rPr>
          <w:spacing w:val="-11"/>
          <w:sz w:val="16"/>
        </w:rPr>
        <w:t> </w:t>
      </w:r>
      <w:r>
        <w:rPr>
          <w:sz w:val="16"/>
        </w:rPr>
        <w:t>comportamiento</w:t>
      </w:r>
      <w:r>
        <w:rPr>
          <w:spacing w:val="-9"/>
          <w:sz w:val="16"/>
        </w:rPr>
        <w:t> </w:t>
      </w:r>
      <w:r>
        <w:rPr>
          <w:sz w:val="16"/>
        </w:rPr>
        <w:t>de</w:t>
      </w:r>
      <w:r>
        <w:rPr>
          <w:spacing w:val="-4"/>
          <w:sz w:val="16"/>
        </w:rPr>
        <w:t> </w:t>
      </w:r>
      <w:r>
        <w:rPr>
          <w:sz w:val="16"/>
        </w:rPr>
        <w:t>los</w:t>
      </w:r>
      <w:r>
        <w:rPr>
          <w:spacing w:val="-15"/>
          <w:sz w:val="16"/>
        </w:rPr>
        <w:t> </w:t>
      </w:r>
      <w:r>
        <w:rPr>
          <w:sz w:val="16"/>
        </w:rPr>
        <w:t>actores</w:t>
      </w:r>
      <w:r>
        <w:rPr>
          <w:spacing w:val="-11"/>
          <w:sz w:val="16"/>
        </w:rPr>
        <w:t> </w:t>
      </w:r>
      <w:r>
        <w:rPr>
          <w:sz w:val="16"/>
        </w:rPr>
        <w:t>o</w:t>
      </w:r>
      <w:r>
        <w:rPr>
          <w:spacing w:val="-8"/>
          <w:sz w:val="16"/>
        </w:rPr>
        <w:t> </w:t>
      </w:r>
      <w:r>
        <w:rPr>
          <w:sz w:val="16"/>
        </w:rPr>
        <w:t>servidores</w:t>
      </w:r>
      <w:r>
        <w:rPr>
          <w:spacing w:val="-11"/>
          <w:sz w:val="16"/>
        </w:rPr>
        <w:t> </w:t>
      </w:r>
      <w:r>
        <w:rPr>
          <w:sz w:val="16"/>
        </w:rPr>
        <w:t>públicos,</w:t>
      </w:r>
      <w:r>
        <w:rPr>
          <w:spacing w:val="-8"/>
          <w:sz w:val="16"/>
        </w:rPr>
        <w:t> </w:t>
      </w:r>
      <w:r>
        <w:rPr>
          <w:sz w:val="16"/>
        </w:rPr>
        <w:t>tanto</w:t>
      </w:r>
      <w:r>
        <w:rPr>
          <w:spacing w:val="-12"/>
          <w:sz w:val="16"/>
        </w:rPr>
        <w:t> </w:t>
      </w:r>
      <w:r>
        <w:rPr>
          <w:sz w:val="16"/>
        </w:rPr>
        <w:t>de</w:t>
      </w:r>
      <w:r>
        <w:rPr>
          <w:spacing w:val="-4"/>
          <w:sz w:val="16"/>
        </w:rPr>
        <w:t> </w:t>
      </w:r>
      <w:r>
        <w:rPr>
          <w:sz w:val="16"/>
        </w:rPr>
        <w:t>la</w:t>
      </w:r>
      <w:r>
        <w:rPr>
          <w:spacing w:val="-8"/>
          <w:sz w:val="16"/>
        </w:rPr>
        <w:t> </w:t>
      </w:r>
      <w:r>
        <w:rPr>
          <w:sz w:val="16"/>
        </w:rPr>
        <w:t>entidad</w:t>
      </w:r>
      <w:r>
        <w:rPr>
          <w:spacing w:val="-12"/>
          <w:sz w:val="16"/>
        </w:rPr>
        <w:t> </w:t>
      </w:r>
      <w:r>
        <w:rPr>
          <w:sz w:val="16"/>
        </w:rPr>
        <w:t>responsable</w:t>
      </w:r>
      <w:r>
        <w:rPr>
          <w:spacing w:val="-8"/>
          <w:sz w:val="16"/>
        </w:rPr>
        <w:t> </w:t>
      </w:r>
      <w:r>
        <w:rPr>
          <w:sz w:val="16"/>
        </w:rPr>
        <w:t>de</w:t>
      </w:r>
      <w:r>
        <w:rPr>
          <w:spacing w:val="-8"/>
          <w:sz w:val="16"/>
        </w:rPr>
        <w:t> </w:t>
      </w:r>
      <w:r>
        <w:rPr>
          <w:sz w:val="16"/>
        </w:rPr>
        <w:t>poner</w:t>
      </w:r>
      <w:r>
        <w:rPr>
          <w:spacing w:val="-12"/>
          <w:sz w:val="16"/>
        </w:rPr>
        <w:t> </w:t>
      </w:r>
      <w:r>
        <w:rPr>
          <w:sz w:val="16"/>
        </w:rPr>
        <w:t>en</w:t>
      </w:r>
      <w:r>
        <w:rPr>
          <w:spacing w:val="-12"/>
          <w:sz w:val="16"/>
        </w:rPr>
        <w:t> </w:t>
      </w:r>
      <w:r>
        <w:rPr>
          <w:sz w:val="16"/>
        </w:rPr>
        <w:t>práctica</w:t>
      </w:r>
      <w:r>
        <w:rPr>
          <w:spacing w:val="-8"/>
          <w:sz w:val="16"/>
        </w:rPr>
        <w:t> </w:t>
      </w:r>
      <w:r>
        <w:rPr>
          <w:sz w:val="16"/>
        </w:rPr>
        <w:t>el</w:t>
      </w:r>
      <w:r>
        <w:rPr>
          <w:spacing w:val="-11"/>
          <w:sz w:val="16"/>
        </w:rPr>
        <w:t> </w:t>
      </w:r>
      <w:r>
        <w:rPr>
          <w:sz w:val="16"/>
        </w:rPr>
        <w:t>programa o política pública como de los operadores de la misma.” (ASF/AED,</w:t>
      </w:r>
      <w:r>
        <w:rPr>
          <w:spacing w:val="-26"/>
          <w:sz w:val="16"/>
        </w:rPr>
        <w:t> </w:t>
      </w:r>
      <w:r>
        <w:rPr>
          <w:sz w:val="16"/>
        </w:rPr>
        <w:t>2009:149).</w:t>
      </w:r>
    </w:p>
    <w:p>
      <w:pPr>
        <w:spacing w:line="216" w:lineRule="exact" w:before="0"/>
        <w:ind w:left="120" w:right="0" w:firstLine="0"/>
        <w:jc w:val="both"/>
        <w:rPr>
          <w:sz w:val="16"/>
        </w:rPr>
      </w:pPr>
      <w:r>
        <w:rPr>
          <w:rFonts w:ascii="Times New Roman" w:hAnsi="Times New Roman"/>
          <w:position w:val="7"/>
          <w:sz w:val="13"/>
        </w:rPr>
        <w:t>101</w:t>
      </w:r>
      <w:r>
        <w:rPr>
          <w:sz w:val="16"/>
        </w:rPr>
        <w:t>“Evaluación: Apreciación sistemática y objetiva de un proyecto, programa o política en curso o concluido, de su diseño,</w:t>
      </w:r>
    </w:p>
    <w:p>
      <w:pPr>
        <w:spacing w:before="12"/>
        <w:ind w:left="120" w:right="206" w:firstLine="0"/>
        <w:jc w:val="both"/>
        <w:rPr>
          <w:sz w:val="16"/>
        </w:rPr>
      </w:pPr>
      <w:r>
        <w:rPr>
          <w:sz w:val="16"/>
        </w:rPr>
        <w:t>su puesta en práctica y sus resultados. El objetivo es determinar la pertinencia y el logro de los objetivos, así como la eficiencia, la eficacia, el impacto y la sostenibilidad para el desarrollo. Una evaluación deberá proporcionar información creíble y útil, que permita incorporar las enseñanzas aprendidas en el proceso de toma de decisiones de beneficiarios y donantes. […]. “</w:t>
      </w:r>
    </w:p>
    <w:p>
      <w:pPr>
        <w:spacing w:before="0"/>
        <w:ind w:left="120" w:right="3701" w:firstLine="0"/>
        <w:jc w:val="left"/>
        <w:rPr>
          <w:sz w:val="16"/>
        </w:rPr>
      </w:pPr>
      <w:r>
        <w:rPr>
          <w:sz w:val="16"/>
        </w:rPr>
        <w:t>OCDE (s.f.). Disponible en: </w:t>
      </w:r>
      <w:hyperlink r:id="rId43">
        <w:r>
          <w:rPr>
            <w:color w:val="0000FF"/>
            <w:sz w:val="16"/>
            <w:u w:val="single" w:color="0000FF"/>
          </w:rPr>
          <w:t>http://www.comminit.com/es/node/209185</w:t>
        </w:r>
        <w:r>
          <w:rPr>
            <w:sz w:val="16"/>
          </w:rPr>
          <w:t>.</w:t>
        </w:r>
      </w:hyperlink>
      <w:r>
        <w:rPr>
          <w:sz w:val="16"/>
        </w:rPr>
        <w:t> [Fecha de consulta: 20 de septiembre, 2015]</w:t>
      </w:r>
    </w:p>
    <w:p>
      <w:pPr>
        <w:spacing w:line="249" w:lineRule="auto" w:before="0"/>
        <w:ind w:left="120" w:right="211" w:firstLine="0"/>
        <w:jc w:val="both"/>
        <w:rPr>
          <w:sz w:val="16"/>
        </w:rPr>
      </w:pPr>
      <w:r>
        <w:rPr>
          <w:rFonts w:ascii="Times New Roman" w:hAnsi="Times New Roman"/>
          <w:position w:val="7"/>
          <w:sz w:val="13"/>
        </w:rPr>
        <w:t>102</w:t>
      </w:r>
      <w:r>
        <w:rPr>
          <w:sz w:val="16"/>
        </w:rPr>
        <w:t>A partir del Informe del Resultado de la Fiscalización Superior de la Cuenta Pública 2011, la ASF presentó auditorías de evaluación de políticas públicas.</w:t>
      </w:r>
    </w:p>
    <w:p>
      <w:pPr>
        <w:spacing w:line="240" w:lineRule="auto" w:before="0"/>
        <w:ind w:left="120" w:right="1267" w:firstLine="0"/>
        <w:jc w:val="left"/>
        <w:rPr>
          <w:sz w:val="16"/>
        </w:rPr>
      </w:pPr>
      <w:r>
        <w:rPr>
          <w:sz w:val="16"/>
        </w:rPr>
        <w:t>Disponible en: </w:t>
      </w:r>
      <w:hyperlink r:id="rId166">
        <w:r>
          <w:rPr>
            <w:sz w:val="16"/>
          </w:rPr>
          <w:t>http://www.asf.gob.mx/uploads/55_Informes_de_auditoria/Mensaje_IRCP_2011.pdf</w:t>
        </w:r>
      </w:hyperlink>
      <w:r>
        <w:rPr>
          <w:sz w:val="16"/>
        </w:rPr>
        <w:t> [Fecha de consulta: 20 de septiembre, 2015]</w:t>
      </w:r>
    </w:p>
    <w:p>
      <w:pPr>
        <w:spacing w:after="0" w:line="240" w:lineRule="auto"/>
        <w:jc w:val="left"/>
        <w:rPr>
          <w:sz w:val="16"/>
        </w:rPr>
        <w:sectPr>
          <w:footerReference w:type="default" r:id="rId165"/>
          <w:pgSz w:w="11910" w:h="16840"/>
          <w:pgMar w:footer="998" w:header="0" w:top="1360" w:bottom="1180" w:left="1580" w:right="1500"/>
        </w:sectPr>
      </w:pPr>
    </w:p>
    <w:p>
      <w:pPr>
        <w:spacing w:before="57"/>
        <w:ind w:left="2393" w:right="272" w:firstLine="0"/>
        <w:jc w:val="left"/>
        <w:rPr>
          <w:sz w:val="20"/>
        </w:rPr>
      </w:pPr>
      <w:r>
        <w:rPr/>
        <w:pict>
          <v:group style="position:absolute;margin-left:168.707855pt;margin-top:77.239975pt;width:96.7pt;height:74.5pt;mso-position-horizontal-relative:page;mso-position-vertical-relative:paragraph;z-index:-349024" coordorigin="3374,1545" coordsize="1934,1490">
            <v:shape style="position:absolute;left:4010;top:1545;width:1247;height:1489" type="#_x0000_t75" stroked="false">
              <v:imagedata r:id="rId168" o:title=""/>
            </v:shape>
            <v:shape style="position:absolute;left:4612;top:1998;width:695;height:592" type="#_x0000_t75" stroked="false">
              <v:imagedata r:id="rId169" o:title=""/>
            </v:shape>
            <v:shape style="position:absolute;left:4070;top:1564;width:1127;height:1352" coordorigin="4070,1564" coordsize="1127,1352" path="m4642,1564l4560,1573,4481,1594,4405,1628,4334,1673,4269,1730,4211,1798,4161,1875,4121,1962,4091,2057,4074,2154,4070,2250,4072,2298,4084,2392,4108,2482,4142,2568,4187,2647,4240,2719,4303,2781,4373,2834,4452,2875,4535,2902,4618,2915,4659,2916,4700,2913,4781,2899,4859,2871,4932,2831,5000,2780,5062,2717,5116,2645,5161,2563,5196,2471,4650,2240,5196,2009,5162,1919,5116,1836,5061,1762,4998,1699,4927,1646,4849,1605,4766,1578,4683,1565,4642,1564xe" filled="true" fillcolor="#4f81bc" stroked="false">
              <v:path arrowok="t"/>
              <v:fill type="solid"/>
            </v:shape>
            <v:shape style="position:absolute;left:4672;top:2011;width:577;height:460" coordorigin="4672,2011" coordsize="577,460" path="m5214,2011l4672,2240,5214,2470,5228,2420,5238,2369,5245,2318,5248,2266,5248,2214,5245,2163,5238,2111,5228,2060,5214,2011xe" filled="true" fillcolor="#bebebe" stroked="false">
              <v:path arrowok="t"/>
              <v:fill type="solid"/>
            </v:shape>
            <v:shape style="position:absolute;left:3374;top:1663;width:568;height:1174" type="#_x0000_t75" stroked="false">
              <v:imagedata r:id="rId170" o:title=""/>
            </v:shape>
            <v:shape style="position:absolute;left:3511;top:1927;width:456;height:508" coordorigin="3511,1927" coordsize="456,508" path="m3966,2100l3809,2100,3809,1927,3669,1927,3669,2100,3511,2100,3511,2262,3669,2262,3669,2435,3809,2435,3809,2262,3966,2262,3966,2100e" filled="true" fillcolor="#4f81bc" stroked="false">
              <v:path arrowok="t"/>
              <v:fill type="solid"/>
            </v:shape>
            <v:shape style="position:absolute;left:3499;top:1912;width:481;height:537" coordorigin="3499,1912" coordsize="481,537" path="m3656,2262l3656,2449,3821,2449,3821,2435,3682,2435,3669,2420,3682,2420,3682,2277,3669,2277,3656,2262xm3682,2420l3669,2420,3682,2435,3682,2420xm3796,2420l3682,2420,3682,2435,3796,2435,3796,2420xm3954,2247l3796,2247,3796,2435,3809,2420,3821,2420,3821,2277,3809,2277,3821,2262,3954,2262,3954,2247xm3821,2420l3809,2420,3796,2435,3821,2435,3821,2420xm3656,2085l3499,2085,3499,2277,3656,2277,3656,2262,3524,2262,3511,2247,3524,2247,3524,2115,3511,2115,3524,2100,3656,2100,3656,2085xm3682,2247l3524,2247,3524,2262,3656,2262,3669,2277,3682,2277,3682,2247xm3821,2262l3809,2277,3821,2277,3821,2262xm3979,2247l3966,2247,3954,2262,3821,2262,3821,2277,3979,2277,3979,2247xm3524,2247l3511,2247,3524,2262,3524,2247xm3954,2100l3954,2262,3966,2247,3979,2247,3979,2115,3966,2115,3954,2100xm3524,2100l3511,2115,3524,2115,3524,2100xm3682,2085l3669,2085,3656,2100,3524,2100,3524,2115,3682,2115,3682,2085xm3796,1927l3796,2115,3954,2115,3954,2100,3821,2100,3809,2085,3821,2085,3821,1942,3809,1942,3796,1927xm3979,2085l3821,2085,3821,2100,3954,2100,3966,2115,3979,2115,3979,2085xm3821,1912l3656,1912,3656,2100,3669,2085,3682,2085,3682,1942,3669,1942,3682,1927,3821,1927,3821,1912xm3821,2085l3809,2085,3821,2100,3821,2085xm3682,1927l3669,1942,3682,1942,3682,1927xm3796,1927l3682,1927,3682,1942,3796,1942,3796,1927xm3821,1927l3796,1927,3809,1942,3821,1942,3821,1927xe" filled="true" fillcolor="#385d89" stroked="false">
              <v:path arrowok="t"/>
              <v:fill type="solid"/>
            </v:shape>
            <w10:wrap type="none"/>
          </v:group>
        </w:pict>
      </w:r>
      <w:r>
        <w:rPr/>
        <w:pict>
          <v:group style="position:absolute;margin-left:274.296875pt;margin-top:51.596191pt;width:131.0500pt;height:110.25pt;mso-position-horizontal-relative:page;mso-position-vertical-relative:paragraph;z-index:-349000" coordorigin="5486,1032" coordsize="2621,2205">
            <v:shape style="position:absolute;left:5486;top:1703;width:500;height:1174" type="#_x0000_t75" stroked="false">
              <v:imagedata r:id="rId171" o:title=""/>
            </v:shape>
            <v:rect style="position:absolute;left:5834;top:1032;width:2273;height:2204" filled="true" fillcolor="#ffffff" stroked="false">
              <v:fill type="solid"/>
            </v:rect>
            <v:shape style="position:absolute;left:6012;top:1486;width:1323;height:1578" type="#_x0000_t75" stroked="false">
              <v:imagedata r:id="rId172" o:title=""/>
            </v:shape>
            <v:shape style="position:absolute;left:7581;top:1653;width:526;height:1233" type="#_x0000_t75" stroked="false">
              <v:imagedata r:id="rId173" o:title=""/>
            </v:shape>
            <v:shape style="position:absolute;left:6656;top:1959;width:738;height:641" type="#_x0000_t75" stroked="false">
              <v:imagedata r:id="rId174" o:title=""/>
            </v:shape>
            <v:shape style="position:absolute;left:6075;top:1510;width:1193;height:1431" coordorigin="6075,1510" coordsize="1193,1431" path="m6699,1510l6619,1515,6542,1531,6467,1559,6395,1598,6329,1647,6268,1706,6213,1774,6167,1850,6128,1935,6099,2027,6082,2121,6075,2215,6076,2262,6085,2353,6104,2442,6133,2528,6171,2608,6217,2682,6272,2749,6334,2808,6403,2858,6480,2897,6560,2924,6641,2938,6681,2941,6721,2940,6800,2929,6877,2907,6950,2873,7019,2830,7083,2776,7141,2712,7192,2640,7234,2559,7268,2470,6690,2225,7268,1981,7231,1885,7183,1798,7125,1720,7058,1652,6983,1596,6901,1553,6820,1526,6739,1512,6699,1510xe" filled="true" fillcolor="#548ed4" stroked="false">
              <v:path arrowok="t"/>
              <v:fill type="solid"/>
            </v:shape>
            <v:shape style="position:absolute;left:6075;top:1510;width:1193;height:1431" coordorigin="6075,1510" coordsize="1193,1431" path="m7268,2470l7234,2559,7192,2640,7141,2712,7083,2776,7019,2830,6950,2873,6877,2907,6800,2929,6721,2940,6681,2941,6641,2938,6560,2924,6480,2897,6403,2858,6334,2808,6272,2749,6217,2682,6171,2608,6133,2528,6104,2442,6085,2353,6076,2262,6075,2215,6077,2168,6089,2074,6112,1981,6146,1892,6189,1811,6240,1738,6297,1675,6361,1621,6430,1577,6504,1544,6580,1522,6659,1511,6699,1510,6739,1512,6820,1526,6901,1553,6983,1596,7058,1652,7125,1720,7183,1798,7231,1885,7268,1981,6690,2225,7268,2470xe" filled="false" stroked="true" strokeweight=".452849pt" strokecolor="#000000">
              <v:path arrowok="t"/>
            </v:shape>
            <v:shape style="position:absolute;left:6716;top:1981;width:615;height:490" coordorigin="6716,1981" coordsize="615,490" path="m7294,1981l6716,2225,7294,2470,7307,2422,7317,2374,7325,2324,7329,2275,7331,2225,7329,2176,7325,2126,7317,2077,7307,2029,7294,1981xe" filled="true" fillcolor="#548ed4" stroked="false">
              <v:path arrowok="t"/>
              <v:fill type="solid"/>
            </v:shape>
            <v:shape style="position:absolute;left:6716;top:1981;width:615;height:490" coordorigin="6716,1981" coordsize="615,490" path="m7294,1981l7317,2077,7329,2176,7331,2225,7329,2275,7325,2324,7317,2374,7307,2422,7294,2470,6716,2225,7294,1981xe" filled="false" stroked="true" strokeweight=".466838pt" strokecolor="#000000">
              <v:path arrowok="t"/>
            </v:shape>
            <v:shape style="position:absolute;left:5617;top:1915;width:289;height:602" coordorigin="5617,1915" coordsize="289,602" path="m5626,2065l5617,2065,5617,2366,5626,2366,5626,2065xm5653,2065l5635,2065,5635,2366,5653,2366,5653,2065xm5762,1915l5762,2065,5662,2065,5662,2366,5762,2366,5762,2516,5906,2215,5762,1915xe" filled="true" fillcolor="#4f81bc" stroked="false">
              <v:path arrowok="t"/>
              <v:fill type="solid"/>
            </v:shape>
            <v:shape style="position:absolute;left:5605;top:1858;width:316;height:716" coordorigin="5605,1858" coordsize="316,716" path="m5749,2366l5749,2573,5776,2516,5774,2516,5750,2509,5774,2459,5774,2381,5762,2381,5749,2366xm5774,2459l5750,2509,5774,2516,5774,2459xm5891,2215l5774,2459,5774,2516,5776,2516,5917,2223,5895,2223,5891,2215xm5623,2050l5605,2050,5605,2381,5623,2381,5623,2366,5614,2366,5614,2065,5623,2065,5623,2050xm5623,2357l5623,2381,5639,2381,5639,2366,5630,2366,5623,2357xm5639,2355l5639,2381,5650,2381,5650,2366,5641,2366,5641,2357,5639,2355xm5662,2351l5653,2351,5650,2355,5650,2381,5666,2381,5666,2355,5662,2351xm5666,2355l5666,2381,5749,2381,5749,2366,5675,2366,5666,2355xm5774,2351l5675,2351,5675,2366,5749,2366,5762,2381,5774,2381,5774,2351xm5614,2065l5614,2366,5622,2356,5617,2351,5623,2351,5623,2080,5617,2080,5622,2075,5614,2065xm5622,2356l5614,2366,5623,2366,5623,2357,5622,2356xm5630,2351l5626,2351,5623,2355,5623,2357,5630,2366,5630,2351xm5639,2065l5630,2065,5630,2366,5639,2366,5639,2355,5635,2351,5639,2351,5639,2080,5635,2080,5639,2076,5639,2065xm5641,2357l5641,2366,5644,2362,5641,2357xm5644,2362l5641,2366,5648,2366,5644,2362xm5648,2357l5644,2362,5648,2366,5648,2357xm5650,2355l5648,2357,5648,2366,5650,2366,5650,2355xm5675,2065l5666,2076,5666,2355,5675,2366,5675,2065xm5644,2069l5641,2074,5641,2357,5644,2362,5648,2357,5648,2074,5644,2069xm5641,2074l5639,2076,5639,2355,5641,2357,5641,2074xm5648,2074l5648,2357,5650,2355,5650,2076,5648,2074xm5623,2355l5622,2356,5623,2357,5623,2355xm5623,2351l5617,2351,5622,2356,5623,2355,5623,2351xm5623,2076l5623,2355,5626,2351,5630,2351,5630,2080,5626,2080,5623,2076xm5639,2351l5635,2351,5639,2355,5639,2351xm5650,2076l5650,2355,5653,2351,5666,2351,5666,2080,5653,2080,5650,2076xm5666,2351l5662,2351,5666,2355,5666,2351xm5895,2208l5891,2215,5895,2223,5895,2208xm5917,2208l5895,2208,5895,2223,5917,2223,5920,2215,5917,2208xm5776,1915l5774,1915,5774,1972,5891,2215,5895,2208,5917,2208,5776,1915xm5622,2075l5617,2080,5623,2080,5623,2076,5622,2075xm5630,2065l5623,2074,5623,2076,5626,2080,5630,2080,5630,2065xm5639,2076l5635,2080,5639,2080,5639,2076xm5666,2050l5650,2050,5650,2076,5653,2080,5662,2080,5666,2076,5666,2050xm5666,2076l5662,2080,5666,2080,5666,2076xm5774,2050l5762,2050,5749,2065,5675,2065,5675,2080,5774,2080,5774,2050xm5623,2074l5622,2075,5623,2076,5623,2074xm5650,2050l5639,2050,5639,2076,5641,2074,5641,2065,5650,2065,5650,2050xm5650,2065l5648,2065,5648,2074,5650,2076,5650,2065xm5749,2050l5666,2050,5666,2076,5675,2065,5749,2065,5749,2050xm5623,2065l5614,2065,5622,2075,5623,2074,5623,2065xm5639,2050l5623,2050,5623,2074,5630,2065,5639,2065,5639,2050xm5641,2065l5641,2074,5644,2069,5641,2065xm5648,2065l5644,2069,5648,2074,5648,2065xm5648,2065l5641,2065,5644,2069,5648,2065xm5749,1858l5749,2065,5762,2050,5774,2050,5774,1972,5750,1922,5774,1915,5776,1915,5749,1858xm5774,1915l5750,1922,5774,1972,5774,1915xe" filled="true" fillcolor="#385d89" stroked="false">
              <v:path arrowok="t"/>
              <v:fill type="solid"/>
            </v:shape>
            <w10:wrap type="none"/>
          </v:group>
        </w:pict>
      </w:r>
      <w:r>
        <w:rPr/>
        <w:pict>
          <v:group style="position:absolute;margin-left:416.7117pt;margin-top:68.404350pt;width:76.05pt;height:82.35pt;mso-position-horizontal-relative:page;mso-position-vertical-relative:paragraph;z-index:-348976" coordorigin="8334,1368" coordsize="1521,1647">
            <v:shape style="position:absolute;left:8420;top:1486;width:1281;height:1529" type="#_x0000_t75" stroked="false">
              <v:imagedata r:id="rId175" o:title=""/>
            </v:shape>
            <v:shape style="position:absolute;left:9031;top:1939;width:721;height:621" type="#_x0000_t75" stroked="false">
              <v:imagedata r:id="rId176" o:title=""/>
            </v:shape>
            <v:shape style="position:absolute;left:8484;top:1510;width:1152;height:1382" coordorigin="8484,1510" coordsize="1152,1382" path="m9078,1510l8998,1516,8920,1535,8845,1566,8774,1607,8709,1660,8650,1722,8598,1794,8554,1875,8520,1965,8497,2059,8485,2153,8484,2200,8485,2247,8496,2339,8517,2428,8548,2513,8589,2592,8638,2665,8696,2730,8762,2786,8835,2831,8915,2865,8996,2885,9077,2891,9118,2890,9197,2877,9273,2852,9346,2816,9415,2769,9477,2712,9533,2644,9581,2568,9620,2483,9636,2437,9078,2201,9636,1965,9600,1872,9553,1788,9497,1712,9433,1647,9360,1593,9281,1552,9200,1525,9118,1512,9078,1510xe" filled="true" fillcolor="#548ed4" stroked="false">
              <v:path arrowok="t"/>
              <v:fill type="solid"/>
            </v:shape>
            <v:shape style="position:absolute;left:8484;top:1510;width:1152;height:1382" coordorigin="8484,1510" coordsize="1152,1382" path="m9636,2437l9601,2526,9558,2607,9506,2679,9447,2742,9381,2794,9310,2836,9236,2866,9158,2885,9077,2891,9037,2890,8956,2876,8875,2849,8798,2810,8728,2759,8666,2699,8612,2630,8567,2554,8532,2471,8505,2384,8489,2294,8484,2200,8485,2153,8497,2059,8520,1965,8554,1875,8598,1794,8650,1722,8709,1660,8774,1607,8845,1566,8920,1535,8998,1516,9078,1510,9118,1512,9200,1525,9281,1552,9360,1593,9433,1647,9497,1712,9553,1788,9600,1872,9636,1965,9078,2201,9636,2437xe" filled="false" stroked="true" strokeweight=".452845pt" strokecolor="#000000">
              <v:path arrowok="t"/>
            </v:shape>
            <v:shape style="position:absolute;left:9095;top:1965;width:594;height:473" coordorigin="9095,1965" coordsize="594,473" path="m9653,1965l9095,2201,9653,2437,9667,2385,9677,2333,9684,2280,9688,2227,9688,2174,9684,2121,9677,2068,9667,2016,9653,1965xe" filled="true" fillcolor="#548ed4" stroked="false">
              <v:path arrowok="t"/>
              <v:fill type="solid"/>
            </v:shape>
            <v:shape style="position:absolute;left:9095;top:1965;width:594;height:473" coordorigin="9095,1965" coordsize="594,473" path="m9653,1965l9677,2068,9688,2174,9688,2227,9684,2280,9677,2333,9667,2385,9653,2437,9095,2201,9653,1965xe" filled="false" stroked="true" strokeweight=".466815pt" strokecolor="#000000">
              <v:path arrowok="t"/>
            </v:shape>
            <v:shape style="position:absolute;left:8348;top:1382;width:1493;height:1608" coordorigin="8348,1382" coordsize="1493,1608" path="m8348,2186l8353,2092,8368,2002,8392,1915,8424,1832,8464,1755,8512,1683,8567,1617,8628,1559,8694,1507,8766,1464,8843,1429,8923,1403,9008,1387,9095,1382,9138,1383,9224,1394,9306,1415,9385,1445,9459,1484,9529,1532,9593,1587,9650,1649,9702,1718,9746,1793,9782,1873,9810,1958,9830,2046,9840,2139,9841,2186,9840,2233,9830,2325,9810,2414,9782,2499,9746,2579,9702,2653,9650,2722,9593,2785,9529,2840,9459,2887,9385,2927,9306,2957,9224,2978,9138,2988,9095,2990,9051,2988,8965,2978,8883,2957,8804,2927,8730,2887,8660,2840,8597,2785,8539,2722,8487,2653,8443,2579,8407,2499,8379,2414,8359,2325,8350,2233,8348,2186xe" filled="false" stroked="true" strokeweight="1.368126pt" strokecolor="#385d89">
              <v:path arrowok="t"/>
              <v:stroke dashstyle="longDash"/>
            </v:shape>
            <w10:wrap type="none"/>
          </v:group>
        </w:pict>
      </w:r>
      <w:r>
        <w:rPr/>
        <w:drawing>
          <wp:anchor distT="0" distB="0" distL="0" distR="0" allowOverlap="1" layoutInCell="1" locked="0" behindDoc="1" simplePos="0" relativeHeight="268086503">
            <wp:simplePos x="0" y="0"/>
            <wp:positionH relativeFrom="page">
              <wp:posOffset>6305553</wp:posOffset>
            </wp:positionH>
            <wp:positionV relativeFrom="paragraph">
              <wp:posOffset>1043578</wp:posOffset>
            </wp:positionV>
            <wp:extent cx="132547" cy="760666"/>
            <wp:effectExtent l="0" t="0" r="0" b="0"/>
            <wp:wrapNone/>
            <wp:docPr id="5" name="image59.png" descr=""/>
            <wp:cNvGraphicFramePr>
              <a:graphicFrameLocks noChangeAspect="1"/>
            </wp:cNvGraphicFramePr>
            <a:graphic>
              <a:graphicData uri="http://schemas.openxmlformats.org/drawingml/2006/picture">
                <pic:pic>
                  <pic:nvPicPr>
                    <pic:cNvPr id="6" name="image59.png"/>
                    <pic:cNvPicPr/>
                  </pic:nvPicPr>
                  <pic:blipFill>
                    <a:blip r:embed="rId177" cstate="print"/>
                    <a:stretch>
                      <a:fillRect/>
                    </a:stretch>
                  </pic:blipFill>
                  <pic:spPr>
                    <a:xfrm>
                      <a:off x="0" y="0"/>
                      <a:ext cx="132547" cy="760666"/>
                    </a:xfrm>
                    <a:prstGeom prst="rect">
                      <a:avLst/>
                    </a:prstGeom>
                  </pic:spPr>
                </pic:pic>
              </a:graphicData>
            </a:graphic>
          </wp:anchor>
        </w:drawing>
      </w:r>
      <w:bookmarkStart w:name="_bookmark74" w:id="100"/>
      <w:bookmarkEnd w:id="100"/>
      <w:r>
        <w:rPr/>
      </w:r>
      <w:r>
        <w:rPr>
          <w:sz w:val="20"/>
        </w:rPr>
        <w:t>Esquema 4. 1. Ciclo de las políticas públicas</w:t>
      </w:r>
    </w:p>
    <w:p>
      <w:pPr>
        <w:pStyle w:val="BodyText"/>
        <w:spacing w:before="7"/>
        <w:rPr>
          <w:sz w:val="15"/>
        </w:rPr>
      </w:pPr>
      <w:r>
        <w:rPr/>
        <w:pict>
          <v:group style="position:absolute;margin-left:88.400002pt;margin-top:10.955889pt;width:419.25pt;height:137.25pt;mso-position-horizontal-relative:page;mso-position-vertical-relative:paragraph;z-index:9232;mso-wrap-distance-left:0;mso-wrap-distance-right:0" coordorigin="1768,219" coordsize="8385,2745">
            <v:shape style="position:absolute;left:1881;top:1199;width:1281;height:1529" type="#_x0000_t75" stroked="false">
              <v:imagedata r:id="rId178" o:title=""/>
            </v:shape>
            <v:shape style="position:absolute;left:2484;top:1662;width:712;height:612" type="#_x0000_t75" stroked="false">
              <v:imagedata r:id="rId179" o:title=""/>
            </v:shape>
            <v:shape style="position:absolute;left:1941;top:1218;width:1160;height:1392" coordorigin="1941,1218" coordsize="1160,1392" path="m2539,1218l2458,1225,2380,1243,2304,1274,2233,1316,2167,1369,2108,1432,2055,1504,2011,1586,1977,1676,1954,1771,1942,1866,1941,1914,1942,1961,1953,2053,1974,2143,2006,2228,2046,2308,2096,2381,2154,2447,2221,2503,2295,2548,2375,2582,2457,2603,2539,2609,2579,2608,2659,2595,2736,2570,2809,2534,2878,2486,2941,2428,2997,2361,3045,2284,3085,2198,3101,2152,2539,1914,3101,1676,3065,1583,3018,1498,2962,1422,2896,1356,2823,1302,2743,1260,2662,1233,2580,1220,2539,1218xe" filled="true" fillcolor="#bebebe" stroked="false">
              <v:path arrowok="t"/>
              <v:fill type="solid"/>
            </v:shape>
            <v:shape style="position:absolute;left:2539;top:1676;width:598;height:476" coordorigin="2539,1676" coordsize="598,476" path="m3101,1676l2539,1914,3101,2152,3115,2100,3126,2047,3133,1994,3136,1941,3136,1887,3133,1833,3126,1780,3115,1728,3101,1676xe" filled="true" fillcolor="#548ed4" stroked="false">
              <v:path arrowok="t"/>
              <v:fill type="solid"/>
            </v:shape>
            <v:shape style="position:absolute;left:1776;top:227;width:8370;height:2730" type="#_x0000_t202" filled="false" stroked="true" strokeweight=".75pt" strokecolor="#000000">
              <v:textbox inset="0,0,0,0">
                <w:txbxContent>
                  <w:p>
                    <w:pPr>
                      <w:spacing w:line="240" w:lineRule="auto" w:before="8"/>
                      <w:rPr>
                        <w:sz w:val="11"/>
                      </w:rPr>
                    </w:pPr>
                  </w:p>
                  <w:p>
                    <w:pPr>
                      <w:tabs>
                        <w:tab w:pos="2526" w:val="left" w:leader="none"/>
                        <w:tab w:pos="4691" w:val="left" w:leader="none"/>
                        <w:tab w:pos="6686" w:val="left" w:leader="none"/>
                      </w:tabs>
                      <w:spacing w:before="0"/>
                      <w:ind w:left="735" w:right="0" w:firstLine="0"/>
                      <w:jc w:val="left"/>
                      <w:rPr>
                        <w:sz w:val="15"/>
                      </w:rPr>
                    </w:pPr>
                    <w:r>
                      <w:rPr>
                        <w:w w:val="95"/>
                        <w:sz w:val="15"/>
                      </w:rPr>
                      <w:t>Diseño</w:t>
                      <w:tab/>
                    </w:r>
                    <w:r>
                      <w:rPr>
                        <w:spacing w:val="-3"/>
                        <w:w w:val="90"/>
                        <w:sz w:val="15"/>
                      </w:rPr>
                      <w:t>Implementación</w:t>
                      <w:tab/>
                      <w:t>Resultados</w:t>
                      <w:tab/>
                    </w:r>
                    <w:r>
                      <w:rPr>
                        <w:spacing w:val="-3"/>
                        <w:w w:val="85"/>
                        <w:sz w:val="15"/>
                      </w:rPr>
                      <w:t>Evaluación </w:t>
                    </w:r>
                    <w:r>
                      <w:rPr>
                        <w:w w:val="85"/>
                        <w:sz w:val="15"/>
                      </w:rPr>
                      <w:t>de</w:t>
                    </w:r>
                    <w:r>
                      <w:rPr>
                        <w:spacing w:val="3"/>
                        <w:w w:val="85"/>
                        <w:sz w:val="15"/>
                      </w:rPr>
                      <w:t> </w:t>
                    </w:r>
                    <w:r>
                      <w:rPr>
                        <w:spacing w:val="-3"/>
                        <w:w w:val="85"/>
                        <w:sz w:val="15"/>
                      </w:rPr>
                      <w:t>resultados</w:t>
                    </w:r>
                  </w:p>
                </w:txbxContent>
              </v:textbox>
              <w10:wrap type="none"/>
            </v:shape>
            <w10:wrap type="topAndBottom"/>
          </v:group>
        </w:pict>
      </w:r>
    </w:p>
    <w:p>
      <w:pPr>
        <w:spacing w:before="100"/>
        <w:ind w:left="548" w:right="272" w:firstLine="0"/>
        <w:jc w:val="left"/>
        <w:rPr>
          <w:sz w:val="12"/>
        </w:rPr>
      </w:pPr>
      <w:r>
        <w:rPr>
          <w:sz w:val="12"/>
        </w:rPr>
        <w:t>FUENTE: Elaboración propia.</w:t>
      </w:r>
    </w:p>
    <w:p>
      <w:pPr>
        <w:pStyle w:val="BodyText"/>
        <w:rPr>
          <w:sz w:val="20"/>
        </w:rPr>
      </w:pPr>
    </w:p>
    <w:p>
      <w:pPr>
        <w:pStyle w:val="BodyText"/>
        <w:spacing w:before="6"/>
        <w:rPr>
          <w:sz w:val="16"/>
        </w:rPr>
      </w:pPr>
    </w:p>
    <w:p>
      <w:pPr>
        <w:pStyle w:val="BodyText"/>
        <w:spacing w:line="360" w:lineRule="auto" w:before="69"/>
        <w:ind w:left="120" w:right="126" w:firstLine="427"/>
        <w:jc w:val="both"/>
      </w:pPr>
      <w:r>
        <w:rPr/>
        <w:t>Más allá de cumplimiento o incumplimiento de las políticas públicas, el trasfondo de la implementación de las políticas públicas, es que el Estado logre su legitimación y el avance hacia la democracia.</w:t>
      </w:r>
    </w:p>
    <w:p>
      <w:pPr>
        <w:pStyle w:val="BodyText"/>
        <w:spacing w:line="360" w:lineRule="auto" w:before="1"/>
        <w:ind w:left="120" w:right="119" w:firstLine="427"/>
        <w:jc w:val="both"/>
      </w:pPr>
      <w:r>
        <w:rPr/>
        <w:t>Un sistema democrático se basa principalmente en dos principios políticos: el primero consiste en una división de poderes, con el cual Montesquieu, al considerar las funciones ejecutiva, legislativa y judicial, estableció el pensamiento</w:t>
      </w:r>
      <w:r>
        <w:rPr>
          <w:spacing w:val="-14"/>
        </w:rPr>
        <w:t> </w:t>
      </w:r>
      <w:r>
        <w:rPr/>
        <w:t>político,</w:t>
      </w:r>
      <w:r>
        <w:rPr>
          <w:spacing w:val="-11"/>
        </w:rPr>
        <w:t> </w:t>
      </w:r>
      <w:r>
        <w:rPr/>
        <w:t>relativo</w:t>
      </w:r>
      <w:r>
        <w:rPr>
          <w:spacing w:val="-14"/>
        </w:rPr>
        <w:t> </w:t>
      </w:r>
      <w:r>
        <w:rPr/>
        <w:t>a</w:t>
      </w:r>
      <w:r>
        <w:rPr>
          <w:spacing w:val="-14"/>
        </w:rPr>
        <w:t> </w:t>
      </w:r>
      <w:r>
        <w:rPr/>
        <w:t>que</w:t>
      </w:r>
      <w:r>
        <w:rPr>
          <w:spacing w:val="-14"/>
        </w:rPr>
        <w:t> </w:t>
      </w:r>
      <w:r>
        <w:rPr/>
        <w:t>el</w:t>
      </w:r>
      <w:r>
        <w:rPr>
          <w:spacing w:val="-13"/>
        </w:rPr>
        <w:t> </w:t>
      </w:r>
      <w:r>
        <w:rPr/>
        <w:t>poder</w:t>
      </w:r>
      <w:r>
        <w:rPr>
          <w:spacing w:val="-12"/>
        </w:rPr>
        <w:t> </w:t>
      </w:r>
      <w:r>
        <w:rPr/>
        <w:t>debe</w:t>
      </w:r>
      <w:r>
        <w:rPr>
          <w:spacing w:val="-14"/>
        </w:rPr>
        <w:t> </w:t>
      </w:r>
      <w:r>
        <w:rPr/>
        <w:t>controlarse</w:t>
      </w:r>
      <w:r>
        <w:rPr>
          <w:spacing w:val="-14"/>
        </w:rPr>
        <w:t> </w:t>
      </w:r>
      <w:r>
        <w:rPr/>
        <w:t>así</w:t>
      </w:r>
      <w:r>
        <w:rPr>
          <w:spacing w:val="-11"/>
        </w:rPr>
        <w:t> </w:t>
      </w:r>
      <w:r>
        <w:rPr/>
        <w:t>mismo.</w:t>
      </w:r>
      <w:r>
        <w:rPr>
          <w:spacing w:val="-11"/>
        </w:rPr>
        <w:t> </w:t>
      </w:r>
      <w:r>
        <w:rPr/>
        <w:t>El</w:t>
      </w:r>
      <w:r>
        <w:rPr>
          <w:spacing w:val="-17"/>
        </w:rPr>
        <w:t> </w:t>
      </w:r>
      <w:r>
        <w:rPr/>
        <w:t>gran peso del Poder Ejecutivo debe contrarrestarse por los otros dos poderes. La rendición de cuentas es uno de los elementos que evidencia la existencia del contrapeso.</w:t>
      </w:r>
    </w:p>
    <w:p>
      <w:pPr>
        <w:pStyle w:val="BodyText"/>
        <w:spacing w:line="357" w:lineRule="auto" w:before="2"/>
        <w:ind w:left="120" w:right="123" w:firstLine="359"/>
        <w:jc w:val="both"/>
      </w:pPr>
      <w:r>
        <w:rPr/>
        <w:t>El segundo principio político de que “la soberanía nacional reside esencial y originalmente</w:t>
      </w:r>
      <w:r>
        <w:rPr>
          <w:spacing w:val="-6"/>
        </w:rPr>
        <w:t> </w:t>
      </w:r>
      <w:r>
        <w:rPr/>
        <w:t>en</w:t>
      </w:r>
      <w:r>
        <w:rPr>
          <w:spacing w:val="-6"/>
        </w:rPr>
        <w:t> </w:t>
      </w:r>
      <w:r>
        <w:rPr/>
        <w:t>el</w:t>
      </w:r>
      <w:r>
        <w:rPr>
          <w:spacing w:val="-6"/>
        </w:rPr>
        <w:t> </w:t>
      </w:r>
      <w:r>
        <w:rPr/>
        <w:t>pueblo”</w:t>
      </w:r>
      <w:r>
        <w:rPr>
          <w:position w:val="8"/>
          <w:sz w:val="16"/>
        </w:rPr>
        <w:t>103</w:t>
      </w:r>
      <w:r>
        <w:rPr/>
        <w:t>la</w:t>
      </w:r>
      <w:r>
        <w:rPr>
          <w:spacing w:val="-6"/>
        </w:rPr>
        <w:t> </w:t>
      </w:r>
      <w:r>
        <w:rPr/>
        <w:t>cual</w:t>
      </w:r>
      <w:r>
        <w:rPr>
          <w:spacing w:val="-6"/>
        </w:rPr>
        <w:t> </w:t>
      </w:r>
      <w:r>
        <w:rPr/>
        <w:t>se</w:t>
      </w:r>
      <w:r>
        <w:rPr>
          <w:spacing w:val="-6"/>
        </w:rPr>
        <w:t> </w:t>
      </w:r>
      <w:r>
        <w:rPr/>
        <w:t>ejerce mediante</w:t>
      </w:r>
      <w:r>
        <w:rPr>
          <w:spacing w:val="-6"/>
        </w:rPr>
        <w:t> </w:t>
      </w:r>
      <w:r>
        <w:rPr/>
        <w:t>la</w:t>
      </w:r>
      <w:r>
        <w:rPr>
          <w:spacing w:val="-6"/>
        </w:rPr>
        <w:t> </w:t>
      </w:r>
      <w:r>
        <w:rPr/>
        <w:t>revisión</w:t>
      </w:r>
      <w:r>
        <w:rPr>
          <w:spacing w:val="-6"/>
        </w:rPr>
        <w:t> </w:t>
      </w:r>
      <w:r>
        <w:rPr/>
        <w:t>de</w:t>
      </w:r>
      <w:r>
        <w:rPr>
          <w:spacing w:val="-6"/>
        </w:rPr>
        <w:t> </w:t>
      </w:r>
      <w:r>
        <w:rPr/>
        <w:t>la</w:t>
      </w:r>
      <w:r>
        <w:rPr>
          <w:spacing w:val="-6"/>
        </w:rPr>
        <w:t> </w:t>
      </w:r>
      <w:r>
        <w:rPr/>
        <w:t>Cuenta Pública, atribución exclusiva de la Cámara de Diputados,</w:t>
      </w:r>
      <w:r>
        <w:rPr>
          <w:position w:val="8"/>
          <w:sz w:val="16"/>
        </w:rPr>
        <w:t>104</w:t>
      </w:r>
      <w:r>
        <w:rPr/>
        <w:t>es el acto soberano por el cual el pueblo actúa, mediante los diputados, para verificar y garantizar que la acción del Estado se oriente al beneficio social.</w:t>
      </w:r>
      <w:r>
        <w:rPr>
          <w:position w:val="8"/>
          <w:sz w:val="16"/>
        </w:rPr>
        <w:t>105</w:t>
      </w:r>
      <w:r>
        <w:rPr/>
        <w:t>La revisión la realiza la Cámara de Diputados</w:t>
      </w:r>
      <w:r>
        <w:rPr>
          <w:position w:val="8"/>
          <w:sz w:val="16"/>
        </w:rPr>
        <w:t>106</w:t>
      </w:r>
      <w:r>
        <w:rPr/>
        <w:t>a través de la entidad de Fiscalización Superior   </w:t>
      </w:r>
      <w:r>
        <w:rPr>
          <w:spacing w:val="35"/>
        </w:rPr>
        <w:t> </w:t>
      </w:r>
      <w:r>
        <w:rPr/>
        <w:t>de 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9256;mso-wrap-distance-left:0;mso-wrap-distance-right:0" from="85.025002pt,10.130117pt" to="229.075002pt,10.130117pt" stroked="true" strokeweight=".79999pt" strokecolor="#000000">
            <w10:wrap type="topAndBottom"/>
          </v:line>
        </w:pict>
      </w:r>
    </w:p>
    <w:p>
      <w:pPr>
        <w:spacing w:before="59"/>
        <w:ind w:left="120" w:right="0" w:firstLine="0"/>
        <w:jc w:val="both"/>
        <w:rPr>
          <w:sz w:val="16"/>
        </w:rPr>
      </w:pPr>
      <w:r>
        <w:rPr>
          <w:rFonts w:ascii="Times New Roman" w:hAnsi="Times New Roman"/>
          <w:position w:val="7"/>
          <w:sz w:val="13"/>
        </w:rPr>
        <w:t>103</w:t>
      </w:r>
      <w:r>
        <w:rPr>
          <w:sz w:val="16"/>
        </w:rPr>
        <w:t>Artículo 39 de la CPEUM.</w:t>
      </w:r>
    </w:p>
    <w:p>
      <w:pPr>
        <w:spacing w:before="6"/>
        <w:ind w:left="120" w:right="0" w:firstLine="0"/>
        <w:jc w:val="both"/>
        <w:rPr>
          <w:sz w:val="16"/>
        </w:rPr>
      </w:pPr>
      <w:r>
        <w:rPr>
          <w:rFonts w:ascii="Times New Roman" w:hAnsi="Times New Roman"/>
          <w:position w:val="7"/>
          <w:sz w:val="13"/>
        </w:rPr>
        <w:t>104</w:t>
      </w:r>
      <w:r>
        <w:rPr>
          <w:sz w:val="16"/>
        </w:rPr>
        <w:t>Artículo 74, fracción IV, párrafo segundo de la CPEUM.</w:t>
      </w:r>
    </w:p>
    <w:p>
      <w:pPr>
        <w:spacing w:before="3"/>
        <w:ind w:left="120" w:right="0" w:firstLine="0"/>
        <w:jc w:val="both"/>
        <w:rPr>
          <w:sz w:val="16"/>
        </w:rPr>
      </w:pPr>
      <w:r>
        <w:rPr>
          <w:rFonts w:ascii="Times New Roman" w:hAnsi="Times New Roman"/>
          <w:position w:val="7"/>
          <w:sz w:val="13"/>
        </w:rPr>
        <w:t>105</w:t>
      </w:r>
      <w:r>
        <w:rPr>
          <w:sz w:val="16"/>
        </w:rPr>
        <w:t>Artículo 134 de la CPEUM.</w:t>
      </w:r>
    </w:p>
    <w:p>
      <w:pPr>
        <w:spacing w:line="244" w:lineRule="auto" w:before="6"/>
        <w:ind w:left="120" w:right="115" w:firstLine="0"/>
        <w:jc w:val="both"/>
        <w:rPr>
          <w:sz w:val="16"/>
        </w:rPr>
      </w:pPr>
      <w:r>
        <w:rPr>
          <w:rFonts w:ascii="Times New Roman" w:hAnsi="Times New Roman"/>
          <w:position w:val="7"/>
          <w:sz w:val="13"/>
        </w:rPr>
        <w:t>106</w:t>
      </w:r>
      <w:r>
        <w:rPr>
          <w:sz w:val="16"/>
        </w:rPr>
        <w:t>El 9 de agosto de 2012 fue publicada en el DOF la reforma al artículo 73 fracción VI, párrafo tercero de la ley fundamental, que amplía el plazo de revisión de la Cuenta Pública por parte de la Cámara de Diputados, del 30 de septiembre al 31 de octubre, del año siguiente al de su presentación por parte del Poder Ejecutivo.</w:t>
      </w:r>
    </w:p>
    <w:p>
      <w:pPr>
        <w:spacing w:after="0" w:line="244" w:lineRule="auto"/>
        <w:jc w:val="both"/>
        <w:rPr>
          <w:sz w:val="16"/>
        </w:rPr>
        <w:sectPr>
          <w:footerReference w:type="default" r:id="rId167"/>
          <w:pgSz w:w="11910" w:h="16840"/>
          <w:pgMar w:footer="998" w:header="0" w:top="1340" w:bottom="1180" w:left="1580" w:right="1580"/>
          <w:pgNumType w:start="121"/>
        </w:sectPr>
      </w:pPr>
    </w:p>
    <w:p>
      <w:pPr>
        <w:pStyle w:val="BodyText"/>
        <w:spacing w:line="357" w:lineRule="auto" w:before="54"/>
        <w:ind w:left="120" w:right="18"/>
        <w:rPr>
          <w:sz w:val="16"/>
        </w:rPr>
      </w:pPr>
      <w:r>
        <w:rPr/>
        <w:t>Federación,</w:t>
      </w:r>
      <w:r>
        <w:rPr>
          <w:position w:val="8"/>
          <w:sz w:val="16"/>
        </w:rPr>
        <w:t>107</w:t>
      </w:r>
      <w:r>
        <w:rPr/>
        <w:t>denominada Auditoría Superior de la Federación</w:t>
      </w:r>
      <w:r>
        <w:rPr>
          <w:position w:val="8"/>
          <w:sz w:val="16"/>
        </w:rPr>
        <w:t>108 </w:t>
      </w:r>
      <w:r>
        <w:rPr/>
        <w:t>que tiene a su cargo la fiscalización</w:t>
      </w:r>
      <w:r>
        <w:rPr>
          <w:position w:val="8"/>
          <w:sz w:val="16"/>
        </w:rPr>
        <w:t>109 </w:t>
      </w:r>
      <w:r>
        <w:rPr/>
        <w:t>de la Cuenta Pública.</w:t>
      </w:r>
      <w:r>
        <w:rPr>
          <w:position w:val="8"/>
          <w:sz w:val="16"/>
        </w:rPr>
        <w:t>110</w:t>
      </w:r>
    </w:p>
    <w:p>
      <w:pPr>
        <w:pStyle w:val="BodyText"/>
        <w:spacing w:line="360" w:lineRule="auto"/>
        <w:ind w:left="120" w:right="120" w:firstLine="427"/>
        <w:jc w:val="both"/>
      </w:pPr>
      <w:r>
        <w:rPr/>
        <w:t>Las condiciones necesarias para garantizar ambos principios son la vigilancia permanente sobre las funciones del Estado y la existencia de un mecanismo que asegure que las actividades del Estado se reflejen en mejores condiciones de vida de la población. En este sentido, la entidad de fiscalización superior de la Federación y las demás instituciones del Estado dispuestas para la rendición de cuentas, deben convertirse en un garante del equilibrio de poderes al darle un sentido de obligatoriedad a la rendición de cuentas ante los representantes de la sociedad.</w:t>
      </w:r>
    </w:p>
    <w:p>
      <w:pPr>
        <w:pStyle w:val="BodyText"/>
        <w:spacing w:line="360" w:lineRule="auto" w:before="2"/>
        <w:ind w:left="120" w:right="121" w:firstLine="427"/>
        <w:jc w:val="both"/>
      </w:pPr>
      <w:r>
        <w:rPr/>
        <w:t>Referente</w:t>
      </w:r>
      <w:r>
        <w:rPr>
          <w:spacing w:val="-13"/>
        </w:rPr>
        <w:t> </w:t>
      </w:r>
      <w:r>
        <w:rPr/>
        <w:t>a</w:t>
      </w:r>
      <w:r>
        <w:rPr>
          <w:spacing w:val="-16"/>
        </w:rPr>
        <w:t> </w:t>
      </w:r>
      <w:r>
        <w:rPr/>
        <w:t>esta</w:t>
      </w:r>
      <w:r>
        <w:rPr>
          <w:spacing w:val="-13"/>
        </w:rPr>
        <w:t> </w:t>
      </w:r>
      <w:r>
        <w:rPr/>
        <w:t>nueva</w:t>
      </w:r>
      <w:r>
        <w:rPr>
          <w:spacing w:val="-16"/>
        </w:rPr>
        <w:t> </w:t>
      </w:r>
      <w:r>
        <w:rPr/>
        <w:t>perspectiva</w:t>
      </w:r>
      <w:r>
        <w:rPr>
          <w:spacing w:val="-16"/>
        </w:rPr>
        <w:t> </w:t>
      </w:r>
      <w:r>
        <w:rPr/>
        <w:t>de</w:t>
      </w:r>
      <w:r>
        <w:rPr>
          <w:spacing w:val="-13"/>
        </w:rPr>
        <w:t> </w:t>
      </w:r>
      <w:r>
        <w:rPr/>
        <w:t>la</w:t>
      </w:r>
      <w:r>
        <w:rPr>
          <w:spacing w:val="-16"/>
        </w:rPr>
        <w:t> </w:t>
      </w:r>
      <w:r>
        <w:rPr/>
        <w:t>institución</w:t>
      </w:r>
      <w:r>
        <w:rPr>
          <w:spacing w:val="-16"/>
        </w:rPr>
        <w:t> </w:t>
      </w:r>
      <w:r>
        <w:rPr/>
        <w:t>de</w:t>
      </w:r>
      <w:r>
        <w:rPr>
          <w:spacing w:val="-13"/>
        </w:rPr>
        <w:t> </w:t>
      </w:r>
      <w:r>
        <w:rPr/>
        <w:t>rendición</w:t>
      </w:r>
      <w:r>
        <w:rPr>
          <w:spacing w:val="-13"/>
        </w:rPr>
        <w:t> </w:t>
      </w:r>
      <w:r>
        <w:rPr/>
        <w:t>de</w:t>
      </w:r>
      <w:r>
        <w:rPr>
          <w:spacing w:val="-16"/>
        </w:rPr>
        <w:t> </w:t>
      </w:r>
      <w:r>
        <w:rPr/>
        <w:t>cuentas, en</w:t>
      </w:r>
      <w:r>
        <w:rPr>
          <w:spacing w:val="-21"/>
        </w:rPr>
        <w:t> </w:t>
      </w:r>
      <w:r>
        <w:rPr/>
        <w:t>los</w:t>
      </w:r>
      <w:r>
        <w:rPr>
          <w:spacing w:val="-19"/>
        </w:rPr>
        <w:t> </w:t>
      </w:r>
      <w:r>
        <w:rPr/>
        <w:t>regímenes</w:t>
      </w:r>
      <w:r>
        <w:rPr>
          <w:spacing w:val="-19"/>
        </w:rPr>
        <w:t> </w:t>
      </w:r>
      <w:r>
        <w:rPr/>
        <w:t>presidencialistas,</w:t>
      </w:r>
      <w:r>
        <w:rPr>
          <w:spacing w:val="-18"/>
        </w:rPr>
        <w:t> </w:t>
      </w:r>
      <w:r>
        <w:rPr/>
        <w:t>como</w:t>
      </w:r>
      <w:r>
        <w:rPr>
          <w:spacing w:val="-16"/>
        </w:rPr>
        <w:t> </w:t>
      </w:r>
      <w:r>
        <w:rPr/>
        <w:t>es</w:t>
      </w:r>
      <w:r>
        <w:rPr>
          <w:spacing w:val="-19"/>
        </w:rPr>
        <w:t> </w:t>
      </w:r>
      <w:r>
        <w:rPr/>
        <w:t>el</w:t>
      </w:r>
      <w:r>
        <w:rPr>
          <w:spacing w:val="-16"/>
        </w:rPr>
        <w:t> </w:t>
      </w:r>
      <w:r>
        <w:rPr/>
        <w:t>mexicano,</w:t>
      </w:r>
      <w:r>
        <w:rPr>
          <w:spacing w:val="-18"/>
        </w:rPr>
        <w:t> </w:t>
      </w:r>
      <w:r>
        <w:rPr/>
        <w:t>la</w:t>
      </w:r>
      <w:r>
        <w:rPr>
          <w:spacing w:val="-21"/>
        </w:rPr>
        <w:t> </w:t>
      </w:r>
      <w:r>
        <w:rPr/>
        <w:t>rendición</w:t>
      </w:r>
      <w:r>
        <w:rPr>
          <w:spacing w:val="-17"/>
        </w:rPr>
        <w:t> </w:t>
      </w:r>
      <w:r>
        <w:rPr/>
        <w:t>de</w:t>
      </w:r>
      <w:r>
        <w:rPr>
          <w:spacing w:val="-21"/>
        </w:rPr>
        <w:t> </w:t>
      </w:r>
      <w:r>
        <w:rPr/>
        <w:t>cuentas puede coadyuvar en evidenciar el contrapeso requerido y avanzar hacia una democracia.</w:t>
      </w:r>
    </w:p>
    <w:p>
      <w:pPr>
        <w:pStyle w:val="BodyText"/>
        <w:spacing w:line="360" w:lineRule="auto" w:before="2"/>
        <w:ind w:left="120" w:right="123" w:firstLine="427"/>
        <w:jc w:val="both"/>
      </w:pPr>
      <w:r>
        <w:rPr/>
        <w:t>La</w:t>
      </w:r>
      <w:r>
        <w:rPr>
          <w:spacing w:val="-13"/>
        </w:rPr>
        <w:t> </w:t>
      </w:r>
      <w:r>
        <w:rPr/>
        <w:t>ciencia</w:t>
      </w:r>
      <w:r>
        <w:rPr>
          <w:spacing w:val="-9"/>
        </w:rPr>
        <w:t> </w:t>
      </w:r>
      <w:r>
        <w:rPr/>
        <w:t>política</w:t>
      </w:r>
      <w:r>
        <w:rPr>
          <w:spacing w:val="-13"/>
        </w:rPr>
        <w:t> </w:t>
      </w:r>
      <w:r>
        <w:rPr/>
        <w:t>denomina</w:t>
      </w:r>
      <w:r>
        <w:rPr>
          <w:spacing w:val="-13"/>
        </w:rPr>
        <w:t> </w:t>
      </w:r>
      <w:r>
        <w:rPr/>
        <w:t>déficit</w:t>
      </w:r>
      <w:r>
        <w:rPr>
          <w:spacing w:val="-10"/>
        </w:rPr>
        <w:t> </w:t>
      </w:r>
      <w:r>
        <w:rPr/>
        <w:t>democrático</w:t>
      </w:r>
      <w:r>
        <w:rPr>
          <w:spacing w:val="-13"/>
        </w:rPr>
        <w:t> </w:t>
      </w:r>
      <w:r>
        <w:rPr/>
        <w:t>a</w:t>
      </w:r>
      <w:r>
        <w:rPr>
          <w:spacing w:val="-13"/>
        </w:rPr>
        <w:t> </w:t>
      </w:r>
      <w:r>
        <w:rPr/>
        <w:t>los</w:t>
      </w:r>
      <w:r>
        <w:rPr>
          <w:spacing w:val="-11"/>
        </w:rPr>
        <w:t> </w:t>
      </w:r>
      <w:r>
        <w:rPr/>
        <w:t>elementos</w:t>
      </w:r>
      <w:r>
        <w:rPr>
          <w:spacing w:val="-7"/>
        </w:rPr>
        <w:t> </w:t>
      </w:r>
      <w:r>
        <w:rPr/>
        <w:t>que</w:t>
      </w:r>
      <w:r>
        <w:rPr>
          <w:spacing w:val="-13"/>
        </w:rPr>
        <w:t> </w:t>
      </w:r>
      <w:r>
        <w:rPr/>
        <w:t>causan el debilitamiento de la legitimidad política, escasez del control político ejercido por las instituciones y la falta de atención a las demandas de la sociedad (Cancela,</w:t>
      </w:r>
      <w:r>
        <w:rPr>
          <w:spacing w:val="-7"/>
        </w:rPr>
        <w:t> </w:t>
      </w:r>
      <w:r>
        <w:rPr/>
        <w:t>s.f.).</w:t>
      </w:r>
    </w:p>
    <w:p>
      <w:pPr>
        <w:pStyle w:val="BodyText"/>
        <w:spacing w:line="360" w:lineRule="auto" w:before="2"/>
        <w:ind w:left="120" w:right="125" w:firstLine="284"/>
        <w:jc w:val="both"/>
      </w:pPr>
      <w:r>
        <w:rPr/>
        <w:t>Los resultados de las políticas públicas son objeto de examen minucioso por parte</w:t>
      </w:r>
      <w:r>
        <w:rPr>
          <w:spacing w:val="-10"/>
        </w:rPr>
        <w:t> </w:t>
      </w:r>
      <w:r>
        <w:rPr/>
        <w:t>de</w:t>
      </w:r>
      <w:r>
        <w:rPr>
          <w:spacing w:val="-10"/>
        </w:rPr>
        <w:t> </w:t>
      </w:r>
      <w:r>
        <w:rPr/>
        <w:t>las</w:t>
      </w:r>
      <w:r>
        <w:rPr>
          <w:spacing w:val="-8"/>
        </w:rPr>
        <w:t> </w:t>
      </w:r>
      <w:r>
        <w:rPr/>
        <w:t>instituciones</w:t>
      </w:r>
      <w:r>
        <w:rPr>
          <w:spacing w:val="-8"/>
        </w:rPr>
        <w:t> </w:t>
      </w:r>
      <w:r>
        <w:rPr/>
        <w:t>de</w:t>
      </w:r>
      <w:r>
        <w:rPr>
          <w:spacing w:val="-10"/>
        </w:rPr>
        <w:t> </w:t>
      </w:r>
      <w:r>
        <w:rPr/>
        <w:t>rendición</w:t>
      </w:r>
      <w:r>
        <w:rPr>
          <w:spacing w:val="-10"/>
        </w:rPr>
        <w:t> </w:t>
      </w:r>
      <w:r>
        <w:rPr/>
        <w:t>de</w:t>
      </w:r>
      <w:r>
        <w:rPr>
          <w:spacing w:val="-10"/>
        </w:rPr>
        <w:t> </w:t>
      </w:r>
      <w:r>
        <w:rPr/>
        <w:t>cuentas</w:t>
      </w:r>
      <w:r>
        <w:rPr>
          <w:spacing w:val="-5"/>
        </w:rPr>
        <w:t> </w:t>
      </w:r>
      <w:r>
        <w:rPr/>
        <w:t>integrantes</w:t>
      </w:r>
      <w:r>
        <w:rPr>
          <w:spacing w:val="-8"/>
        </w:rPr>
        <w:t> </w:t>
      </w:r>
      <w:r>
        <w:rPr/>
        <w:t>de</w:t>
      </w:r>
      <w:r>
        <w:rPr>
          <w:spacing w:val="-6"/>
        </w:rPr>
        <w:t> </w:t>
      </w:r>
      <w:r>
        <w:rPr/>
        <w:t>INTOSAI,</w:t>
      </w:r>
      <w:r>
        <w:rPr>
          <w:spacing w:val="-7"/>
        </w:rPr>
        <w:t> </w:t>
      </w:r>
      <w:r>
        <w:rPr/>
        <w:t>entre ellas la</w:t>
      </w:r>
      <w:r>
        <w:rPr>
          <w:spacing w:val="-7"/>
        </w:rPr>
        <w:t> </w:t>
      </w:r>
      <w:r>
        <w:rPr/>
        <w:t>ASF.</w:t>
      </w:r>
    </w:p>
    <w:p>
      <w:pPr>
        <w:pStyle w:val="BodyText"/>
        <w:spacing w:line="360" w:lineRule="auto" w:before="6"/>
        <w:ind w:left="120" w:right="123" w:firstLine="427"/>
        <w:jc w:val="both"/>
      </w:pPr>
      <w:r>
        <w:rPr/>
        <w:t>Arpad Kóvacs, ex presidente de la INTOSAI, consideró que la rendición de cuentas puede ser un instrumento para hacer frente al déficit democrático mediante la transparencia, la fiscalización y el establecimiento del imperio de la ley.</w:t>
      </w:r>
    </w:p>
    <w:p>
      <w:pPr>
        <w:pStyle w:val="BodyText"/>
        <w:spacing w:line="360" w:lineRule="auto" w:before="6"/>
        <w:ind w:left="120" w:right="124" w:firstLine="427"/>
        <w:jc w:val="both"/>
      </w:pPr>
      <w:r>
        <w:rPr/>
        <w:t>Con</w:t>
      </w:r>
      <w:r>
        <w:rPr>
          <w:spacing w:val="-17"/>
        </w:rPr>
        <w:t> </w:t>
      </w:r>
      <w:r>
        <w:rPr/>
        <w:t>fundamento</w:t>
      </w:r>
      <w:r>
        <w:rPr>
          <w:spacing w:val="-17"/>
        </w:rPr>
        <w:t> </w:t>
      </w:r>
      <w:r>
        <w:rPr/>
        <w:t>en</w:t>
      </w:r>
      <w:r>
        <w:rPr>
          <w:spacing w:val="-17"/>
        </w:rPr>
        <w:t> </w:t>
      </w:r>
      <w:r>
        <w:rPr/>
        <w:t>las</w:t>
      </w:r>
      <w:r>
        <w:rPr>
          <w:spacing w:val="-15"/>
        </w:rPr>
        <w:t> </w:t>
      </w:r>
      <w:r>
        <w:rPr/>
        <w:t>aportaciones</w:t>
      </w:r>
      <w:r>
        <w:rPr>
          <w:spacing w:val="-15"/>
        </w:rPr>
        <w:t> </w:t>
      </w:r>
      <w:r>
        <w:rPr/>
        <w:t>de</w:t>
      </w:r>
      <w:r>
        <w:rPr>
          <w:spacing w:val="-17"/>
        </w:rPr>
        <w:t> </w:t>
      </w:r>
      <w:r>
        <w:rPr/>
        <w:t>la</w:t>
      </w:r>
      <w:r>
        <w:rPr>
          <w:spacing w:val="-17"/>
        </w:rPr>
        <w:t> </w:t>
      </w:r>
      <w:r>
        <w:rPr/>
        <w:t>INTOSAI,</w:t>
      </w:r>
      <w:r>
        <w:rPr>
          <w:spacing w:val="-14"/>
        </w:rPr>
        <w:t> </w:t>
      </w:r>
      <w:r>
        <w:rPr/>
        <w:t>en</w:t>
      </w:r>
      <w:r>
        <w:rPr>
          <w:spacing w:val="-17"/>
        </w:rPr>
        <w:t> </w:t>
      </w:r>
      <w:r>
        <w:rPr/>
        <w:t>Europa</w:t>
      </w:r>
      <w:r>
        <w:rPr>
          <w:spacing w:val="-17"/>
        </w:rPr>
        <w:t> </w:t>
      </w:r>
      <w:r>
        <w:rPr/>
        <w:t>se</w:t>
      </w:r>
      <w:r>
        <w:rPr>
          <w:spacing w:val="-17"/>
        </w:rPr>
        <w:t> </w:t>
      </w:r>
      <w:r>
        <w:rPr/>
        <w:t>realizaron cambios sustanciales en la fiscalización superior: auditorías entre pares (EFS)</w:t>
      </w:r>
      <w:r>
        <w:rPr>
          <w:spacing w:val="-40"/>
        </w:rPr>
        <w:t> </w:t>
      </w:r>
      <w:r>
        <w:rPr/>
        <w:t>y la realización de auditorías de desempeño (evaluación del impacto de las políticas</w:t>
      </w:r>
      <w:r>
        <w:rPr>
          <w:spacing w:val="28"/>
        </w:rPr>
        <w:t> </w:t>
      </w:r>
      <w:r>
        <w:rPr/>
        <w:t>públicas),</w:t>
      </w:r>
      <w:r>
        <w:rPr>
          <w:spacing w:val="29"/>
        </w:rPr>
        <w:t> </w:t>
      </w:r>
      <w:r>
        <w:rPr/>
        <w:t>junto</w:t>
      </w:r>
      <w:r>
        <w:rPr>
          <w:spacing w:val="26"/>
        </w:rPr>
        <w:t> </w:t>
      </w:r>
      <w:r>
        <w:rPr/>
        <w:t>con</w:t>
      </w:r>
      <w:r>
        <w:rPr>
          <w:spacing w:val="26"/>
        </w:rPr>
        <w:t> </w:t>
      </w:r>
      <w:r>
        <w:rPr/>
        <w:t>ello,</w:t>
      </w:r>
      <w:r>
        <w:rPr>
          <w:spacing w:val="29"/>
        </w:rPr>
        <w:t> </w:t>
      </w:r>
      <w:r>
        <w:rPr/>
        <w:t>el</w:t>
      </w:r>
      <w:r>
        <w:rPr>
          <w:spacing w:val="31"/>
        </w:rPr>
        <w:t> </w:t>
      </w:r>
      <w:r>
        <w:rPr/>
        <w:t>uso</w:t>
      </w:r>
      <w:r>
        <w:rPr>
          <w:spacing w:val="26"/>
        </w:rPr>
        <w:t> </w:t>
      </w:r>
      <w:r>
        <w:rPr/>
        <w:t>de</w:t>
      </w:r>
      <w:r>
        <w:rPr>
          <w:spacing w:val="30"/>
        </w:rPr>
        <w:t> </w:t>
      </w:r>
      <w:r>
        <w:rPr/>
        <w:t>indicadores</w:t>
      </w:r>
      <w:r>
        <w:rPr>
          <w:spacing w:val="32"/>
        </w:rPr>
        <w:t> </w:t>
      </w:r>
      <w:r>
        <w:rPr/>
        <w:t>del</w:t>
      </w:r>
      <w:r>
        <w:rPr>
          <w:spacing w:val="31"/>
        </w:rPr>
        <w:t> </w:t>
      </w:r>
      <w:r>
        <w:rPr/>
        <w:t>desempeño.</w:t>
      </w:r>
      <w:r>
        <w:rPr>
          <w:spacing w:val="33"/>
        </w:rPr>
        <w:t> </w:t>
      </w:r>
      <w:r>
        <w:rPr/>
        <w:t>Con</w:t>
      </w: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9376;mso-wrap-distance-left:0;mso-wrap-distance-right:0" from="85.025002pt,16.555868pt" to="229.075002pt,16.555868pt" stroked="true" strokeweight=".79999pt" strokecolor="#000000">
            <w10:wrap type="topAndBottom"/>
          </v:line>
        </w:pict>
      </w:r>
    </w:p>
    <w:p>
      <w:pPr>
        <w:spacing w:before="59"/>
        <w:ind w:left="120" w:right="272" w:firstLine="0"/>
        <w:jc w:val="left"/>
        <w:rPr>
          <w:sz w:val="16"/>
        </w:rPr>
      </w:pPr>
      <w:r>
        <w:rPr>
          <w:rFonts w:ascii="Times New Roman" w:hAnsi="Times New Roman"/>
          <w:position w:val="7"/>
          <w:sz w:val="13"/>
        </w:rPr>
        <w:t>107</w:t>
      </w:r>
      <w:r>
        <w:rPr>
          <w:sz w:val="16"/>
        </w:rPr>
        <w:t>Artículos 74, fracciones II y VI, y 79 de la CPEUM.</w:t>
      </w:r>
    </w:p>
    <w:p>
      <w:pPr>
        <w:spacing w:before="7"/>
        <w:ind w:left="120" w:right="272" w:firstLine="0"/>
        <w:jc w:val="left"/>
        <w:rPr>
          <w:sz w:val="16"/>
        </w:rPr>
      </w:pPr>
      <w:r>
        <w:rPr>
          <w:rFonts w:ascii="Times New Roman" w:hAnsi="Times New Roman"/>
          <w:position w:val="7"/>
          <w:sz w:val="13"/>
        </w:rPr>
        <w:t>108</w:t>
      </w:r>
      <w:r>
        <w:rPr>
          <w:sz w:val="16"/>
        </w:rPr>
        <w:t>Artículo 2, fracción I de la LFRCF.</w:t>
      </w:r>
    </w:p>
    <w:p>
      <w:pPr>
        <w:spacing w:line="256" w:lineRule="auto" w:before="2"/>
        <w:ind w:left="120" w:right="18" w:firstLine="0"/>
        <w:jc w:val="left"/>
        <w:rPr>
          <w:sz w:val="16"/>
        </w:rPr>
      </w:pPr>
      <w:r>
        <w:rPr>
          <w:rFonts w:ascii="Times New Roman" w:hAnsi="Times New Roman"/>
          <w:position w:val="7"/>
          <w:sz w:val="13"/>
        </w:rPr>
        <w:t>109</w:t>
      </w:r>
      <w:r>
        <w:rPr>
          <w:sz w:val="16"/>
        </w:rPr>
        <w:t>El artículo 2, fracción X de la LFRCF considera que la fiscalización es una facultad de la ASF para revisar y evaluar el contenido de la Cuenta Pública.</w:t>
      </w:r>
    </w:p>
    <w:p>
      <w:pPr>
        <w:spacing w:line="207" w:lineRule="exact" w:before="0"/>
        <w:ind w:left="120" w:right="272" w:firstLine="0"/>
        <w:jc w:val="left"/>
        <w:rPr>
          <w:sz w:val="16"/>
        </w:rPr>
      </w:pPr>
      <w:r>
        <w:rPr>
          <w:rFonts w:ascii="Times New Roman" w:hAnsi="Times New Roman"/>
          <w:position w:val="7"/>
          <w:sz w:val="13"/>
        </w:rPr>
        <w:t>110</w:t>
      </w:r>
      <w:r>
        <w:rPr>
          <w:sz w:val="16"/>
        </w:rPr>
        <w:t>Artículo 3, primer párrafo de la LFRCF.</w:t>
      </w:r>
    </w:p>
    <w:p>
      <w:pPr>
        <w:spacing w:after="0" w:line="207" w:lineRule="exact"/>
        <w:jc w:val="left"/>
        <w:rPr>
          <w:sz w:val="16"/>
        </w:rPr>
        <w:sectPr>
          <w:pgSz w:w="11910" w:h="16840"/>
          <w:pgMar w:header="0" w:footer="998" w:top="1340" w:bottom="1180" w:left="1580" w:right="1580"/>
        </w:sectPr>
      </w:pPr>
    </w:p>
    <w:p>
      <w:pPr>
        <w:pStyle w:val="BodyText"/>
        <w:spacing w:line="362" w:lineRule="auto" w:before="39"/>
        <w:ind w:left="120" w:right="86"/>
      </w:pPr>
      <w:r>
        <w:rPr/>
        <w:t>base en las directrices de la INTOSAI, en México las auditorías de desempeño realizadas por la ASF se iniciaron considerando 6 dimensiones de indicadores:</w:t>
      </w:r>
    </w:p>
    <w:p>
      <w:pPr>
        <w:pStyle w:val="BodyText"/>
      </w:pPr>
    </w:p>
    <w:p>
      <w:pPr>
        <w:pStyle w:val="ListParagraph"/>
        <w:numPr>
          <w:ilvl w:val="1"/>
          <w:numId w:val="68"/>
        </w:numPr>
        <w:tabs>
          <w:tab w:pos="841" w:val="left" w:leader="none"/>
        </w:tabs>
        <w:spacing w:line="240" w:lineRule="auto" w:before="139" w:after="0"/>
        <w:ind w:left="841" w:right="0" w:hanging="361"/>
        <w:jc w:val="left"/>
        <w:rPr>
          <w:sz w:val="24"/>
        </w:rPr>
      </w:pPr>
      <w:r>
        <w:rPr>
          <w:sz w:val="24"/>
        </w:rPr>
        <w:t>De resultados o estratégicos:</w:t>
      </w:r>
      <w:r>
        <w:rPr>
          <w:spacing w:val="-24"/>
          <w:sz w:val="24"/>
        </w:rPr>
        <w:t> </w:t>
      </w:r>
      <w:r>
        <w:rPr>
          <w:sz w:val="24"/>
        </w:rPr>
        <w:t>eficacia.</w:t>
      </w:r>
    </w:p>
    <w:p>
      <w:pPr>
        <w:pStyle w:val="ListParagraph"/>
        <w:numPr>
          <w:ilvl w:val="1"/>
          <w:numId w:val="68"/>
        </w:numPr>
        <w:tabs>
          <w:tab w:pos="841" w:val="left" w:leader="none"/>
        </w:tabs>
        <w:spacing w:line="240" w:lineRule="auto" w:before="136" w:after="0"/>
        <w:ind w:left="841" w:right="0" w:hanging="361"/>
        <w:jc w:val="left"/>
        <w:rPr>
          <w:sz w:val="24"/>
        </w:rPr>
      </w:pPr>
      <w:r>
        <w:rPr>
          <w:sz w:val="24"/>
        </w:rPr>
        <w:t>De gestión o de procesos:</w:t>
      </w:r>
      <w:r>
        <w:rPr>
          <w:spacing w:val="-24"/>
          <w:sz w:val="24"/>
        </w:rPr>
        <w:t> </w:t>
      </w:r>
      <w:r>
        <w:rPr>
          <w:sz w:val="24"/>
        </w:rPr>
        <w:t>eficiencia.</w:t>
      </w:r>
    </w:p>
    <w:p>
      <w:pPr>
        <w:pStyle w:val="ListParagraph"/>
        <w:numPr>
          <w:ilvl w:val="1"/>
          <w:numId w:val="68"/>
        </w:numPr>
        <w:tabs>
          <w:tab w:pos="841" w:val="left" w:leader="none"/>
        </w:tabs>
        <w:spacing w:line="240" w:lineRule="auto" w:before="140" w:after="0"/>
        <w:ind w:left="841" w:right="0" w:hanging="361"/>
        <w:jc w:val="left"/>
        <w:rPr>
          <w:sz w:val="24"/>
        </w:rPr>
      </w:pPr>
      <w:r>
        <w:rPr>
          <w:sz w:val="24"/>
        </w:rPr>
        <w:t>De costos:</w:t>
      </w:r>
      <w:r>
        <w:rPr>
          <w:spacing w:val="-13"/>
          <w:sz w:val="24"/>
        </w:rPr>
        <w:t> </w:t>
      </w:r>
      <w:r>
        <w:rPr>
          <w:sz w:val="24"/>
        </w:rPr>
        <w:t>economía.</w:t>
      </w:r>
    </w:p>
    <w:p>
      <w:pPr>
        <w:pStyle w:val="ListParagraph"/>
        <w:numPr>
          <w:ilvl w:val="1"/>
          <w:numId w:val="68"/>
        </w:numPr>
        <w:tabs>
          <w:tab w:pos="841" w:val="left" w:leader="none"/>
        </w:tabs>
        <w:spacing w:line="240" w:lineRule="auto" w:before="136" w:after="0"/>
        <w:ind w:left="841" w:right="0" w:hanging="361"/>
        <w:jc w:val="left"/>
        <w:rPr>
          <w:sz w:val="24"/>
        </w:rPr>
      </w:pPr>
      <w:r>
        <w:rPr>
          <w:sz w:val="24"/>
        </w:rPr>
        <w:t>De</w:t>
      </w:r>
      <w:r>
        <w:rPr>
          <w:spacing w:val="-8"/>
          <w:sz w:val="24"/>
        </w:rPr>
        <w:t> </w:t>
      </w:r>
      <w:r>
        <w:rPr>
          <w:sz w:val="24"/>
        </w:rPr>
        <w:t>calidad.</w:t>
      </w:r>
    </w:p>
    <w:p>
      <w:pPr>
        <w:pStyle w:val="ListParagraph"/>
        <w:numPr>
          <w:ilvl w:val="1"/>
          <w:numId w:val="68"/>
        </w:numPr>
        <w:tabs>
          <w:tab w:pos="841" w:val="left" w:leader="none"/>
        </w:tabs>
        <w:spacing w:line="240" w:lineRule="auto" w:before="140" w:after="0"/>
        <w:ind w:left="841" w:right="0" w:hanging="361"/>
        <w:jc w:val="left"/>
        <w:rPr>
          <w:sz w:val="24"/>
        </w:rPr>
      </w:pPr>
      <w:r>
        <w:rPr>
          <w:sz w:val="24"/>
        </w:rPr>
        <w:t>De satisfacción del</w:t>
      </w:r>
      <w:r>
        <w:rPr>
          <w:spacing w:val="-16"/>
          <w:sz w:val="24"/>
        </w:rPr>
        <w:t> </w:t>
      </w:r>
      <w:r>
        <w:rPr>
          <w:sz w:val="24"/>
        </w:rPr>
        <w:t>ciudadano-usuario.</w:t>
      </w:r>
    </w:p>
    <w:p>
      <w:pPr>
        <w:pStyle w:val="ListParagraph"/>
        <w:numPr>
          <w:ilvl w:val="1"/>
          <w:numId w:val="68"/>
        </w:numPr>
        <w:tabs>
          <w:tab w:pos="841" w:val="left" w:leader="none"/>
        </w:tabs>
        <w:spacing w:line="240" w:lineRule="auto" w:before="136" w:after="0"/>
        <w:ind w:left="841" w:right="0" w:hanging="361"/>
        <w:jc w:val="left"/>
        <w:rPr>
          <w:sz w:val="24"/>
        </w:rPr>
      </w:pPr>
      <w:r>
        <w:rPr>
          <w:sz w:val="24"/>
        </w:rPr>
        <w:t>Sobre la competencia de los</w:t>
      </w:r>
      <w:r>
        <w:rPr>
          <w:spacing w:val="-20"/>
          <w:sz w:val="24"/>
        </w:rPr>
        <w:t> </w:t>
      </w:r>
      <w:r>
        <w:rPr>
          <w:sz w:val="24"/>
        </w:rPr>
        <w:t>actores.</w:t>
      </w:r>
    </w:p>
    <w:p>
      <w:pPr>
        <w:pStyle w:val="BodyText"/>
      </w:pPr>
    </w:p>
    <w:p>
      <w:pPr>
        <w:pStyle w:val="BodyText"/>
      </w:pPr>
    </w:p>
    <w:p>
      <w:pPr>
        <w:pStyle w:val="BodyText"/>
        <w:spacing w:line="360" w:lineRule="auto"/>
        <w:ind w:left="120" w:right="106" w:firstLine="427"/>
        <w:jc w:val="both"/>
        <w:rPr>
          <w:sz w:val="16"/>
        </w:rPr>
      </w:pPr>
      <w:r>
        <w:rPr/>
        <w:t>La evaluación del desempeño es un examen que puede realizarse en los tres ámbitos del gobierno, por lo que la elaboración de indicadores del desempeño se ha convertido en una actividad que permite analizar el grado de cumplimiento de las políticas y programas públicos, así como su calidad y su cobertura en todas las esferas gubernamentales.</w:t>
      </w:r>
      <w:r>
        <w:rPr>
          <w:position w:val="8"/>
          <w:sz w:val="16"/>
        </w:rPr>
        <w:t>111</w:t>
      </w:r>
    </w:p>
    <w:p>
      <w:pPr>
        <w:pStyle w:val="BodyText"/>
        <w:spacing w:line="360" w:lineRule="auto" w:before="2"/>
        <w:ind w:left="120" w:right="105" w:firstLine="427"/>
        <w:jc w:val="both"/>
      </w:pPr>
      <w:r>
        <w:rPr/>
        <w:t>El déficit democrático se puede disminuir mediante el establecimiento efectivo del imperio de la ley, junto con el nuevo enfoque de fiscalización que evalúe</w:t>
      </w:r>
      <w:r>
        <w:rPr>
          <w:spacing w:val="-8"/>
        </w:rPr>
        <w:t> </w:t>
      </w:r>
      <w:r>
        <w:rPr/>
        <w:t>no</w:t>
      </w:r>
      <w:r>
        <w:rPr>
          <w:spacing w:val="-8"/>
        </w:rPr>
        <w:t> </w:t>
      </w:r>
      <w:r>
        <w:rPr/>
        <w:t>sólo</w:t>
      </w:r>
      <w:r>
        <w:rPr>
          <w:spacing w:val="-8"/>
        </w:rPr>
        <w:t> </w:t>
      </w:r>
      <w:r>
        <w:rPr/>
        <w:t>los</w:t>
      </w:r>
      <w:r>
        <w:rPr>
          <w:spacing w:val="-6"/>
        </w:rPr>
        <w:t> </w:t>
      </w:r>
      <w:r>
        <w:rPr/>
        <w:t>resultados</w:t>
      </w:r>
      <w:r>
        <w:rPr>
          <w:spacing w:val="-6"/>
        </w:rPr>
        <w:t> </w:t>
      </w:r>
      <w:r>
        <w:rPr/>
        <w:t>de</w:t>
      </w:r>
      <w:r>
        <w:rPr>
          <w:spacing w:val="-8"/>
        </w:rPr>
        <w:t> </w:t>
      </w:r>
      <w:r>
        <w:rPr/>
        <w:t>las</w:t>
      </w:r>
      <w:r>
        <w:rPr>
          <w:spacing w:val="-2"/>
        </w:rPr>
        <w:t> </w:t>
      </w:r>
      <w:r>
        <w:rPr/>
        <w:t>políticas</w:t>
      </w:r>
      <w:r>
        <w:rPr>
          <w:spacing w:val="-6"/>
        </w:rPr>
        <w:t> </w:t>
      </w:r>
      <w:r>
        <w:rPr/>
        <w:t>públicas,</w:t>
      </w:r>
      <w:r>
        <w:rPr>
          <w:spacing w:val="-5"/>
        </w:rPr>
        <w:t> </w:t>
      </w:r>
      <w:r>
        <w:rPr/>
        <w:t>sino</w:t>
      </w:r>
      <w:r>
        <w:rPr>
          <w:spacing w:val="-8"/>
        </w:rPr>
        <w:t> </w:t>
      </w:r>
      <w:r>
        <w:rPr/>
        <w:t>también</w:t>
      </w:r>
      <w:r>
        <w:rPr>
          <w:spacing w:val="-8"/>
        </w:rPr>
        <w:t> </w:t>
      </w:r>
      <w:r>
        <w:rPr/>
        <w:t>sus</w:t>
      </w:r>
      <w:r>
        <w:rPr>
          <w:spacing w:val="-6"/>
        </w:rPr>
        <w:t> </w:t>
      </w:r>
      <w:r>
        <w:rPr/>
        <w:t>riesgos. El nuevo enfoque de fiscalización superior debe orientarse a los siguientes elementos:</w:t>
      </w:r>
    </w:p>
    <w:p>
      <w:pPr>
        <w:pStyle w:val="BodyText"/>
      </w:pPr>
    </w:p>
    <w:p>
      <w:pPr>
        <w:pStyle w:val="ListParagraph"/>
        <w:numPr>
          <w:ilvl w:val="2"/>
          <w:numId w:val="68"/>
        </w:numPr>
        <w:tabs>
          <w:tab w:pos="841" w:val="left" w:leader="none"/>
        </w:tabs>
        <w:spacing w:line="357" w:lineRule="auto" w:before="142" w:after="0"/>
        <w:ind w:left="841" w:right="106" w:hanging="361"/>
        <w:jc w:val="left"/>
        <w:rPr>
          <w:sz w:val="24"/>
        </w:rPr>
      </w:pPr>
      <w:r>
        <w:rPr>
          <w:sz w:val="24"/>
        </w:rPr>
        <w:t>Análisis</w:t>
      </w:r>
      <w:r>
        <w:rPr>
          <w:spacing w:val="-7"/>
          <w:sz w:val="24"/>
        </w:rPr>
        <w:t> </w:t>
      </w:r>
      <w:r>
        <w:rPr>
          <w:sz w:val="24"/>
        </w:rPr>
        <w:t>de</w:t>
      </w:r>
      <w:r>
        <w:rPr>
          <w:spacing w:val="-5"/>
          <w:sz w:val="24"/>
        </w:rPr>
        <w:t> </w:t>
      </w:r>
      <w:r>
        <w:rPr>
          <w:sz w:val="24"/>
        </w:rPr>
        <w:t>los</w:t>
      </w:r>
      <w:r>
        <w:rPr>
          <w:spacing w:val="-7"/>
          <w:sz w:val="24"/>
        </w:rPr>
        <w:t> </w:t>
      </w:r>
      <w:r>
        <w:rPr>
          <w:sz w:val="24"/>
        </w:rPr>
        <w:t>programas</w:t>
      </w:r>
      <w:r>
        <w:rPr>
          <w:spacing w:val="-4"/>
          <w:sz w:val="24"/>
        </w:rPr>
        <w:t> </w:t>
      </w:r>
      <w:r>
        <w:rPr>
          <w:sz w:val="24"/>
        </w:rPr>
        <w:t>y</w:t>
      </w:r>
      <w:r>
        <w:rPr>
          <w:spacing w:val="-11"/>
          <w:sz w:val="24"/>
        </w:rPr>
        <w:t> </w:t>
      </w:r>
      <w:r>
        <w:rPr>
          <w:sz w:val="24"/>
        </w:rPr>
        <w:t>las</w:t>
      </w:r>
      <w:r>
        <w:rPr>
          <w:spacing w:val="-4"/>
          <w:sz w:val="24"/>
        </w:rPr>
        <w:t> </w:t>
      </w:r>
      <w:r>
        <w:rPr>
          <w:sz w:val="24"/>
        </w:rPr>
        <w:t>políticas</w:t>
      </w:r>
      <w:r>
        <w:rPr>
          <w:spacing w:val="-7"/>
          <w:sz w:val="24"/>
        </w:rPr>
        <w:t> </w:t>
      </w:r>
      <w:r>
        <w:rPr>
          <w:sz w:val="24"/>
        </w:rPr>
        <w:t>públicas</w:t>
      </w:r>
      <w:r>
        <w:rPr>
          <w:spacing w:val="-4"/>
          <w:sz w:val="24"/>
        </w:rPr>
        <w:t> </w:t>
      </w:r>
      <w:r>
        <w:rPr>
          <w:sz w:val="24"/>
        </w:rPr>
        <w:t>de</w:t>
      </w:r>
      <w:r>
        <w:rPr>
          <w:spacing w:val="-9"/>
          <w:sz w:val="24"/>
        </w:rPr>
        <w:t> </w:t>
      </w:r>
      <w:r>
        <w:rPr>
          <w:sz w:val="24"/>
        </w:rPr>
        <w:t>alto</w:t>
      </w:r>
      <w:r>
        <w:rPr>
          <w:spacing w:val="-9"/>
          <w:sz w:val="24"/>
        </w:rPr>
        <w:t> </w:t>
      </w:r>
      <w:r>
        <w:rPr>
          <w:sz w:val="24"/>
        </w:rPr>
        <w:t>riesgo</w:t>
      </w:r>
      <w:r>
        <w:rPr>
          <w:spacing w:val="-9"/>
          <w:sz w:val="24"/>
        </w:rPr>
        <w:t> </w:t>
      </w:r>
      <w:r>
        <w:rPr>
          <w:sz w:val="24"/>
        </w:rPr>
        <w:t>financiero que afectan la función económica del</w:t>
      </w:r>
      <w:r>
        <w:rPr>
          <w:spacing w:val="-28"/>
          <w:sz w:val="24"/>
        </w:rPr>
        <w:t> </w:t>
      </w:r>
      <w:r>
        <w:rPr>
          <w:sz w:val="24"/>
        </w:rPr>
        <w:t>Estado.</w:t>
      </w:r>
    </w:p>
    <w:p>
      <w:pPr>
        <w:pStyle w:val="ListParagraph"/>
        <w:numPr>
          <w:ilvl w:val="2"/>
          <w:numId w:val="68"/>
        </w:numPr>
        <w:tabs>
          <w:tab w:pos="841" w:val="left" w:leader="none"/>
        </w:tabs>
        <w:spacing w:line="360" w:lineRule="auto" w:before="9" w:after="0"/>
        <w:ind w:left="841" w:right="109" w:hanging="361"/>
        <w:jc w:val="both"/>
        <w:rPr>
          <w:sz w:val="24"/>
        </w:rPr>
      </w:pPr>
      <w:r>
        <w:rPr>
          <w:sz w:val="24"/>
        </w:rPr>
        <w:t>La fiscalización debe orientarse hacia el logro de un efecto multiplicador del gasto público, traducido en maximizar el empleo del gasto en áreas prioritarias de desarrollo</w:t>
      </w:r>
      <w:r>
        <w:rPr>
          <w:spacing w:val="-22"/>
          <w:sz w:val="24"/>
        </w:rPr>
        <w:t> </w:t>
      </w:r>
      <w:r>
        <w:rPr>
          <w:sz w:val="24"/>
        </w:rPr>
        <w:t>humano.</w:t>
      </w:r>
    </w:p>
    <w:p>
      <w:pPr>
        <w:pStyle w:val="ListParagraph"/>
        <w:numPr>
          <w:ilvl w:val="2"/>
          <w:numId w:val="68"/>
        </w:numPr>
        <w:tabs>
          <w:tab w:pos="841" w:val="left" w:leader="none"/>
        </w:tabs>
        <w:spacing w:line="362" w:lineRule="auto" w:before="2" w:after="0"/>
        <w:ind w:left="841" w:right="107" w:hanging="361"/>
        <w:jc w:val="left"/>
        <w:rPr>
          <w:sz w:val="24"/>
        </w:rPr>
      </w:pPr>
      <w:r>
        <w:rPr>
          <w:sz w:val="24"/>
        </w:rPr>
        <w:t>Trabajar en aquellas áreas requeridas para incentivar el crecimiento económico.</w:t>
      </w:r>
    </w:p>
    <w:p>
      <w:pPr>
        <w:pStyle w:val="ListParagraph"/>
        <w:numPr>
          <w:ilvl w:val="2"/>
          <w:numId w:val="68"/>
        </w:numPr>
        <w:tabs>
          <w:tab w:pos="841" w:val="left" w:leader="none"/>
        </w:tabs>
        <w:spacing w:line="360" w:lineRule="auto" w:before="0" w:after="0"/>
        <w:ind w:left="841" w:right="101" w:hanging="361"/>
        <w:jc w:val="both"/>
        <w:rPr>
          <w:sz w:val="24"/>
        </w:rPr>
      </w:pPr>
      <w:r>
        <w:rPr>
          <w:sz w:val="24"/>
        </w:rPr>
        <w:t>Dar prioridad en atención a aquellos programas y políticas públicas que inhiben el cumplimiento de la ley y la aplicación efectiva del Estado de derecho.</w:t>
      </w:r>
    </w:p>
    <w:p>
      <w:pPr>
        <w:pStyle w:val="BodyText"/>
        <w:rPr>
          <w:sz w:val="20"/>
        </w:rPr>
      </w:pPr>
    </w:p>
    <w:p>
      <w:pPr>
        <w:pStyle w:val="BodyText"/>
        <w:spacing w:before="5"/>
        <w:rPr>
          <w:sz w:val="13"/>
        </w:rPr>
      </w:pPr>
      <w:r>
        <w:rPr/>
        <w:pict>
          <v:line style="position:absolute;mso-position-horizontal-relative:page;mso-position-vertical-relative:paragraph;z-index:9400;mso-wrap-distance-left:0;mso-wrap-distance-right:0" from="85.025002pt,10.084882pt" to="229.075002pt,10.084882pt" stroked="true" strokeweight=".79999pt" strokecolor="#000000">
            <w10:wrap type="topAndBottom"/>
          </v:line>
        </w:pict>
      </w:r>
    </w:p>
    <w:p>
      <w:pPr>
        <w:spacing w:line="252" w:lineRule="auto" w:before="65"/>
        <w:ind w:left="120" w:right="101" w:firstLine="0"/>
        <w:jc w:val="both"/>
        <w:rPr>
          <w:sz w:val="16"/>
        </w:rPr>
      </w:pPr>
      <w:r>
        <w:rPr>
          <w:rFonts w:ascii="Calibri" w:hAnsi="Calibri"/>
          <w:position w:val="8"/>
          <w:sz w:val="14"/>
        </w:rPr>
        <w:t>111 </w:t>
      </w:r>
      <w:r>
        <w:rPr>
          <w:sz w:val="16"/>
        </w:rPr>
        <w:t>Si bien la metodología rigurosa que rige las auditorías realizadas por la ASF, basadas en la norma internacional de la</w:t>
      </w:r>
      <w:r>
        <w:rPr>
          <w:spacing w:val="-4"/>
          <w:sz w:val="16"/>
        </w:rPr>
        <w:t> </w:t>
      </w:r>
      <w:r>
        <w:rPr>
          <w:sz w:val="16"/>
        </w:rPr>
        <w:t>INTOSAI,</w:t>
      </w:r>
      <w:r>
        <w:rPr>
          <w:spacing w:val="-7"/>
          <w:sz w:val="16"/>
        </w:rPr>
        <w:t> </w:t>
      </w:r>
      <w:r>
        <w:rPr>
          <w:sz w:val="16"/>
        </w:rPr>
        <w:t>ha</w:t>
      </w:r>
      <w:r>
        <w:rPr>
          <w:spacing w:val="-12"/>
          <w:sz w:val="16"/>
        </w:rPr>
        <w:t> </w:t>
      </w:r>
      <w:r>
        <w:rPr>
          <w:sz w:val="16"/>
        </w:rPr>
        <w:t>coadyuvado</w:t>
      </w:r>
      <w:r>
        <w:rPr>
          <w:spacing w:val="-8"/>
          <w:sz w:val="16"/>
        </w:rPr>
        <w:t> </w:t>
      </w:r>
      <w:r>
        <w:rPr>
          <w:sz w:val="16"/>
        </w:rPr>
        <w:t>en</w:t>
      </w:r>
      <w:r>
        <w:rPr>
          <w:spacing w:val="-12"/>
          <w:sz w:val="16"/>
        </w:rPr>
        <w:t> </w:t>
      </w:r>
      <w:r>
        <w:rPr>
          <w:sz w:val="16"/>
        </w:rPr>
        <w:t>mejorar</w:t>
      </w:r>
      <w:r>
        <w:rPr>
          <w:spacing w:val="-8"/>
          <w:sz w:val="16"/>
        </w:rPr>
        <w:t> </w:t>
      </w:r>
      <w:r>
        <w:rPr>
          <w:sz w:val="16"/>
        </w:rPr>
        <w:t>la</w:t>
      </w:r>
      <w:r>
        <w:rPr>
          <w:spacing w:val="-8"/>
          <w:sz w:val="16"/>
        </w:rPr>
        <w:t> </w:t>
      </w:r>
      <w:r>
        <w:rPr>
          <w:sz w:val="16"/>
        </w:rPr>
        <w:t>calidad</w:t>
      </w:r>
      <w:r>
        <w:rPr>
          <w:spacing w:val="-8"/>
          <w:sz w:val="16"/>
        </w:rPr>
        <w:t> </w:t>
      </w:r>
      <w:r>
        <w:rPr>
          <w:sz w:val="16"/>
        </w:rPr>
        <w:t>de</w:t>
      </w:r>
      <w:r>
        <w:rPr>
          <w:spacing w:val="-8"/>
          <w:sz w:val="16"/>
        </w:rPr>
        <w:t> </w:t>
      </w:r>
      <w:r>
        <w:rPr>
          <w:sz w:val="16"/>
        </w:rPr>
        <w:t>la</w:t>
      </w:r>
      <w:r>
        <w:rPr>
          <w:spacing w:val="-8"/>
          <w:sz w:val="16"/>
        </w:rPr>
        <w:t> </w:t>
      </w:r>
      <w:r>
        <w:rPr>
          <w:sz w:val="16"/>
        </w:rPr>
        <w:t>fiscalización,</w:t>
      </w:r>
      <w:r>
        <w:rPr>
          <w:spacing w:val="-4"/>
          <w:sz w:val="16"/>
        </w:rPr>
        <w:t> </w:t>
      </w:r>
      <w:r>
        <w:rPr>
          <w:sz w:val="16"/>
        </w:rPr>
        <w:t>a</w:t>
      </w:r>
      <w:r>
        <w:rPr>
          <w:spacing w:val="-8"/>
          <w:sz w:val="16"/>
        </w:rPr>
        <w:t> </w:t>
      </w:r>
      <w:r>
        <w:rPr>
          <w:sz w:val="16"/>
        </w:rPr>
        <w:t>la</w:t>
      </w:r>
      <w:r>
        <w:rPr>
          <w:spacing w:val="-8"/>
          <w:sz w:val="16"/>
        </w:rPr>
        <w:t> </w:t>
      </w:r>
      <w:r>
        <w:rPr>
          <w:sz w:val="16"/>
        </w:rPr>
        <w:t>fecha</w:t>
      </w:r>
      <w:r>
        <w:rPr>
          <w:spacing w:val="-7"/>
          <w:sz w:val="16"/>
        </w:rPr>
        <w:t> </w:t>
      </w:r>
      <w:r>
        <w:rPr>
          <w:sz w:val="16"/>
        </w:rPr>
        <w:t>no</w:t>
      </w:r>
      <w:r>
        <w:rPr>
          <w:spacing w:val="-8"/>
          <w:sz w:val="16"/>
        </w:rPr>
        <w:t> </w:t>
      </w:r>
      <w:r>
        <w:rPr>
          <w:sz w:val="16"/>
        </w:rPr>
        <w:t>existe</w:t>
      </w:r>
      <w:r>
        <w:rPr>
          <w:spacing w:val="-8"/>
          <w:sz w:val="16"/>
        </w:rPr>
        <w:t> </w:t>
      </w:r>
      <w:r>
        <w:rPr>
          <w:sz w:val="16"/>
        </w:rPr>
        <w:t>una</w:t>
      </w:r>
      <w:r>
        <w:rPr>
          <w:spacing w:val="-8"/>
          <w:sz w:val="16"/>
        </w:rPr>
        <w:t> </w:t>
      </w:r>
      <w:r>
        <w:rPr>
          <w:sz w:val="16"/>
        </w:rPr>
        <w:t>evaluación</w:t>
      </w:r>
      <w:r>
        <w:rPr>
          <w:spacing w:val="-12"/>
          <w:sz w:val="16"/>
        </w:rPr>
        <w:t> </w:t>
      </w:r>
      <w:r>
        <w:rPr>
          <w:sz w:val="16"/>
        </w:rPr>
        <w:t>de</w:t>
      </w:r>
      <w:r>
        <w:rPr>
          <w:spacing w:val="-8"/>
          <w:sz w:val="16"/>
        </w:rPr>
        <w:t> </w:t>
      </w:r>
      <w:r>
        <w:rPr>
          <w:sz w:val="16"/>
        </w:rPr>
        <w:t>la</w:t>
      </w:r>
      <w:r>
        <w:rPr>
          <w:spacing w:val="-8"/>
          <w:sz w:val="16"/>
        </w:rPr>
        <w:t> </w:t>
      </w:r>
      <w:r>
        <w:rPr>
          <w:sz w:val="16"/>
        </w:rPr>
        <w:t>adherencia de los estándares internacionales de la ASF por parte de la Unidad de Evaluación y Control</w:t>
      </w:r>
      <w:r>
        <w:rPr>
          <w:spacing w:val="-30"/>
          <w:sz w:val="16"/>
        </w:rPr>
        <w:t> </w:t>
      </w:r>
      <w:r>
        <w:rPr>
          <w:sz w:val="16"/>
        </w:rPr>
        <w:t>(UEC).</w:t>
      </w:r>
    </w:p>
    <w:p>
      <w:pPr>
        <w:spacing w:after="0" w:line="252" w:lineRule="auto"/>
        <w:jc w:val="both"/>
        <w:rPr>
          <w:sz w:val="16"/>
        </w:rPr>
        <w:sectPr>
          <w:pgSz w:w="11910" w:h="16840"/>
          <w:pgMar w:header="0" w:footer="998" w:top="1360" w:bottom="1180" w:left="1580" w:right="1600"/>
        </w:sectPr>
      </w:pPr>
    </w:p>
    <w:p>
      <w:pPr>
        <w:pStyle w:val="ListParagraph"/>
        <w:numPr>
          <w:ilvl w:val="2"/>
          <w:numId w:val="68"/>
        </w:numPr>
        <w:tabs>
          <w:tab w:pos="841" w:val="left" w:leader="none"/>
        </w:tabs>
        <w:spacing w:line="362" w:lineRule="auto" w:before="39" w:after="0"/>
        <w:ind w:left="841" w:right="130" w:hanging="361"/>
        <w:jc w:val="left"/>
        <w:rPr>
          <w:sz w:val="24"/>
        </w:rPr>
      </w:pPr>
      <w:r>
        <w:rPr>
          <w:sz w:val="24"/>
        </w:rPr>
        <w:t>Orientar la evaluación de las políticas públicas con base en las metas macroeconómicas.</w:t>
      </w:r>
    </w:p>
    <w:p>
      <w:pPr>
        <w:pStyle w:val="ListParagraph"/>
        <w:numPr>
          <w:ilvl w:val="2"/>
          <w:numId w:val="68"/>
        </w:numPr>
        <w:tabs>
          <w:tab w:pos="840" w:val="left" w:leader="none"/>
          <w:tab w:pos="841" w:val="left" w:leader="none"/>
        </w:tabs>
        <w:spacing w:line="362" w:lineRule="auto" w:before="0" w:after="0"/>
        <w:ind w:left="841" w:right="129" w:hanging="361"/>
        <w:jc w:val="left"/>
        <w:rPr>
          <w:sz w:val="24"/>
        </w:rPr>
      </w:pPr>
      <w:r>
        <w:rPr>
          <w:sz w:val="24"/>
        </w:rPr>
        <w:t>Incorporación de los resultados de las auditorías de desempeño en el análisis presupuestario del</w:t>
      </w:r>
      <w:r>
        <w:rPr>
          <w:spacing w:val="-22"/>
          <w:sz w:val="24"/>
        </w:rPr>
        <w:t> </w:t>
      </w:r>
      <w:r>
        <w:rPr>
          <w:sz w:val="24"/>
        </w:rPr>
        <w:t>Congreso.</w:t>
      </w:r>
    </w:p>
    <w:p>
      <w:pPr>
        <w:pStyle w:val="ListParagraph"/>
        <w:numPr>
          <w:ilvl w:val="2"/>
          <w:numId w:val="68"/>
        </w:numPr>
        <w:tabs>
          <w:tab w:pos="841" w:val="left" w:leader="none"/>
        </w:tabs>
        <w:spacing w:line="362" w:lineRule="auto" w:before="0" w:after="0"/>
        <w:ind w:left="841" w:right="129" w:hanging="361"/>
        <w:jc w:val="left"/>
        <w:rPr>
          <w:sz w:val="24"/>
        </w:rPr>
      </w:pPr>
      <w:r>
        <w:rPr>
          <w:sz w:val="24"/>
        </w:rPr>
        <w:t>Medir el cumplimiento sustantivo de los entes mediante indicadores de desempeño que analicen el impacto real de las políticas</w:t>
      </w:r>
      <w:r>
        <w:rPr>
          <w:spacing w:val="-39"/>
          <w:sz w:val="24"/>
        </w:rPr>
        <w:t> </w:t>
      </w:r>
      <w:r>
        <w:rPr>
          <w:sz w:val="24"/>
        </w:rPr>
        <w:t>públicas.</w:t>
      </w:r>
    </w:p>
    <w:p>
      <w:pPr>
        <w:pStyle w:val="ListParagraph"/>
        <w:numPr>
          <w:ilvl w:val="2"/>
          <w:numId w:val="68"/>
        </w:numPr>
        <w:tabs>
          <w:tab w:pos="841" w:val="left" w:leader="none"/>
        </w:tabs>
        <w:spacing w:line="362" w:lineRule="auto" w:before="0" w:after="0"/>
        <w:ind w:left="841" w:right="128" w:hanging="361"/>
        <w:jc w:val="left"/>
        <w:rPr>
          <w:sz w:val="24"/>
        </w:rPr>
      </w:pPr>
      <w:r>
        <w:rPr>
          <w:sz w:val="24"/>
        </w:rPr>
        <w:t>Medir los resultados (avances y retrocesos) con respecto a los ejercicios fiscales</w:t>
      </w:r>
      <w:r>
        <w:rPr>
          <w:spacing w:val="-12"/>
          <w:sz w:val="24"/>
        </w:rPr>
        <w:t> </w:t>
      </w:r>
      <w:r>
        <w:rPr>
          <w:sz w:val="24"/>
        </w:rPr>
        <w:t>anteriores.</w:t>
      </w:r>
    </w:p>
    <w:p>
      <w:pPr>
        <w:pStyle w:val="BodyText"/>
      </w:pPr>
    </w:p>
    <w:p>
      <w:pPr>
        <w:pStyle w:val="BodyText"/>
      </w:pPr>
    </w:p>
    <w:p>
      <w:pPr>
        <w:pStyle w:val="BodyText"/>
        <w:spacing w:before="1"/>
        <w:rPr>
          <w:sz w:val="25"/>
        </w:rPr>
      </w:pPr>
    </w:p>
    <w:p>
      <w:pPr>
        <w:pStyle w:val="Heading2"/>
        <w:numPr>
          <w:ilvl w:val="1"/>
          <w:numId w:val="69"/>
        </w:numPr>
        <w:tabs>
          <w:tab w:pos="553" w:val="left" w:leader="none"/>
        </w:tabs>
        <w:spacing w:line="240" w:lineRule="auto" w:before="0" w:after="0"/>
        <w:ind w:left="552" w:right="0" w:hanging="432"/>
        <w:jc w:val="both"/>
      </w:pPr>
      <w:bookmarkStart w:name="_bookmark75" w:id="101"/>
      <w:bookmarkEnd w:id="101"/>
      <w:r>
        <w:rPr>
          <w:b w:val="0"/>
        </w:rPr>
      </w:r>
      <w:bookmarkStart w:name="_bookmark75" w:id="102"/>
      <w:bookmarkEnd w:id="102"/>
      <w:r>
        <w:rPr/>
        <w:t>E</w:t>
      </w:r>
      <w:r>
        <w:rPr/>
        <w:t>valuación de las políticas</w:t>
      </w:r>
      <w:r>
        <w:rPr>
          <w:spacing w:val="-13"/>
        </w:rPr>
        <w:t> </w:t>
      </w:r>
      <w:r>
        <w:rPr/>
        <w:t>públicas</w:t>
      </w:r>
    </w:p>
    <w:p>
      <w:pPr>
        <w:pStyle w:val="BodyText"/>
        <w:rPr>
          <w:b/>
          <w:sz w:val="26"/>
        </w:rPr>
      </w:pPr>
    </w:p>
    <w:p>
      <w:pPr>
        <w:pStyle w:val="BodyText"/>
        <w:rPr>
          <w:b/>
          <w:sz w:val="26"/>
        </w:rPr>
      </w:pPr>
    </w:p>
    <w:p>
      <w:pPr>
        <w:pStyle w:val="BodyText"/>
        <w:spacing w:line="360" w:lineRule="auto" w:before="174"/>
        <w:ind w:left="120" w:right="120"/>
        <w:jc w:val="both"/>
      </w:pPr>
      <w:r>
        <w:rPr/>
        <w:t>El examen de los resultados de la política pública conlleva objetivos múltiples y algunos de ellos contradictorios, ausencia de objetivos alcanzables, productos no conmensurables (en calidad y eficiencia), ausencia de correlación entre objetivos</w:t>
      </w:r>
      <w:r>
        <w:rPr>
          <w:spacing w:val="-12"/>
        </w:rPr>
        <w:t> </w:t>
      </w:r>
      <w:r>
        <w:rPr/>
        <w:t>generales</w:t>
      </w:r>
      <w:r>
        <w:rPr>
          <w:spacing w:val="-12"/>
        </w:rPr>
        <w:t> </w:t>
      </w:r>
      <w:r>
        <w:rPr/>
        <w:t>con</w:t>
      </w:r>
      <w:r>
        <w:rPr>
          <w:spacing w:val="-14"/>
        </w:rPr>
        <w:t> </w:t>
      </w:r>
      <w:r>
        <w:rPr/>
        <w:t>los</w:t>
      </w:r>
      <w:r>
        <w:rPr>
          <w:spacing w:val="-12"/>
        </w:rPr>
        <w:t> </w:t>
      </w:r>
      <w:r>
        <w:rPr/>
        <w:t>objetivos</w:t>
      </w:r>
      <w:r>
        <w:rPr>
          <w:spacing w:val="-12"/>
        </w:rPr>
        <w:t> </w:t>
      </w:r>
      <w:r>
        <w:rPr/>
        <w:t>específicos</w:t>
      </w:r>
      <w:r>
        <w:rPr>
          <w:spacing w:val="-12"/>
        </w:rPr>
        <w:t> </w:t>
      </w:r>
      <w:r>
        <w:rPr/>
        <w:t>y</w:t>
      </w:r>
      <w:r>
        <w:rPr>
          <w:spacing w:val="-12"/>
        </w:rPr>
        <w:t> </w:t>
      </w:r>
      <w:r>
        <w:rPr/>
        <w:t>metas,</w:t>
      </w:r>
      <w:r>
        <w:rPr>
          <w:spacing w:val="-11"/>
        </w:rPr>
        <w:t> </w:t>
      </w:r>
      <w:r>
        <w:rPr/>
        <w:t>la</w:t>
      </w:r>
      <w:r>
        <w:rPr>
          <w:spacing w:val="-14"/>
        </w:rPr>
        <w:t> </w:t>
      </w:r>
      <w:r>
        <w:rPr/>
        <w:t>inexperiencia</w:t>
      </w:r>
      <w:r>
        <w:rPr>
          <w:spacing w:val="-14"/>
        </w:rPr>
        <w:t> </w:t>
      </w:r>
      <w:r>
        <w:rPr/>
        <w:t>de</w:t>
      </w:r>
      <w:r>
        <w:rPr>
          <w:spacing w:val="-10"/>
        </w:rPr>
        <w:t> </w:t>
      </w:r>
      <w:r>
        <w:rPr/>
        <w:t>los servidores públicos, indeterminación de la población objetivo a atender,</w:t>
      </w:r>
      <w:r>
        <w:rPr>
          <w:position w:val="8"/>
          <w:sz w:val="16"/>
        </w:rPr>
        <w:t>112</w:t>
      </w:r>
      <w:r>
        <w:rPr/>
        <w:t>corrupción </w:t>
      </w:r>
      <w:r>
        <w:rPr>
          <w:spacing w:val="-3"/>
        </w:rPr>
        <w:t>y, </w:t>
      </w:r>
      <w:r>
        <w:rPr/>
        <w:t>sobre todo, la ausencia generalizada de interés por los resultados de las evaluaciones a las políticas</w:t>
      </w:r>
      <w:r>
        <w:rPr>
          <w:spacing w:val="-30"/>
        </w:rPr>
        <w:t> </w:t>
      </w:r>
      <w:r>
        <w:rPr/>
        <w:t>públicas.</w:t>
      </w:r>
    </w:p>
    <w:p>
      <w:pPr>
        <w:pStyle w:val="BodyText"/>
        <w:spacing w:line="360" w:lineRule="auto" w:before="2"/>
        <w:ind w:left="47" w:right="117" w:firstLine="427"/>
        <w:jc w:val="right"/>
      </w:pPr>
      <w:r>
        <w:rPr/>
        <w:t>El Estado mexicano ha realizado serios esfuerzos por subsanar estos aspectos, pero los resultados distan mucho de un avance tangible en materia de</w:t>
      </w:r>
      <w:r>
        <w:rPr>
          <w:w w:val="99"/>
        </w:rPr>
        <w:t> </w:t>
      </w:r>
      <w:r>
        <w:rPr/>
        <w:t>combate a la corrupción. Un aspecto político muy destacado a inicios del Siglo</w:t>
      </w:r>
      <w:r>
        <w:rPr>
          <w:w w:val="99"/>
        </w:rPr>
        <w:t> </w:t>
      </w:r>
      <w:r>
        <w:rPr/>
        <w:t>XXI fue la apertura del Estado mexicano hacia el logro de la división de poderes,</w:t>
      </w:r>
      <w:r>
        <w:rPr>
          <w:w w:val="100"/>
        </w:rPr>
        <w:t> </w:t>
      </w:r>
      <w:r>
        <w:rPr/>
        <w:t>que hasta el momento no ha reducido el déficit democrático en forma sustancial.</w:t>
      </w:r>
    </w:p>
    <w:p>
      <w:pPr>
        <w:pStyle w:val="BodyText"/>
      </w:pPr>
    </w:p>
    <w:p>
      <w:pPr>
        <w:pStyle w:val="BodyText"/>
        <w:spacing w:line="360" w:lineRule="auto" w:before="142"/>
        <w:ind w:left="120" w:right="117" w:firstLine="427"/>
        <w:jc w:val="both"/>
      </w:pPr>
      <w:r>
        <w:rPr/>
        <w:t>En 1997, el PRI perdió la mayoría absoluta en la Cámara de Diputados, y al perder</w:t>
      </w:r>
      <w:r>
        <w:rPr>
          <w:spacing w:val="-7"/>
        </w:rPr>
        <w:t> </w:t>
      </w:r>
      <w:r>
        <w:rPr/>
        <w:t>la</w:t>
      </w:r>
      <w:r>
        <w:rPr>
          <w:spacing w:val="-9"/>
        </w:rPr>
        <w:t> </w:t>
      </w:r>
      <w:r>
        <w:rPr/>
        <w:t>Presidencia</w:t>
      </w:r>
      <w:r>
        <w:rPr>
          <w:spacing w:val="-9"/>
        </w:rPr>
        <w:t> </w:t>
      </w:r>
      <w:r>
        <w:rPr/>
        <w:t>de</w:t>
      </w:r>
      <w:r>
        <w:rPr>
          <w:spacing w:val="-9"/>
        </w:rPr>
        <w:t> </w:t>
      </w:r>
      <w:r>
        <w:rPr/>
        <w:t>la</w:t>
      </w:r>
      <w:r>
        <w:rPr>
          <w:spacing w:val="-9"/>
        </w:rPr>
        <w:t> </w:t>
      </w:r>
      <w:r>
        <w:rPr/>
        <w:t>República</w:t>
      </w:r>
      <w:r>
        <w:rPr>
          <w:spacing w:val="-5"/>
        </w:rPr>
        <w:t> </w:t>
      </w:r>
      <w:r>
        <w:rPr/>
        <w:t>en</w:t>
      </w:r>
      <w:r>
        <w:rPr>
          <w:spacing w:val="-9"/>
        </w:rPr>
        <w:t> </w:t>
      </w:r>
      <w:r>
        <w:rPr/>
        <w:t>el</w:t>
      </w:r>
      <w:r>
        <w:rPr>
          <w:spacing w:val="-8"/>
        </w:rPr>
        <w:t> </w:t>
      </w:r>
      <w:r>
        <w:rPr/>
        <w:t>año</w:t>
      </w:r>
      <w:r>
        <w:rPr>
          <w:spacing w:val="-9"/>
        </w:rPr>
        <w:t> </w:t>
      </w:r>
      <w:r>
        <w:rPr/>
        <w:t>2000,</w:t>
      </w:r>
      <w:r>
        <w:rPr>
          <w:spacing w:val="-6"/>
        </w:rPr>
        <w:t> </w:t>
      </w:r>
      <w:r>
        <w:rPr/>
        <w:t>la</w:t>
      </w:r>
      <w:r>
        <w:rPr>
          <w:spacing w:val="-9"/>
        </w:rPr>
        <w:t> </w:t>
      </w:r>
      <w:r>
        <w:rPr/>
        <w:t>pluralidad</w:t>
      </w:r>
      <w:r>
        <w:rPr>
          <w:spacing w:val="-9"/>
        </w:rPr>
        <w:t> </w:t>
      </w:r>
      <w:r>
        <w:rPr/>
        <w:t>del</w:t>
      </w:r>
      <w:r>
        <w:rPr>
          <w:spacing w:val="-8"/>
        </w:rPr>
        <w:t> </w:t>
      </w:r>
      <w:r>
        <w:rPr/>
        <w:t>Congreso inhibió las decisiones unilaterales que se venían tomando desde el Ejecutivo.</w:t>
      </w:r>
      <w:r>
        <w:rPr>
          <w:position w:val="8"/>
          <w:sz w:val="16"/>
        </w:rPr>
        <w:t>113 </w:t>
      </w:r>
      <w:r>
        <w:rPr/>
        <w:t>A partir del cambio de poder, los medios de comunicación, la opinión pública,</w:t>
      </w:r>
      <w:r>
        <w:rPr>
          <w:spacing w:val="66"/>
        </w:rPr>
        <w:t> </w:t>
      </w:r>
      <w:r>
        <w:rPr/>
        <w:t>y</w:t>
      </w:r>
    </w:p>
    <w:p>
      <w:pPr>
        <w:pStyle w:val="BodyText"/>
        <w:rPr>
          <w:sz w:val="20"/>
        </w:rPr>
      </w:pPr>
    </w:p>
    <w:p>
      <w:pPr>
        <w:pStyle w:val="BodyText"/>
        <w:spacing w:before="5"/>
        <w:rPr>
          <w:sz w:val="14"/>
        </w:rPr>
      </w:pPr>
      <w:r>
        <w:rPr/>
        <w:pict>
          <v:line style="position:absolute;mso-position-horizontal-relative:page;mso-position-vertical-relative:paragraph;z-index:9424;mso-wrap-distance-left:0;mso-wrap-distance-right:0" from="85.025002pt,10.654858pt" to="229.075002pt,10.654858pt" stroked="true" strokeweight=".80005pt" strokecolor="#000000">
            <w10:wrap type="topAndBottom"/>
          </v:line>
        </w:pict>
      </w:r>
    </w:p>
    <w:p>
      <w:pPr>
        <w:spacing w:before="59"/>
        <w:ind w:left="120" w:right="0" w:firstLine="0"/>
        <w:jc w:val="both"/>
        <w:rPr>
          <w:sz w:val="16"/>
        </w:rPr>
      </w:pPr>
      <w:r>
        <w:rPr>
          <w:rFonts w:ascii="Times New Roman" w:hAnsi="Times New Roman"/>
          <w:position w:val="7"/>
          <w:sz w:val="13"/>
        </w:rPr>
        <w:t>112</w:t>
      </w:r>
      <w:r>
        <w:rPr>
          <w:sz w:val="16"/>
        </w:rPr>
        <w:t>El Índice de Desempeño de los Programas Públicos Federales (INDEP), publicado por Gestión Social y Cooperación</w:t>
      </w:r>
    </w:p>
    <w:p>
      <w:pPr>
        <w:spacing w:before="12"/>
        <w:ind w:left="120" w:right="123" w:firstLine="0"/>
        <w:jc w:val="both"/>
        <w:rPr>
          <w:sz w:val="16"/>
        </w:rPr>
      </w:pPr>
      <w:r>
        <w:rPr>
          <w:sz w:val="16"/>
        </w:rPr>
        <w:t>A.C.</w:t>
      </w:r>
      <w:r>
        <w:rPr>
          <w:spacing w:val="-11"/>
          <w:sz w:val="16"/>
        </w:rPr>
        <w:t> </w:t>
      </w:r>
      <w:r>
        <w:rPr>
          <w:sz w:val="16"/>
        </w:rPr>
        <w:t>(Gesoc</w:t>
      </w:r>
      <w:r>
        <w:rPr>
          <w:spacing w:val="-8"/>
          <w:sz w:val="16"/>
        </w:rPr>
        <w:t> </w:t>
      </w:r>
      <w:r>
        <w:rPr>
          <w:sz w:val="16"/>
        </w:rPr>
        <w:t>A.C.),</w:t>
      </w:r>
      <w:r>
        <w:rPr>
          <w:spacing w:val="-8"/>
          <w:sz w:val="16"/>
        </w:rPr>
        <w:t> </w:t>
      </w:r>
      <w:r>
        <w:rPr>
          <w:sz w:val="16"/>
        </w:rPr>
        <w:t>en</w:t>
      </w:r>
      <w:r>
        <w:rPr>
          <w:spacing w:val="-8"/>
          <w:sz w:val="16"/>
        </w:rPr>
        <w:t> </w:t>
      </w:r>
      <w:r>
        <w:rPr>
          <w:sz w:val="16"/>
        </w:rPr>
        <w:t>noviembre</w:t>
      </w:r>
      <w:r>
        <w:rPr>
          <w:spacing w:val="-8"/>
          <w:sz w:val="16"/>
        </w:rPr>
        <w:t> </w:t>
      </w:r>
      <w:r>
        <w:rPr>
          <w:sz w:val="16"/>
        </w:rPr>
        <w:t>de</w:t>
      </w:r>
      <w:r>
        <w:rPr>
          <w:spacing w:val="-8"/>
          <w:sz w:val="16"/>
        </w:rPr>
        <w:t> </w:t>
      </w:r>
      <w:r>
        <w:rPr>
          <w:sz w:val="16"/>
        </w:rPr>
        <w:t>2012</w:t>
      </w:r>
      <w:r>
        <w:rPr>
          <w:spacing w:val="-8"/>
          <w:sz w:val="16"/>
        </w:rPr>
        <w:t> </w:t>
      </w:r>
      <w:r>
        <w:rPr>
          <w:sz w:val="16"/>
        </w:rPr>
        <w:t>difundió</w:t>
      </w:r>
      <w:r>
        <w:rPr>
          <w:spacing w:val="-8"/>
          <w:sz w:val="16"/>
        </w:rPr>
        <w:t> </w:t>
      </w:r>
      <w:r>
        <w:rPr>
          <w:sz w:val="16"/>
        </w:rPr>
        <w:t>en</w:t>
      </w:r>
      <w:r>
        <w:rPr>
          <w:spacing w:val="-8"/>
          <w:sz w:val="16"/>
        </w:rPr>
        <w:t> </w:t>
      </w:r>
      <w:r>
        <w:rPr>
          <w:sz w:val="16"/>
        </w:rPr>
        <w:t>INDEP,</w:t>
      </w:r>
      <w:r>
        <w:rPr>
          <w:spacing w:val="-8"/>
          <w:sz w:val="16"/>
        </w:rPr>
        <w:t> </w:t>
      </w:r>
      <w:r>
        <w:rPr>
          <w:sz w:val="16"/>
        </w:rPr>
        <w:t>donde</w:t>
      </w:r>
      <w:r>
        <w:rPr>
          <w:spacing w:val="-5"/>
          <w:sz w:val="16"/>
        </w:rPr>
        <w:t> </w:t>
      </w:r>
      <w:r>
        <w:rPr>
          <w:sz w:val="16"/>
        </w:rPr>
        <w:t>se</w:t>
      </w:r>
      <w:r>
        <w:rPr>
          <w:spacing w:val="-8"/>
          <w:sz w:val="16"/>
        </w:rPr>
        <w:t> </w:t>
      </w:r>
      <w:r>
        <w:rPr>
          <w:sz w:val="16"/>
        </w:rPr>
        <w:t>clasifican</w:t>
      </w:r>
      <w:r>
        <w:rPr>
          <w:spacing w:val="-12"/>
          <w:sz w:val="16"/>
        </w:rPr>
        <w:t> </w:t>
      </w:r>
      <w:r>
        <w:rPr>
          <w:sz w:val="16"/>
        </w:rPr>
        <w:t>163</w:t>
      </w:r>
      <w:r>
        <w:rPr>
          <w:spacing w:val="-8"/>
          <w:sz w:val="16"/>
        </w:rPr>
        <w:t> </w:t>
      </w:r>
      <w:r>
        <w:rPr>
          <w:sz w:val="16"/>
        </w:rPr>
        <w:t>programas</w:t>
      </w:r>
      <w:r>
        <w:rPr>
          <w:spacing w:val="-11"/>
          <w:sz w:val="16"/>
        </w:rPr>
        <w:t> </w:t>
      </w:r>
      <w:r>
        <w:rPr>
          <w:sz w:val="16"/>
        </w:rPr>
        <w:t>federales,</w:t>
      </w:r>
      <w:r>
        <w:rPr>
          <w:spacing w:val="-8"/>
          <w:sz w:val="16"/>
        </w:rPr>
        <w:t> </w:t>
      </w:r>
      <w:r>
        <w:rPr>
          <w:sz w:val="16"/>
        </w:rPr>
        <w:t>de</w:t>
      </w:r>
      <w:r>
        <w:rPr>
          <w:spacing w:val="-5"/>
          <w:sz w:val="16"/>
        </w:rPr>
        <w:t> </w:t>
      </w:r>
      <w:r>
        <w:rPr>
          <w:sz w:val="16"/>
        </w:rPr>
        <w:t>los</w:t>
      </w:r>
      <w:r>
        <w:rPr>
          <w:spacing w:val="-15"/>
          <w:sz w:val="16"/>
        </w:rPr>
        <w:t> </w:t>
      </w:r>
      <w:r>
        <w:rPr>
          <w:sz w:val="16"/>
        </w:rPr>
        <w:t>cuales 74 </w:t>
      </w:r>
      <w:r>
        <w:rPr>
          <w:spacing w:val="-3"/>
          <w:sz w:val="16"/>
        </w:rPr>
        <w:t>no </w:t>
      </w:r>
      <w:r>
        <w:rPr>
          <w:sz w:val="16"/>
        </w:rPr>
        <w:t>presentan la cobertura de la población potencialmente</w:t>
      </w:r>
      <w:r>
        <w:rPr>
          <w:spacing w:val="-27"/>
          <w:sz w:val="16"/>
        </w:rPr>
        <w:t> </w:t>
      </w:r>
      <w:r>
        <w:rPr>
          <w:sz w:val="16"/>
        </w:rPr>
        <w:t>beneficiaria.</w:t>
      </w:r>
    </w:p>
    <w:p>
      <w:pPr>
        <w:spacing w:line="244" w:lineRule="auto" w:before="0"/>
        <w:ind w:left="120" w:right="122" w:firstLine="0"/>
        <w:jc w:val="both"/>
        <w:rPr>
          <w:sz w:val="16"/>
        </w:rPr>
      </w:pPr>
      <w:r>
        <w:rPr>
          <w:rFonts w:ascii="Times New Roman" w:hAnsi="Times New Roman"/>
          <w:position w:val="7"/>
          <w:sz w:val="13"/>
        </w:rPr>
        <w:t>113</w:t>
      </w:r>
      <w:r>
        <w:rPr>
          <w:sz w:val="16"/>
        </w:rPr>
        <w:t>Aunque</w:t>
      </w:r>
      <w:r>
        <w:rPr>
          <w:spacing w:val="-3"/>
          <w:sz w:val="16"/>
        </w:rPr>
        <w:t> </w:t>
      </w:r>
      <w:r>
        <w:rPr>
          <w:sz w:val="16"/>
        </w:rPr>
        <w:t>esta</w:t>
      </w:r>
      <w:r>
        <w:rPr>
          <w:spacing w:val="-1"/>
          <w:sz w:val="16"/>
        </w:rPr>
        <w:t> </w:t>
      </w:r>
      <w:r>
        <w:rPr>
          <w:sz w:val="16"/>
        </w:rPr>
        <w:t>situación</w:t>
      </w:r>
      <w:r>
        <w:rPr>
          <w:spacing w:val="-7"/>
          <w:sz w:val="16"/>
        </w:rPr>
        <w:t> </w:t>
      </w:r>
      <w:r>
        <w:rPr>
          <w:sz w:val="16"/>
        </w:rPr>
        <w:t>fue usada</w:t>
      </w:r>
      <w:r>
        <w:rPr>
          <w:spacing w:val="-3"/>
          <w:sz w:val="16"/>
        </w:rPr>
        <w:t> </w:t>
      </w:r>
      <w:r>
        <w:rPr>
          <w:sz w:val="16"/>
        </w:rPr>
        <w:t>también</w:t>
      </w:r>
      <w:r>
        <w:rPr>
          <w:spacing w:val="-7"/>
          <w:sz w:val="16"/>
        </w:rPr>
        <w:t> </w:t>
      </w:r>
      <w:r>
        <w:rPr>
          <w:sz w:val="16"/>
        </w:rPr>
        <w:t>como</w:t>
      </w:r>
      <w:r>
        <w:rPr>
          <w:spacing w:val="-3"/>
          <w:sz w:val="16"/>
        </w:rPr>
        <w:t> </w:t>
      </w:r>
      <w:r>
        <w:rPr>
          <w:sz w:val="16"/>
        </w:rPr>
        <w:t>argumento</w:t>
      </w:r>
      <w:r>
        <w:rPr>
          <w:spacing w:val="-3"/>
          <w:sz w:val="16"/>
        </w:rPr>
        <w:t> </w:t>
      </w:r>
      <w:r>
        <w:rPr>
          <w:sz w:val="16"/>
        </w:rPr>
        <w:t>del</w:t>
      </w:r>
      <w:r>
        <w:rPr>
          <w:spacing w:val="-6"/>
          <w:sz w:val="16"/>
        </w:rPr>
        <w:t> </w:t>
      </w:r>
      <w:r>
        <w:rPr>
          <w:sz w:val="16"/>
        </w:rPr>
        <w:t>Poder</w:t>
      </w:r>
      <w:r>
        <w:rPr>
          <w:spacing w:val="-4"/>
          <w:sz w:val="16"/>
        </w:rPr>
        <w:t> </w:t>
      </w:r>
      <w:r>
        <w:rPr>
          <w:sz w:val="16"/>
        </w:rPr>
        <w:t>Ejecutivo</w:t>
      </w:r>
      <w:r>
        <w:rPr>
          <w:spacing w:val="-3"/>
          <w:sz w:val="16"/>
        </w:rPr>
        <w:t> </w:t>
      </w:r>
      <w:r>
        <w:rPr>
          <w:sz w:val="16"/>
        </w:rPr>
        <w:t>para</w:t>
      </w:r>
      <w:r>
        <w:rPr>
          <w:spacing w:val="-3"/>
          <w:sz w:val="16"/>
        </w:rPr>
        <w:t> </w:t>
      </w:r>
      <w:r>
        <w:rPr>
          <w:sz w:val="16"/>
        </w:rPr>
        <w:t>acusar</w:t>
      </w:r>
      <w:r>
        <w:rPr>
          <w:spacing w:val="-4"/>
          <w:sz w:val="16"/>
        </w:rPr>
        <w:t> </w:t>
      </w:r>
      <w:r>
        <w:rPr>
          <w:sz w:val="16"/>
        </w:rPr>
        <w:t>al</w:t>
      </w:r>
      <w:r>
        <w:rPr>
          <w:spacing w:val="-6"/>
          <w:sz w:val="16"/>
        </w:rPr>
        <w:t> </w:t>
      </w:r>
      <w:r>
        <w:rPr>
          <w:sz w:val="16"/>
        </w:rPr>
        <w:t>Legislativo</w:t>
      </w:r>
      <w:r>
        <w:rPr>
          <w:spacing w:val="-3"/>
          <w:sz w:val="16"/>
        </w:rPr>
        <w:t> </w:t>
      </w:r>
      <w:r>
        <w:rPr>
          <w:sz w:val="16"/>
        </w:rPr>
        <w:t>de invalidar sus reformas o propuestas que, de acuerdo con el Presidente de la República, éstas podrían haber sido de utilidad a la sociedad.</w:t>
      </w:r>
    </w:p>
    <w:p>
      <w:pPr>
        <w:spacing w:after="0" w:line="244" w:lineRule="auto"/>
        <w:jc w:val="both"/>
        <w:rPr>
          <w:sz w:val="16"/>
        </w:rPr>
        <w:sectPr>
          <w:pgSz w:w="11910" w:h="16840"/>
          <w:pgMar w:header="0" w:footer="998" w:top="1360" w:bottom="1180" w:left="1580" w:right="1580"/>
        </w:sectPr>
      </w:pPr>
    </w:p>
    <w:p>
      <w:pPr>
        <w:pStyle w:val="BodyText"/>
        <w:spacing w:line="362" w:lineRule="auto" w:before="39"/>
        <w:ind w:left="120" w:right="272"/>
      </w:pPr>
      <w:r>
        <w:rPr/>
        <w:t>los partidos de izquierda comenzaron a analizar más detalladamente el cumplimiento de los objetivos de política pública.</w:t>
      </w:r>
    </w:p>
    <w:p>
      <w:pPr>
        <w:pStyle w:val="BodyText"/>
        <w:spacing w:line="360" w:lineRule="auto"/>
        <w:ind w:left="120" w:right="116" w:firstLine="427"/>
        <w:jc w:val="both"/>
      </w:pPr>
      <w:r>
        <w:rPr/>
        <w:t>Los objetivos que se diseñaron al iniciar el Siglo XXI tienen más enfoque macroeconómico, el cual comprende principalmente el alcanzar las metas de crecimiento económico, finanzas públicas, política monetaria, seguridad nacional, nivel de empleo, disminución de la pobreza extrema y reservas internacionales.</w:t>
      </w:r>
    </w:p>
    <w:p>
      <w:pPr>
        <w:pStyle w:val="BodyText"/>
        <w:spacing w:line="360" w:lineRule="auto" w:before="6"/>
        <w:ind w:left="120" w:right="127" w:firstLine="427"/>
        <w:jc w:val="both"/>
      </w:pPr>
      <w:r>
        <w:rPr/>
        <w:t>El Estado mexicano de inicios de este siglo, se orientó hacia el logro de la legitimidad y democracia mediante tres políticas: terminar con la inseguridad nacional, mejorar la imagen exterior del país y promover la transparencia y la rendición de cuentas.</w:t>
      </w:r>
    </w:p>
    <w:p>
      <w:pPr>
        <w:pStyle w:val="BodyText"/>
        <w:spacing w:line="360" w:lineRule="auto" w:before="6"/>
        <w:ind w:left="120" w:right="113" w:firstLine="427"/>
        <w:jc w:val="both"/>
        <w:rPr>
          <w:sz w:val="16"/>
        </w:rPr>
      </w:pPr>
      <w:r>
        <w:rPr/>
        <w:t>La política exterior priorizó la relación estratégica con Estados Unidos y a fortalecer</w:t>
      </w:r>
      <w:r>
        <w:rPr>
          <w:spacing w:val="-16"/>
        </w:rPr>
        <w:t> </w:t>
      </w:r>
      <w:r>
        <w:rPr/>
        <w:t>la</w:t>
      </w:r>
      <w:r>
        <w:rPr>
          <w:spacing w:val="-18"/>
        </w:rPr>
        <w:t> </w:t>
      </w:r>
      <w:r>
        <w:rPr/>
        <w:t>presencia</w:t>
      </w:r>
      <w:r>
        <w:rPr>
          <w:spacing w:val="-18"/>
        </w:rPr>
        <w:t> </w:t>
      </w:r>
      <w:r>
        <w:rPr/>
        <w:t>de</w:t>
      </w:r>
      <w:r>
        <w:rPr>
          <w:spacing w:val="-18"/>
        </w:rPr>
        <w:t> </w:t>
      </w:r>
      <w:r>
        <w:rPr/>
        <w:t>nuestro</w:t>
      </w:r>
      <w:r>
        <w:rPr>
          <w:spacing w:val="-18"/>
        </w:rPr>
        <w:t> </w:t>
      </w:r>
      <w:r>
        <w:rPr/>
        <w:t>país.</w:t>
      </w:r>
      <w:r>
        <w:rPr>
          <w:spacing w:val="-15"/>
        </w:rPr>
        <w:t> </w:t>
      </w:r>
      <w:r>
        <w:rPr/>
        <w:t>El</w:t>
      </w:r>
      <w:r>
        <w:rPr>
          <w:spacing w:val="-21"/>
        </w:rPr>
        <w:t> </w:t>
      </w:r>
      <w:r>
        <w:rPr/>
        <w:t>Estado</w:t>
      </w:r>
      <w:r>
        <w:rPr>
          <w:spacing w:val="-14"/>
        </w:rPr>
        <w:t> </w:t>
      </w:r>
      <w:r>
        <w:rPr/>
        <w:t>mexicano</w:t>
      </w:r>
      <w:r>
        <w:rPr>
          <w:spacing w:val="-18"/>
        </w:rPr>
        <w:t> </w:t>
      </w:r>
      <w:r>
        <w:rPr/>
        <w:t>logró</w:t>
      </w:r>
      <w:r>
        <w:rPr>
          <w:spacing w:val="-21"/>
        </w:rPr>
        <w:t> </w:t>
      </w:r>
      <w:r>
        <w:rPr/>
        <w:t>tener</w:t>
      </w:r>
      <w:r>
        <w:rPr>
          <w:spacing w:val="-20"/>
        </w:rPr>
        <w:t> </w:t>
      </w:r>
      <w:r>
        <w:rPr/>
        <w:t>presencia en los principales foros multilaterales, pero no concretó el acuerdo migratorio, la integración con América del Norte, ni tampoco posicionar al ombudsman mexicano en la Secretaría General de la Organización de Estados Americanos (OEA).</w:t>
      </w:r>
      <w:r>
        <w:rPr>
          <w:position w:val="8"/>
          <w:sz w:val="16"/>
        </w:rPr>
        <w:t>114</w:t>
      </w:r>
    </w:p>
    <w:p>
      <w:pPr>
        <w:pStyle w:val="BodyText"/>
        <w:spacing w:line="360" w:lineRule="auto" w:before="2"/>
        <w:ind w:left="120" w:right="119" w:firstLine="427"/>
        <w:jc w:val="both"/>
        <w:rPr>
          <w:sz w:val="16"/>
        </w:rPr>
      </w:pPr>
      <w:r>
        <w:rPr/>
        <w:t>En diciembre de 2009, el Jefe del Ejecutivo emitió 10 iniciativas de reforma para</w:t>
      </w:r>
      <w:r>
        <w:rPr>
          <w:spacing w:val="-16"/>
        </w:rPr>
        <w:t> </w:t>
      </w:r>
      <w:r>
        <w:rPr/>
        <w:t>otorgar</w:t>
      </w:r>
      <w:r>
        <w:rPr>
          <w:spacing w:val="-14"/>
        </w:rPr>
        <w:t> </w:t>
      </w:r>
      <w:r>
        <w:rPr/>
        <w:t>a</w:t>
      </w:r>
      <w:r>
        <w:rPr>
          <w:spacing w:val="-16"/>
        </w:rPr>
        <w:t> </w:t>
      </w:r>
      <w:r>
        <w:rPr/>
        <w:t>los</w:t>
      </w:r>
      <w:r>
        <w:rPr>
          <w:spacing w:val="-14"/>
        </w:rPr>
        <w:t> </w:t>
      </w:r>
      <w:r>
        <w:rPr/>
        <w:t>ciudadanos</w:t>
      </w:r>
      <w:r>
        <w:rPr>
          <w:spacing w:val="-14"/>
        </w:rPr>
        <w:t> </w:t>
      </w:r>
      <w:r>
        <w:rPr/>
        <w:t>un</w:t>
      </w:r>
      <w:r>
        <w:rPr>
          <w:spacing w:val="-16"/>
        </w:rPr>
        <w:t> </w:t>
      </w:r>
      <w:r>
        <w:rPr/>
        <w:t>mayor</w:t>
      </w:r>
      <w:r>
        <w:rPr>
          <w:spacing w:val="-14"/>
        </w:rPr>
        <w:t> </w:t>
      </w:r>
      <w:r>
        <w:rPr/>
        <w:t>peso</w:t>
      </w:r>
      <w:r>
        <w:rPr>
          <w:spacing w:val="-16"/>
        </w:rPr>
        <w:t> </w:t>
      </w:r>
      <w:r>
        <w:rPr/>
        <w:t>para</w:t>
      </w:r>
      <w:r>
        <w:rPr>
          <w:spacing w:val="-16"/>
        </w:rPr>
        <w:t> </w:t>
      </w:r>
      <w:r>
        <w:rPr/>
        <w:t>incidir</w:t>
      </w:r>
      <w:r>
        <w:rPr>
          <w:spacing w:val="-14"/>
        </w:rPr>
        <w:t> </w:t>
      </w:r>
      <w:r>
        <w:rPr/>
        <w:t>sobre</w:t>
      </w:r>
      <w:r>
        <w:rPr>
          <w:spacing w:val="-16"/>
        </w:rPr>
        <w:t> </w:t>
      </w:r>
      <w:r>
        <w:rPr/>
        <w:t>sus</w:t>
      </w:r>
      <w:r>
        <w:rPr>
          <w:spacing w:val="-14"/>
        </w:rPr>
        <w:t> </w:t>
      </w:r>
      <w:r>
        <w:rPr/>
        <w:t>gobernantes. De entre ellas resalta la inclusión de una figura denominada "iniciativa ciudadana"</w:t>
      </w:r>
      <w:r>
        <w:rPr>
          <w:spacing w:val="-6"/>
        </w:rPr>
        <w:t> </w:t>
      </w:r>
      <w:r>
        <w:rPr/>
        <w:t>para</w:t>
      </w:r>
      <w:r>
        <w:rPr>
          <w:spacing w:val="-6"/>
        </w:rPr>
        <w:t> </w:t>
      </w:r>
      <w:r>
        <w:rPr/>
        <w:t>que</w:t>
      </w:r>
      <w:r>
        <w:rPr>
          <w:spacing w:val="-6"/>
        </w:rPr>
        <w:t> </w:t>
      </w:r>
      <w:r>
        <w:rPr/>
        <w:t>las</w:t>
      </w:r>
      <w:r>
        <w:rPr>
          <w:spacing w:val="-4"/>
        </w:rPr>
        <w:t> </w:t>
      </w:r>
      <w:r>
        <w:rPr/>
        <w:t>personas</w:t>
      </w:r>
      <w:r>
        <w:rPr>
          <w:spacing w:val="-4"/>
        </w:rPr>
        <w:t> </w:t>
      </w:r>
      <w:r>
        <w:rPr/>
        <w:t>puedan</w:t>
      </w:r>
      <w:r>
        <w:rPr>
          <w:spacing w:val="-6"/>
        </w:rPr>
        <w:t> </w:t>
      </w:r>
      <w:r>
        <w:rPr/>
        <w:t>hacer</w:t>
      </w:r>
      <w:r>
        <w:rPr>
          <w:spacing w:val="-4"/>
        </w:rPr>
        <w:t> </w:t>
      </w:r>
      <w:r>
        <w:rPr/>
        <w:t>propuestas</w:t>
      </w:r>
      <w:r>
        <w:rPr>
          <w:spacing w:val="-4"/>
        </w:rPr>
        <w:t> </w:t>
      </w:r>
      <w:r>
        <w:rPr/>
        <w:t>de</w:t>
      </w:r>
      <w:r>
        <w:rPr>
          <w:spacing w:val="-6"/>
        </w:rPr>
        <w:t> </w:t>
      </w:r>
      <w:r>
        <w:rPr/>
        <w:t>ley</w:t>
      </w:r>
      <w:r>
        <w:rPr>
          <w:spacing w:val="-8"/>
        </w:rPr>
        <w:t> </w:t>
      </w:r>
      <w:r>
        <w:rPr/>
        <w:t>sobre</w:t>
      </w:r>
      <w:r>
        <w:rPr>
          <w:spacing w:val="-6"/>
        </w:rPr>
        <w:t> </w:t>
      </w:r>
      <w:r>
        <w:rPr/>
        <w:t>temas de su interés que no se encuentren en la agenda legislativa. Este hecho evidenció la intención del Poder Ejecutivo para ser más incluyente y avanzar hacia la legitimidad y</w:t>
      </w:r>
      <w:r>
        <w:rPr>
          <w:spacing w:val="-17"/>
        </w:rPr>
        <w:t> </w:t>
      </w:r>
      <w:r>
        <w:rPr/>
        <w:t>democracia.</w:t>
      </w:r>
      <w:r>
        <w:rPr>
          <w:position w:val="8"/>
          <w:sz w:val="16"/>
        </w:rPr>
        <w:t>115</w:t>
      </w:r>
    </w:p>
    <w:p>
      <w:pPr>
        <w:pStyle w:val="BodyText"/>
        <w:rPr>
          <w:sz w:val="36"/>
        </w:rPr>
      </w:pPr>
    </w:p>
    <w:p>
      <w:pPr>
        <w:pStyle w:val="BodyText"/>
        <w:spacing w:line="360" w:lineRule="auto"/>
        <w:ind w:left="120" w:right="118" w:firstLine="427"/>
        <w:jc w:val="both"/>
      </w:pPr>
      <w:r>
        <w:rPr/>
        <w:t>En</w:t>
      </w:r>
      <w:r>
        <w:rPr>
          <w:spacing w:val="-20"/>
        </w:rPr>
        <w:t> </w:t>
      </w:r>
      <w:r>
        <w:rPr/>
        <w:t>relación</w:t>
      </w:r>
      <w:r>
        <w:rPr>
          <w:spacing w:val="-20"/>
        </w:rPr>
        <w:t> </w:t>
      </w:r>
      <w:r>
        <w:rPr/>
        <w:t>con</w:t>
      </w:r>
      <w:r>
        <w:rPr>
          <w:spacing w:val="-20"/>
        </w:rPr>
        <w:t> </w:t>
      </w:r>
      <w:r>
        <w:rPr/>
        <w:t>los</w:t>
      </w:r>
      <w:r>
        <w:rPr>
          <w:spacing w:val="-18"/>
        </w:rPr>
        <w:t> </w:t>
      </w:r>
      <w:r>
        <w:rPr/>
        <w:t>avances</w:t>
      </w:r>
      <w:r>
        <w:rPr>
          <w:spacing w:val="-18"/>
        </w:rPr>
        <w:t> </w:t>
      </w:r>
      <w:r>
        <w:rPr/>
        <w:t>de</w:t>
      </w:r>
      <w:r>
        <w:rPr>
          <w:spacing w:val="-20"/>
        </w:rPr>
        <w:t> </w:t>
      </w:r>
      <w:r>
        <w:rPr/>
        <w:t>la</w:t>
      </w:r>
      <w:r>
        <w:rPr>
          <w:spacing w:val="-20"/>
        </w:rPr>
        <w:t> </w:t>
      </w:r>
      <w:r>
        <w:rPr/>
        <w:t>administración</w:t>
      </w:r>
      <w:r>
        <w:rPr>
          <w:spacing w:val="-20"/>
        </w:rPr>
        <w:t> </w:t>
      </w:r>
      <w:r>
        <w:rPr/>
        <w:t>pública,</w:t>
      </w:r>
      <w:r>
        <w:rPr>
          <w:spacing w:val="-18"/>
        </w:rPr>
        <w:t> </w:t>
      </w:r>
      <w:r>
        <w:rPr/>
        <w:t>el</w:t>
      </w:r>
      <w:r>
        <w:rPr>
          <w:spacing w:val="-19"/>
        </w:rPr>
        <w:t> </w:t>
      </w:r>
      <w:r>
        <w:rPr/>
        <w:t>Ejecutivo</w:t>
      </w:r>
      <w:r>
        <w:rPr>
          <w:spacing w:val="-20"/>
        </w:rPr>
        <w:t> </w:t>
      </w:r>
      <w:r>
        <w:rPr/>
        <w:t>Federal definió la “Agenda de Buen Gobierno”, la cual se basó en 6 estrategias: calidad de los servicios, disminución de los costos, mejora regulatoria, gobierno digital, profesionalización del servicio público, y honestidad y</w:t>
      </w:r>
      <w:r>
        <w:rPr>
          <w:spacing w:val="-40"/>
        </w:rPr>
        <w:t> </w:t>
      </w:r>
      <w:r>
        <w:rPr/>
        <w:t>transparencia.</w:t>
      </w:r>
    </w:p>
    <w:p>
      <w:pPr>
        <w:pStyle w:val="BodyText"/>
        <w:rPr>
          <w:sz w:val="20"/>
        </w:rPr>
      </w:pP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9448;mso-wrap-distance-left:0;mso-wrap-distance-right:0" from="85.025002pt,16.856844pt" to="229.075002pt,16.856844pt" stroked="true" strokeweight=".79999pt" strokecolor="#000000">
            <w10:wrap type="topAndBottom"/>
          </v:line>
        </w:pict>
      </w:r>
    </w:p>
    <w:p>
      <w:pPr>
        <w:spacing w:line="266" w:lineRule="auto" w:before="70"/>
        <w:ind w:left="120" w:right="272" w:firstLine="0"/>
        <w:jc w:val="left"/>
        <w:rPr>
          <w:sz w:val="16"/>
        </w:rPr>
      </w:pPr>
      <w:r>
        <w:rPr>
          <w:rFonts w:ascii="Calibri"/>
          <w:position w:val="8"/>
          <w:sz w:val="14"/>
        </w:rPr>
        <w:t>114</w:t>
      </w:r>
      <w:r>
        <w:rPr>
          <w:sz w:val="16"/>
        </w:rPr>
        <w:t>Disponible en: </w:t>
      </w:r>
      <w:hyperlink r:id="rId180">
        <w:r>
          <w:rPr>
            <w:color w:val="0000FF"/>
            <w:sz w:val="16"/>
            <w:u w:val="single" w:color="0000FF"/>
          </w:rPr>
          <w:t>http://www.uia.mx/web/html/actividades/sexenio/LaPoliticaExterior.</w:t>
        </w:r>
      </w:hyperlink>
      <w:r>
        <w:rPr>
          <w:color w:val="0000FF"/>
          <w:sz w:val="16"/>
          <w:u w:val="single" w:color="0000FF"/>
        </w:rPr>
        <w:t> </w:t>
      </w:r>
      <w:r>
        <w:rPr>
          <w:sz w:val="16"/>
        </w:rPr>
        <w:t>[Fecha de consulta: 20 de septiembre, 2015]</w:t>
      </w:r>
    </w:p>
    <w:p>
      <w:pPr>
        <w:tabs>
          <w:tab w:pos="1268" w:val="left" w:leader="none"/>
          <w:tab w:pos="1696" w:val="left" w:leader="none"/>
        </w:tabs>
        <w:spacing w:line="192" w:lineRule="exact" w:before="13"/>
        <w:ind w:left="120" w:right="117" w:firstLine="0"/>
        <w:jc w:val="left"/>
        <w:rPr>
          <w:sz w:val="16"/>
        </w:rPr>
      </w:pPr>
      <w:r>
        <w:rPr>
          <w:rFonts w:ascii="Times New Roman"/>
          <w:position w:val="7"/>
          <w:sz w:val="13"/>
        </w:rPr>
        <w:t>115</w:t>
      </w:r>
      <w:r>
        <w:rPr>
          <w:sz w:val="16"/>
        </w:rPr>
        <w:t>Disponible</w:t>
        <w:tab/>
        <w:t>en:</w:t>
        <w:tab/>
      </w:r>
      <w:hyperlink r:id="rId181">
        <w:r>
          <w:rPr>
            <w:color w:val="0000FF"/>
            <w:spacing w:val="-1"/>
            <w:sz w:val="16"/>
            <w:u w:val="single" w:color="0000FF"/>
          </w:rPr>
          <w:t>http://www.informador.com.mx/mexico/2009/162966/6/las-diez-propuestas-de-reforma-politica-de-</w:t>
        </w:r>
      </w:hyperlink>
      <w:r>
        <w:rPr>
          <w:color w:val="0000FF"/>
          <w:spacing w:val="-1"/>
          <w:sz w:val="16"/>
          <w:u w:val="single" w:color="0000FF"/>
        </w:rPr>
        <w:t> </w:t>
      </w:r>
      <w:hyperlink r:id="rId181">
        <w:r>
          <w:rPr>
            <w:color w:val="0000FF"/>
            <w:sz w:val="16"/>
            <w:u w:val="single" w:color="0000FF"/>
          </w:rPr>
          <w:t>felipe-calderon.htm</w:t>
        </w:r>
        <w:r>
          <w:rPr>
            <w:sz w:val="16"/>
          </w:rPr>
          <w:t>[</w:t>
        </w:r>
      </w:hyperlink>
      <w:r>
        <w:rPr>
          <w:sz w:val="16"/>
        </w:rPr>
        <w:t>Fecha de consulta: 20 de septiembre,</w:t>
      </w:r>
      <w:r>
        <w:rPr>
          <w:spacing w:val="-21"/>
          <w:sz w:val="16"/>
        </w:rPr>
        <w:t> </w:t>
      </w:r>
      <w:r>
        <w:rPr>
          <w:sz w:val="16"/>
        </w:rPr>
        <w:t>2015]</w:t>
      </w:r>
    </w:p>
    <w:p>
      <w:pPr>
        <w:spacing w:after="0" w:line="192" w:lineRule="exact"/>
        <w:jc w:val="left"/>
        <w:rPr>
          <w:sz w:val="16"/>
        </w:rPr>
        <w:sectPr>
          <w:pgSz w:w="11910" w:h="16840"/>
          <w:pgMar w:header="0" w:footer="998" w:top="1360" w:bottom="1180" w:left="1580" w:right="1580"/>
        </w:sectPr>
      </w:pPr>
    </w:p>
    <w:p>
      <w:pPr>
        <w:pStyle w:val="BodyText"/>
        <w:spacing w:line="360" w:lineRule="auto" w:before="39"/>
        <w:ind w:left="140" w:right="122" w:firstLine="427"/>
        <w:jc w:val="both"/>
      </w:pPr>
      <w:r>
        <w:rPr/>
        <w:t>La</w:t>
      </w:r>
      <w:r>
        <w:rPr>
          <w:spacing w:val="-19"/>
        </w:rPr>
        <w:t> </w:t>
      </w:r>
      <w:r>
        <w:rPr/>
        <w:t>primera</w:t>
      </w:r>
      <w:r>
        <w:rPr>
          <w:spacing w:val="-19"/>
        </w:rPr>
        <w:t> </w:t>
      </w:r>
      <w:r>
        <w:rPr/>
        <w:t>legislación</w:t>
      </w:r>
      <w:r>
        <w:rPr>
          <w:spacing w:val="-19"/>
        </w:rPr>
        <w:t> </w:t>
      </w:r>
      <w:r>
        <w:rPr/>
        <w:t>relativa</w:t>
      </w:r>
      <w:r>
        <w:rPr>
          <w:spacing w:val="-19"/>
        </w:rPr>
        <w:t> </w:t>
      </w:r>
      <w:r>
        <w:rPr/>
        <w:t>al</w:t>
      </w:r>
      <w:r>
        <w:rPr>
          <w:spacing w:val="-18"/>
        </w:rPr>
        <w:t> </w:t>
      </w:r>
      <w:r>
        <w:rPr/>
        <w:t>acceso</w:t>
      </w:r>
      <w:r>
        <w:rPr>
          <w:spacing w:val="-19"/>
        </w:rPr>
        <w:t> </w:t>
      </w:r>
      <w:r>
        <w:rPr/>
        <w:t>a</w:t>
      </w:r>
      <w:r>
        <w:rPr>
          <w:spacing w:val="-19"/>
        </w:rPr>
        <w:t> </w:t>
      </w:r>
      <w:r>
        <w:rPr/>
        <w:t>la</w:t>
      </w:r>
      <w:r>
        <w:rPr>
          <w:spacing w:val="-15"/>
        </w:rPr>
        <w:t> </w:t>
      </w:r>
      <w:r>
        <w:rPr/>
        <w:t>información</w:t>
      </w:r>
      <w:r>
        <w:rPr>
          <w:spacing w:val="-19"/>
        </w:rPr>
        <w:t> </w:t>
      </w:r>
      <w:r>
        <w:rPr/>
        <w:t>se</w:t>
      </w:r>
      <w:r>
        <w:rPr>
          <w:spacing w:val="-19"/>
        </w:rPr>
        <w:t> </w:t>
      </w:r>
      <w:r>
        <w:rPr/>
        <w:t>originó</w:t>
      </w:r>
      <w:r>
        <w:rPr>
          <w:spacing w:val="-19"/>
        </w:rPr>
        <w:t> </w:t>
      </w:r>
      <w:r>
        <w:rPr/>
        <w:t>en</w:t>
      </w:r>
      <w:r>
        <w:rPr>
          <w:spacing w:val="-19"/>
        </w:rPr>
        <w:t> </w:t>
      </w:r>
      <w:r>
        <w:rPr/>
        <w:t>Suecia en</w:t>
      </w:r>
      <w:r>
        <w:rPr>
          <w:spacing w:val="-13"/>
        </w:rPr>
        <w:t> </w:t>
      </w:r>
      <w:r>
        <w:rPr/>
        <w:t>1776.</w:t>
      </w:r>
      <w:r>
        <w:rPr>
          <w:position w:val="8"/>
          <w:sz w:val="16"/>
        </w:rPr>
        <w:t>116</w:t>
      </w:r>
      <w:r>
        <w:rPr>
          <w:spacing w:val="10"/>
          <w:position w:val="8"/>
          <w:sz w:val="16"/>
        </w:rPr>
        <w:t> </w:t>
      </w:r>
      <w:r>
        <w:rPr/>
        <w:t>El</w:t>
      </w:r>
      <w:r>
        <w:rPr>
          <w:spacing w:val="-13"/>
        </w:rPr>
        <w:t> </w:t>
      </w:r>
      <w:r>
        <w:rPr/>
        <w:t>acceso</w:t>
      </w:r>
      <w:r>
        <w:rPr>
          <w:spacing w:val="-13"/>
        </w:rPr>
        <w:t> </w:t>
      </w:r>
      <w:r>
        <w:rPr/>
        <w:t>a</w:t>
      </w:r>
      <w:r>
        <w:rPr>
          <w:spacing w:val="-13"/>
        </w:rPr>
        <w:t> </w:t>
      </w:r>
      <w:r>
        <w:rPr/>
        <w:t>la</w:t>
      </w:r>
      <w:r>
        <w:rPr>
          <w:spacing w:val="-13"/>
        </w:rPr>
        <w:t> </w:t>
      </w:r>
      <w:r>
        <w:rPr/>
        <w:t>información,</w:t>
      </w:r>
      <w:r>
        <w:rPr>
          <w:spacing w:val="-10"/>
        </w:rPr>
        <w:t> </w:t>
      </w:r>
      <w:r>
        <w:rPr/>
        <w:t>la</w:t>
      </w:r>
      <w:r>
        <w:rPr>
          <w:spacing w:val="-13"/>
        </w:rPr>
        <w:t> </w:t>
      </w:r>
      <w:r>
        <w:rPr/>
        <w:t>transparencia</w:t>
      </w:r>
      <w:r>
        <w:rPr>
          <w:spacing w:val="-13"/>
        </w:rPr>
        <w:t> </w:t>
      </w:r>
      <w:r>
        <w:rPr/>
        <w:t>y</w:t>
      </w:r>
      <w:r>
        <w:rPr>
          <w:spacing w:val="-15"/>
        </w:rPr>
        <w:t> </w:t>
      </w:r>
      <w:r>
        <w:rPr/>
        <w:t>la</w:t>
      </w:r>
      <w:r>
        <w:rPr>
          <w:spacing w:val="-13"/>
        </w:rPr>
        <w:t> </w:t>
      </w:r>
      <w:r>
        <w:rPr/>
        <w:t>rendición</w:t>
      </w:r>
      <w:r>
        <w:rPr>
          <w:spacing w:val="-13"/>
        </w:rPr>
        <w:t> </w:t>
      </w:r>
      <w:r>
        <w:rPr/>
        <w:t>de</w:t>
      </w:r>
      <w:r>
        <w:rPr>
          <w:spacing w:val="-13"/>
        </w:rPr>
        <w:t> </w:t>
      </w:r>
      <w:r>
        <w:rPr/>
        <w:t>cuentas comenzaron</w:t>
      </w:r>
      <w:r>
        <w:rPr>
          <w:spacing w:val="-4"/>
        </w:rPr>
        <w:t> </w:t>
      </w:r>
      <w:r>
        <w:rPr/>
        <w:t>a</w:t>
      </w:r>
      <w:r>
        <w:rPr>
          <w:spacing w:val="-8"/>
        </w:rPr>
        <w:t> </w:t>
      </w:r>
      <w:r>
        <w:rPr/>
        <w:t>tomar</w:t>
      </w:r>
      <w:r>
        <w:rPr>
          <w:spacing w:val="-2"/>
        </w:rPr>
        <w:t> </w:t>
      </w:r>
      <w:r>
        <w:rPr/>
        <w:t>auge</w:t>
      </w:r>
      <w:r>
        <w:rPr>
          <w:spacing w:val="-8"/>
        </w:rPr>
        <w:t> </w:t>
      </w:r>
      <w:r>
        <w:rPr/>
        <w:t>en</w:t>
      </w:r>
      <w:r>
        <w:rPr>
          <w:spacing w:val="-4"/>
        </w:rPr>
        <w:t> </w:t>
      </w:r>
      <w:r>
        <w:rPr/>
        <w:t>Europa,</w:t>
      </w:r>
      <w:r>
        <w:rPr>
          <w:spacing w:val="-1"/>
        </w:rPr>
        <w:t> </w:t>
      </w:r>
      <w:r>
        <w:rPr/>
        <w:t>pero</w:t>
      </w:r>
      <w:r>
        <w:rPr>
          <w:spacing w:val="-8"/>
        </w:rPr>
        <w:t> </w:t>
      </w:r>
      <w:r>
        <w:rPr/>
        <w:t>fue</w:t>
      </w:r>
      <w:r>
        <w:rPr>
          <w:spacing w:val="-8"/>
        </w:rPr>
        <w:t> </w:t>
      </w:r>
      <w:r>
        <w:rPr/>
        <w:t>a</w:t>
      </w:r>
      <w:r>
        <w:rPr>
          <w:spacing w:val="-4"/>
        </w:rPr>
        <w:t> </w:t>
      </w:r>
      <w:r>
        <w:rPr/>
        <w:t>partir</w:t>
      </w:r>
      <w:r>
        <w:rPr>
          <w:spacing w:val="-6"/>
        </w:rPr>
        <w:t> </w:t>
      </w:r>
      <w:r>
        <w:rPr/>
        <w:t>de</w:t>
      </w:r>
      <w:r>
        <w:rPr>
          <w:spacing w:val="-8"/>
        </w:rPr>
        <w:t> </w:t>
      </w:r>
      <w:r>
        <w:rPr/>
        <w:t>la</w:t>
      </w:r>
      <w:r>
        <w:rPr>
          <w:spacing w:val="-8"/>
        </w:rPr>
        <w:t> </w:t>
      </w:r>
      <w:r>
        <w:rPr/>
        <w:t>década</w:t>
      </w:r>
      <w:r>
        <w:rPr>
          <w:spacing w:val="-4"/>
        </w:rPr>
        <w:t> </w:t>
      </w:r>
      <w:r>
        <w:rPr/>
        <w:t>de</w:t>
      </w:r>
      <w:r>
        <w:rPr>
          <w:spacing w:val="-4"/>
        </w:rPr>
        <w:t> </w:t>
      </w:r>
      <w:r>
        <w:rPr/>
        <w:t>los</w:t>
      </w:r>
      <w:r>
        <w:rPr>
          <w:spacing w:val="-2"/>
        </w:rPr>
        <w:t> </w:t>
      </w:r>
      <w:r>
        <w:rPr/>
        <w:t>años noventa</w:t>
      </w:r>
      <w:r>
        <w:rPr>
          <w:spacing w:val="-13"/>
        </w:rPr>
        <w:t> </w:t>
      </w:r>
      <w:r>
        <w:rPr/>
        <w:t>cuando</w:t>
      </w:r>
      <w:r>
        <w:rPr>
          <w:spacing w:val="-13"/>
        </w:rPr>
        <w:t> </w:t>
      </w:r>
      <w:r>
        <w:rPr/>
        <w:t>en</w:t>
      </w:r>
      <w:r>
        <w:rPr>
          <w:spacing w:val="-13"/>
        </w:rPr>
        <w:t> </w:t>
      </w:r>
      <w:r>
        <w:rPr/>
        <w:t>México</w:t>
      </w:r>
      <w:r>
        <w:rPr>
          <w:spacing w:val="-13"/>
        </w:rPr>
        <w:t> </w:t>
      </w:r>
      <w:r>
        <w:rPr/>
        <w:t>estos</w:t>
      </w:r>
      <w:r>
        <w:rPr>
          <w:spacing w:val="-12"/>
        </w:rPr>
        <w:t> </w:t>
      </w:r>
      <w:r>
        <w:rPr/>
        <w:t>elementos</w:t>
      </w:r>
      <w:r>
        <w:rPr>
          <w:spacing w:val="-12"/>
        </w:rPr>
        <w:t> </w:t>
      </w:r>
      <w:r>
        <w:rPr/>
        <w:t>formaron</w:t>
      </w:r>
      <w:r>
        <w:rPr>
          <w:spacing w:val="-13"/>
        </w:rPr>
        <w:t> </w:t>
      </w:r>
      <w:r>
        <w:rPr/>
        <w:t>parte</w:t>
      </w:r>
      <w:r>
        <w:rPr>
          <w:spacing w:val="-13"/>
        </w:rPr>
        <w:t> </w:t>
      </w:r>
      <w:r>
        <w:rPr/>
        <w:t>de</w:t>
      </w:r>
      <w:r>
        <w:rPr>
          <w:spacing w:val="-13"/>
        </w:rPr>
        <w:t> </w:t>
      </w:r>
      <w:r>
        <w:rPr/>
        <w:t>la</w:t>
      </w:r>
      <w:r>
        <w:rPr>
          <w:spacing w:val="-13"/>
        </w:rPr>
        <w:t> </w:t>
      </w:r>
      <w:r>
        <w:rPr/>
        <w:t>agenda</w:t>
      </w:r>
      <w:r>
        <w:rPr>
          <w:spacing w:val="-13"/>
        </w:rPr>
        <w:t> </w:t>
      </w:r>
      <w:r>
        <w:rPr/>
        <w:t>política nacional.</w:t>
      </w:r>
    </w:p>
    <w:p>
      <w:pPr>
        <w:pStyle w:val="BodyText"/>
        <w:spacing w:line="360" w:lineRule="auto" w:before="6"/>
        <w:ind w:left="140" w:right="126" w:firstLine="427"/>
        <w:jc w:val="both"/>
      </w:pPr>
      <w:r>
        <w:rPr/>
        <w:t>El</w:t>
      </w:r>
      <w:r>
        <w:rPr>
          <w:spacing w:val="-17"/>
        </w:rPr>
        <w:t> </w:t>
      </w:r>
      <w:r>
        <w:rPr/>
        <w:t>Estado</w:t>
      </w:r>
      <w:r>
        <w:rPr>
          <w:spacing w:val="-17"/>
        </w:rPr>
        <w:t> </w:t>
      </w:r>
      <w:r>
        <w:rPr/>
        <w:t>mexicano</w:t>
      </w:r>
      <w:r>
        <w:rPr>
          <w:spacing w:val="-17"/>
        </w:rPr>
        <w:t> </w:t>
      </w:r>
      <w:r>
        <w:rPr/>
        <w:t>consideró</w:t>
      </w:r>
      <w:r>
        <w:rPr>
          <w:spacing w:val="-17"/>
        </w:rPr>
        <w:t> </w:t>
      </w:r>
      <w:r>
        <w:rPr/>
        <w:t>que,</w:t>
      </w:r>
      <w:r>
        <w:rPr>
          <w:spacing w:val="-15"/>
        </w:rPr>
        <w:t> </w:t>
      </w:r>
      <w:r>
        <w:rPr/>
        <w:t>de</w:t>
      </w:r>
      <w:r>
        <w:rPr>
          <w:spacing w:val="-14"/>
        </w:rPr>
        <w:t> </w:t>
      </w:r>
      <w:r>
        <w:rPr/>
        <w:t>acuerdo</w:t>
      </w:r>
      <w:r>
        <w:rPr>
          <w:spacing w:val="-17"/>
        </w:rPr>
        <w:t> </w:t>
      </w:r>
      <w:r>
        <w:rPr/>
        <w:t>con</w:t>
      </w:r>
      <w:r>
        <w:rPr>
          <w:spacing w:val="-17"/>
        </w:rPr>
        <w:t> </w:t>
      </w:r>
      <w:r>
        <w:rPr/>
        <w:t>el</w:t>
      </w:r>
      <w:r>
        <w:rPr>
          <w:spacing w:val="-16"/>
        </w:rPr>
        <w:t> </w:t>
      </w:r>
      <w:r>
        <w:rPr/>
        <w:t>contexto</w:t>
      </w:r>
      <w:r>
        <w:rPr>
          <w:spacing w:val="-17"/>
        </w:rPr>
        <w:t> </w:t>
      </w:r>
      <w:r>
        <w:rPr/>
        <w:t>internacional, se exigía que el país contara con un proyecto hacia la democracia, por lo que emprendió esfuerzos para orientarse hacia la legitimidad y el buen</w:t>
      </w:r>
      <w:r>
        <w:rPr>
          <w:spacing w:val="-40"/>
        </w:rPr>
        <w:t> </w:t>
      </w:r>
      <w:r>
        <w:rPr/>
        <w:t>gobierno.</w:t>
      </w:r>
    </w:p>
    <w:p>
      <w:pPr>
        <w:pStyle w:val="BodyText"/>
      </w:pPr>
    </w:p>
    <w:p>
      <w:pPr>
        <w:pStyle w:val="BodyText"/>
        <w:spacing w:before="1"/>
        <w:rPr>
          <w:sz w:val="35"/>
        </w:rPr>
      </w:pPr>
    </w:p>
    <w:p>
      <w:pPr>
        <w:spacing w:before="0"/>
        <w:ind w:left="1385" w:right="0" w:firstLine="0"/>
        <w:jc w:val="left"/>
        <w:rPr>
          <w:sz w:val="20"/>
        </w:rPr>
      </w:pPr>
      <w:bookmarkStart w:name="_bookmark76" w:id="103"/>
      <w:bookmarkEnd w:id="103"/>
      <w:r>
        <w:rPr/>
      </w:r>
      <w:r>
        <w:rPr>
          <w:sz w:val="20"/>
        </w:rPr>
        <w:t>Esquema 4. 2. Antecedentes del acceso a la información en México</w:t>
      </w:r>
    </w:p>
    <w:p>
      <w:pPr>
        <w:pStyle w:val="BodyText"/>
        <w:rPr>
          <w:sz w:val="14"/>
        </w:rPr>
      </w:pPr>
      <w:r>
        <w:rPr/>
        <w:pict>
          <v:group style="position:absolute;margin-left:83.199997pt;margin-top:10.030884pt;width:427.4pt;height:252.2pt;mso-position-horizontal-relative:page;mso-position-vertical-relative:paragraph;z-index:9688;mso-wrap-distance-left:0;mso-wrap-distance-right:0" coordorigin="1664,201" coordsize="8548,5044">
            <v:shape style="position:absolute;left:1664;top:201;width:8548;height:5044" type="#_x0000_t75" stroked="false">
              <v:imagedata r:id="rId182" o:title=""/>
            </v:shape>
            <v:rect style="position:absolute;left:1791;top:232;width:8378;height:4887" filled="true" fillcolor="#edebe0" stroked="false">
              <v:fill type="solid"/>
            </v:rect>
            <v:rect style="position:absolute;left:1803;top:295;width:2002;height:1354" filled="true" fillcolor="#ffffff" stroked="false">
              <v:fill type="solid"/>
            </v:rect>
            <v:rect style="position:absolute;left:1803;top:295;width:2002;height:1354" filled="false" stroked="true" strokeweight="1.052507pt" strokecolor="#4f81bc"/>
            <v:shape style="position:absolute;left:3898;top:3915;width:617;height:470" coordorigin="3898,3915" coordsize="617,470" path="m3914,4150l3898,4158,4084,4384,4101,4376,3914,4150xm3963,4125l3931,4142,4117,4368,4150,4351,3963,4125xm4463,4253l4346,4253,4439,4366,4463,4253xm4066,3915l4159,4027,3980,4117,4166,4343,4346,4253,4463,4253,4514,4010,4066,3915xe" filled="true" fillcolor="#4f81bc" stroked="false">
              <v:path arrowok="t"/>
              <v:fill type="solid"/>
            </v:shape>
            <v:shape style="position:absolute;left:3881;top:3899;width:647;height:499" coordorigin="3881,3899" coordsize="647,499" path="m3918,4137l3881,4155,4081,4397,4113,4381,4090,4381,4088,4378,4078,4376,4084,4373,3913,4166,3905,4166,3907,4158,3904,4155,3908,4155,3908,4153,3925,4153,3914,4139,3918,4137,3918,4137xm4365,4259l4336,4259,4352,4261,4342,4267,4446,4392,4452,4365,4427,4365,4432,4341,4365,4259xm4088,4378l4090,4381,4091,4378,4088,4378xm4091,4378l4090,4381,4113,4381,4113,4381,4112,4379,4095,4379,4091,4378xm3967,4112l3918,4137,4117,4379,4113,4381,4113,4381,4150,4362,4127,4362,4110,4360,4121,4354,3952,4150,3937,4150,3941,4136,3958,4136,3953,4130,3976,4130,3963,4114,3967,4112,3967,4112xm3918,4137l3914,4139,4113,4381,4117,4379,3918,4137xm4092,4375l4091,4378,4095,4379,4092,4375xm4103,4368l4094,4368,4092,4375,4095,4379,4112,4379,4103,4368xm4088,4371l4084,4373,4088,4378,4091,4378,4092,4375,4088,4371xm4084,4373l4078,4376,4088,4378,4084,4373xm4094,4368l4088,4371,4092,4375,4094,4368xm3915,4161l3911,4163,4084,4373,4088,4371,3915,4161xm3925,4153l3908,4153,3911,4156,3921,4158,3915,4161,4088,4371,4094,4368,4103,4368,3925,4153xm4432,4341l4427,4365,4449,4361,4432,4341xm4527,4009l4502,4009,4511,4019,4500,4019,4432,4341,4449,4361,4427,4365,4452,4365,4525,4019,4511,4019,4500,4017,4525,4017,4527,4009xm4121,4354l4110,4360,4127,4362,4121,4354xm4133,4348l4121,4354,4127,4362,4150,4362,4162,4356,4139,4356,4133,4348xm4143,4343l4133,4348,4139,4356,4143,4343xm4152,4343l4143,4343,4139,4356,4162,4356,4162,4356,4162,4356,4152,4343xm3967,4112l3963,4114,4162,4356,4167,4354,3967,4112xm4167,4354l4162,4356,4162,4356,4167,4354,4167,4354xm4143,4025l3967,4112,4167,4354,4199,4338,4176,4338,4159,4335,4170,4330,4001,4125,3986,4125,3990,4112,4012,4112,4172,4033,4149,4033,4143,4025xm3976,4130l3953,4130,3970,4133,3960,4138,4133,4348,4143,4343,4152,4343,3976,4130xm4170,4330l4159,4335,4176,4338,4170,4330xm4350,4240l4170,4330,4176,4338,4199,4338,4342,4267,4336,4259,4365,4259,4350,4240xm4336,4259l4342,4267,4352,4261,4336,4259xm3907,4158l3905,4166,3911,4163,3907,4158xm3911,4163l3905,4166,3913,4166,3911,4163xm3907,4155l3907,4158,3911,4163,3915,4161,3911,4156,3907,4155xm3911,4156l3915,4161,3921,4158,3911,4156xm3904,4155l3907,4158,3907,4155,3904,4155xm3908,4153l3907,4155,3911,4156,3908,4153xm3908,4155l3904,4155,3907,4155,3908,4155xm3941,4136l3937,4150,3948,4144,3941,4136xm3948,4144l3937,4150,3952,4150,3948,4144xm3958,4136l3941,4136,3948,4144,3960,4138,3958,4136xm3953,4130l3960,4138,3970,4133,3953,4130xm3990,4112l3986,4125,3997,4120,3990,4112xm3997,4120l3986,4125,4001,4125,3997,4120xm4012,4112l3990,4112,3997,4120,4012,4112xm4153,4020l4143,4025,4149,4033,4153,4020xm4167,4020l4153,4020,4149,4033,4172,4033,4176,4030,4167,4020xm4039,3899l4143,4025,4153,4020,4167,4020,4094,3930,4063,3924,4077,3909,4089,3909,4039,3899xm4502,4009l4500,4017,4511,4019,4502,4009xm4089,3909l4077,3909,4094,3930,4500,4017,4502,4009,4527,4009,4528,4003,4089,3909xm4077,3909l4063,3924,4094,3930,4077,3909xe" filled="true" fillcolor="#385d89" stroked="false">
              <v:path arrowok="t"/>
              <v:fill type="solid"/>
            </v:shape>
            <v:rect style="position:absolute;left:4910;top:2281;width:2002;height:1836" filled="true" fillcolor="#ffffff" stroked="false">
              <v:fill type="solid"/>
            </v:rect>
            <v:shape style="position:absolute;left:7182;top:3820;width:642;height:499" coordorigin="7182,3820" coordsize="642,499" path="m7400,3883l7273,4132,7471,4194,7407,4319,7824,4158,7722,3944,7599,3944,7400,3883xm7346,3866l7218,4116,7255,4127,7382,3877,7346,3866xm7310,3855l7182,4105,7200,4110,7328,3861,7310,3855xm7662,3820l7599,3944,7722,3944,7662,3820xe" filled="true" fillcolor="#4f81bc" stroked="false">
              <v:path arrowok="t"/>
              <v:fill type="solid"/>
            </v:shape>
            <v:shape style="position:absolute;left:7167;top:3793;width:673;height:545" coordorigin="7167,3793" coordsize="673,545" path="m7455,4199l7384,4338,7426,4322,7419,4322,7402,4310,7430,4299,7480,4203,7467,4203,7455,4199xm7430,4299l7402,4310,7419,4322,7430,4299xm7808,4154l7430,4299,7419,4322,7426,4322,7839,4163,7838,4162,7812,4162,7808,4154xm7460,4190l7455,4199,7467,4203,7460,4190xm7486,4190l7460,4190,7467,4203,7480,4203,7486,4190xm7398,3872l7261,4139,7261,4139,7455,4199,7460,4190,7486,4190,7487,4188,7317,4136,7284,4136,7277,4124,7290,4124,7407,3895,7396,3892,7411,3887,7444,3887,7398,3872xm7818,4150l7808,4154,7812,4162,7818,4150xm7832,4150l7818,4150,7812,4162,7838,4162,7832,4150xm7677,3823l7651,3823,7674,3823,7662,3846,7808,4154,7818,4150,7832,4150,7677,3823xm7257,4138l7261,4139,7261,4139,7257,4138xm7393,3871l7257,4138,7261,4139,7398,3872,7393,3871xm7203,4121l7203,4121,7257,4138,7264,4123,7243,4123,7244,4122,7207,4122,7203,4121xm7277,4124l7284,4136,7288,4127,7277,4124xm7288,4127l7284,4136,7317,4136,7288,4127xm7290,4124l7277,4124,7288,4127,7290,4124xm7248,4115l7243,4123,7259,4118,7248,4115xm7366,3883l7248,4115,7259,4118,7243,4123,7264,4123,7385,3886,7377,3886,7366,3883xm7339,3854l7203,4121,7207,4122,7344,3855,7339,3854xm7344,3855l7207,4122,7244,4122,7245,4119,7230,4119,7223,4107,7236,4107,7353,3879,7341,3875,7357,3870,7390,3870,7344,3855xm7303,3843l7167,4110,7203,4121,7209,4108,7194,4108,7193,4107,7189,4107,7191,4103,7187,4096,7195,4096,7312,3866,7305,3864,7315,3861,7317,3857,7337,3857,7339,3854,7339,3854,7303,3843xm7223,4107l7230,4119,7234,4110,7223,4107xm7234,4110l7230,4119,7245,4119,7248,4115,7234,4110xm7236,4107l7223,4107,7234,4110,7236,4107xm7195,4105l7192,4106,7194,4108,7195,4105xm7317,3867l7198,4099,7205,4101,7195,4105,7194,4108,7209,4108,7331,3870,7323,3870,7317,3867xm7191,4103l7189,4107,7192,4106,7191,4103xm7192,4106l7189,4107,7193,4107,7192,4106xm7194,4098l7191,4103,7192,4106,7195,4105,7198,4099,7194,4098xm7198,4099l7195,4105,7205,4101,7198,4099xm7187,4096l7191,4103,7194,4098,7187,4096xm7312,3866l7194,4098,7198,4099,7317,3867,7312,3866xm7195,4096l7187,4096,7194,4098,7195,4096xm7444,3887l7411,3887,7407,3895,7605,3957,7613,3941,7587,3941,7592,3932,7444,3887xm7592,3932l7587,3941,7603,3936,7592,3932xm7663,3793l7592,3932,7603,3936,7587,3941,7613,3941,7662,3846,7651,3823,7677,3823,7663,3793xm7411,3887l7396,3892,7407,3895,7411,3887xm7371,3874l7366,3883,7377,3886,7371,3874xm7391,3874l7371,3874,7377,3886,7385,3886,7391,3874xm7390,3870l7357,3870,7353,3879,7366,3883,7371,3874,7391,3874,7393,3871,7393,3871,7390,3870xm7357,3870l7341,3875,7353,3879,7357,3870xm7393,3871l7393,3871,7398,3872,7393,3871xm7319,3862l7317,3867,7323,3870,7319,3862xm7337,3859l7321,3859,7319,3862,7323,3870,7331,3870,7337,3859xm7318,3860l7315,3861,7312,3866,7317,3867,7319,3862,7318,3860xm7315,3861l7305,3864,7312,3866,7315,3861xm7321,3859l7318,3860,7319,3862,7321,3859xm7317,3857l7315,3861,7318,3860,7317,3857xm7337,3857l7317,3857,7318,3860,7321,3859,7337,3859,7337,3857xm7339,3854l7339,3854,7344,3855,7339,3854xm7651,3823l7662,3846,7674,3823,7651,3823xe" filled="true" fillcolor="#385d89" stroked="false">
              <v:path arrowok="t"/>
              <v:fill type="solid"/>
            </v:shape>
            <v:rect style="position:absolute;left:7947;top:3892;width:2002;height:1193" filled="true" fillcolor="#ffffff" stroked="false">
              <v:fill type="solid"/>
            </v:rect>
            <v:rect style="position:absolute;left:7947;top:3892;width:2002;height:1193" filled="false" stroked="true" strokeweight="1.038168pt" strokecolor="#4f81bc"/>
            <v:shape style="position:absolute;left:8500;top:3355;width:692;height:483" coordorigin="8500,3355" coordsize="692,483" path="m9018,3823l8673,3823,8673,3838,9018,3838,9018,3823xm9018,3777l8673,3777,8673,3808,9018,3808,9018,3777xm9018,3596l8673,3596,8673,3762,9018,3762,9018,3596xm8845,3355l8500,3596,9191,3596,8845,3355xe" filled="true" fillcolor="#4f81bc" stroked="false">
              <v:path arrowok="t"/>
              <v:fill type="solid"/>
            </v:shape>
            <v:shape style="position:absolute;left:8467;top:3342;width:756;height:506" coordorigin="8467,3342" coordsize="756,506" path="m8660,3596l8660,3847,9031,3847,9031,3838,8685,3838,8678,3832,8673,3832,8675,3830,8673,3828,8678,3828,8685,3823,9031,3823,9031,3808,8685,3808,8673,3798,8685,3798,8685,3787,8673,3787,8685,3777,9031,3777,9031,3762,8685,3762,8673,3753,8685,3753,8685,3606,8673,3606,8660,3596xm8685,3823l8675,3830,8685,3838,8685,3823xm9006,3823l8685,3823,8685,3838,9006,3838,9006,3823xm9006,3823l9006,3838,9015,3830,9006,3823xm9015,3830l9006,3838,9031,3838,9031,3832,9018,3832,9015,3830xm8675,3830l8673,3832,8678,3832,8675,3830xm9031,3828l9018,3828,9015,3830,9018,3832,9031,3832,9031,3828xm8678,3828l8673,3828,8675,3830,8678,3828xm9031,3823l9006,3823,9015,3830,9018,3828,9031,3828,9031,3823xm8685,3798l8673,3798,8685,3808,8685,3798xm9006,3798l8685,3798,8685,3808,9006,3808,9006,3798xm9006,3777l9006,3808,9018,3798,9031,3798,9031,3787,9018,3787,9006,3777xm9031,3798l9018,3798,9006,3808,9031,3808,9031,3798xm8685,3777l8673,3787,8685,3787,8685,3777xm9006,3777l8685,3777,8685,3787,9006,3787,9006,3777xm9031,3777l9006,3777,9018,3787,9031,3787,9031,3777xm8685,3753l8673,3753,8685,3762,8685,3753xm9006,3753l8685,3753,8685,3762,9006,3762,9006,3753xm9159,3587l9006,3587,9006,3762,9018,3753,9031,3753,9031,3606,9018,3606,9031,3596,9172,3596,9159,3587xm9031,3753l9018,3753,9006,3762,9031,3762,9031,3753xm8845,3342l8467,3606,8660,3606,8660,3604,8508,3604,8500,3587,8532,3587,8845,3368,8837,3362,8874,3362,8845,3342xm8685,3596l8660,3596,8673,3606,8685,3606,8685,3596xm9031,3596l9018,3606,9031,3606,9031,3596xm9172,3596l9031,3596,9031,3606,9223,3606,9220,3604,9183,3604,9172,3596xm8532,3587l8500,3587,8508,3604,8532,3587xm8685,3587l8532,3587,8508,3604,8660,3604,8660,3596,8685,3596,8685,3587xm8874,3362l8854,3362,8845,3368,9183,3604,9191,3587,9196,3587,8874,3362xm9196,3587l9191,3587,9183,3604,9220,3604,9196,3587xm8854,3362l8837,3362,8845,3368,8854,3362xe" filled="true" fillcolor="#385d89" stroked="false">
              <v:path arrowok="t"/>
              <v:fill type="solid"/>
            </v:shape>
            <v:rect style="position:absolute;left:7671;top:242;width:2485;height:1675" filled="true" fillcolor="#ffffff" stroked="false">
              <v:fill type="solid"/>
            </v:rect>
            <v:rect style="position:absolute;left:7671;top:242;width:2485;height:1675" filled="false" stroked="true" strokeweight="1.052025pt" strokecolor="#4f81bc"/>
            <v:shape style="position:absolute;left:2424;top:1906;width:692;height:483" coordorigin="2424,1906" coordsize="692,483" path="m2943,1906l2597,1906,2597,1921,2943,1921,2943,1906xm2943,1936l2597,1936,2597,1967,2943,1967,2943,1936xm3116,2148l2424,2148,2770,2389,3116,2148xm2943,1982l2597,1982,2597,2148,2943,2148,2943,1982xe" filled="true" fillcolor="#4f81bc" stroked="false">
              <v:path arrowok="t"/>
              <v:fill type="solid"/>
            </v:shape>
            <v:shape style="position:absolute;left:2392;top:1897;width:756;height:506" coordorigin="2392,1897" coordsize="756,506" path="m2585,2138l2392,2138,2770,2402,2799,2382,2762,2382,2770,2376,2457,2157,2424,2157,2433,2141,2585,2141,2585,2138xm2770,2376l2762,2382,2778,2382,2770,2376xm3107,2141l2770,2376,2778,2382,2799,2382,3120,2157,3116,2157,3107,2141xm2433,2141l2424,2157,2457,2157,2433,2141xm2585,2141l2433,2141,2457,2157,2610,2157,2610,2148,2585,2148,2585,2141xm2930,1982l2930,2157,3083,2157,3097,2148,2955,2148,2943,2138,2955,2138,2955,1991,2943,1991,2930,1982xm3144,2141l3107,2141,3116,2157,3120,2157,3144,2141xm2955,1897l2585,1897,2585,2148,2597,2138,2610,2138,2610,1991,2597,1991,2610,1982,2955,1982,2955,1967,2610,1967,2597,1957,2610,1957,2610,1946,2597,1946,2610,1936,2955,1936,2955,1921,2610,1921,2603,1916,2597,1916,2600,1914,2597,1912,2603,1912,2610,1906,2955,1906,2955,1897xm2610,2138l2597,2138,2585,2148,2610,2148,2610,2138xm2955,2138l2943,2138,2955,2148,2955,2138xm3148,2138l2955,2138,2955,2148,3097,2148,3107,2141,3144,2141,3148,2138xm2610,1982l2597,1991,2610,1991,2610,1982xm2930,1982l2610,1982,2610,1991,2930,1991,2930,1982xm2955,1982l2930,1982,2943,1991,2955,1991,2955,1982xm2610,1957l2597,1957,2610,1967,2610,1957xm2930,1957l2610,1957,2610,1967,2930,1967,2930,1957xm2930,1936l2930,1967,2943,1957,2955,1957,2955,1946,2943,1946,2930,1936xm2955,1957l2943,1957,2930,1967,2955,1967,2955,1957xm2610,1936l2597,1946,2610,1946,2610,1936xm2930,1936l2610,1936,2610,1946,2930,1946,2930,1936xm2955,1936l2930,1936,2943,1946,2955,1946,2955,1936xm2610,1906l2600,1914,2610,1921,2610,1906xm2930,1906l2610,1906,2610,1921,2930,1921,2930,1906xm2930,1906l2930,1921,2940,1914,2930,1906xm2940,1914l2930,1921,2955,1921,2955,1916,2943,1916,2940,1914xm2600,1914l2597,1916,2603,1916,2600,1914xm2955,1912l2943,1912,2940,1914,2943,1916,2955,1916,2955,1912xm2603,1912l2597,1912,2600,1914,2603,1912xm2955,1906l2930,1906,2940,1914,2943,1912,2955,1912,2955,1906xe" filled="true" fillcolor="#385d89" stroked="false">
              <v:path arrowok="t"/>
              <v:fill type="solid"/>
            </v:shape>
            <v:shape style="position:absolute;left:8568;top:1906;width:692;height:483" coordorigin="8568,1906" coordsize="692,483" path="m9087,2374l8741,2374,8741,2389,9087,2389,9087,2374xm9087,2329l8741,2329,8741,2359,9087,2359,9087,2329xm9087,2148l8741,2148,8741,2314,9087,2314,9087,2148xm8914,1906l8568,2148,9260,2148,8914,1906xe" filled="true" fillcolor="#4f81bc" stroked="false">
              <v:path arrowok="t"/>
              <v:fill type="solid"/>
            </v:shape>
            <v:shape style="position:absolute;left:8536;top:1893;width:756;height:506" coordorigin="8536,1893" coordsize="756,506" path="m8729,2148l8729,2399,9099,2399,9099,2389,8754,2389,8747,2384,8741,2384,8744,2382,8741,2380,8747,2380,8754,2374,9099,2374,9099,2359,8754,2359,8741,2349,8754,2349,8754,2338,8741,2338,8754,2329,9099,2329,9099,2314,8754,2314,8741,2304,8754,2304,8754,2157,8741,2157,8729,2148xm8754,2374l8744,2382,8754,2389,8754,2374xm9074,2374l8754,2374,8754,2389,9074,2389,9074,2374xm9074,2374l9074,2389,9084,2382,9074,2374xm9084,2382l9074,2389,9099,2389,9099,2384,9087,2384,9084,2382xm8744,2382l8741,2384,8747,2384,8744,2382xm9099,2380l9087,2380,9084,2382,9087,2384,9099,2384,9099,2380xm8747,2380l8741,2380,8744,2382,8747,2380xm9099,2374l9074,2374,9084,2382,9087,2380,9099,2380,9099,2374xm8754,2349l8741,2349,8754,2359,8754,2349xm9074,2349l8754,2349,8754,2359,9074,2359,9074,2349xm9074,2329l9074,2359,9087,2349,9099,2349,9099,2338,9087,2338,9074,2329xm9099,2349l9087,2349,9074,2359,9099,2359,9099,2349xm8754,2329l8741,2338,8754,2338,8754,2329xm9074,2329l8754,2329,8754,2338,9074,2338,9074,2329xm9099,2329l9074,2329,9087,2338,9099,2338,9099,2329xm8754,2304l8741,2304,8754,2314,8754,2304xm9074,2304l8754,2304,8754,2314,9074,2314,9074,2304xm9227,2138l9074,2138,9074,2314,9087,2304,9099,2304,9099,2157,9087,2157,9099,2148,9241,2148,9227,2138xm9099,2304l9087,2304,9074,2314,9099,2314,9099,2304xm8914,1893l8536,2157,8729,2157,8729,2155,8577,2155,8568,2138,8601,2138,8914,1919,8906,1913,8943,1913,8914,1893xm8754,2148l8729,2148,8741,2157,8754,2157,8754,2148xm9099,2148l9087,2157,9099,2157,9099,2148xm9241,2148l9099,2148,9099,2157,9292,2157,9288,2155,9251,2155,9241,2148xm8601,2138l8568,2138,8577,2155,8601,2138xm8754,2138l8601,2138,8577,2155,8729,2155,8729,2148,8754,2148,8754,2138xm8943,1913l8922,1913,8914,1919,9251,2155,9260,2138,9264,2138,8943,1913xm9264,2138l9260,2138,9251,2155,9288,2155,9264,2138xm8922,1913l8906,1913,8914,1919,8922,1913xe" filled="true" fillcolor="#385d89" stroked="false">
              <v:path arrowok="t"/>
              <v:fill type="solid"/>
            </v:shape>
            <v:shape style="position:absolute;left:2424;top:3248;width:692;height:483" coordorigin="2424,3248" coordsize="692,483" path="m2943,3248l2597,3248,2597,3263,2943,3263,2943,3248xm2943,3278l2597,3278,2597,3308,2943,3308,2943,3278xm3116,3490l2424,3490,2770,3731,3116,3490xm2943,3324l2597,3324,2597,3490,2943,3490,2943,3324xe" filled="true" fillcolor="#4f81bc" stroked="false">
              <v:path arrowok="t"/>
              <v:fill type="solid"/>
            </v:shape>
            <v:shape style="position:absolute;left:2392;top:3238;width:756;height:506" coordorigin="2392,3238" coordsize="756,506" path="m2585,3480l2392,3480,2770,3744,2799,3724,2762,3724,2770,3718,2457,3499,2424,3499,2433,3482,2585,3482,2585,3480xm2770,3718l2762,3724,2778,3724,2770,3718xm3107,3482l2770,3718,2778,3724,2799,3724,3120,3499,3116,3499,3107,3482xm2433,3482l2424,3499,2457,3499,2433,3482xm2585,3482l2433,3482,2457,3499,2610,3499,2610,3490,2585,3490,2585,3482xm2930,3324l2930,3499,3083,3499,3097,3490,2955,3490,2943,3480,2955,3480,2955,3333,2943,3333,2930,3324xm3144,3482l3107,3482,3116,3499,3120,3499,3144,3482xm2955,3238l2585,3238,2585,3490,2597,3480,2610,3480,2610,3333,2597,3333,2610,3324,2955,3324,2955,3308,2610,3308,2597,3299,2610,3299,2610,3288,2597,3288,2610,3278,2955,3278,2955,3263,2610,3263,2603,3258,2597,3258,2600,3256,2597,3254,2603,3254,2610,3248,2955,3248,2955,3238xm2610,3480l2597,3480,2585,3490,2610,3490,2610,3480xm2955,3480l2943,3480,2955,3490,2955,3480xm3148,3480l2955,3480,2955,3490,3097,3490,3107,3482,3144,3482,3148,3480xm2610,3324l2597,3333,2610,3333,2610,3324xm2930,3324l2610,3324,2610,3333,2930,3333,2930,3324xm2955,3324l2930,3324,2943,3333,2955,3333,2955,3324xm2610,3299l2597,3299,2610,3308,2610,3299xm2930,3299l2610,3299,2610,3308,2930,3308,2930,3299xm2930,3278l2930,3308,2943,3299,2955,3299,2955,3288,2943,3288,2930,3278xm2955,3299l2943,3299,2930,3308,2955,3308,2955,3299xm2610,3278l2597,3288,2610,3288,2610,3278xm2930,3278l2610,3278,2610,3288,2930,3288,2930,3278xm2955,3278l2930,3278,2943,3288,2955,3288,2955,3278xm2610,3248l2600,3256,2610,3263,2610,3248xm2930,3248l2610,3248,2610,3263,2930,3263,2930,3248xm2930,3248l2930,3263,2940,3256,2930,3248xm2940,3256l2930,3263,2955,3263,2955,3258,2943,3258,2940,3256xm2600,3256l2597,3258,2603,3258,2600,3256xm2955,3254l2943,3254,2940,3256,2943,3258,2955,3258,2955,3254xm2603,3254l2597,3254,2600,3256,2603,3254xm2955,3248l2930,3248,2940,3256,2943,3254,2955,3254,2955,3248xe" filled="true" fillcolor="#385d89" stroked="false">
              <v:path arrowok="t"/>
              <v:fill type="solid"/>
            </v:shape>
            <v:rect style="position:absolute;left:1803;top:2443;width:2002;height:711" filled="true" fillcolor="#ffffff" stroked="false">
              <v:fill type="solid"/>
            </v:rect>
            <v:rect style="position:absolute;left:1803;top:2443;width:2002;height:711" filled="false" stroked="true" strokeweight=".99674pt" strokecolor="#4f81bc"/>
            <v:rect style="position:absolute;left:1803;top:3892;width:2002;height:871" filled="true" fillcolor="#ffffff" stroked="false">
              <v:fill type="solid"/>
            </v:rect>
            <v:rect style="position:absolute;left:1803;top:3892;width:2002;height:871" filled="false" stroked="true" strokeweight="1.009785pt" strokecolor="#4f81bc"/>
            <v:shape style="position:absolute;left:2355;top:403;width:897;height:486" type="#_x0000_t75" stroked="false">
              <v:imagedata r:id="rId183" o:title=""/>
            </v:shape>
            <v:shape style="position:absolute;left:5738;top:2442;width:1105;height:536" type="#_x0000_t75" stroked="false">
              <v:imagedata r:id="rId184" o:title=""/>
            </v:shape>
            <v:shape style="position:absolute;left:3921;top:2246;width:604;height:481" coordorigin="3921,2246" coordsize="604,481" path="m3932,2570l3921,2583,4213,2726,4223,2713,3932,2570xm3963,2531l3942,2557,4234,2700,4255,2675,3963,2531xm4399,2246l3941,2307,4087,2378,3973,2519,4265,2662,4379,2522,4499,2522,4399,2246xm4499,2522l4379,2522,4525,2593,4499,2522xe" filled="true" fillcolor="#4f81bc" stroked="false">
              <v:path arrowok="t"/>
              <v:fill type="solid"/>
            </v:shape>
            <v:shape style="position:absolute;left:3905;top:2235;width:641;height:504" coordorigin="3905,2235" coordsize="641,504" path="m3925,2560l3905,2586,4217,2739,4231,2721,4217,2721,4216,2721,4203,2721,4207,2716,3945,2588,3932,2588,3929,2580,3925,2578,3929,2577,3928,2575,3955,2575,3925,2560xm4216,2719l4213,2719,4217,2721,4216,2719xm4227,2708l4213,2708,4215,2716,4220,2718,4216,2719,4217,2721,4231,2721,4238,2713,4227,2708xm4207,2716l4203,2721,4213,2719,4207,2716xm4213,2719l4203,2721,4216,2721,4213,2719xm4209,2713l4207,2716,4213,2719,4216,2719,4215,2716,4209,2713xm4215,2716l4216,2719,4220,2718,4215,2716xm3938,2580l3935,2583,4207,2716,4209,2713,3938,2580xm4213,2708l4209,2713,4215,2716,4213,2708xm3951,2557l3928,2557,4240,2710,4238,2713,4238,2713,4252,2695,4224,2695,4230,2687,3975,2562,3952,2562,3951,2557xm3928,2557l3925,2560,4238,2713,4240,2710,3928,2557xm3955,2575l3942,2575,3938,2580,4209,2713,4213,2708,4227,2708,3955,2575xm4230,2687l4224,2695,4240,2692,4230,2687xm4238,2678l4230,2687,4240,2692,4224,2695,4252,2695,4263,2683,4248,2683,4238,2678xm4244,2670l4238,2678,4248,2683,4244,2670xm4258,2670l4244,2670,4248,2683,4263,2683,4269,2675,4269,2675,4258,2670xm3987,2537l3973,2537,3967,2545,4238,2678,4244,2670,4258,2670,3987,2537xm3959,2518l3956,2522,4269,2675,4271,2672,3959,2518xm4271,2672l4269,2675,4269,2675,4271,2672,4271,2672xm4070,2381l3959,2518,4271,2672,4283,2657,4255,2657,4261,2649,4006,2524,3983,2524,3980,2511,3994,2511,4095,2386,4081,2386,4070,2381xm4261,2649l4255,2657,4272,2654,4261,2649xm4375,2509l4261,2649,4272,2654,4255,2657,4283,2657,4383,2535,4373,2530,4389,2527,4412,2527,4375,2509xm4412,2527l4389,2527,4383,2535,4545,2615,4538,2596,4513,2596,4505,2572,4412,2527xm4505,2572l4513,2596,4531,2585,4505,2572xm4413,2248l4387,2248,4401,2255,4390,2257,4505,2572,4531,2585,4513,2596,4538,2596,4413,2248xm3929,2580l3932,2588,3935,2583,3929,2580xm3935,2583l3932,2588,3945,2588,3935,2583xm3932,2577l3929,2577,3929,2580,3935,2583,3938,2580,3932,2577xm3929,2577l3925,2578,3929,2580,3929,2577xm3942,2575l3932,2577,3938,2580,3942,2575xm3928,2575l3929,2577,3932,2577,3928,2575xm3955,2575l3928,2575,3932,2577,3942,2575,3955,2575,3955,2575xm3948,2549l3952,2562,3959,2554,3948,2549xm3959,2554l3952,2562,3975,2562,3959,2554xm3959,2518l3925,2560,3925,2560,3928,2557,3951,2557,3948,2549,3963,2549,3967,2545,3956,2540,3973,2537,3987,2537,3956,2522,3959,2518,3959,2518xm3963,2549l3948,2549,3959,2554,3963,2549xm3973,2537l3956,2540,3967,2545,3973,2537xm4389,2527l4373,2530,4383,2535,4389,2527xm3980,2511l3983,2524,3990,2516,3980,2511xm3990,2516l3983,2524,4006,2524,3990,2516xm3994,2511l3980,2511,3990,2516,3994,2511xm4077,2373l4070,2381,4081,2386,4077,2373xm4100,2373l4077,2373,4081,2386,4095,2386,4104,2375,4100,2373xm4408,2235l3908,2301,4070,2381,4077,2373,4100,2373,3983,2316,3943,2316,3948,2299,4074,2299,4390,2257,4387,2248,4413,2248,4408,2235xm3948,2299l3943,2316,3975,2312,3948,2299xm3975,2312l3943,2316,3983,2316,3975,2312xm4074,2299l3948,2299,3975,2312,4074,2299xm4387,2248l4390,2257,4401,2255,4387,2248xe" filled="true" fillcolor="#385d89" stroked="false">
              <v:path arrowok="t"/>
              <v:fill type="solid"/>
            </v:shape>
            <v:shape style="position:absolute;left:1791;top:232;width:2015;height:1418" type="#_x0000_t202" filled="false" stroked="false">
              <v:textbox inset="0,0,0,0">
                <w:txbxContent>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3"/>
                      <w:rPr>
                        <w:sz w:val="16"/>
                      </w:rPr>
                    </w:pPr>
                  </w:p>
                  <w:p>
                    <w:pPr>
                      <w:spacing w:before="1"/>
                      <w:ind w:left="121" w:right="110" w:firstLine="0"/>
                      <w:jc w:val="center"/>
                      <w:rPr>
                        <w:b/>
                        <w:sz w:val="13"/>
                      </w:rPr>
                    </w:pPr>
                    <w:r>
                      <w:rPr>
                        <w:b/>
                        <w:w w:val="130"/>
                        <w:sz w:val="13"/>
                      </w:rPr>
                      <w:t>1776</w:t>
                    </w:r>
                  </w:p>
                  <w:p>
                    <w:pPr>
                      <w:spacing w:before="9"/>
                      <w:ind w:left="120" w:right="110" w:firstLine="0"/>
                      <w:jc w:val="center"/>
                      <w:rPr>
                        <w:b/>
                        <w:sz w:val="13"/>
                      </w:rPr>
                    </w:pPr>
                    <w:r>
                      <w:rPr>
                        <w:b/>
                        <w:w w:val="130"/>
                        <w:sz w:val="13"/>
                      </w:rPr>
                      <w:t>Suecia</w:t>
                    </w:r>
                  </w:p>
                  <w:p>
                    <w:pPr>
                      <w:spacing w:before="9"/>
                      <w:ind w:left="119" w:right="110" w:firstLine="0"/>
                      <w:jc w:val="center"/>
                      <w:rPr>
                        <w:b/>
                        <w:sz w:val="13"/>
                      </w:rPr>
                    </w:pPr>
                    <w:r>
                      <w:rPr>
                        <w:b/>
                        <w:w w:val="130"/>
                        <w:sz w:val="13"/>
                      </w:rPr>
                      <w:t>Ley de Libertad de</w:t>
                    </w:r>
                  </w:p>
                  <w:p>
                    <w:pPr>
                      <w:spacing w:before="10"/>
                      <w:ind w:left="121" w:right="110" w:firstLine="0"/>
                      <w:jc w:val="center"/>
                      <w:rPr>
                        <w:b/>
                        <w:sz w:val="13"/>
                      </w:rPr>
                    </w:pPr>
                    <w:r>
                      <w:rPr>
                        <w:b/>
                        <w:w w:val="130"/>
                        <w:sz w:val="13"/>
                      </w:rPr>
                      <w:t>Prensa</w:t>
                    </w:r>
                  </w:p>
                </w:txbxContent>
              </v:textbox>
              <w10:wrap type="none"/>
            </v:shape>
            <v:shape style="position:absolute;left:7671;top:232;width:2498;height:1685" type="#_x0000_t202" filled="false" stroked="false">
              <v:textbox inset="0,0,0,0">
                <w:txbxContent>
                  <w:p>
                    <w:pPr>
                      <w:spacing w:before="49"/>
                      <w:ind w:left="562" w:right="0" w:firstLine="0"/>
                      <w:jc w:val="left"/>
                      <w:rPr>
                        <w:b/>
                        <w:sz w:val="13"/>
                      </w:rPr>
                    </w:pPr>
                    <w:r>
                      <w:rPr>
                        <w:b/>
                        <w:w w:val="130"/>
                        <w:sz w:val="13"/>
                      </w:rPr>
                      <w:t>12 de junio, 2003</w:t>
                    </w:r>
                  </w:p>
                  <w:p>
                    <w:pPr>
                      <w:spacing w:line="240" w:lineRule="auto" w:before="7"/>
                      <w:rPr>
                        <w:sz w:val="14"/>
                      </w:rPr>
                    </w:pPr>
                  </w:p>
                  <w:p>
                    <w:pPr>
                      <w:spacing w:line="254" w:lineRule="auto" w:before="0"/>
                      <w:ind w:left="157" w:right="167" w:hanging="1"/>
                      <w:jc w:val="center"/>
                      <w:rPr>
                        <w:b/>
                        <w:sz w:val="13"/>
                      </w:rPr>
                    </w:pPr>
                    <w:r>
                      <w:rPr>
                        <w:b/>
                        <w:w w:val="130"/>
                        <w:sz w:val="13"/>
                      </w:rPr>
                      <w:t>La LIFAI obliga a las dependencias y entidades del gobierno federal a dar acceso a la información de su forma de trabajo, el ejercicio de los recursos públicos, sus resultados y su desempeño.</w:t>
                    </w:r>
                  </w:p>
                </w:txbxContent>
              </v:textbox>
              <w10:wrap type="none"/>
            </v:shape>
            <v:shape style="position:absolute;left:1791;top:2443;width:2015;height:712" type="#_x0000_t202" filled="false" stroked="false">
              <v:textbox inset="0,0,0,0">
                <w:txbxContent>
                  <w:p>
                    <w:pPr>
                      <w:spacing w:before="40"/>
                      <w:ind w:left="121" w:right="110" w:firstLine="0"/>
                      <w:jc w:val="center"/>
                      <w:rPr>
                        <w:b/>
                        <w:sz w:val="13"/>
                      </w:rPr>
                    </w:pPr>
                    <w:r>
                      <w:rPr>
                        <w:b/>
                        <w:w w:val="130"/>
                        <w:sz w:val="13"/>
                      </w:rPr>
                      <w:t>1948</w:t>
                    </w:r>
                  </w:p>
                  <w:p>
                    <w:pPr>
                      <w:spacing w:line="254" w:lineRule="auto" w:before="9"/>
                      <w:ind w:left="123" w:right="110" w:firstLine="0"/>
                      <w:jc w:val="center"/>
                      <w:rPr>
                        <w:b/>
                        <w:sz w:val="13"/>
                      </w:rPr>
                    </w:pPr>
                    <w:r>
                      <w:rPr>
                        <w:b/>
                        <w:w w:val="130"/>
                        <w:sz w:val="13"/>
                      </w:rPr>
                      <w:t>Declaración Universal de los Derechos Humanos (art. 19)</w:t>
                    </w:r>
                  </w:p>
                </w:txbxContent>
              </v:textbox>
              <w10:wrap type="none"/>
            </v:shape>
            <v:shape style="position:absolute;left:1791;top:3892;width:2015;height:872" type="#_x0000_t202" filled="false" stroked="false">
              <v:textbox inset="0,0,0,0">
                <w:txbxContent>
                  <w:p>
                    <w:pPr>
                      <w:spacing w:before="40"/>
                      <w:ind w:left="121" w:right="110" w:firstLine="0"/>
                      <w:jc w:val="center"/>
                      <w:rPr>
                        <w:b/>
                        <w:sz w:val="13"/>
                      </w:rPr>
                    </w:pPr>
                    <w:r>
                      <w:rPr>
                        <w:b/>
                        <w:w w:val="130"/>
                        <w:sz w:val="13"/>
                      </w:rPr>
                      <w:t>1969</w:t>
                    </w:r>
                  </w:p>
                  <w:p>
                    <w:pPr>
                      <w:spacing w:line="254" w:lineRule="auto" w:before="9"/>
                      <w:ind w:left="213" w:right="201" w:firstLine="2"/>
                      <w:jc w:val="center"/>
                      <w:rPr>
                        <w:b/>
                        <w:sz w:val="13"/>
                      </w:rPr>
                    </w:pPr>
                    <w:r>
                      <w:rPr>
                        <w:b/>
                        <w:w w:val="130"/>
                        <w:sz w:val="13"/>
                      </w:rPr>
                      <w:t>Convención Americana sobre Derechos Humanos (art. 13)</w:t>
                    </w:r>
                  </w:p>
                </w:txbxContent>
              </v:textbox>
              <w10:wrap type="none"/>
            </v:shape>
            <v:shape style="position:absolute;left:7947;top:3892;width:2002;height:1227" type="#_x0000_t202" filled="false" stroked="false">
              <v:textbox inset="0,0,0,0">
                <w:txbxContent>
                  <w:p>
                    <w:pPr>
                      <w:spacing w:before="40"/>
                      <w:ind w:left="106" w:right="106" w:firstLine="0"/>
                      <w:jc w:val="center"/>
                      <w:rPr>
                        <w:b/>
                        <w:sz w:val="13"/>
                      </w:rPr>
                    </w:pPr>
                    <w:r>
                      <w:rPr>
                        <w:b/>
                        <w:w w:val="130"/>
                        <w:sz w:val="13"/>
                      </w:rPr>
                      <w:t>12 de junio, 2002</w:t>
                    </w:r>
                  </w:p>
                  <w:p>
                    <w:pPr>
                      <w:spacing w:line="240" w:lineRule="auto" w:before="7"/>
                      <w:rPr>
                        <w:sz w:val="14"/>
                      </w:rPr>
                    </w:pPr>
                  </w:p>
                  <w:p>
                    <w:pPr>
                      <w:spacing w:line="254" w:lineRule="auto" w:before="0"/>
                      <w:ind w:left="107" w:right="104" w:firstLine="0"/>
                      <w:jc w:val="center"/>
                      <w:rPr>
                        <w:b/>
                        <w:sz w:val="13"/>
                      </w:rPr>
                    </w:pPr>
                    <w:r>
                      <w:rPr>
                        <w:b/>
                        <w:w w:val="130"/>
                        <w:sz w:val="13"/>
                      </w:rPr>
                      <w:t>Ley Federal de Transparencia y Acceso a la Información Pública Gubernamental</w:t>
                    </w:r>
                  </w:p>
                </w:txbxContent>
              </v:textbox>
              <w10:wrap type="none"/>
            </v:shape>
            <v:shape style="position:absolute;left:6255;top:4374;width:1451;height:660" type="#_x0000_t202" filled="false" stroked="false">
              <v:textbox inset="0,0,0,0">
                <w:txbxContent>
                  <w:p>
                    <w:pPr>
                      <w:spacing w:line="115" w:lineRule="exact" w:before="0"/>
                      <w:ind w:left="0" w:right="0" w:firstLine="0"/>
                      <w:jc w:val="center"/>
                      <w:rPr>
                        <w:b/>
                        <w:sz w:val="11"/>
                      </w:rPr>
                    </w:pPr>
                    <w:r>
                      <w:rPr>
                        <w:b/>
                        <w:w w:val="135"/>
                        <w:sz w:val="11"/>
                      </w:rPr>
                      <w:t>El Estado mexicano</w:t>
                    </w:r>
                  </w:p>
                  <w:p>
                    <w:pPr>
                      <w:spacing w:line="259" w:lineRule="auto" w:before="10"/>
                      <w:ind w:left="0" w:right="0" w:firstLine="0"/>
                      <w:jc w:val="center"/>
                      <w:rPr>
                        <w:b/>
                        <w:sz w:val="11"/>
                      </w:rPr>
                    </w:pPr>
                    <w:r>
                      <w:rPr>
                        <w:b/>
                        <w:w w:val="135"/>
                        <w:sz w:val="11"/>
                      </w:rPr>
                      <w:t>crea la ley para subsanar las deficiencias</w:t>
                    </w:r>
                    <w:r>
                      <w:rPr>
                        <w:b/>
                        <w:spacing w:val="-17"/>
                        <w:w w:val="135"/>
                        <w:sz w:val="11"/>
                      </w:rPr>
                      <w:t> </w:t>
                    </w:r>
                    <w:r>
                      <w:rPr>
                        <w:b/>
                        <w:w w:val="135"/>
                        <w:sz w:val="11"/>
                      </w:rPr>
                      <w:t>y</w:t>
                    </w:r>
                    <w:r>
                      <w:rPr>
                        <w:b/>
                        <w:spacing w:val="-15"/>
                        <w:w w:val="135"/>
                        <w:sz w:val="11"/>
                      </w:rPr>
                      <w:t> </w:t>
                    </w:r>
                    <w:r>
                      <w:rPr>
                        <w:b/>
                        <w:w w:val="135"/>
                        <w:sz w:val="11"/>
                      </w:rPr>
                      <w:t>vacíos</w:t>
                    </w:r>
                    <w:r>
                      <w:rPr>
                        <w:b/>
                        <w:w w:val="132"/>
                        <w:sz w:val="11"/>
                      </w:rPr>
                      <w:t> </w:t>
                    </w:r>
                    <w:r>
                      <w:rPr>
                        <w:b/>
                        <w:w w:val="135"/>
                        <w:sz w:val="11"/>
                      </w:rPr>
                      <w:t>legales</w:t>
                    </w:r>
                  </w:p>
                </w:txbxContent>
              </v:textbox>
              <w10:wrap type="none"/>
            </v:shape>
            <v:shape style="position:absolute;left:4013;top:1422;width:2002;height:712" type="#_x0000_t202" filled="true" fillcolor="#ffffff" stroked="true" strokeweight="1.013483pt" strokecolor="#4f81bc">
              <v:textbox inset="0,0,0,0">
                <w:txbxContent>
                  <w:p>
                    <w:pPr>
                      <w:spacing w:before="30"/>
                      <w:ind w:left="77" w:right="66" w:firstLine="0"/>
                      <w:jc w:val="left"/>
                      <w:rPr>
                        <w:b/>
                        <w:sz w:val="13"/>
                      </w:rPr>
                    </w:pPr>
                    <w:r>
                      <w:rPr>
                        <w:b/>
                        <w:w w:val="130"/>
                        <w:sz w:val="13"/>
                      </w:rPr>
                      <w:t>1951: Finlandia</w:t>
                    </w:r>
                  </w:p>
                  <w:p>
                    <w:pPr>
                      <w:spacing w:before="9"/>
                      <w:ind w:left="77" w:right="66" w:firstLine="0"/>
                      <w:jc w:val="left"/>
                      <w:rPr>
                        <w:b/>
                        <w:sz w:val="13"/>
                      </w:rPr>
                    </w:pPr>
                    <w:r>
                      <w:rPr>
                        <w:b/>
                        <w:w w:val="130"/>
                        <w:sz w:val="13"/>
                      </w:rPr>
                      <w:t>1964: Dinamarca</w:t>
                    </w:r>
                  </w:p>
                  <w:p>
                    <w:pPr>
                      <w:spacing w:before="9"/>
                      <w:ind w:left="77" w:right="66" w:firstLine="0"/>
                      <w:jc w:val="left"/>
                      <w:rPr>
                        <w:b/>
                        <w:sz w:val="13"/>
                      </w:rPr>
                    </w:pPr>
                    <w:r>
                      <w:rPr>
                        <w:b/>
                        <w:w w:val="130"/>
                        <w:sz w:val="13"/>
                      </w:rPr>
                      <w:t>1966: Estados Unidos</w:t>
                    </w:r>
                  </w:p>
                  <w:p>
                    <w:pPr>
                      <w:spacing w:before="9"/>
                      <w:ind w:left="77" w:right="66" w:firstLine="0"/>
                      <w:jc w:val="left"/>
                      <w:rPr>
                        <w:b/>
                        <w:sz w:val="13"/>
                      </w:rPr>
                    </w:pPr>
                    <w:r>
                      <w:rPr>
                        <w:b/>
                        <w:w w:val="130"/>
                        <w:sz w:val="13"/>
                      </w:rPr>
                      <w:t>1978: Francia</w:t>
                    </w:r>
                  </w:p>
                </w:txbxContent>
              </v:textbox>
              <v:fill type="solid"/>
              <w10:wrap type="none"/>
            </v:shape>
            <v:shape style="position:absolute;left:4910;top:2281;width:2002;height:1837" type="#_x0000_t202" filled="false" stroked="true" strokeweight="1.126472pt" strokecolor="#4f81bc">
              <v:textbox inset="0,0,0,0">
                <w:txbxContent>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8"/>
                      <w:rPr>
                        <w:sz w:val="11"/>
                      </w:rPr>
                    </w:pPr>
                  </w:p>
                  <w:p>
                    <w:pPr>
                      <w:spacing w:before="0"/>
                      <w:ind w:left="106" w:right="106" w:firstLine="0"/>
                      <w:jc w:val="center"/>
                      <w:rPr>
                        <w:b/>
                        <w:sz w:val="13"/>
                      </w:rPr>
                    </w:pPr>
                    <w:r>
                      <w:rPr>
                        <w:b/>
                        <w:w w:val="130"/>
                        <w:sz w:val="13"/>
                      </w:rPr>
                      <w:t>1977</w:t>
                    </w:r>
                  </w:p>
                  <w:p>
                    <w:pPr>
                      <w:spacing w:line="254" w:lineRule="auto" w:before="9"/>
                      <w:ind w:left="78" w:right="66" w:firstLine="621"/>
                      <w:jc w:val="left"/>
                      <w:rPr>
                        <w:b/>
                        <w:sz w:val="13"/>
                      </w:rPr>
                    </w:pPr>
                    <w:r>
                      <w:rPr>
                        <w:b/>
                        <w:w w:val="130"/>
                        <w:sz w:val="13"/>
                      </w:rPr>
                      <w:t>México Constitución Política de los Estados Unidos</w:t>
                    </w:r>
                  </w:p>
                  <w:p>
                    <w:pPr>
                      <w:spacing w:line="254" w:lineRule="auto" w:before="1"/>
                      <w:ind w:left="541" w:right="539" w:hanging="1"/>
                      <w:jc w:val="center"/>
                      <w:rPr>
                        <w:b/>
                        <w:sz w:val="13"/>
                      </w:rPr>
                    </w:pPr>
                    <w:r>
                      <w:rPr>
                        <w:b/>
                        <w:w w:val="130"/>
                        <w:sz w:val="13"/>
                      </w:rPr>
                      <w:t>Mexicanos (arts. 6 y 8)</w:t>
                    </w:r>
                  </w:p>
                </w:txbxContent>
              </v:textbox>
              <w10:wrap type="none"/>
            </v:shape>
            <v:shape style="position:absolute;left:7947;top:2336;width:2002;height:1032" type="#_x0000_t202" filled="true" fillcolor="#ffffff" stroked="true" strokeweight="1.050072pt" strokecolor="#4f81bc">
              <v:textbox inset="0,0,0,0">
                <w:txbxContent>
                  <w:p>
                    <w:pPr>
                      <w:spacing w:before="29"/>
                      <w:ind w:left="107" w:right="106" w:firstLine="0"/>
                      <w:jc w:val="center"/>
                      <w:rPr>
                        <w:b/>
                        <w:sz w:val="13"/>
                      </w:rPr>
                    </w:pPr>
                    <w:r>
                      <w:rPr>
                        <w:b/>
                        <w:w w:val="130"/>
                        <w:sz w:val="13"/>
                      </w:rPr>
                      <w:t>20 de diciembre, 2002</w:t>
                    </w:r>
                  </w:p>
                  <w:p>
                    <w:pPr>
                      <w:spacing w:line="240" w:lineRule="auto" w:before="7"/>
                      <w:rPr>
                        <w:sz w:val="14"/>
                      </w:rPr>
                    </w:pPr>
                  </w:p>
                  <w:p>
                    <w:pPr>
                      <w:spacing w:line="254" w:lineRule="auto" w:before="0"/>
                      <w:ind w:left="177" w:right="173" w:hanging="2"/>
                      <w:jc w:val="center"/>
                      <w:rPr>
                        <w:b/>
                        <w:sz w:val="13"/>
                      </w:rPr>
                    </w:pPr>
                    <w:r>
                      <w:rPr>
                        <w:b/>
                        <w:w w:val="130"/>
                        <w:sz w:val="13"/>
                      </w:rPr>
                      <w:t>Creación del Instituto Federal de Acceso a la Información Pública</w:t>
                    </w:r>
                  </w:p>
                </w:txbxContent>
              </v:textbox>
              <v:fill type="solid"/>
              <w10:wrap type="none"/>
            </v:shape>
            <w10:wrap type="topAndBottom"/>
          </v:group>
        </w:pict>
      </w:r>
    </w:p>
    <w:p>
      <w:pPr>
        <w:spacing w:line="278" w:lineRule="auto" w:before="133"/>
        <w:ind w:left="849" w:right="1666" w:hanging="709"/>
        <w:jc w:val="left"/>
        <w:rPr>
          <w:sz w:val="12"/>
        </w:rPr>
      </w:pPr>
      <w:r>
        <w:rPr>
          <w:sz w:val="12"/>
        </w:rPr>
        <w:t>FUENTE: Transparencia y Acceso a la Información Pública Gubernamental, Cultura de Transparencia, IFAI 2011, Módulo I. Salazar (2008: 226)</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6"/>
        <w:rPr>
          <w:sz w:val="13"/>
        </w:rPr>
      </w:pPr>
    </w:p>
    <w:p>
      <w:pPr>
        <w:pStyle w:val="BodyText"/>
        <w:spacing w:line="362" w:lineRule="auto"/>
        <w:ind w:left="140" w:right="123" w:firstLine="427"/>
        <w:jc w:val="both"/>
      </w:pPr>
      <w:r>
        <w:rPr/>
        <w:t>A partir de 1776 el acceso a la información</w:t>
      </w:r>
      <w:r>
        <w:rPr>
          <w:position w:val="8"/>
          <w:sz w:val="16"/>
        </w:rPr>
        <w:t>117 </w:t>
      </w:r>
      <w:r>
        <w:rPr/>
        <w:t>fue imprescindible en la comunidad internacional, y en la actualidad ésta consiste en tener   información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9712;mso-wrap-distance-left:0;mso-wrap-distance-right:0" from="85.025002pt,10.223755pt" to="229.075002pt,10.223755pt" stroked="true" strokeweight=".79999pt" strokecolor="#000000">
            <w10:wrap type="topAndBottom"/>
          </v:line>
        </w:pict>
      </w:r>
    </w:p>
    <w:p>
      <w:pPr>
        <w:spacing w:before="59"/>
        <w:ind w:left="140" w:right="0" w:firstLine="0"/>
        <w:jc w:val="both"/>
        <w:rPr>
          <w:sz w:val="16"/>
        </w:rPr>
      </w:pPr>
      <w:r>
        <w:rPr>
          <w:rFonts w:ascii="Times New Roman" w:hAnsi="Times New Roman"/>
          <w:position w:val="7"/>
          <w:sz w:val="13"/>
        </w:rPr>
        <w:t>116</w:t>
      </w:r>
      <w:r>
        <w:rPr>
          <w:sz w:val="16"/>
        </w:rPr>
        <w:t>Año en que Suecia aprobó la libertad de prensa.</w:t>
      </w:r>
    </w:p>
    <w:p>
      <w:pPr>
        <w:spacing w:line="244" w:lineRule="auto" w:before="7"/>
        <w:ind w:left="140" w:right="124" w:firstLine="0"/>
        <w:jc w:val="both"/>
        <w:rPr>
          <w:sz w:val="16"/>
        </w:rPr>
      </w:pPr>
      <w:r>
        <w:rPr>
          <w:rFonts w:ascii="Times New Roman" w:hAnsi="Times New Roman"/>
          <w:position w:val="7"/>
          <w:sz w:val="13"/>
        </w:rPr>
        <w:t>117</w:t>
      </w:r>
      <w:r>
        <w:rPr>
          <w:sz w:val="16"/>
        </w:rPr>
        <w:t>El derecho a la información está fundado en el artículo 19 de la Declaración Universal de los Derechos Humanos: “Todo</w:t>
      </w:r>
      <w:r>
        <w:rPr>
          <w:spacing w:val="-5"/>
          <w:sz w:val="16"/>
        </w:rPr>
        <w:t> </w:t>
      </w:r>
      <w:r>
        <w:rPr>
          <w:sz w:val="16"/>
        </w:rPr>
        <w:t>individuo</w:t>
      </w:r>
      <w:r>
        <w:rPr>
          <w:spacing w:val="-5"/>
          <w:sz w:val="16"/>
        </w:rPr>
        <w:t> </w:t>
      </w:r>
      <w:r>
        <w:rPr>
          <w:sz w:val="16"/>
        </w:rPr>
        <w:t>tiene</w:t>
      </w:r>
      <w:r>
        <w:rPr>
          <w:spacing w:val="-4"/>
          <w:sz w:val="16"/>
        </w:rPr>
        <w:t> </w:t>
      </w:r>
      <w:r>
        <w:rPr>
          <w:sz w:val="16"/>
        </w:rPr>
        <w:t>derecho</w:t>
      </w:r>
      <w:r>
        <w:rPr>
          <w:spacing w:val="-9"/>
          <w:sz w:val="16"/>
        </w:rPr>
        <w:t> </w:t>
      </w:r>
      <w:r>
        <w:rPr>
          <w:sz w:val="16"/>
        </w:rPr>
        <w:t>a</w:t>
      </w:r>
      <w:r>
        <w:rPr>
          <w:spacing w:val="-4"/>
          <w:sz w:val="16"/>
        </w:rPr>
        <w:t> </w:t>
      </w:r>
      <w:r>
        <w:rPr>
          <w:sz w:val="16"/>
        </w:rPr>
        <w:t>la</w:t>
      </w:r>
      <w:r>
        <w:rPr>
          <w:spacing w:val="-2"/>
          <w:sz w:val="16"/>
        </w:rPr>
        <w:t> </w:t>
      </w:r>
      <w:r>
        <w:rPr>
          <w:sz w:val="16"/>
        </w:rPr>
        <w:t>libertad</w:t>
      </w:r>
      <w:r>
        <w:rPr>
          <w:spacing w:val="-9"/>
          <w:sz w:val="16"/>
        </w:rPr>
        <w:t> </w:t>
      </w:r>
      <w:r>
        <w:rPr>
          <w:sz w:val="16"/>
        </w:rPr>
        <w:t>de</w:t>
      </w:r>
      <w:r>
        <w:rPr>
          <w:spacing w:val="-4"/>
          <w:sz w:val="16"/>
        </w:rPr>
        <w:t> </w:t>
      </w:r>
      <w:r>
        <w:rPr>
          <w:sz w:val="16"/>
        </w:rPr>
        <w:t>opinión</w:t>
      </w:r>
      <w:r>
        <w:rPr>
          <w:spacing w:val="-8"/>
          <w:sz w:val="16"/>
        </w:rPr>
        <w:t> </w:t>
      </w:r>
      <w:r>
        <w:rPr>
          <w:sz w:val="16"/>
        </w:rPr>
        <w:t>y</w:t>
      </w:r>
      <w:r>
        <w:rPr>
          <w:spacing w:val="-8"/>
          <w:sz w:val="16"/>
        </w:rPr>
        <w:t> </w:t>
      </w:r>
      <w:r>
        <w:rPr>
          <w:sz w:val="16"/>
        </w:rPr>
        <w:t>de</w:t>
      </w:r>
      <w:r>
        <w:rPr>
          <w:spacing w:val="-5"/>
          <w:sz w:val="16"/>
        </w:rPr>
        <w:t> </w:t>
      </w:r>
      <w:r>
        <w:rPr>
          <w:sz w:val="16"/>
        </w:rPr>
        <w:t>expresión;</w:t>
      </w:r>
      <w:r>
        <w:rPr>
          <w:spacing w:val="-8"/>
          <w:sz w:val="16"/>
        </w:rPr>
        <w:t> </w:t>
      </w:r>
      <w:r>
        <w:rPr>
          <w:sz w:val="16"/>
        </w:rPr>
        <w:t>[…]</w:t>
      </w:r>
      <w:r>
        <w:rPr>
          <w:spacing w:val="-8"/>
          <w:sz w:val="16"/>
        </w:rPr>
        <w:t> </w:t>
      </w:r>
      <w:r>
        <w:rPr>
          <w:sz w:val="16"/>
        </w:rPr>
        <w:t>el</w:t>
      </w:r>
      <w:r>
        <w:rPr>
          <w:spacing w:val="-7"/>
          <w:sz w:val="16"/>
        </w:rPr>
        <w:t> </w:t>
      </w:r>
      <w:r>
        <w:rPr>
          <w:sz w:val="16"/>
        </w:rPr>
        <w:t>investigar</w:t>
      </w:r>
      <w:r>
        <w:rPr>
          <w:spacing w:val="-5"/>
          <w:sz w:val="16"/>
        </w:rPr>
        <w:t> </w:t>
      </w:r>
      <w:r>
        <w:rPr>
          <w:sz w:val="16"/>
        </w:rPr>
        <w:t>y</w:t>
      </w:r>
      <w:r>
        <w:rPr>
          <w:spacing w:val="-8"/>
          <w:sz w:val="16"/>
        </w:rPr>
        <w:t> </w:t>
      </w:r>
      <w:r>
        <w:rPr>
          <w:sz w:val="16"/>
        </w:rPr>
        <w:t>recibir</w:t>
      </w:r>
      <w:r>
        <w:rPr>
          <w:spacing w:val="-5"/>
          <w:sz w:val="16"/>
        </w:rPr>
        <w:t> </w:t>
      </w:r>
      <w:r>
        <w:rPr>
          <w:sz w:val="16"/>
        </w:rPr>
        <w:t>informaciones</w:t>
      </w:r>
      <w:r>
        <w:rPr>
          <w:spacing w:val="-7"/>
          <w:sz w:val="16"/>
        </w:rPr>
        <w:t> </w:t>
      </w:r>
      <w:r>
        <w:rPr>
          <w:sz w:val="16"/>
        </w:rPr>
        <w:t>y</w:t>
      </w:r>
      <w:r>
        <w:rPr>
          <w:spacing w:val="-12"/>
          <w:sz w:val="16"/>
        </w:rPr>
        <w:t> </w:t>
      </w:r>
      <w:r>
        <w:rPr>
          <w:sz w:val="16"/>
        </w:rPr>
        <w:t>opiniones […]”</w:t>
      </w:r>
    </w:p>
    <w:p>
      <w:pPr>
        <w:spacing w:line="180" w:lineRule="exact" w:before="0"/>
        <w:ind w:left="140" w:right="0" w:firstLine="0"/>
        <w:jc w:val="both"/>
        <w:rPr>
          <w:sz w:val="16"/>
        </w:rPr>
      </w:pPr>
      <w:r>
        <w:rPr>
          <w:sz w:val="16"/>
        </w:rPr>
        <w:t>Disponible en: </w:t>
      </w:r>
      <w:hyperlink r:id="rId185">
        <w:r>
          <w:rPr>
            <w:color w:val="0000FF"/>
            <w:sz w:val="16"/>
            <w:u w:val="single" w:color="0000FF"/>
          </w:rPr>
          <w:t>http://www.un.org/es/documents/udhr/ </w:t>
        </w:r>
      </w:hyperlink>
      <w:r>
        <w:rPr>
          <w:sz w:val="16"/>
        </w:rPr>
        <w:t>[Fecha de consulta: 22 de octubre, 2015]</w:t>
      </w:r>
    </w:p>
    <w:p>
      <w:pPr>
        <w:spacing w:after="0" w:line="180" w:lineRule="exact"/>
        <w:jc w:val="both"/>
        <w:rPr>
          <w:sz w:val="16"/>
        </w:rPr>
        <w:sectPr>
          <w:pgSz w:w="11910" w:h="16840"/>
          <w:pgMar w:header="0" w:footer="998" w:top="1360" w:bottom="1180" w:left="1560" w:right="1580"/>
        </w:sectPr>
      </w:pPr>
    </w:p>
    <w:p>
      <w:pPr>
        <w:pStyle w:val="BodyText"/>
        <w:spacing w:line="357" w:lineRule="auto" w:before="39"/>
        <w:ind w:left="120" w:right="18"/>
        <w:rPr>
          <w:sz w:val="16"/>
        </w:rPr>
      </w:pPr>
      <w:r>
        <w:rPr/>
        <w:t>confiable y completa para la toma de decisiones estratégicas y la evaluación de las políticas públicas, entre otros.</w:t>
      </w:r>
      <w:r>
        <w:rPr>
          <w:position w:val="8"/>
          <w:sz w:val="16"/>
        </w:rPr>
        <w:t>118</w:t>
      </w:r>
    </w:p>
    <w:p>
      <w:pPr>
        <w:pStyle w:val="BodyText"/>
        <w:spacing w:line="355" w:lineRule="auto"/>
        <w:ind w:left="120" w:right="125" w:firstLine="427"/>
        <w:jc w:val="both"/>
        <w:rPr>
          <w:sz w:val="16"/>
        </w:rPr>
      </w:pPr>
      <w:r>
        <w:rPr/>
        <w:t>En México el artículo 6º. Constitucional establece la garantía del derecho a la</w:t>
      </w:r>
      <w:r>
        <w:rPr>
          <w:spacing w:val="-17"/>
        </w:rPr>
        <w:t> </w:t>
      </w:r>
      <w:r>
        <w:rPr/>
        <w:t>información,</w:t>
      </w:r>
      <w:r>
        <w:rPr>
          <w:position w:val="8"/>
          <w:sz w:val="16"/>
        </w:rPr>
        <w:t>119</w:t>
      </w:r>
      <w:r>
        <w:rPr>
          <w:spacing w:val="6"/>
          <w:position w:val="8"/>
          <w:sz w:val="16"/>
        </w:rPr>
        <w:t> </w:t>
      </w:r>
      <w:r>
        <w:rPr/>
        <w:t>aunque</w:t>
      </w:r>
      <w:r>
        <w:rPr>
          <w:spacing w:val="-17"/>
        </w:rPr>
        <w:t> </w:t>
      </w:r>
      <w:r>
        <w:rPr/>
        <w:t>algunos</w:t>
      </w:r>
      <w:r>
        <w:rPr>
          <w:spacing w:val="-16"/>
        </w:rPr>
        <w:t> </w:t>
      </w:r>
      <w:r>
        <w:rPr/>
        <w:t>consideran</w:t>
      </w:r>
      <w:r>
        <w:rPr>
          <w:spacing w:val="-17"/>
        </w:rPr>
        <w:t> </w:t>
      </w:r>
      <w:r>
        <w:rPr/>
        <w:t>que</w:t>
      </w:r>
      <w:r>
        <w:rPr>
          <w:spacing w:val="-17"/>
        </w:rPr>
        <w:t> </w:t>
      </w:r>
      <w:r>
        <w:rPr/>
        <w:t>esta</w:t>
      </w:r>
      <w:r>
        <w:rPr>
          <w:spacing w:val="-17"/>
        </w:rPr>
        <w:t> </w:t>
      </w:r>
      <w:r>
        <w:rPr/>
        <w:t>disposición</w:t>
      </w:r>
      <w:r>
        <w:rPr>
          <w:spacing w:val="-17"/>
        </w:rPr>
        <w:t> </w:t>
      </w:r>
      <w:r>
        <w:rPr/>
        <w:t>careció</w:t>
      </w:r>
      <w:r>
        <w:rPr>
          <w:spacing w:val="-17"/>
        </w:rPr>
        <w:t> </w:t>
      </w:r>
      <w:r>
        <w:rPr/>
        <w:t>de</w:t>
      </w:r>
      <w:r>
        <w:rPr>
          <w:spacing w:val="-17"/>
        </w:rPr>
        <w:t> </w:t>
      </w:r>
      <w:r>
        <w:rPr/>
        <w:t>las capacidades de los incentivos a favor de la rendición de</w:t>
      </w:r>
      <w:r>
        <w:rPr>
          <w:spacing w:val="-30"/>
        </w:rPr>
        <w:t> </w:t>
      </w:r>
      <w:r>
        <w:rPr/>
        <w:t>cuentas.</w:t>
      </w:r>
      <w:r>
        <w:rPr>
          <w:position w:val="8"/>
          <w:sz w:val="16"/>
        </w:rPr>
        <w:t>120</w:t>
      </w:r>
    </w:p>
    <w:p>
      <w:pPr>
        <w:pStyle w:val="BodyText"/>
        <w:spacing w:line="360" w:lineRule="auto" w:before="8"/>
        <w:ind w:left="120" w:right="120" w:firstLine="427"/>
        <w:jc w:val="both"/>
      </w:pPr>
      <w:r>
        <w:rPr/>
        <w:t>Se considera que la transparencia es un principio que “obliga” a informar a los afectados por las decisiones políticas. Otra vertiente de la transparencia es la</w:t>
      </w:r>
      <w:r>
        <w:rPr>
          <w:spacing w:val="-20"/>
        </w:rPr>
        <w:t> </w:t>
      </w:r>
      <w:r>
        <w:rPr/>
        <w:t>visibilidad,</w:t>
      </w:r>
      <w:r>
        <w:rPr>
          <w:spacing w:val="-17"/>
        </w:rPr>
        <w:t> </w:t>
      </w:r>
      <w:r>
        <w:rPr/>
        <w:t>predictibilidad</w:t>
      </w:r>
      <w:r>
        <w:rPr>
          <w:spacing w:val="-16"/>
        </w:rPr>
        <w:t> </w:t>
      </w:r>
      <w:r>
        <w:rPr/>
        <w:t>y</w:t>
      </w:r>
      <w:r>
        <w:rPr>
          <w:spacing w:val="-22"/>
        </w:rPr>
        <w:t> </w:t>
      </w:r>
      <w:r>
        <w:rPr/>
        <w:t>comprensibilidad</w:t>
      </w:r>
      <w:r>
        <w:rPr>
          <w:spacing w:val="-20"/>
        </w:rPr>
        <w:t> </w:t>
      </w:r>
      <w:r>
        <w:rPr/>
        <w:t>de</w:t>
      </w:r>
      <w:r>
        <w:rPr>
          <w:spacing w:val="-16"/>
        </w:rPr>
        <w:t> </w:t>
      </w:r>
      <w:r>
        <w:rPr/>
        <w:t>la</w:t>
      </w:r>
      <w:r>
        <w:rPr>
          <w:spacing w:val="-20"/>
        </w:rPr>
        <w:t> </w:t>
      </w:r>
      <w:r>
        <w:rPr/>
        <w:t>actuación</w:t>
      </w:r>
      <w:r>
        <w:rPr>
          <w:spacing w:val="-20"/>
        </w:rPr>
        <w:t> </w:t>
      </w:r>
      <w:r>
        <w:rPr/>
        <w:t>de</w:t>
      </w:r>
      <w:r>
        <w:rPr>
          <w:spacing w:val="-20"/>
        </w:rPr>
        <w:t> </w:t>
      </w:r>
      <w:r>
        <w:rPr/>
        <w:t>la</w:t>
      </w:r>
      <w:r>
        <w:rPr>
          <w:spacing w:val="-20"/>
        </w:rPr>
        <w:t> </w:t>
      </w:r>
      <w:r>
        <w:rPr/>
        <w:t>clase</w:t>
      </w:r>
      <w:r>
        <w:rPr>
          <w:spacing w:val="-20"/>
        </w:rPr>
        <w:t> </w:t>
      </w:r>
      <w:r>
        <w:rPr/>
        <w:t>política mexicana.</w:t>
      </w:r>
    </w:p>
    <w:p>
      <w:pPr>
        <w:pStyle w:val="BodyText"/>
        <w:spacing w:line="360" w:lineRule="auto" w:before="6"/>
        <w:ind w:left="120" w:right="119" w:firstLine="427"/>
        <w:jc w:val="both"/>
      </w:pPr>
      <w:r>
        <w:rPr/>
        <w:t>En materia de rendición de cuentas, a inicios de la década de los años ochenta, las contralorías internas</w:t>
      </w:r>
      <w:r>
        <w:rPr>
          <w:position w:val="8"/>
          <w:sz w:val="16"/>
        </w:rPr>
        <w:t>121 </w:t>
      </w:r>
      <w:r>
        <w:rPr/>
        <w:t>y de auditoría externa fueron consideradas clave</w:t>
      </w:r>
      <w:r>
        <w:rPr>
          <w:spacing w:val="-8"/>
        </w:rPr>
        <w:t> </w:t>
      </w:r>
      <w:r>
        <w:rPr/>
        <w:t>para</w:t>
      </w:r>
      <w:r>
        <w:rPr>
          <w:spacing w:val="-8"/>
        </w:rPr>
        <w:t> </w:t>
      </w:r>
      <w:r>
        <w:rPr/>
        <w:t>disminuir</w:t>
      </w:r>
      <w:r>
        <w:rPr>
          <w:spacing w:val="-6"/>
        </w:rPr>
        <w:t> </w:t>
      </w:r>
      <w:r>
        <w:rPr/>
        <w:t>la</w:t>
      </w:r>
      <w:r>
        <w:rPr>
          <w:spacing w:val="-8"/>
        </w:rPr>
        <w:t> </w:t>
      </w:r>
      <w:r>
        <w:rPr/>
        <w:t>corrupción</w:t>
      </w:r>
      <w:r>
        <w:rPr>
          <w:spacing w:val="-4"/>
        </w:rPr>
        <w:t> </w:t>
      </w:r>
      <w:r>
        <w:rPr/>
        <w:t>y</w:t>
      </w:r>
      <w:r>
        <w:rPr>
          <w:spacing w:val="-7"/>
        </w:rPr>
        <w:t> </w:t>
      </w:r>
      <w:r>
        <w:rPr/>
        <w:t>mejorar</w:t>
      </w:r>
      <w:r>
        <w:rPr>
          <w:spacing w:val="-6"/>
        </w:rPr>
        <w:t> </w:t>
      </w:r>
      <w:r>
        <w:rPr/>
        <w:t>la</w:t>
      </w:r>
      <w:r>
        <w:rPr>
          <w:spacing w:val="-8"/>
        </w:rPr>
        <w:t> </w:t>
      </w:r>
      <w:r>
        <w:rPr/>
        <w:t>rendición</w:t>
      </w:r>
      <w:r>
        <w:rPr>
          <w:spacing w:val="-8"/>
        </w:rPr>
        <w:t> </w:t>
      </w:r>
      <w:r>
        <w:rPr/>
        <w:t>de</w:t>
      </w:r>
      <w:r>
        <w:rPr>
          <w:spacing w:val="-8"/>
        </w:rPr>
        <w:t> </w:t>
      </w:r>
      <w:r>
        <w:rPr/>
        <w:t>cuentas; y</w:t>
      </w:r>
      <w:r>
        <w:rPr>
          <w:spacing w:val="-10"/>
        </w:rPr>
        <w:t> </w:t>
      </w:r>
      <w:r>
        <w:rPr/>
        <w:t>en2008</w:t>
      </w:r>
      <w:r>
        <w:rPr>
          <w:spacing w:val="-8"/>
        </w:rPr>
        <w:t> </w:t>
      </w:r>
      <w:r>
        <w:rPr/>
        <w:t>el Estado dispuso la creación de las contralorías sociales,</w:t>
      </w:r>
      <w:r>
        <w:rPr>
          <w:position w:val="8"/>
          <w:sz w:val="16"/>
        </w:rPr>
        <w:t>122 </w:t>
      </w:r>
      <w:r>
        <w:rPr/>
        <w:t>que buscan constituirse como una práctica de transparencia y rendición de cuentas y contribuir al combate de la corrupción. De acuerdo con la Ley General de Desarrollo Social, la Contraloría Social sirve para que los beneficiarios de la política, verifiquen el cumplimiento de las metas de los programas de desarrollo social.</w:t>
      </w:r>
    </w:p>
    <w:p>
      <w:pPr>
        <w:pStyle w:val="BodyText"/>
        <w:spacing w:line="360" w:lineRule="auto" w:before="2"/>
        <w:ind w:left="120" w:right="120" w:firstLine="427"/>
        <w:jc w:val="both"/>
      </w:pPr>
      <w:r>
        <w:rPr/>
        <w:t>Las grandes expectativas nacionales que surgieron con la alternancia del poder en el año 2000 fueron mayores al promulgarse la Ley Federal de Transparencia y Acceso a la Información Pública Gubernamental (LFTAI) en2002.Un estudio realizado en 2009 por el CIDE (2011:11) mencionó que el problema</w:t>
      </w:r>
      <w:r>
        <w:rPr>
          <w:spacing w:val="-5"/>
        </w:rPr>
        <w:t> </w:t>
      </w:r>
      <w:r>
        <w:rPr/>
        <w:t>de</w:t>
      </w:r>
      <w:r>
        <w:rPr>
          <w:spacing w:val="-5"/>
        </w:rPr>
        <w:t> </w:t>
      </w:r>
      <w:r>
        <w:rPr/>
        <w:t>la</w:t>
      </w:r>
      <w:r>
        <w:rPr>
          <w:spacing w:val="-9"/>
        </w:rPr>
        <w:t> </w:t>
      </w:r>
      <w:r>
        <w:rPr/>
        <w:t>transparencia</w:t>
      </w:r>
      <w:r>
        <w:rPr>
          <w:spacing w:val="-9"/>
        </w:rPr>
        <w:t> </w:t>
      </w:r>
      <w:r>
        <w:rPr/>
        <w:t>en</w:t>
      </w:r>
      <w:r>
        <w:rPr>
          <w:spacing w:val="-1"/>
        </w:rPr>
        <w:t> </w:t>
      </w:r>
      <w:r>
        <w:rPr/>
        <w:t>México</w:t>
      </w:r>
      <w:r>
        <w:rPr>
          <w:spacing w:val="-9"/>
        </w:rPr>
        <w:t> </w:t>
      </w:r>
      <w:r>
        <w:rPr/>
        <w:t>radica</w:t>
      </w:r>
      <w:r>
        <w:rPr>
          <w:spacing w:val="-9"/>
        </w:rPr>
        <w:t> </w:t>
      </w:r>
      <w:r>
        <w:rPr/>
        <w:t>en</w:t>
      </w:r>
      <w:r>
        <w:rPr>
          <w:spacing w:val="-9"/>
        </w:rPr>
        <w:t> </w:t>
      </w:r>
      <w:r>
        <w:rPr/>
        <w:t>tres</w:t>
      </w:r>
      <w:r>
        <w:rPr>
          <w:spacing w:val="-3"/>
        </w:rPr>
        <w:t> </w:t>
      </w:r>
      <w:r>
        <w:rPr/>
        <w:t>aspectos</w:t>
      </w:r>
      <w:r>
        <w:rPr>
          <w:spacing w:val="-7"/>
        </w:rPr>
        <w:t> </w:t>
      </w:r>
      <w:r>
        <w:rPr/>
        <w:t>fundamentales: la</w:t>
      </w:r>
      <w:r>
        <w:rPr>
          <w:spacing w:val="-12"/>
        </w:rPr>
        <w:t> </w:t>
      </w:r>
      <w:r>
        <w:rPr/>
        <w:t>calidad</w:t>
      </w:r>
      <w:r>
        <w:rPr>
          <w:spacing w:val="-12"/>
        </w:rPr>
        <w:t> </w:t>
      </w:r>
      <w:r>
        <w:rPr/>
        <w:t>y</w:t>
      </w:r>
      <w:r>
        <w:rPr>
          <w:spacing w:val="-14"/>
        </w:rPr>
        <w:t> </w:t>
      </w:r>
      <w:r>
        <w:rPr/>
        <w:t>exactitud</w:t>
      </w:r>
      <w:r>
        <w:rPr>
          <w:spacing w:val="-12"/>
        </w:rPr>
        <w:t> </w:t>
      </w:r>
      <w:r>
        <w:rPr/>
        <w:t>de</w:t>
      </w:r>
      <w:r>
        <w:rPr>
          <w:spacing w:val="-12"/>
        </w:rPr>
        <w:t> </w:t>
      </w:r>
      <w:r>
        <w:rPr/>
        <w:t>la</w:t>
      </w:r>
      <w:r>
        <w:rPr>
          <w:spacing w:val="-12"/>
        </w:rPr>
        <w:t> </w:t>
      </w:r>
      <w:r>
        <w:rPr/>
        <w:t>información,</w:t>
      </w:r>
      <w:r>
        <w:rPr>
          <w:spacing w:val="-9"/>
        </w:rPr>
        <w:t> </w:t>
      </w:r>
      <w:r>
        <w:rPr/>
        <w:t>la</w:t>
      </w:r>
      <w:r>
        <w:rPr>
          <w:spacing w:val="-12"/>
        </w:rPr>
        <w:t> </w:t>
      </w:r>
      <w:r>
        <w:rPr/>
        <w:t>dificultad</w:t>
      </w:r>
      <w:r>
        <w:rPr>
          <w:spacing w:val="-12"/>
        </w:rPr>
        <w:t> </w:t>
      </w:r>
      <w:r>
        <w:rPr/>
        <w:t>para</w:t>
      </w:r>
      <w:r>
        <w:rPr>
          <w:spacing w:val="-12"/>
        </w:rPr>
        <w:t> </w:t>
      </w:r>
      <w:r>
        <w:rPr/>
        <w:t>verificar</w:t>
      </w:r>
      <w:r>
        <w:rPr>
          <w:spacing w:val="-10"/>
        </w:rPr>
        <w:t> </w:t>
      </w:r>
      <w:r>
        <w:rPr/>
        <w:t>la</w:t>
      </w:r>
      <w:r>
        <w:rPr>
          <w:spacing w:val="-12"/>
        </w:rPr>
        <w:t> </w:t>
      </w:r>
      <w:r>
        <w:rPr/>
        <w:t>veracidad</w:t>
      </w:r>
      <w:r>
        <w:rPr>
          <w:spacing w:val="-12"/>
        </w:rPr>
        <w:t> </w:t>
      </w:r>
      <w:r>
        <w:rPr/>
        <w:t>de la información por parte del usuario y la carencia de un sistema coercitivo que limite la mala calidad de la información</w:t>
      </w:r>
      <w:r>
        <w:rPr>
          <w:spacing w:val="-32"/>
        </w:rPr>
        <w:t> </w:t>
      </w:r>
      <w:r>
        <w:rPr/>
        <w:t>proporcionada.</w:t>
      </w: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9736;mso-wrap-distance-left:0;mso-wrap-distance-right:0" from="85.025002pt,19.185865pt" to="229.075002pt,19.185865pt" stroked="true" strokeweight=".79999pt" strokecolor="#000000">
            <w10:wrap type="topAndBottom"/>
          </v:line>
        </w:pict>
      </w:r>
    </w:p>
    <w:p>
      <w:pPr>
        <w:spacing w:line="252" w:lineRule="auto" w:before="65"/>
        <w:ind w:left="120" w:right="122" w:firstLine="0"/>
        <w:jc w:val="both"/>
        <w:rPr>
          <w:sz w:val="16"/>
        </w:rPr>
      </w:pPr>
      <w:r>
        <w:rPr>
          <w:rFonts w:ascii="Calibri" w:hAnsi="Calibri"/>
          <w:position w:val="8"/>
          <w:sz w:val="14"/>
        </w:rPr>
        <w:t>118</w:t>
      </w:r>
      <w:r>
        <w:rPr>
          <w:sz w:val="16"/>
        </w:rPr>
        <w:t>Stiglitz (2002) consideró que la escasa transparencia permite llevar a cabo intereses especiales y sirve para ocultar errores, y que aun cuando las políticas no obedezcan a intereses especiales, el secreto engendra sospechas y socaba la democracia, ya que impide una rendición de cuentas y se omite información para la toma de decisiones.</w:t>
      </w:r>
    </w:p>
    <w:p>
      <w:pPr>
        <w:spacing w:line="196" w:lineRule="exact" w:before="20"/>
        <w:ind w:left="120" w:right="117" w:firstLine="0"/>
        <w:jc w:val="both"/>
        <w:rPr>
          <w:sz w:val="16"/>
        </w:rPr>
      </w:pPr>
      <w:r>
        <w:rPr>
          <w:rFonts w:ascii="Times New Roman" w:hAnsi="Times New Roman"/>
          <w:position w:val="7"/>
          <w:sz w:val="13"/>
        </w:rPr>
        <w:t>119</w:t>
      </w:r>
      <w:r>
        <w:rPr>
          <w:sz w:val="16"/>
        </w:rPr>
        <w:t>Considerado como la regulación jurídica para el acceso a la población sobre la información pública, generada por las instituciones del Estado. (Salazar, 2008: 227).</w:t>
      </w:r>
    </w:p>
    <w:p>
      <w:pPr>
        <w:spacing w:line="192" w:lineRule="exact" w:before="27"/>
        <w:ind w:left="120" w:right="114" w:firstLine="0"/>
        <w:jc w:val="both"/>
        <w:rPr>
          <w:sz w:val="16"/>
        </w:rPr>
      </w:pPr>
      <w:r>
        <w:rPr>
          <w:rFonts w:ascii="Times New Roman"/>
          <w:position w:val="7"/>
          <w:sz w:val="13"/>
        </w:rPr>
        <w:t>120</w:t>
      </w:r>
      <w:r>
        <w:rPr>
          <w:sz w:val="16"/>
        </w:rPr>
        <w:t>Disponible</w:t>
      </w:r>
      <w:r>
        <w:rPr>
          <w:spacing w:val="-9"/>
          <w:sz w:val="16"/>
        </w:rPr>
        <w:t> </w:t>
      </w:r>
      <w:r>
        <w:rPr>
          <w:sz w:val="16"/>
        </w:rPr>
        <w:t>en:</w:t>
      </w:r>
      <w:r>
        <w:rPr>
          <w:spacing w:val="-4"/>
          <w:sz w:val="16"/>
        </w:rPr>
        <w:t> </w:t>
      </w:r>
      <w:hyperlink r:id="rId186">
        <w:r>
          <w:rPr>
            <w:color w:val="0000FF"/>
            <w:sz w:val="16"/>
            <w:u w:val="single" w:color="0000FF"/>
          </w:rPr>
          <w:t>http://www.indetec.gob.mx/Publicaciones/Productos/Trimestre99.pdf</w:t>
        </w:r>
        <w:r>
          <w:rPr>
            <w:sz w:val="16"/>
          </w:rPr>
          <w:t>,</w:t>
        </w:r>
      </w:hyperlink>
      <w:r>
        <w:rPr>
          <w:spacing w:val="-8"/>
          <w:sz w:val="16"/>
        </w:rPr>
        <w:t> </w:t>
      </w:r>
      <w:r>
        <w:rPr>
          <w:sz w:val="16"/>
        </w:rPr>
        <w:t>p.</w:t>
      </w:r>
      <w:r>
        <w:rPr>
          <w:spacing w:val="-8"/>
          <w:sz w:val="16"/>
        </w:rPr>
        <w:t> </w:t>
      </w:r>
      <w:r>
        <w:rPr>
          <w:sz w:val="16"/>
        </w:rPr>
        <w:t>194.</w:t>
      </w:r>
      <w:r>
        <w:rPr>
          <w:spacing w:val="-8"/>
          <w:sz w:val="16"/>
        </w:rPr>
        <w:t> </w:t>
      </w:r>
      <w:r>
        <w:rPr>
          <w:sz w:val="16"/>
        </w:rPr>
        <w:t>[Fecha</w:t>
      </w:r>
      <w:r>
        <w:rPr>
          <w:spacing w:val="-9"/>
          <w:sz w:val="16"/>
        </w:rPr>
        <w:t> </w:t>
      </w:r>
      <w:r>
        <w:rPr>
          <w:sz w:val="16"/>
        </w:rPr>
        <w:t>de</w:t>
      </w:r>
      <w:r>
        <w:rPr>
          <w:spacing w:val="-8"/>
          <w:sz w:val="16"/>
        </w:rPr>
        <w:t> </w:t>
      </w:r>
      <w:r>
        <w:rPr>
          <w:sz w:val="16"/>
        </w:rPr>
        <w:t>consulta:</w:t>
      </w:r>
      <w:r>
        <w:rPr>
          <w:spacing w:val="-8"/>
          <w:sz w:val="16"/>
        </w:rPr>
        <w:t> </w:t>
      </w:r>
      <w:r>
        <w:rPr>
          <w:sz w:val="16"/>
        </w:rPr>
        <w:t>30</w:t>
      </w:r>
      <w:r>
        <w:rPr>
          <w:spacing w:val="-5"/>
          <w:sz w:val="16"/>
        </w:rPr>
        <w:t> </w:t>
      </w:r>
      <w:r>
        <w:rPr>
          <w:spacing w:val="-3"/>
          <w:sz w:val="16"/>
        </w:rPr>
        <w:t>de </w:t>
      </w:r>
      <w:r>
        <w:rPr>
          <w:sz w:val="16"/>
        </w:rPr>
        <w:t>diciembre,</w:t>
      </w:r>
      <w:r>
        <w:rPr>
          <w:spacing w:val="-8"/>
          <w:sz w:val="16"/>
        </w:rPr>
        <w:t> </w:t>
      </w:r>
      <w:r>
        <w:rPr>
          <w:sz w:val="16"/>
        </w:rPr>
        <w:t>2015]</w:t>
      </w:r>
    </w:p>
    <w:p>
      <w:pPr>
        <w:spacing w:line="196" w:lineRule="exact" w:before="25"/>
        <w:ind w:left="120" w:right="124" w:firstLine="0"/>
        <w:jc w:val="both"/>
        <w:rPr>
          <w:sz w:val="16"/>
        </w:rPr>
      </w:pPr>
      <w:r>
        <w:rPr>
          <w:rFonts w:ascii="Times New Roman" w:hAnsi="Times New Roman"/>
          <w:position w:val="7"/>
          <w:sz w:val="13"/>
        </w:rPr>
        <w:t>121</w:t>
      </w:r>
      <w:r>
        <w:rPr>
          <w:sz w:val="16"/>
        </w:rPr>
        <w:t>En 1995se previó dar independencia a los órganos internos de control para que éstos no fueran juez y parte en la lucha contra la corrupción.</w:t>
      </w:r>
    </w:p>
    <w:p>
      <w:pPr>
        <w:spacing w:line="192" w:lineRule="exact" w:before="27"/>
        <w:ind w:left="120" w:right="122" w:firstLine="0"/>
        <w:jc w:val="both"/>
        <w:rPr>
          <w:sz w:val="16"/>
        </w:rPr>
      </w:pPr>
      <w:r>
        <w:rPr>
          <w:rFonts w:ascii="Times New Roman" w:hAnsi="Times New Roman"/>
          <w:position w:val="7"/>
          <w:sz w:val="13"/>
        </w:rPr>
        <w:t>122</w:t>
      </w:r>
      <w:r>
        <w:rPr>
          <w:sz w:val="16"/>
        </w:rPr>
        <w:t>Acuerdo por el que se establecen los lineamientos para la promoción y operación de la Contraloría Social en los programas federales de desarrollo social. Publicado el 11 de abril de 2008 en el DOF.</w:t>
      </w:r>
    </w:p>
    <w:p>
      <w:pPr>
        <w:spacing w:after="0" w:line="192" w:lineRule="exact"/>
        <w:jc w:val="both"/>
        <w:rPr>
          <w:sz w:val="16"/>
        </w:rPr>
        <w:sectPr>
          <w:pgSz w:w="11910" w:h="16840"/>
          <w:pgMar w:header="0" w:footer="998" w:top="1360" w:bottom="1180" w:left="1580" w:right="1580"/>
        </w:sectPr>
      </w:pPr>
    </w:p>
    <w:p>
      <w:pPr>
        <w:pStyle w:val="BodyText"/>
        <w:spacing w:line="357" w:lineRule="auto" w:before="39"/>
        <w:ind w:left="220" w:right="231" w:firstLine="427"/>
        <w:jc w:val="both"/>
        <w:rPr>
          <w:sz w:val="16"/>
        </w:rPr>
      </w:pPr>
      <w:r>
        <w:rPr/>
        <w:t>De acuerdo con el estudio del CIDE, el problema de la transparencia en el país refleja un problema legal y estructural del Estado, que conlleva a fortalecer a las instituciones que aseguren una mejor calidad informativa.</w:t>
      </w:r>
      <w:r>
        <w:rPr>
          <w:position w:val="8"/>
          <w:sz w:val="16"/>
        </w:rPr>
        <w:t>123</w:t>
      </w:r>
    </w:p>
    <w:p>
      <w:pPr>
        <w:pStyle w:val="BodyText"/>
        <w:spacing w:line="360" w:lineRule="auto" w:before="5"/>
        <w:ind w:left="220" w:right="312" w:firstLine="427"/>
        <w:jc w:val="both"/>
      </w:pPr>
      <w:r>
        <w:rPr/>
        <w:t>En</w:t>
      </w:r>
      <w:r>
        <w:rPr>
          <w:spacing w:val="-13"/>
        </w:rPr>
        <w:t> </w:t>
      </w:r>
      <w:r>
        <w:rPr/>
        <w:t>el</w:t>
      </w:r>
      <w:r>
        <w:rPr>
          <w:spacing w:val="-8"/>
        </w:rPr>
        <w:t> </w:t>
      </w:r>
      <w:r>
        <w:rPr/>
        <w:t>panorama</w:t>
      </w:r>
      <w:r>
        <w:rPr>
          <w:spacing w:val="-9"/>
        </w:rPr>
        <w:t> </w:t>
      </w:r>
      <w:r>
        <w:rPr/>
        <w:t>internacional,</w:t>
      </w:r>
      <w:r>
        <w:rPr>
          <w:spacing w:val="-10"/>
        </w:rPr>
        <w:t> </w:t>
      </w:r>
      <w:r>
        <w:rPr/>
        <w:t>los</w:t>
      </w:r>
      <w:r>
        <w:rPr>
          <w:spacing w:val="-11"/>
        </w:rPr>
        <w:t> </w:t>
      </w:r>
      <w:r>
        <w:rPr/>
        <w:t>países</w:t>
      </w:r>
      <w:r>
        <w:rPr>
          <w:spacing w:val="-11"/>
        </w:rPr>
        <w:t> </w:t>
      </w:r>
      <w:r>
        <w:rPr/>
        <w:t>americanos</w:t>
      </w:r>
      <w:r>
        <w:rPr>
          <w:spacing w:val="-11"/>
        </w:rPr>
        <w:t> </w:t>
      </w:r>
      <w:r>
        <w:rPr/>
        <w:t>avanzados</w:t>
      </w:r>
      <w:r>
        <w:rPr>
          <w:spacing w:val="-11"/>
        </w:rPr>
        <w:t> </w:t>
      </w:r>
      <w:r>
        <w:rPr/>
        <w:t>(Canadá</w:t>
      </w:r>
      <w:r>
        <w:rPr>
          <w:spacing w:val="-9"/>
        </w:rPr>
        <w:t> </w:t>
      </w:r>
      <w:r>
        <w:rPr/>
        <w:t>y Estados Unidos) y europeos (en específico los nórdicos) se anticiparon a los cambios generales: mantuvieron una disciplina en el trabajo parlamentario, establecieron</w:t>
      </w:r>
      <w:r>
        <w:rPr>
          <w:spacing w:val="-5"/>
        </w:rPr>
        <w:t> </w:t>
      </w:r>
      <w:r>
        <w:rPr/>
        <w:t>mecanismos</w:t>
      </w:r>
      <w:r>
        <w:rPr>
          <w:spacing w:val="-7"/>
        </w:rPr>
        <w:t> </w:t>
      </w:r>
      <w:r>
        <w:rPr/>
        <w:t>para</w:t>
      </w:r>
      <w:r>
        <w:rPr>
          <w:spacing w:val="-4"/>
        </w:rPr>
        <w:t> </w:t>
      </w:r>
      <w:r>
        <w:rPr/>
        <w:t>una</w:t>
      </w:r>
      <w:r>
        <w:rPr>
          <w:spacing w:val="-5"/>
        </w:rPr>
        <w:t> </w:t>
      </w:r>
      <w:r>
        <w:rPr/>
        <w:t>efectiva</w:t>
      </w:r>
      <w:r>
        <w:rPr>
          <w:spacing w:val="-9"/>
        </w:rPr>
        <w:t> </w:t>
      </w:r>
      <w:r>
        <w:rPr/>
        <w:t>división</w:t>
      </w:r>
      <w:r>
        <w:rPr>
          <w:spacing w:val="-9"/>
        </w:rPr>
        <w:t> </w:t>
      </w:r>
      <w:r>
        <w:rPr/>
        <w:t>de</w:t>
      </w:r>
      <w:r>
        <w:rPr>
          <w:spacing w:val="-9"/>
        </w:rPr>
        <w:t> </w:t>
      </w:r>
      <w:r>
        <w:rPr/>
        <w:t>poderes</w:t>
      </w:r>
      <w:r>
        <w:rPr>
          <w:spacing w:val="-7"/>
        </w:rPr>
        <w:t> </w:t>
      </w:r>
      <w:r>
        <w:rPr/>
        <w:t>y</w:t>
      </w:r>
      <w:r>
        <w:rPr>
          <w:spacing w:val="-11"/>
        </w:rPr>
        <w:t> </w:t>
      </w:r>
      <w:r>
        <w:rPr/>
        <w:t>rendición</w:t>
      </w:r>
      <w:r>
        <w:rPr>
          <w:spacing w:val="-5"/>
        </w:rPr>
        <w:t> </w:t>
      </w:r>
      <w:r>
        <w:rPr/>
        <w:t>de cuentas.</w:t>
      </w:r>
    </w:p>
    <w:p>
      <w:pPr>
        <w:pStyle w:val="BodyText"/>
        <w:spacing w:line="360" w:lineRule="auto" w:before="2"/>
        <w:ind w:left="220" w:right="312" w:firstLine="427"/>
        <w:jc w:val="both"/>
        <w:rPr>
          <w:sz w:val="16"/>
        </w:rPr>
      </w:pPr>
      <w:r>
        <w:rPr/>
        <w:t>Lo anterior les permitió a éstos países perfeccionar el alcance de las auditorías</w:t>
      </w:r>
      <w:r>
        <w:rPr>
          <w:spacing w:val="-12"/>
        </w:rPr>
        <w:t> </w:t>
      </w:r>
      <w:r>
        <w:rPr/>
        <w:t>de</w:t>
      </w:r>
      <w:r>
        <w:rPr>
          <w:spacing w:val="-14"/>
        </w:rPr>
        <w:t> </w:t>
      </w:r>
      <w:r>
        <w:rPr/>
        <w:t>desempeño</w:t>
      </w:r>
      <w:r>
        <w:rPr>
          <w:spacing w:val="-10"/>
        </w:rPr>
        <w:t> </w:t>
      </w:r>
      <w:r>
        <w:rPr/>
        <w:t>y</w:t>
      </w:r>
      <w:r>
        <w:rPr>
          <w:spacing w:val="-16"/>
        </w:rPr>
        <w:t> </w:t>
      </w:r>
      <w:r>
        <w:rPr/>
        <w:t>con</w:t>
      </w:r>
      <w:r>
        <w:rPr>
          <w:spacing w:val="-14"/>
        </w:rPr>
        <w:t> </w:t>
      </w:r>
      <w:r>
        <w:rPr/>
        <w:t>ello</w:t>
      </w:r>
      <w:r>
        <w:rPr>
          <w:spacing w:val="-14"/>
        </w:rPr>
        <w:t> </w:t>
      </w:r>
      <w:r>
        <w:rPr/>
        <w:t>una</w:t>
      </w:r>
      <w:r>
        <w:rPr>
          <w:spacing w:val="-14"/>
        </w:rPr>
        <w:t> </w:t>
      </w:r>
      <w:r>
        <w:rPr/>
        <w:t>mejor</w:t>
      </w:r>
      <w:r>
        <w:rPr>
          <w:spacing w:val="-12"/>
        </w:rPr>
        <w:t> </w:t>
      </w:r>
      <w:r>
        <w:rPr/>
        <w:t>medición</w:t>
      </w:r>
      <w:r>
        <w:rPr>
          <w:spacing w:val="-14"/>
        </w:rPr>
        <w:t> </w:t>
      </w:r>
      <w:r>
        <w:rPr/>
        <w:t>de</w:t>
      </w:r>
      <w:r>
        <w:rPr>
          <w:spacing w:val="-14"/>
        </w:rPr>
        <w:t> </w:t>
      </w:r>
      <w:r>
        <w:rPr/>
        <w:t>los</w:t>
      </w:r>
      <w:r>
        <w:rPr>
          <w:spacing w:val="-12"/>
        </w:rPr>
        <w:t> </w:t>
      </w:r>
      <w:r>
        <w:rPr/>
        <w:t>resultados</w:t>
      </w:r>
      <w:r>
        <w:rPr>
          <w:spacing w:val="-12"/>
        </w:rPr>
        <w:t> </w:t>
      </w:r>
      <w:r>
        <w:rPr/>
        <w:t>de</w:t>
      </w:r>
      <w:r>
        <w:rPr>
          <w:spacing w:val="-14"/>
        </w:rPr>
        <w:t> </w:t>
      </w:r>
      <w:r>
        <w:rPr/>
        <w:t>las políticas públicas, lo que la ONU los clasifica como naciones con muy altos índices de desarrollo</w:t>
      </w:r>
      <w:r>
        <w:rPr>
          <w:spacing w:val="-14"/>
        </w:rPr>
        <w:t> </w:t>
      </w:r>
      <w:r>
        <w:rPr/>
        <w:t>humano.</w:t>
      </w:r>
      <w:r>
        <w:rPr>
          <w:position w:val="8"/>
          <w:sz w:val="16"/>
        </w:rPr>
        <w:t>124</w:t>
      </w:r>
    </w:p>
    <w:p>
      <w:pPr>
        <w:pStyle w:val="BodyText"/>
        <w:spacing w:line="360" w:lineRule="auto"/>
        <w:ind w:left="220" w:right="223" w:firstLine="427"/>
        <w:jc w:val="both"/>
      </w:pPr>
      <w:r>
        <w:rPr/>
        <w:t>Respecto</w:t>
      </w:r>
      <w:r>
        <w:rPr>
          <w:spacing w:val="-9"/>
        </w:rPr>
        <w:t> </w:t>
      </w:r>
      <w:r>
        <w:rPr/>
        <w:t>a</w:t>
      </w:r>
      <w:r>
        <w:rPr>
          <w:spacing w:val="-9"/>
        </w:rPr>
        <w:t> </w:t>
      </w:r>
      <w:r>
        <w:rPr/>
        <w:t>la</w:t>
      </w:r>
      <w:r>
        <w:rPr>
          <w:spacing w:val="-9"/>
        </w:rPr>
        <w:t> </w:t>
      </w:r>
      <w:r>
        <w:rPr/>
        <w:t>legislación</w:t>
      </w:r>
      <w:r>
        <w:rPr>
          <w:spacing w:val="-9"/>
        </w:rPr>
        <w:t> </w:t>
      </w:r>
      <w:r>
        <w:rPr/>
        <w:t>de</w:t>
      </w:r>
      <w:r>
        <w:rPr>
          <w:spacing w:val="-9"/>
        </w:rPr>
        <w:t> </w:t>
      </w:r>
      <w:r>
        <w:rPr/>
        <w:t>rendición</w:t>
      </w:r>
      <w:r>
        <w:rPr>
          <w:spacing w:val="-9"/>
        </w:rPr>
        <w:t> </w:t>
      </w:r>
      <w:r>
        <w:rPr/>
        <w:t>de</w:t>
      </w:r>
      <w:r>
        <w:rPr>
          <w:spacing w:val="-9"/>
        </w:rPr>
        <w:t> </w:t>
      </w:r>
      <w:r>
        <w:rPr/>
        <w:t>cuentas</w:t>
      </w:r>
      <w:r>
        <w:rPr>
          <w:spacing w:val="-8"/>
        </w:rPr>
        <w:t> </w:t>
      </w:r>
      <w:r>
        <w:rPr/>
        <w:t>en</w:t>
      </w:r>
      <w:r>
        <w:rPr>
          <w:spacing w:val="-9"/>
        </w:rPr>
        <w:t> </w:t>
      </w:r>
      <w:r>
        <w:rPr/>
        <w:t>México,</w:t>
      </w:r>
      <w:r>
        <w:rPr>
          <w:spacing w:val="-7"/>
        </w:rPr>
        <w:t> </w:t>
      </w:r>
      <w:r>
        <w:rPr/>
        <w:t>en</w:t>
      </w:r>
      <w:r>
        <w:rPr>
          <w:spacing w:val="-9"/>
        </w:rPr>
        <w:t> </w:t>
      </w:r>
      <w:r>
        <w:rPr/>
        <w:t>el</w:t>
      </w:r>
      <w:r>
        <w:rPr>
          <w:spacing w:val="-8"/>
        </w:rPr>
        <w:t> </w:t>
      </w:r>
      <w:r>
        <w:rPr/>
        <w:t>año</w:t>
      </w:r>
      <w:r>
        <w:rPr>
          <w:spacing w:val="-9"/>
        </w:rPr>
        <w:t> </w:t>
      </w:r>
      <w:r>
        <w:rPr/>
        <w:t>2000 se expidió la LFSF y se derogó en 2009 al promulgarse la LFRCF, con 18 artículos </w:t>
      </w:r>
      <w:r>
        <w:rPr>
          <w:spacing w:val="-2"/>
        </w:rPr>
        <w:t>más </w:t>
      </w:r>
      <w:r>
        <w:rPr/>
        <w:t>que la anterior. Con ello se buscó sentar los principios de anualidad y posterioridad de la revisión. Entre los cambios </w:t>
      </w:r>
      <w:r>
        <w:rPr>
          <w:spacing w:val="-2"/>
        </w:rPr>
        <w:t>más </w:t>
      </w:r>
      <w:r>
        <w:rPr/>
        <w:t>relevantes entre la LFRCF y la LFSF destacan los</w:t>
      </w:r>
      <w:r>
        <w:rPr>
          <w:spacing w:val="-28"/>
        </w:rPr>
        <w:t> </w:t>
      </w:r>
      <w:r>
        <w:rPr/>
        <w:t>siguientes:</w:t>
      </w:r>
    </w:p>
    <w:p>
      <w:pPr>
        <w:pStyle w:val="BodyText"/>
      </w:pPr>
    </w:p>
    <w:p>
      <w:pPr>
        <w:spacing w:line="451" w:lineRule="auto" w:before="139" w:after="5"/>
        <w:ind w:left="1641" w:right="1184" w:hanging="444"/>
        <w:jc w:val="left"/>
        <w:rPr>
          <w:sz w:val="20"/>
        </w:rPr>
      </w:pPr>
      <w:bookmarkStart w:name="_bookmark77" w:id="104"/>
      <w:bookmarkEnd w:id="104"/>
      <w:r>
        <w:rPr/>
      </w:r>
      <w:r>
        <w:rPr>
          <w:sz w:val="20"/>
        </w:rPr>
        <w:t>Cuadro 4. 1. Cambios y adiciones a la legislación de rendición de cuentas (Ley de Fiscalización y Rendición de Cuentas de la Federación)</w:t>
      </w:r>
    </w:p>
    <w:tbl>
      <w:tblPr>
        <w:tblW w:w="0" w:type="auto"/>
        <w:jc w:val="left"/>
        <w:tblInd w:w="116" w:type="dxa"/>
        <w:tblBorders>
          <w:top w:val="single" w:sz="11" w:space="0" w:color="BEBEBE"/>
          <w:left w:val="single" w:sz="11" w:space="0" w:color="BEBEBE"/>
          <w:bottom w:val="single" w:sz="11" w:space="0" w:color="BEBEBE"/>
          <w:right w:val="single" w:sz="11" w:space="0" w:color="BEBEBE"/>
          <w:insideH w:val="single" w:sz="11" w:space="0" w:color="BEBEBE"/>
          <w:insideV w:val="single" w:sz="11" w:space="0" w:color="BEBEBE"/>
        </w:tblBorders>
        <w:tblLayout w:type="fixed"/>
        <w:tblCellMar>
          <w:top w:w="0" w:type="dxa"/>
          <w:left w:w="0" w:type="dxa"/>
          <w:bottom w:w="0" w:type="dxa"/>
          <w:right w:w="0" w:type="dxa"/>
        </w:tblCellMar>
        <w:tblLook w:val="01E0"/>
      </w:tblPr>
      <w:tblGrid>
        <w:gridCol w:w="924"/>
        <w:gridCol w:w="7760"/>
      </w:tblGrid>
      <w:tr>
        <w:trPr>
          <w:trHeight w:val="192" w:hRule="exact"/>
        </w:trPr>
        <w:tc>
          <w:tcPr>
            <w:tcW w:w="924" w:type="dxa"/>
          </w:tcPr>
          <w:p>
            <w:pPr>
              <w:pStyle w:val="TableParagraph"/>
              <w:spacing w:line="158" w:lineRule="exact"/>
              <w:ind w:left="119" w:right="208"/>
              <w:jc w:val="center"/>
              <w:rPr>
                <w:b/>
                <w:sz w:val="14"/>
              </w:rPr>
            </w:pPr>
            <w:r>
              <w:rPr>
                <w:b/>
                <w:sz w:val="14"/>
              </w:rPr>
              <w:t>Artículo</w:t>
            </w:r>
          </w:p>
        </w:tc>
        <w:tc>
          <w:tcPr>
            <w:tcW w:w="7760" w:type="dxa"/>
          </w:tcPr>
          <w:p>
            <w:pPr>
              <w:pStyle w:val="TableParagraph"/>
              <w:spacing w:line="158" w:lineRule="exact"/>
              <w:ind w:left="3475" w:right="3562"/>
              <w:jc w:val="center"/>
              <w:rPr>
                <w:b/>
                <w:sz w:val="14"/>
              </w:rPr>
            </w:pPr>
            <w:r>
              <w:rPr>
                <w:b/>
                <w:sz w:val="14"/>
              </w:rPr>
              <w:t>Abstracto</w:t>
            </w:r>
          </w:p>
        </w:tc>
      </w:tr>
      <w:tr>
        <w:trPr>
          <w:trHeight w:val="343" w:hRule="exact"/>
        </w:trPr>
        <w:tc>
          <w:tcPr>
            <w:tcW w:w="924" w:type="dxa"/>
          </w:tcPr>
          <w:p>
            <w:pPr>
              <w:pStyle w:val="TableParagraph"/>
              <w:spacing w:before="73"/>
              <w:ind w:right="88"/>
              <w:jc w:val="center"/>
              <w:rPr>
                <w:b/>
                <w:sz w:val="14"/>
              </w:rPr>
            </w:pPr>
            <w:r>
              <w:rPr>
                <w:b/>
                <w:w w:val="99"/>
                <w:sz w:val="14"/>
              </w:rPr>
              <w:t>1</w:t>
            </w:r>
          </w:p>
        </w:tc>
        <w:tc>
          <w:tcPr>
            <w:tcW w:w="7760" w:type="dxa"/>
            <w:tcBorders>
              <w:bottom w:val="single" w:sz="3" w:space="0" w:color="000000"/>
              <w:right w:val="single" w:sz="3" w:space="0" w:color="000000"/>
            </w:tcBorders>
          </w:tcPr>
          <w:p>
            <w:pPr>
              <w:pStyle w:val="TableParagraph"/>
              <w:spacing w:line="244" w:lineRule="auto"/>
              <w:ind w:left="95" w:right="172"/>
              <w:rPr>
                <w:sz w:val="14"/>
              </w:rPr>
            </w:pPr>
            <w:r>
              <w:rPr>
                <w:sz w:val="14"/>
              </w:rPr>
              <w:t>El objeto de la ley es “reglamentar” (ya no “regular”) los artículos 74 fracciones II y VI y 79 de la Constitución Política d e los Estados Unidos Mexicanos.</w:t>
            </w:r>
          </w:p>
        </w:tc>
      </w:tr>
      <w:tr>
        <w:trPr>
          <w:trHeight w:val="192" w:hRule="exact"/>
        </w:trPr>
        <w:tc>
          <w:tcPr>
            <w:tcW w:w="924" w:type="dxa"/>
          </w:tcPr>
          <w:p>
            <w:pPr>
              <w:pStyle w:val="TableParagraph"/>
              <w:spacing w:before="2"/>
              <w:ind w:right="88"/>
              <w:jc w:val="center"/>
              <w:rPr>
                <w:b/>
                <w:sz w:val="14"/>
              </w:rPr>
            </w:pPr>
            <w:r>
              <w:rPr>
                <w:b/>
                <w:w w:val="99"/>
                <w:sz w:val="14"/>
              </w:rPr>
              <w:t>2</w:t>
            </w:r>
          </w:p>
        </w:tc>
        <w:tc>
          <w:tcPr>
            <w:tcW w:w="7760" w:type="dxa"/>
            <w:tcBorders>
              <w:top w:val="single" w:sz="3" w:space="0" w:color="000000"/>
              <w:bottom w:val="single" w:sz="3" w:space="0" w:color="000000"/>
              <w:right w:val="single" w:sz="3" w:space="0" w:color="000000"/>
            </w:tcBorders>
          </w:tcPr>
          <w:p>
            <w:pPr>
              <w:pStyle w:val="TableParagraph"/>
              <w:spacing w:before="16"/>
              <w:ind w:left="95" w:right="172"/>
              <w:rPr>
                <w:sz w:val="14"/>
              </w:rPr>
            </w:pPr>
            <w:r>
              <w:rPr>
                <w:sz w:val="14"/>
              </w:rPr>
              <w:t>Se amplió la definición de “entidades fiscalizadas” y las leyes y disposiciones que aplicarán supletoriamente a la Ley.</w:t>
            </w:r>
          </w:p>
        </w:tc>
      </w:tr>
      <w:tr>
        <w:trPr>
          <w:trHeight w:val="352" w:hRule="exact"/>
        </w:trPr>
        <w:tc>
          <w:tcPr>
            <w:tcW w:w="924" w:type="dxa"/>
          </w:tcPr>
          <w:p>
            <w:pPr>
              <w:pStyle w:val="TableParagraph"/>
              <w:spacing w:before="82"/>
              <w:ind w:right="88"/>
              <w:jc w:val="center"/>
              <w:rPr>
                <w:b/>
                <w:sz w:val="14"/>
              </w:rPr>
            </w:pPr>
            <w:r>
              <w:rPr>
                <w:b/>
                <w:w w:val="99"/>
                <w:sz w:val="14"/>
              </w:rPr>
              <w:t>5</w:t>
            </w:r>
          </w:p>
        </w:tc>
        <w:tc>
          <w:tcPr>
            <w:tcW w:w="7760" w:type="dxa"/>
            <w:tcBorders>
              <w:top w:val="single" w:sz="3" w:space="0" w:color="000000"/>
              <w:bottom w:val="single" w:sz="3" w:space="0" w:color="000000"/>
              <w:right w:val="single" w:sz="3" w:space="0" w:color="000000"/>
            </w:tcBorders>
          </w:tcPr>
          <w:p>
            <w:pPr>
              <w:pStyle w:val="TableParagraph"/>
              <w:spacing w:before="16"/>
              <w:ind w:left="95" w:right="172"/>
              <w:rPr>
                <w:sz w:val="14"/>
              </w:rPr>
            </w:pPr>
            <w:r>
              <w:rPr>
                <w:sz w:val="14"/>
              </w:rPr>
              <w:t>La ASF está obligada a publicar en el DOF los criterios para la ejecución de auditorías, de acuerdo con las normas profesionales de la INTOSAI.</w:t>
            </w:r>
          </w:p>
        </w:tc>
      </w:tr>
      <w:tr>
        <w:trPr>
          <w:trHeight w:val="352" w:hRule="exact"/>
        </w:trPr>
        <w:tc>
          <w:tcPr>
            <w:tcW w:w="924" w:type="dxa"/>
          </w:tcPr>
          <w:p>
            <w:pPr>
              <w:pStyle w:val="TableParagraph"/>
              <w:spacing w:before="82"/>
              <w:ind w:right="88"/>
              <w:jc w:val="center"/>
              <w:rPr>
                <w:b/>
                <w:sz w:val="14"/>
              </w:rPr>
            </w:pPr>
            <w:r>
              <w:rPr>
                <w:b/>
                <w:w w:val="99"/>
                <w:sz w:val="14"/>
              </w:rPr>
              <w:t>6</w:t>
            </w:r>
          </w:p>
        </w:tc>
        <w:tc>
          <w:tcPr>
            <w:tcW w:w="7760" w:type="dxa"/>
            <w:tcBorders>
              <w:top w:val="single" w:sz="3" w:space="0" w:color="000000"/>
              <w:bottom w:val="single" w:sz="3" w:space="0" w:color="000000"/>
              <w:right w:val="single" w:sz="3" w:space="0" w:color="000000"/>
            </w:tcBorders>
          </w:tcPr>
          <w:p>
            <w:pPr>
              <w:pStyle w:val="TableParagraph"/>
              <w:spacing w:before="16"/>
              <w:ind w:left="95" w:right="172"/>
              <w:rPr>
                <w:sz w:val="14"/>
              </w:rPr>
            </w:pPr>
            <w:r>
              <w:rPr>
                <w:sz w:val="14"/>
              </w:rPr>
              <w:t>La ASF está facultada para imponer multas a los servidores públicos o particulares cuando no se atiendan sus requerimientos de información.</w:t>
            </w:r>
          </w:p>
        </w:tc>
      </w:tr>
      <w:tr>
        <w:trPr>
          <w:trHeight w:val="188" w:hRule="exact"/>
        </w:trPr>
        <w:tc>
          <w:tcPr>
            <w:tcW w:w="924" w:type="dxa"/>
          </w:tcPr>
          <w:p>
            <w:pPr>
              <w:pStyle w:val="TableParagraph"/>
              <w:spacing w:before="3"/>
              <w:ind w:left="114" w:right="208"/>
              <w:jc w:val="center"/>
              <w:rPr>
                <w:b/>
                <w:sz w:val="14"/>
              </w:rPr>
            </w:pPr>
            <w:r>
              <w:rPr>
                <w:b/>
                <w:sz w:val="14"/>
              </w:rPr>
              <w:t>12</w:t>
            </w:r>
          </w:p>
        </w:tc>
        <w:tc>
          <w:tcPr>
            <w:tcW w:w="7760" w:type="dxa"/>
            <w:tcBorders>
              <w:top w:val="single" w:sz="3" w:space="0" w:color="000000"/>
              <w:bottom w:val="single" w:sz="3" w:space="0" w:color="000000"/>
              <w:right w:val="single" w:sz="3" w:space="0" w:color="000000"/>
            </w:tcBorders>
          </w:tcPr>
          <w:p>
            <w:pPr>
              <w:pStyle w:val="TableParagraph"/>
              <w:spacing w:before="17"/>
              <w:ind w:left="95" w:right="172"/>
              <w:rPr>
                <w:sz w:val="14"/>
              </w:rPr>
            </w:pPr>
            <w:r>
              <w:rPr>
                <w:sz w:val="14"/>
              </w:rPr>
              <w:t>Se amplió y se precisó el objeto de fiscalización de la Cuenta Pública.</w:t>
            </w:r>
          </w:p>
        </w:tc>
      </w:tr>
      <w:tr>
        <w:trPr>
          <w:trHeight w:val="192" w:hRule="exact"/>
        </w:trPr>
        <w:tc>
          <w:tcPr>
            <w:tcW w:w="924" w:type="dxa"/>
          </w:tcPr>
          <w:p>
            <w:pPr>
              <w:pStyle w:val="TableParagraph"/>
              <w:spacing w:before="6"/>
              <w:ind w:left="114" w:right="208"/>
              <w:jc w:val="center"/>
              <w:rPr>
                <w:b/>
                <w:sz w:val="14"/>
              </w:rPr>
            </w:pPr>
            <w:r>
              <w:rPr>
                <w:b/>
                <w:sz w:val="14"/>
              </w:rPr>
              <w:t>13</w:t>
            </w:r>
          </w:p>
        </w:tc>
        <w:tc>
          <w:tcPr>
            <w:tcW w:w="7760" w:type="dxa"/>
            <w:tcBorders>
              <w:top w:val="single" w:sz="3" w:space="0" w:color="000000"/>
              <w:bottom w:val="single" w:sz="3" w:space="0" w:color="000000"/>
              <w:right w:val="single" w:sz="3" w:space="0" w:color="000000"/>
            </w:tcBorders>
          </w:tcPr>
          <w:p>
            <w:pPr>
              <w:pStyle w:val="TableParagraph"/>
              <w:spacing w:before="20"/>
              <w:ind w:left="95" w:right="172"/>
              <w:rPr>
                <w:sz w:val="14"/>
              </w:rPr>
            </w:pPr>
            <w:r>
              <w:rPr>
                <w:sz w:val="14"/>
              </w:rPr>
              <w:t>Se establecieron los tipos de acciones promovidas y las recomendaciones con motivo de la fiscalización superior.</w:t>
            </w:r>
          </w:p>
        </w:tc>
      </w:tr>
      <w:tr>
        <w:trPr>
          <w:trHeight w:val="1001" w:hRule="exact"/>
        </w:trPr>
        <w:tc>
          <w:tcPr>
            <w:tcW w:w="924" w:type="dxa"/>
          </w:tcPr>
          <w:p>
            <w:pPr>
              <w:pStyle w:val="TableParagraph"/>
              <w:rPr>
                <w:sz w:val="14"/>
              </w:rPr>
            </w:pPr>
          </w:p>
          <w:p>
            <w:pPr>
              <w:pStyle w:val="TableParagraph"/>
              <w:rPr>
                <w:sz w:val="14"/>
              </w:rPr>
            </w:pPr>
          </w:p>
          <w:p>
            <w:pPr>
              <w:pStyle w:val="TableParagraph"/>
              <w:spacing w:before="84"/>
              <w:ind w:left="114" w:right="208"/>
              <w:jc w:val="center"/>
              <w:rPr>
                <w:b/>
                <w:sz w:val="14"/>
              </w:rPr>
            </w:pPr>
            <w:r>
              <w:rPr>
                <w:b/>
                <w:sz w:val="14"/>
              </w:rPr>
              <w:t>15</w:t>
            </w:r>
          </w:p>
        </w:tc>
        <w:tc>
          <w:tcPr>
            <w:tcW w:w="7760" w:type="dxa"/>
            <w:tcBorders>
              <w:top w:val="single" w:sz="3" w:space="0" w:color="000000"/>
              <w:bottom w:val="single" w:sz="3" w:space="0" w:color="000000"/>
              <w:right w:val="single" w:sz="3" w:space="0" w:color="000000"/>
            </w:tcBorders>
          </w:tcPr>
          <w:p>
            <w:pPr>
              <w:pStyle w:val="TableParagraph"/>
              <w:spacing w:line="160" w:lineRule="exact" w:before="21"/>
              <w:ind w:left="95" w:right="172"/>
              <w:rPr>
                <w:sz w:val="14"/>
              </w:rPr>
            </w:pPr>
            <w:r>
              <w:rPr>
                <w:sz w:val="14"/>
              </w:rPr>
              <w:t>Se precisaron las atribuciones de la ASF para la fiscalización de la Cuenta Pública.</w:t>
            </w:r>
          </w:p>
          <w:p>
            <w:pPr>
              <w:pStyle w:val="TableParagraph"/>
              <w:ind w:left="95" w:right="102"/>
              <w:rPr>
                <w:sz w:val="14"/>
              </w:rPr>
            </w:pPr>
            <w:r>
              <w:rPr>
                <w:sz w:val="14"/>
              </w:rPr>
              <w:t>Se establecieron las atribuciones de la ASF para determinar “daños o perjuicios o ambos” a la Hacienda Pública Federal o al patrimonio de los entes públicos federales o paraestatales.</w:t>
            </w:r>
          </w:p>
          <w:p>
            <w:pPr>
              <w:pStyle w:val="TableParagraph"/>
              <w:spacing w:line="244" w:lineRule="auto"/>
              <w:ind w:left="95" w:right="172"/>
              <w:rPr>
                <w:sz w:val="14"/>
              </w:rPr>
            </w:pPr>
            <w:r>
              <w:rPr>
                <w:sz w:val="14"/>
              </w:rPr>
              <w:t>Se estableció el procedimiento para el finca miento de responsabilidades resarcitorias, la promoción y seguimiento ante las autoridades competentes y la presentación de denuncias y querellas penales.</w:t>
            </w:r>
          </w:p>
          <w:p>
            <w:pPr>
              <w:pStyle w:val="TableParagraph"/>
              <w:spacing w:line="157" w:lineRule="exact"/>
              <w:ind w:left="95" w:right="172"/>
              <w:rPr>
                <w:sz w:val="14"/>
              </w:rPr>
            </w:pPr>
            <w:r>
              <w:rPr>
                <w:sz w:val="14"/>
              </w:rPr>
              <w:t>Se precisaron las facultades de la ASF para fiscalizar la deuda pública.</w:t>
            </w:r>
          </w:p>
        </w:tc>
      </w:tr>
    </w:tbl>
    <w:p>
      <w:pPr>
        <w:pStyle w:val="BodyText"/>
        <w:spacing w:before="8"/>
        <w:rPr>
          <w:sz w:val="18"/>
        </w:rPr>
      </w:pPr>
      <w:r>
        <w:rPr/>
        <w:pict>
          <v:line style="position:absolute;mso-position-horizontal-relative:page;mso-position-vertical-relative:paragraph;z-index:9760;mso-wrap-distance-left:0;mso-wrap-distance-right:0" from="85.025002pt,13.100015pt" to="229.075002pt,13.100015pt" stroked="true" strokeweight=".79999pt" strokecolor="#000000">
            <w10:wrap type="topAndBottom"/>
          </v:line>
        </w:pict>
      </w:r>
    </w:p>
    <w:p>
      <w:pPr>
        <w:spacing w:line="244" w:lineRule="auto" w:before="59"/>
        <w:ind w:left="220" w:right="213" w:firstLine="0"/>
        <w:jc w:val="both"/>
        <w:rPr>
          <w:sz w:val="16"/>
        </w:rPr>
      </w:pPr>
      <w:r>
        <w:rPr>
          <w:rFonts w:ascii="Times New Roman" w:hAnsi="Times New Roman"/>
          <w:position w:val="7"/>
          <w:sz w:val="13"/>
        </w:rPr>
        <w:t>123</w:t>
      </w:r>
      <w:r>
        <w:rPr>
          <w:sz w:val="16"/>
        </w:rPr>
        <w:t>En mayo de 2012 el IFAI dio a conocer las escasas sanciones que ha realizado la SFP por las denuncias de este instituto</w:t>
      </w:r>
      <w:r>
        <w:rPr>
          <w:spacing w:val="-8"/>
          <w:sz w:val="16"/>
        </w:rPr>
        <w:t> </w:t>
      </w:r>
      <w:r>
        <w:rPr>
          <w:sz w:val="16"/>
        </w:rPr>
        <w:t>por</w:t>
      </w:r>
      <w:r>
        <w:rPr>
          <w:spacing w:val="-5"/>
          <w:sz w:val="16"/>
        </w:rPr>
        <w:t> </w:t>
      </w:r>
      <w:r>
        <w:rPr>
          <w:sz w:val="16"/>
        </w:rPr>
        <w:t>el</w:t>
      </w:r>
      <w:r>
        <w:rPr>
          <w:spacing w:val="-7"/>
          <w:sz w:val="16"/>
        </w:rPr>
        <w:t> </w:t>
      </w:r>
      <w:r>
        <w:rPr>
          <w:sz w:val="16"/>
        </w:rPr>
        <w:t>incumplimiento</w:t>
      </w:r>
      <w:r>
        <w:rPr>
          <w:spacing w:val="-8"/>
          <w:sz w:val="16"/>
        </w:rPr>
        <w:t> </w:t>
      </w:r>
      <w:r>
        <w:rPr>
          <w:sz w:val="16"/>
        </w:rPr>
        <w:t>de</w:t>
      </w:r>
      <w:r>
        <w:rPr>
          <w:spacing w:val="-8"/>
          <w:sz w:val="16"/>
        </w:rPr>
        <w:t> </w:t>
      </w:r>
      <w:r>
        <w:rPr>
          <w:sz w:val="16"/>
        </w:rPr>
        <w:t>entrega</w:t>
      </w:r>
      <w:r>
        <w:rPr>
          <w:spacing w:val="-8"/>
          <w:sz w:val="16"/>
        </w:rPr>
        <w:t> </w:t>
      </w:r>
      <w:r>
        <w:rPr>
          <w:sz w:val="16"/>
        </w:rPr>
        <w:t>de</w:t>
      </w:r>
      <w:r>
        <w:rPr>
          <w:spacing w:val="-4"/>
          <w:sz w:val="16"/>
        </w:rPr>
        <w:t> </w:t>
      </w:r>
      <w:r>
        <w:rPr>
          <w:sz w:val="16"/>
        </w:rPr>
        <w:t>información</w:t>
      </w:r>
      <w:r>
        <w:rPr>
          <w:spacing w:val="-4"/>
          <w:sz w:val="16"/>
        </w:rPr>
        <w:t> </w:t>
      </w:r>
      <w:r>
        <w:rPr>
          <w:sz w:val="16"/>
        </w:rPr>
        <w:t>por</w:t>
      </w:r>
      <w:r>
        <w:rPr>
          <w:spacing w:val="-8"/>
          <w:sz w:val="16"/>
        </w:rPr>
        <w:t> </w:t>
      </w:r>
      <w:r>
        <w:rPr>
          <w:sz w:val="16"/>
        </w:rPr>
        <w:t>parte</w:t>
      </w:r>
      <w:r>
        <w:rPr>
          <w:spacing w:val="-6"/>
          <w:sz w:val="16"/>
        </w:rPr>
        <w:t> </w:t>
      </w:r>
      <w:r>
        <w:rPr>
          <w:sz w:val="16"/>
        </w:rPr>
        <w:t>de</w:t>
      </w:r>
      <w:r>
        <w:rPr>
          <w:spacing w:val="-1"/>
          <w:sz w:val="16"/>
        </w:rPr>
        <w:t> </w:t>
      </w:r>
      <w:r>
        <w:rPr>
          <w:sz w:val="16"/>
        </w:rPr>
        <w:t>la</w:t>
      </w:r>
      <w:r>
        <w:rPr>
          <w:spacing w:val="-8"/>
          <w:sz w:val="16"/>
        </w:rPr>
        <w:t> </w:t>
      </w:r>
      <w:r>
        <w:rPr>
          <w:sz w:val="16"/>
        </w:rPr>
        <w:t>Procuraduría</w:t>
      </w:r>
      <w:r>
        <w:rPr>
          <w:spacing w:val="-6"/>
          <w:sz w:val="16"/>
        </w:rPr>
        <w:t> </w:t>
      </w:r>
      <w:r>
        <w:rPr>
          <w:sz w:val="16"/>
        </w:rPr>
        <w:t>General</w:t>
      </w:r>
      <w:r>
        <w:rPr>
          <w:spacing w:val="-7"/>
          <w:sz w:val="16"/>
        </w:rPr>
        <w:t> </w:t>
      </w:r>
      <w:r>
        <w:rPr>
          <w:sz w:val="16"/>
        </w:rPr>
        <w:t>de</w:t>
      </w:r>
      <w:r>
        <w:rPr>
          <w:spacing w:val="-4"/>
          <w:sz w:val="16"/>
        </w:rPr>
        <w:t> </w:t>
      </w:r>
      <w:r>
        <w:rPr>
          <w:sz w:val="16"/>
        </w:rPr>
        <w:t>la</w:t>
      </w:r>
      <w:r>
        <w:rPr>
          <w:spacing w:val="-8"/>
          <w:sz w:val="16"/>
        </w:rPr>
        <w:t> </w:t>
      </w:r>
      <w:r>
        <w:rPr>
          <w:sz w:val="16"/>
        </w:rPr>
        <w:t>República,</w:t>
      </w:r>
      <w:r>
        <w:rPr>
          <w:spacing w:val="-4"/>
          <w:sz w:val="16"/>
        </w:rPr>
        <w:t> </w:t>
      </w:r>
      <w:r>
        <w:rPr>
          <w:sz w:val="16"/>
        </w:rPr>
        <w:t>la</w:t>
      </w:r>
      <w:r>
        <w:rPr>
          <w:spacing w:val="-1"/>
          <w:sz w:val="16"/>
        </w:rPr>
        <w:t> </w:t>
      </w:r>
      <w:r>
        <w:rPr>
          <w:sz w:val="16"/>
        </w:rPr>
        <w:t>Policía Federal, el Centro de Investigación y Seguridad Nacional y el Servicio de Administración Tributaria; además de los 17 organismos y dependencias con negativa de dar</w:t>
      </w:r>
      <w:r>
        <w:rPr>
          <w:spacing w:val="-29"/>
          <w:sz w:val="16"/>
        </w:rPr>
        <w:t> </w:t>
      </w:r>
      <w:r>
        <w:rPr>
          <w:sz w:val="16"/>
        </w:rPr>
        <w:t>información.</w:t>
      </w:r>
    </w:p>
    <w:p>
      <w:pPr>
        <w:spacing w:line="216" w:lineRule="exact" w:before="0"/>
        <w:ind w:left="220" w:right="0" w:firstLine="0"/>
        <w:jc w:val="both"/>
        <w:rPr>
          <w:sz w:val="16"/>
        </w:rPr>
      </w:pPr>
      <w:r>
        <w:rPr>
          <w:rFonts w:ascii="Times New Roman"/>
          <w:position w:val="7"/>
          <w:sz w:val="13"/>
        </w:rPr>
        <w:t>124</w:t>
      </w:r>
      <w:r>
        <w:rPr>
          <w:sz w:val="16"/>
        </w:rPr>
        <w:t>El </w:t>
      </w:r>
      <w:r>
        <w:rPr>
          <w:i/>
          <w:sz w:val="16"/>
        </w:rPr>
        <w:t>Informe de Desarrollo Humano 2013. El ascenso del Sur: Progreso humano en un mundo diverso</w:t>
      </w:r>
      <w:r>
        <w:rPr>
          <w:sz w:val="16"/>
        </w:rPr>
        <w:t>, del Programa de</w:t>
      </w:r>
    </w:p>
    <w:p>
      <w:pPr>
        <w:spacing w:before="8"/>
        <w:ind w:left="220" w:right="222" w:firstLine="0"/>
        <w:jc w:val="both"/>
        <w:rPr>
          <w:sz w:val="16"/>
        </w:rPr>
      </w:pPr>
      <w:r>
        <w:rPr>
          <w:sz w:val="16"/>
        </w:rPr>
        <w:t>las Naciones Unidas para el Desarrollo, presentó el índice de desarrollo humano, en el que posiciona a 186 países de acuerdo</w:t>
      </w:r>
      <w:r>
        <w:rPr>
          <w:spacing w:val="-3"/>
          <w:sz w:val="16"/>
        </w:rPr>
        <w:t> </w:t>
      </w:r>
      <w:r>
        <w:rPr>
          <w:sz w:val="16"/>
        </w:rPr>
        <w:t>con</w:t>
      </w:r>
      <w:r>
        <w:rPr>
          <w:spacing w:val="-7"/>
          <w:sz w:val="16"/>
        </w:rPr>
        <w:t> </w:t>
      </w:r>
      <w:r>
        <w:rPr>
          <w:sz w:val="16"/>
        </w:rPr>
        <w:t>su</w:t>
      </w:r>
      <w:r>
        <w:rPr>
          <w:spacing w:val="-4"/>
          <w:sz w:val="16"/>
        </w:rPr>
        <w:t> </w:t>
      </w:r>
      <w:r>
        <w:rPr>
          <w:sz w:val="16"/>
        </w:rPr>
        <w:t>nivel</w:t>
      </w:r>
      <w:r>
        <w:rPr>
          <w:spacing w:val="-6"/>
          <w:sz w:val="16"/>
        </w:rPr>
        <w:t> </w:t>
      </w:r>
      <w:r>
        <w:rPr>
          <w:sz w:val="16"/>
        </w:rPr>
        <w:t>de</w:t>
      </w:r>
      <w:r>
        <w:rPr>
          <w:spacing w:val="-3"/>
          <w:sz w:val="16"/>
        </w:rPr>
        <w:t> </w:t>
      </w:r>
      <w:r>
        <w:rPr>
          <w:sz w:val="16"/>
        </w:rPr>
        <w:t>desarrollo</w:t>
      </w:r>
      <w:r>
        <w:rPr>
          <w:spacing w:val="3"/>
          <w:sz w:val="16"/>
        </w:rPr>
        <w:t> </w:t>
      </w:r>
      <w:r>
        <w:rPr>
          <w:sz w:val="16"/>
        </w:rPr>
        <w:t>y</w:t>
      </w:r>
      <w:r>
        <w:rPr>
          <w:spacing w:val="-7"/>
          <w:sz w:val="16"/>
        </w:rPr>
        <w:t> </w:t>
      </w:r>
      <w:r>
        <w:rPr>
          <w:sz w:val="16"/>
        </w:rPr>
        <w:t>considera,</w:t>
      </w:r>
      <w:r>
        <w:rPr>
          <w:spacing w:val="-3"/>
          <w:sz w:val="16"/>
        </w:rPr>
        <w:t> </w:t>
      </w:r>
      <w:r>
        <w:rPr>
          <w:sz w:val="16"/>
        </w:rPr>
        <w:t>entre</w:t>
      </w:r>
      <w:r>
        <w:rPr>
          <w:spacing w:val="-3"/>
          <w:sz w:val="16"/>
        </w:rPr>
        <w:t> </w:t>
      </w:r>
      <w:r>
        <w:rPr>
          <w:sz w:val="16"/>
        </w:rPr>
        <w:t>los</w:t>
      </w:r>
      <w:r>
        <w:rPr>
          <w:spacing w:val="-6"/>
          <w:sz w:val="16"/>
        </w:rPr>
        <w:t> </w:t>
      </w:r>
      <w:r>
        <w:rPr>
          <w:sz w:val="16"/>
        </w:rPr>
        <w:t>países</w:t>
      </w:r>
      <w:r>
        <w:rPr>
          <w:spacing w:val="-6"/>
          <w:sz w:val="16"/>
        </w:rPr>
        <w:t> </w:t>
      </w:r>
      <w:r>
        <w:rPr>
          <w:sz w:val="16"/>
        </w:rPr>
        <w:t>con</w:t>
      </w:r>
      <w:r>
        <w:rPr>
          <w:spacing w:val="-7"/>
          <w:sz w:val="16"/>
        </w:rPr>
        <w:t> </w:t>
      </w:r>
      <w:r>
        <w:rPr>
          <w:sz w:val="16"/>
        </w:rPr>
        <w:t>desarrollo humano</w:t>
      </w:r>
      <w:r>
        <w:rPr>
          <w:spacing w:val="-3"/>
          <w:sz w:val="16"/>
        </w:rPr>
        <w:t> </w:t>
      </w:r>
      <w:r>
        <w:rPr>
          <w:sz w:val="16"/>
        </w:rPr>
        <w:t>muy</w:t>
      </w:r>
      <w:r>
        <w:rPr>
          <w:spacing w:val="-6"/>
          <w:sz w:val="16"/>
        </w:rPr>
        <w:t> </w:t>
      </w:r>
      <w:r>
        <w:rPr>
          <w:sz w:val="16"/>
        </w:rPr>
        <w:t>alto</w:t>
      </w:r>
      <w:r>
        <w:rPr>
          <w:spacing w:val="-4"/>
          <w:sz w:val="16"/>
        </w:rPr>
        <w:t> </w:t>
      </w:r>
      <w:r>
        <w:rPr>
          <w:sz w:val="16"/>
        </w:rPr>
        <w:t>a</w:t>
      </w:r>
      <w:r>
        <w:rPr>
          <w:spacing w:val="-4"/>
          <w:sz w:val="16"/>
        </w:rPr>
        <w:t> </w:t>
      </w:r>
      <w:r>
        <w:rPr>
          <w:sz w:val="16"/>
        </w:rPr>
        <w:t>Noruega</w:t>
      </w:r>
      <w:r>
        <w:rPr>
          <w:spacing w:val="-3"/>
          <w:sz w:val="16"/>
        </w:rPr>
        <w:t> </w:t>
      </w:r>
      <w:r>
        <w:rPr>
          <w:sz w:val="16"/>
        </w:rPr>
        <w:t>(1),</w:t>
      </w:r>
      <w:r>
        <w:rPr>
          <w:spacing w:val="-3"/>
          <w:sz w:val="16"/>
        </w:rPr>
        <w:t> </w:t>
      </w:r>
      <w:r>
        <w:rPr>
          <w:sz w:val="16"/>
        </w:rPr>
        <w:t>Estados Unidos</w:t>
      </w:r>
      <w:r>
        <w:rPr>
          <w:spacing w:val="-15"/>
          <w:sz w:val="16"/>
        </w:rPr>
        <w:t> </w:t>
      </w:r>
      <w:r>
        <w:rPr>
          <w:sz w:val="16"/>
        </w:rPr>
        <w:t>(3),</w:t>
      </w:r>
      <w:r>
        <w:rPr>
          <w:spacing w:val="-11"/>
          <w:sz w:val="16"/>
        </w:rPr>
        <w:t> </w:t>
      </w:r>
      <w:r>
        <w:rPr>
          <w:sz w:val="16"/>
        </w:rPr>
        <w:t>Holanda</w:t>
      </w:r>
      <w:r>
        <w:rPr>
          <w:spacing w:val="-8"/>
          <w:sz w:val="16"/>
        </w:rPr>
        <w:t> </w:t>
      </w:r>
      <w:r>
        <w:rPr>
          <w:sz w:val="16"/>
        </w:rPr>
        <w:t>(4),</w:t>
      </w:r>
      <w:r>
        <w:rPr>
          <w:spacing w:val="-11"/>
          <w:sz w:val="16"/>
        </w:rPr>
        <w:t> </w:t>
      </w:r>
      <w:r>
        <w:rPr>
          <w:sz w:val="16"/>
        </w:rPr>
        <w:t>Suecia</w:t>
      </w:r>
      <w:r>
        <w:rPr>
          <w:spacing w:val="-12"/>
          <w:sz w:val="16"/>
        </w:rPr>
        <w:t> </w:t>
      </w:r>
      <w:r>
        <w:rPr>
          <w:sz w:val="16"/>
        </w:rPr>
        <w:t>(7),</w:t>
      </w:r>
      <w:r>
        <w:rPr>
          <w:spacing w:val="-8"/>
          <w:sz w:val="16"/>
        </w:rPr>
        <w:t> </w:t>
      </w:r>
      <w:r>
        <w:rPr>
          <w:sz w:val="16"/>
        </w:rPr>
        <w:t>Canadá</w:t>
      </w:r>
      <w:r>
        <w:rPr>
          <w:spacing w:val="-12"/>
          <w:sz w:val="16"/>
        </w:rPr>
        <w:t> </w:t>
      </w:r>
      <w:r>
        <w:rPr>
          <w:sz w:val="16"/>
        </w:rPr>
        <w:t>(11),</w:t>
      </w:r>
      <w:r>
        <w:rPr>
          <w:spacing w:val="-4"/>
          <w:sz w:val="16"/>
        </w:rPr>
        <w:t> </w:t>
      </w:r>
      <w:r>
        <w:rPr>
          <w:sz w:val="16"/>
        </w:rPr>
        <w:t>Islandia</w:t>
      </w:r>
      <w:r>
        <w:rPr>
          <w:spacing w:val="-8"/>
          <w:sz w:val="16"/>
        </w:rPr>
        <w:t> </w:t>
      </w:r>
      <w:r>
        <w:rPr>
          <w:sz w:val="16"/>
        </w:rPr>
        <w:t>(13),</w:t>
      </w:r>
      <w:r>
        <w:rPr>
          <w:spacing w:val="-8"/>
          <w:sz w:val="16"/>
        </w:rPr>
        <w:t> </w:t>
      </w:r>
      <w:r>
        <w:rPr>
          <w:sz w:val="16"/>
        </w:rPr>
        <w:t>Dinamarca</w:t>
      </w:r>
      <w:r>
        <w:rPr>
          <w:spacing w:val="-8"/>
          <w:sz w:val="16"/>
        </w:rPr>
        <w:t> </w:t>
      </w:r>
      <w:r>
        <w:rPr>
          <w:sz w:val="16"/>
        </w:rPr>
        <w:t>(15),</w:t>
      </w:r>
      <w:r>
        <w:rPr>
          <w:spacing w:val="-7"/>
          <w:sz w:val="16"/>
        </w:rPr>
        <w:t> </w:t>
      </w:r>
      <w:r>
        <w:rPr>
          <w:sz w:val="16"/>
        </w:rPr>
        <w:t>Finlandia</w:t>
      </w:r>
      <w:r>
        <w:rPr>
          <w:spacing w:val="-12"/>
          <w:sz w:val="16"/>
        </w:rPr>
        <w:t> </w:t>
      </w:r>
      <w:r>
        <w:rPr>
          <w:sz w:val="16"/>
        </w:rPr>
        <w:t>(21).</w:t>
      </w:r>
      <w:r>
        <w:rPr>
          <w:spacing w:val="-8"/>
          <w:sz w:val="16"/>
        </w:rPr>
        <w:t> </w:t>
      </w:r>
      <w:r>
        <w:rPr>
          <w:sz w:val="16"/>
        </w:rPr>
        <w:t>México</w:t>
      </w:r>
      <w:r>
        <w:rPr>
          <w:spacing w:val="-8"/>
          <w:sz w:val="16"/>
        </w:rPr>
        <w:t> </w:t>
      </w:r>
      <w:r>
        <w:rPr>
          <w:sz w:val="16"/>
        </w:rPr>
        <w:t>(61)</w:t>
      </w:r>
      <w:r>
        <w:rPr>
          <w:spacing w:val="-8"/>
          <w:sz w:val="16"/>
        </w:rPr>
        <w:t> </w:t>
      </w:r>
      <w:r>
        <w:rPr>
          <w:sz w:val="16"/>
        </w:rPr>
        <w:t>es</w:t>
      </w:r>
      <w:r>
        <w:rPr>
          <w:spacing w:val="-15"/>
          <w:sz w:val="16"/>
        </w:rPr>
        <w:t> </w:t>
      </w:r>
      <w:r>
        <w:rPr>
          <w:sz w:val="16"/>
        </w:rPr>
        <w:t>clasificado en el grupo de desarrollo humano</w:t>
      </w:r>
      <w:r>
        <w:rPr>
          <w:spacing w:val="-15"/>
          <w:sz w:val="16"/>
        </w:rPr>
        <w:t> </w:t>
      </w:r>
      <w:r>
        <w:rPr>
          <w:sz w:val="16"/>
        </w:rPr>
        <w:t>alto.</w:t>
      </w:r>
    </w:p>
    <w:p>
      <w:pPr>
        <w:spacing w:before="0"/>
        <w:ind w:left="220" w:right="0" w:firstLine="0"/>
        <w:jc w:val="left"/>
        <w:rPr>
          <w:sz w:val="16"/>
        </w:rPr>
      </w:pPr>
      <w:r>
        <w:rPr>
          <w:sz w:val="16"/>
        </w:rPr>
        <w:t>Disponible en: </w:t>
      </w:r>
      <w:hyperlink r:id="rId187">
        <w:r>
          <w:rPr>
            <w:sz w:val="16"/>
          </w:rPr>
          <w:t>http://www.undp.org/content/dam/undp/library/corporate/HDR/2013GlobalHDR/Spanish/HDR2013%20Report%20Spani</w:t>
        </w:r>
      </w:hyperlink>
      <w:r>
        <w:rPr>
          <w:sz w:val="16"/>
        </w:rPr>
        <w:t> sh.pdf</w:t>
      </w:r>
    </w:p>
    <w:p>
      <w:pPr>
        <w:spacing w:before="0"/>
        <w:ind w:left="220" w:right="0" w:firstLine="0"/>
        <w:jc w:val="both"/>
        <w:rPr>
          <w:sz w:val="16"/>
        </w:rPr>
      </w:pPr>
      <w:r>
        <w:rPr>
          <w:sz w:val="16"/>
        </w:rPr>
        <w:t>[Fecha de consulta: 20 de septiembre, 2015]</w:t>
      </w:r>
    </w:p>
    <w:p>
      <w:pPr>
        <w:spacing w:after="0"/>
        <w:jc w:val="both"/>
        <w:rPr>
          <w:sz w:val="16"/>
        </w:rPr>
        <w:sectPr>
          <w:pgSz w:w="11910" w:h="16840"/>
          <w:pgMar w:header="0" w:footer="998" w:top="1360" w:bottom="1180" w:left="1480" w:right="1480"/>
        </w:sect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24"/>
        <w:gridCol w:w="7760"/>
      </w:tblGrid>
      <w:tr>
        <w:trPr>
          <w:trHeight w:val="35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before="77"/>
              <w:ind w:left="323"/>
              <w:rPr>
                <w:b/>
                <w:sz w:val="14"/>
              </w:rPr>
            </w:pPr>
            <w:r>
              <w:rPr>
                <w:b/>
                <w:sz w:val="14"/>
              </w:rPr>
              <w:t>18</w:t>
            </w:r>
          </w:p>
        </w:tc>
        <w:tc>
          <w:tcPr>
            <w:tcW w:w="7760" w:type="dxa"/>
            <w:tcBorders>
              <w:left w:val="single" w:sz="11" w:space="0" w:color="BEBEBE"/>
            </w:tcBorders>
          </w:tcPr>
          <w:p>
            <w:pPr>
              <w:pStyle w:val="TableParagraph"/>
              <w:spacing w:before="11"/>
              <w:ind w:left="95" w:right="102"/>
              <w:rPr>
                <w:sz w:val="14"/>
              </w:rPr>
            </w:pPr>
            <w:r>
              <w:rPr>
                <w:sz w:val="14"/>
              </w:rPr>
              <w:t>Sin perjuicio del principio de anualidad, la ASF puede solicitar información y documentación para revisar el cumplimiento de los objetivos de los programas federales de ejercicios anteriores al de la Cuenta Pública.</w:t>
            </w:r>
          </w:p>
        </w:tc>
      </w:tr>
      <w:tr>
        <w:trPr>
          <w:trHeight w:val="19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line="158" w:lineRule="exact"/>
              <w:ind w:left="323"/>
              <w:rPr>
                <w:b/>
                <w:sz w:val="14"/>
              </w:rPr>
            </w:pPr>
            <w:r>
              <w:rPr>
                <w:b/>
                <w:sz w:val="14"/>
              </w:rPr>
              <w:t>22</w:t>
            </w:r>
          </w:p>
        </w:tc>
        <w:tc>
          <w:tcPr>
            <w:tcW w:w="7760" w:type="dxa"/>
            <w:tcBorders>
              <w:left w:val="single" w:sz="11" w:space="0" w:color="BEBEBE"/>
            </w:tcBorders>
          </w:tcPr>
          <w:p>
            <w:pPr>
              <w:pStyle w:val="TableParagraph"/>
              <w:spacing w:before="11"/>
              <w:ind w:left="95" w:right="172"/>
              <w:rPr>
                <w:sz w:val="14"/>
              </w:rPr>
            </w:pPr>
            <w:r>
              <w:rPr>
                <w:sz w:val="14"/>
              </w:rPr>
              <w:t>Las auditorías sobre seguridad nacional únicamente podrán ser realizarse por la ASF, no por despachos externos.</w:t>
            </w:r>
          </w:p>
        </w:tc>
      </w:tr>
      <w:tr>
        <w:trPr>
          <w:trHeight w:val="35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before="77"/>
              <w:ind w:left="323"/>
              <w:rPr>
                <w:b/>
                <w:sz w:val="14"/>
              </w:rPr>
            </w:pPr>
            <w:r>
              <w:rPr>
                <w:b/>
                <w:sz w:val="14"/>
              </w:rPr>
              <w:t>27</w:t>
            </w:r>
          </w:p>
        </w:tc>
        <w:tc>
          <w:tcPr>
            <w:tcW w:w="7760" w:type="dxa"/>
            <w:tcBorders>
              <w:left w:val="single" w:sz="11" w:space="0" w:color="BEBEBE"/>
            </w:tcBorders>
          </w:tcPr>
          <w:p>
            <w:pPr>
              <w:pStyle w:val="TableParagraph"/>
              <w:spacing w:line="244" w:lineRule="auto" w:before="7"/>
              <w:ind w:left="95" w:right="172"/>
              <w:rPr>
                <w:sz w:val="14"/>
              </w:rPr>
            </w:pPr>
            <w:r>
              <w:rPr>
                <w:sz w:val="14"/>
              </w:rPr>
              <w:t>Aún si la ASF es responsable solidario de daños o perjuicios (con sus servidores públicos o despachos externos) por violentar la reserva de la información, ella podrá promover acciones legales correspondientes</w:t>
            </w:r>
          </w:p>
        </w:tc>
      </w:tr>
      <w:tr>
        <w:trPr>
          <w:trHeight w:val="35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before="77"/>
              <w:ind w:left="323"/>
              <w:rPr>
                <w:b/>
                <w:sz w:val="14"/>
              </w:rPr>
            </w:pPr>
            <w:r>
              <w:rPr>
                <w:b/>
                <w:sz w:val="14"/>
              </w:rPr>
              <w:t>30</w:t>
            </w:r>
          </w:p>
        </w:tc>
        <w:tc>
          <w:tcPr>
            <w:tcW w:w="7760" w:type="dxa"/>
            <w:tcBorders>
              <w:left w:val="single" w:sz="11" w:space="0" w:color="BEBEBE"/>
            </w:tcBorders>
          </w:tcPr>
          <w:p>
            <w:pPr>
              <w:pStyle w:val="TableParagraph"/>
              <w:spacing w:line="244" w:lineRule="auto" w:before="7"/>
              <w:ind w:left="95" w:right="202"/>
              <w:rPr>
                <w:sz w:val="14"/>
              </w:rPr>
            </w:pPr>
            <w:r>
              <w:rPr>
                <w:sz w:val="14"/>
              </w:rPr>
              <w:t>Se agregó la obligatoriedad de los informes semestrales, de acuerdo con la Constitución Federal, artículo 79, fracción II párrafo 6.</w:t>
            </w:r>
          </w:p>
        </w:tc>
      </w:tr>
      <w:tr>
        <w:trPr>
          <w:trHeight w:val="35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before="77"/>
              <w:ind w:left="323"/>
              <w:rPr>
                <w:b/>
                <w:sz w:val="14"/>
              </w:rPr>
            </w:pPr>
            <w:r>
              <w:rPr>
                <w:b/>
                <w:sz w:val="14"/>
              </w:rPr>
              <w:t>32</w:t>
            </w:r>
          </w:p>
        </w:tc>
        <w:tc>
          <w:tcPr>
            <w:tcW w:w="7760" w:type="dxa"/>
            <w:tcBorders>
              <w:left w:val="single" w:sz="11" w:space="0" w:color="BEBEBE"/>
            </w:tcBorders>
          </w:tcPr>
          <w:p>
            <w:pPr>
              <w:pStyle w:val="TableParagraph"/>
              <w:spacing w:line="244" w:lineRule="auto" w:before="7"/>
              <w:ind w:left="95" w:right="102"/>
              <w:rPr>
                <w:sz w:val="14"/>
              </w:rPr>
            </w:pPr>
            <w:r>
              <w:rPr>
                <w:sz w:val="14"/>
              </w:rPr>
              <w:t>La ASF tiene facultades para imponer multas a los titulares de las áreas administrativas auditadas además de promover las acciones legales correspondientes en caso de incumplimiento de plazos.</w:t>
            </w:r>
          </w:p>
        </w:tc>
      </w:tr>
      <w:tr>
        <w:trPr>
          <w:trHeight w:val="35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before="77"/>
              <w:ind w:left="323"/>
              <w:rPr>
                <w:b/>
                <w:sz w:val="14"/>
              </w:rPr>
            </w:pPr>
            <w:r>
              <w:rPr>
                <w:b/>
                <w:sz w:val="14"/>
              </w:rPr>
              <w:t>37</w:t>
            </w:r>
          </w:p>
        </w:tc>
        <w:tc>
          <w:tcPr>
            <w:tcW w:w="7760" w:type="dxa"/>
            <w:tcBorders>
              <w:left w:val="single" w:sz="11" w:space="0" w:color="BEBEBE"/>
            </w:tcBorders>
          </w:tcPr>
          <w:p>
            <w:pPr>
              <w:pStyle w:val="TableParagraph"/>
              <w:spacing w:line="244" w:lineRule="auto" w:before="7"/>
              <w:ind w:left="95" w:right="172"/>
              <w:rPr>
                <w:sz w:val="14"/>
              </w:rPr>
            </w:pPr>
            <w:r>
              <w:rPr>
                <w:sz w:val="14"/>
              </w:rPr>
              <w:t>La ASF puede celebrar convenios con las legislaturas locales y la Asamblea Legislativa del D.F., así como con los gobiernos de los estados y las Entidades de Fiscalización Superior Locales.</w:t>
            </w:r>
          </w:p>
        </w:tc>
      </w:tr>
      <w:tr>
        <w:trPr>
          <w:trHeight w:val="67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before="7"/>
              <w:rPr>
                <w:sz w:val="20"/>
              </w:rPr>
            </w:pPr>
          </w:p>
          <w:p>
            <w:pPr>
              <w:pStyle w:val="TableParagraph"/>
              <w:ind w:left="323"/>
              <w:rPr>
                <w:b/>
                <w:sz w:val="14"/>
              </w:rPr>
            </w:pPr>
            <w:r>
              <w:rPr>
                <w:b/>
                <w:sz w:val="14"/>
              </w:rPr>
              <w:t>40</w:t>
            </w:r>
          </w:p>
        </w:tc>
        <w:tc>
          <w:tcPr>
            <w:tcW w:w="7760" w:type="dxa"/>
            <w:tcBorders>
              <w:left w:val="single" w:sz="11" w:space="0" w:color="BEBEBE"/>
            </w:tcBorders>
          </w:tcPr>
          <w:p>
            <w:pPr>
              <w:pStyle w:val="TableParagraph"/>
              <w:spacing w:line="244" w:lineRule="auto" w:before="7"/>
              <w:ind w:left="95" w:right="172"/>
              <w:rPr>
                <w:sz w:val="14"/>
              </w:rPr>
            </w:pPr>
            <w:r>
              <w:rPr>
                <w:sz w:val="14"/>
              </w:rPr>
              <w:t>La Ley precisó que la revisión de situaciones excepcionales procederá cuando se presenten denuncias fundadas con documentos o evidencias.</w:t>
            </w:r>
          </w:p>
          <w:p>
            <w:pPr>
              <w:pStyle w:val="TableParagraph"/>
              <w:spacing w:line="237" w:lineRule="auto"/>
              <w:ind w:left="95" w:right="102"/>
              <w:rPr>
                <w:sz w:val="14"/>
              </w:rPr>
            </w:pPr>
            <w:r>
              <w:rPr>
                <w:sz w:val="14"/>
              </w:rPr>
              <w:t>Una</w:t>
            </w:r>
            <w:r>
              <w:rPr>
                <w:spacing w:val="-12"/>
                <w:sz w:val="14"/>
              </w:rPr>
              <w:t> </w:t>
            </w:r>
            <w:r>
              <w:rPr>
                <w:sz w:val="14"/>
              </w:rPr>
              <w:t>causal</w:t>
            </w:r>
            <w:r>
              <w:rPr>
                <w:spacing w:val="-9"/>
                <w:sz w:val="14"/>
              </w:rPr>
              <w:t> </w:t>
            </w:r>
            <w:r>
              <w:rPr>
                <w:sz w:val="14"/>
              </w:rPr>
              <w:t>adicional</w:t>
            </w:r>
            <w:r>
              <w:rPr>
                <w:spacing w:val="-9"/>
                <w:sz w:val="14"/>
              </w:rPr>
              <w:t> </w:t>
            </w:r>
            <w:r>
              <w:rPr>
                <w:sz w:val="14"/>
              </w:rPr>
              <w:t>para</w:t>
            </w:r>
            <w:r>
              <w:rPr>
                <w:spacing w:val="-12"/>
                <w:sz w:val="14"/>
              </w:rPr>
              <w:t> </w:t>
            </w:r>
            <w:r>
              <w:rPr>
                <w:sz w:val="14"/>
              </w:rPr>
              <w:t>la</w:t>
            </w:r>
            <w:r>
              <w:rPr>
                <w:spacing w:val="-12"/>
                <w:sz w:val="14"/>
              </w:rPr>
              <w:t> </w:t>
            </w:r>
            <w:r>
              <w:rPr>
                <w:sz w:val="14"/>
              </w:rPr>
              <w:t>procedencia</w:t>
            </w:r>
            <w:r>
              <w:rPr>
                <w:spacing w:val="-12"/>
                <w:sz w:val="14"/>
              </w:rPr>
              <w:t> </w:t>
            </w:r>
            <w:r>
              <w:rPr>
                <w:sz w:val="14"/>
              </w:rPr>
              <w:t>de</w:t>
            </w:r>
            <w:r>
              <w:rPr>
                <w:spacing w:val="-8"/>
                <w:sz w:val="14"/>
              </w:rPr>
              <w:t> </w:t>
            </w:r>
            <w:r>
              <w:rPr>
                <w:sz w:val="14"/>
              </w:rPr>
              <w:t>la</w:t>
            </w:r>
            <w:r>
              <w:rPr>
                <w:spacing w:val="-12"/>
                <w:sz w:val="14"/>
              </w:rPr>
              <w:t> </w:t>
            </w:r>
            <w:r>
              <w:rPr>
                <w:sz w:val="14"/>
              </w:rPr>
              <w:t>revisión</w:t>
            </w:r>
            <w:r>
              <w:rPr>
                <w:spacing w:val="-3"/>
                <w:sz w:val="14"/>
              </w:rPr>
              <w:t> </w:t>
            </w:r>
            <w:r>
              <w:rPr>
                <w:sz w:val="14"/>
              </w:rPr>
              <w:t>de</w:t>
            </w:r>
            <w:r>
              <w:rPr>
                <w:spacing w:val="-12"/>
                <w:sz w:val="14"/>
              </w:rPr>
              <w:t> </w:t>
            </w:r>
            <w:r>
              <w:rPr>
                <w:sz w:val="14"/>
              </w:rPr>
              <w:t>situación</w:t>
            </w:r>
            <w:r>
              <w:rPr>
                <w:spacing w:val="-8"/>
                <w:sz w:val="14"/>
              </w:rPr>
              <w:t> </w:t>
            </w:r>
            <w:r>
              <w:rPr>
                <w:sz w:val="14"/>
              </w:rPr>
              <w:t>excepcional</w:t>
            </w:r>
            <w:r>
              <w:rPr>
                <w:spacing w:val="-6"/>
                <w:sz w:val="14"/>
              </w:rPr>
              <w:t> </w:t>
            </w:r>
            <w:r>
              <w:rPr>
                <w:sz w:val="14"/>
              </w:rPr>
              <w:t>el</w:t>
            </w:r>
            <w:r>
              <w:rPr>
                <w:spacing w:val="-9"/>
                <w:sz w:val="14"/>
              </w:rPr>
              <w:t> </w:t>
            </w:r>
            <w:r>
              <w:rPr>
                <w:sz w:val="14"/>
              </w:rPr>
              <w:t>desvío</w:t>
            </w:r>
            <w:r>
              <w:rPr>
                <w:spacing w:val="-12"/>
                <w:sz w:val="14"/>
              </w:rPr>
              <w:t> </w:t>
            </w:r>
            <w:r>
              <w:rPr>
                <w:sz w:val="14"/>
              </w:rPr>
              <w:t>flagrante</w:t>
            </w:r>
            <w:r>
              <w:rPr>
                <w:spacing w:val="-12"/>
                <w:sz w:val="14"/>
              </w:rPr>
              <w:t> </w:t>
            </w:r>
            <w:r>
              <w:rPr>
                <w:sz w:val="14"/>
              </w:rPr>
              <w:t>de</w:t>
            </w:r>
            <w:r>
              <w:rPr>
                <w:spacing w:val="-12"/>
                <w:sz w:val="14"/>
              </w:rPr>
              <w:t> </w:t>
            </w:r>
            <w:r>
              <w:rPr>
                <w:sz w:val="14"/>
              </w:rPr>
              <w:t>recursos</w:t>
            </w:r>
            <w:r>
              <w:rPr>
                <w:spacing w:val="-5"/>
                <w:sz w:val="14"/>
              </w:rPr>
              <w:t> </w:t>
            </w:r>
            <w:r>
              <w:rPr>
                <w:sz w:val="14"/>
              </w:rPr>
              <w:t>hacia</w:t>
            </w:r>
            <w:r>
              <w:rPr>
                <w:spacing w:val="-12"/>
                <w:sz w:val="14"/>
              </w:rPr>
              <w:t> </w:t>
            </w:r>
            <w:r>
              <w:rPr>
                <w:sz w:val="14"/>
              </w:rPr>
              <w:t>fines distintos</w:t>
            </w:r>
            <w:r>
              <w:rPr>
                <w:spacing w:val="-3"/>
                <w:sz w:val="14"/>
              </w:rPr>
              <w:t> </w:t>
            </w:r>
            <w:r>
              <w:rPr>
                <w:sz w:val="14"/>
              </w:rPr>
              <w:t>de</w:t>
            </w:r>
            <w:r>
              <w:rPr>
                <w:spacing w:val="-6"/>
                <w:sz w:val="14"/>
              </w:rPr>
              <w:t> </w:t>
            </w:r>
            <w:r>
              <w:rPr>
                <w:sz w:val="14"/>
              </w:rPr>
              <w:t>los autorizados</w:t>
            </w:r>
            <w:r>
              <w:rPr>
                <w:spacing w:val="-3"/>
                <w:sz w:val="14"/>
              </w:rPr>
              <w:t> </w:t>
            </w:r>
            <w:r>
              <w:rPr>
                <w:sz w:val="14"/>
              </w:rPr>
              <w:t>y</w:t>
            </w:r>
            <w:r>
              <w:rPr>
                <w:spacing w:val="-6"/>
                <w:sz w:val="14"/>
              </w:rPr>
              <w:t> </w:t>
            </w:r>
            <w:r>
              <w:rPr>
                <w:spacing w:val="2"/>
                <w:sz w:val="14"/>
              </w:rPr>
              <w:t>se</w:t>
            </w:r>
            <w:r>
              <w:rPr>
                <w:spacing w:val="-10"/>
                <w:sz w:val="14"/>
              </w:rPr>
              <w:t> </w:t>
            </w:r>
            <w:r>
              <w:rPr>
                <w:sz w:val="14"/>
              </w:rPr>
              <w:t>precisa</w:t>
            </w:r>
            <w:r>
              <w:rPr>
                <w:spacing w:val="-10"/>
                <w:sz w:val="14"/>
              </w:rPr>
              <w:t> </w:t>
            </w:r>
            <w:r>
              <w:rPr>
                <w:sz w:val="14"/>
              </w:rPr>
              <w:t>“posibles actos</w:t>
            </w:r>
            <w:r>
              <w:rPr>
                <w:spacing w:val="-3"/>
                <w:sz w:val="14"/>
              </w:rPr>
              <w:t> </w:t>
            </w:r>
            <w:r>
              <w:rPr>
                <w:sz w:val="14"/>
              </w:rPr>
              <w:t>de</w:t>
            </w:r>
            <w:r>
              <w:rPr>
                <w:spacing w:val="-10"/>
                <w:sz w:val="14"/>
              </w:rPr>
              <w:t> </w:t>
            </w:r>
            <w:r>
              <w:rPr>
                <w:sz w:val="14"/>
              </w:rPr>
              <w:t>corrupción”.</w:t>
            </w:r>
          </w:p>
        </w:tc>
      </w:tr>
      <w:tr>
        <w:trPr>
          <w:trHeight w:val="19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line="158" w:lineRule="exact"/>
              <w:ind w:left="323"/>
              <w:rPr>
                <w:b/>
                <w:sz w:val="14"/>
              </w:rPr>
            </w:pPr>
            <w:r>
              <w:rPr>
                <w:b/>
                <w:sz w:val="14"/>
              </w:rPr>
              <w:t>52</w:t>
            </w:r>
          </w:p>
        </w:tc>
        <w:tc>
          <w:tcPr>
            <w:tcW w:w="7760" w:type="dxa"/>
            <w:tcBorders>
              <w:left w:val="single" w:sz="11" w:space="0" w:color="BEBEBE"/>
            </w:tcBorders>
          </w:tcPr>
          <w:p>
            <w:pPr>
              <w:pStyle w:val="TableParagraph"/>
              <w:spacing w:before="11"/>
              <w:ind w:left="95" w:right="172"/>
              <w:rPr>
                <w:sz w:val="14"/>
              </w:rPr>
            </w:pPr>
            <w:r>
              <w:rPr>
                <w:sz w:val="14"/>
              </w:rPr>
              <w:t>Se incluyó a los particulares en el finca miento de responsabilidad resarcitoria.</w:t>
            </w:r>
          </w:p>
        </w:tc>
      </w:tr>
      <w:tr>
        <w:trPr>
          <w:trHeight w:val="19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line="158" w:lineRule="exact"/>
              <w:ind w:left="323"/>
              <w:rPr>
                <w:b/>
                <w:sz w:val="14"/>
              </w:rPr>
            </w:pPr>
            <w:r>
              <w:rPr>
                <w:b/>
                <w:sz w:val="14"/>
              </w:rPr>
              <w:t>55</w:t>
            </w:r>
          </w:p>
        </w:tc>
        <w:tc>
          <w:tcPr>
            <w:tcW w:w="7760" w:type="dxa"/>
            <w:tcBorders>
              <w:left w:val="single" w:sz="11" w:space="0" w:color="BEBEBE"/>
            </w:tcBorders>
          </w:tcPr>
          <w:p>
            <w:pPr>
              <w:pStyle w:val="TableParagraph"/>
              <w:spacing w:before="11"/>
              <w:ind w:left="95" w:right="172"/>
              <w:rPr>
                <w:sz w:val="14"/>
              </w:rPr>
            </w:pPr>
            <w:r>
              <w:rPr>
                <w:sz w:val="14"/>
              </w:rPr>
              <w:t>Se especificó el monto mínimo por el cual se puede expedir un Pliego de Observaciones.</w:t>
            </w:r>
          </w:p>
        </w:tc>
      </w:tr>
      <w:tr>
        <w:trPr>
          <w:trHeight w:val="192"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line="154" w:lineRule="exact"/>
              <w:ind w:left="323"/>
              <w:rPr>
                <w:b/>
                <w:sz w:val="14"/>
              </w:rPr>
            </w:pPr>
            <w:r>
              <w:rPr>
                <w:b/>
                <w:sz w:val="14"/>
              </w:rPr>
              <w:t>57</w:t>
            </w:r>
          </w:p>
        </w:tc>
        <w:tc>
          <w:tcPr>
            <w:tcW w:w="7760" w:type="dxa"/>
            <w:tcBorders>
              <w:left w:val="single" w:sz="11" w:space="0" w:color="BEBEBE"/>
            </w:tcBorders>
          </w:tcPr>
          <w:p>
            <w:pPr>
              <w:pStyle w:val="TableParagraph"/>
              <w:spacing w:before="7"/>
              <w:ind w:left="95" w:right="172"/>
              <w:rPr>
                <w:sz w:val="14"/>
              </w:rPr>
            </w:pPr>
            <w:r>
              <w:rPr>
                <w:sz w:val="14"/>
              </w:rPr>
              <w:t>Se precisó el Procedimiento para el finca miento de responsabilidades resarcitorias.</w:t>
            </w:r>
          </w:p>
        </w:tc>
      </w:tr>
      <w:tr>
        <w:trPr>
          <w:trHeight w:val="188"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line="154" w:lineRule="exact"/>
              <w:ind w:left="323"/>
              <w:rPr>
                <w:b/>
                <w:sz w:val="14"/>
              </w:rPr>
            </w:pPr>
            <w:r>
              <w:rPr>
                <w:b/>
                <w:sz w:val="14"/>
              </w:rPr>
              <w:t>76</w:t>
            </w:r>
          </w:p>
        </w:tc>
        <w:tc>
          <w:tcPr>
            <w:tcW w:w="7760" w:type="dxa"/>
            <w:tcBorders>
              <w:left w:val="single" w:sz="11" w:space="0" w:color="BEBEBE"/>
            </w:tcBorders>
          </w:tcPr>
          <w:p>
            <w:pPr>
              <w:pStyle w:val="TableParagraph"/>
              <w:spacing w:before="7"/>
              <w:ind w:left="95" w:right="172"/>
              <w:rPr>
                <w:sz w:val="14"/>
              </w:rPr>
            </w:pPr>
            <w:r>
              <w:rPr>
                <w:sz w:val="14"/>
              </w:rPr>
              <w:t>Se fortalecieron las atribuciones de la Comisión de Vigilancia.</w:t>
            </w:r>
          </w:p>
        </w:tc>
      </w:tr>
      <w:tr>
        <w:trPr>
          <w:trHeight w:val="1160"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rPr>
                <w:sz w:val="14"/>
              </w:rPr>
            </w:pPr>
          </w:p>
          <w:p>
            <w:pPr>
              <w:pStyle w:val="TableParagraph"/>
              <w:spacing w:before="9"/>
              <w:rPr>
                <w:sz w:val="13"/>
              </w:rPr>
            </w:pPr>
          </w:p>
          <w:p>
            <w:pPr>
              <w:pStyle w:val="TableParagraph"/>
              <w:spacing w:before="1"/>
              <w:ind w:left="323"/>
              <w:rPr>
                <w:b/>
                <w:sz w:val="14"/>
              </w:rPr>
            </w:pPr>
            <w:r>
              <w:rPr>
                <w:b/>
                <w:sz w:val="14"/>
              </w:rPr>
              <w:t>85</w:t>
            </w:r>
          </w:p>
        </w:tc>
        <w:tc>
          <w:tcPr>
            <w:tcW w:w="7760" w:type="dxa"/>
            <w:tcBorders>
              <w:left w:val="single" w:sz="11" w:space="0" w:color="BEBEBE"/>
            </w:tcBorders>
          </w:tcPr>
          <w:p>
            <w:pPr>
              <w:pStyle w:val="TableParagraph"/>
              <w:spacing w:before="11"/>
              <w:ind w:left="95" w:right="109"/>
              <w:jc w:val="both"/>
              <w:rPr>
                <w:sz w:val="14"/>
              </w:rPr>
            </w:pPr>
            <w:r>
              <w:rPr>
                <w:sz w:val="14"/>
              </w:rPr>
              <w:t>Se modificó la fecha de entrega del Informe del Resultado a la Cámara al 20 de febrero, de acuerdo con la Constitución Federal, artículo 28.</w:t>
            </w:r>
          </w:p>
          <w:p>
            <w:pPr>
              <w:pStyle w:val="TableParagraph"/>
              <w:spacing w:line="160" w:lineRule="exact"/>
              <w:ind w:left="95"/>
              <w:jc w:val="both"/>
              <w:rPr>
                <w:sz w:val="14"/>
              </w:rPr>
            </w:pPr>
            <w:r>
              <w:rPr>
                <w:sz w:val="14"/>
              </w:rPr>
              <w:t>La Unidad de Asuntos Jurídicos de la ASF podrá presentar denuncias penales o de juicio político.</w:t>
            </w:r>
          </w:p>
          <w:p>
            <w:pPr>
              <w:pStyle w:val="TableParagraph"/>
              <w:spacing w:before="3"/>
              <w:ind w:left="95" w:right="105"/>
              <w:jc w:val="both"/>
              <w:rPr>
                <w:sz w:val="14"/>
              </w:rPr>
            </w:pPr>
            <w:r>
              <w:rPr>
                <w:sz w:val="14"/>
              </w:rPr>
              <w:t>Se facultó a la ASF para concertar y celebrar convenios con las entidades fiscalizadas, legislaturas locales, la Asamblea Legislativa del Distrito Federal, las entidades de fiscalización superior de las entidades federativas, municipios y órganos político-administrativos de las demarcaciones territoriales en el Distrito Federal, con el propósito de apoyar y hacer más eficiente la fiscalización.</w:t>
            </w:r>
          </w:p>
        </w:tc>
      </w:tr>
      <w:tr>
        <w:trPr>
          <w:trHeight w:val="188"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line="154" w:lineRule="exact"/>
              <w:ind w:left="323"/>
              <w:rPr>
                <w:b/>
                <w:sz w:val="14"/>
              </w:rPr>
            </w:pPr>
            <w:r>
              <w:rPr>
                <w:b/>
                <w:sz w:val="14"/>
              </w:rPr>
              <w:t>89</w:t>
            </w:r>
          </w:p>
        </w:tc>
        <w:tc>
          <w:tcPr>
            <w:tcW w:w="7760" w:type="dxa"/>
            <w:tcBorders>
              <w:left w:val="single" w:sz="11" w:space="0" w:color="BEBEBE"/>
            </w:tcBorders>
          </w:tcPr>
          <w:p>
            <w:pPr>
              <w:pStyle w:val="TableParagraph"/>
              <w:spacing w:before="7"/>
              <w:ind w:left="95" w:right="172"/>
              <w:rPr>
                <w:sz w:val="14"/>
              </w:rPr>
            </w:pPr>
            <w:r>
              <w:rPr>
                <w:sz w:val="14"/>
              </w:rPr>
              <w:t>Se confirieron nuevas atribuciones a la Unidad de Asuntos Jurídicos.</w:t>
            </w:r>
          </w:p>
        </w:tc>
      </w:tr>
      <w:tr>
        <w:trPr>
          <w:trHeight w:val="196" w:hRule="exact"/>
        </w:trPr>
        <w:tc>
          <w:tcPr>
            <w:tcW w:w="924" w:type="dxa"/>
            <w:tcBorders>
              <w:top w:val="single" w:sz="11" w:space="0" w:color="BEBEBE"/>
              <w:left w:val="single" w:sz="11" w:space="0" w:color="BEBEBE"/>
              <w:bottom w:val="single" w:sz="11" w:space="0" w:color="BEBEBE"/>
              <w:right w:val="single" w:sz="11" w:space="0" w:color="BEBEBE"/>
            </w:tcBorders>
          </w:tcPr>
          <w:p>
            <w:pPr>
              <w:pStyle w:val="TableParagraph"/>
              <w:spacing w:line="158" w:lineRule="exact"/>
              <w:ind w:left="287"/>
              <w:rPr>
                <w:b/>
                <w:sz w:val="14"/>
              </w:rPr>
            </w:pPr>
            <w:r>
              <w:rPr>
                <w:b/>
                <w:sz w:val="14"/>
              </w:rPr>
              <w:t>103</w:t>
            </w:r>
          </w:p>
        </w:tc>
        <w:tc>
          <w:tcPr>
            <w:tcW w:w="7760" w:type="dxa"/>
            <w:tcBorders>
              <w:left w:val="single" w:sz="11" w:space="0" w:color="BEBEBE"/>
            </w:tcBorders>
          </w:tcPr>
          <w:p>
            <w:pPr>
              <w:pStyle w:val="TableParagraph"/>
              <w:spacing w:before="11"/>
              <w:ind w:left="95" w:right="172"/>
              <w:rPr>
                <w:sz w:val="14"/>
              </w:rPr>
            </w:pPr>
            <w:r>
              <w:rPr>
                <w:sz w:val="14"/>
              </w:rPr>
              <w:t>Se confirieron nuevas atribuciones a la UEC.</w:t>
            </w:r>
          </w:p>
        </w:tc>
      </w:tr>
    </w:tbl>
    <w:p>
      <w:pPr>
        <w:pStyle w:val="BodyText"/>
        <w:spacing w:before="5"/>
        <w:rPr>
          <w:sz w:val="11"/>
        </w:rPr>
      </w:pPr>
    </w:p>
    <w:p>
      <w:pPr>
        <w:spacing w:before="0"/>
        <w:ind w:left="220" w:right="2174" w:firstLine="0"/>
        <w:jc w:val="left"/>
        <w:rPr>
          <w:sz w:val="12"/>
        </w:rPr>
      </w:pPr>
      <w:r>
        <w:rPr>
          <w:sz w:val="12"/>
        </w:rPr>
        <w:t>FUENTE:      LFRCF y </w:t>
      </w:r>
      <w:r>
        <w:rPr>
          <w:color w:val="009933"/>
          <w:sz w:val="12"/>
        </w:rPr>
        <w:t>LFSF (Abrogada).</w:t>
      </w:r>
    </w:p>
    <w:p>
      <w:pPr>
        <w:pStyle w:val="BodyText"/>
        <w:rPr>
          <w:sz w:val="12"/>
        </w:rPr>
      </w:pPr>
    </w:p>
    <w:p>
      <w:pPr>
        <w:pStyle w:val="BodyText"/>
        <w:rPr>
          <w:sz w:val="12"/>
        </w:rPr>
      </w:pPr>
    </w:p>
    <w:p>
      <w:pPr>
        <w:pStyle w:val="BodyText"/>
        <w:spacing w:before="10"/>
        <w:rPr>
          <w:sz w:val="11"/>
        </w:rPr>
      </w:pPr>
    </w:p>
    <w:p>
      <w:pPr>
        <w:pStyle w:val="BodyText"/>
        <w:spacing w:line="357" w:lineRule="auto"/>
        <w:ind w:left="220" w:right="293" w:firstLine="427"/>
        <w:jc w:val="both"/>
        <w:rPr>
          <w:sz w:val="16"/>
        </w:rPr>
      </w:pPr>
      <w:r>
        <w:rPr/>
        <w:t>La</w:t>
      </w:r>
      <w:r>
        <w:rPr>
          <w:spacing w:val="-20"/>
        </w:rPr>
        <w:t> </w:t>
      </w:r>
      <w:r>
        <w:rPr/>
        <w:t>LFRCF</w:t>
      </w:r>
      <w:r>
        <w:rPr>
          <w:spacing w:val="-17"/>
        </w:rPr>
        <w:t> </w:t>
      </w:r>
      <w:r>
        <w:rPr/>
        <w:t>excluye</w:t>
      </w:r>
      <w:r>
        <w:rPr>
          <w:spacing w:val="-20"/>
        </w:rPr>
        <w:t> </w:t>
      </w:r>
      <w:r>
        <w:rPr/>
        <w:t>la</w:t>
      </w:r>
      <w:r>
        <w:rPr>
          <w:spacing w:val="-20"/>
        </w:rPr>
        <w:t> </w:t>
      </w:r>
      <w:r>
        <w:rPr/>
        <w:t>revisión</w:t>
      </w:r>
      <w:r>
        <w:rPr>
          <w:spacing w:val="-20"/>
        </w:rPr>
        <w:t> </w:t>
      </w:r>
      <w:r>
        <w:rPr/>
        <w:t>a</w:t>
      </w:r>
      <w:r>
        <w:rPr>
          <w:spacing w:val="-20"/>
        </w:rPr>
        <w:t> </w:t>
      </w:r>
      <w:r>
        <w:rPr/>
        <w:t>los</w:t>
      </w:r>
      <w:r>
        <w:rPr>
          <w:spacing w:val="-18"/>
        </w:rPr>
        <w:t> </w:t>
      </w:r>
      <w:r>
        <w:rPr/>
        <w:t>partidos</w:t>
      </w:r>
      <w:r>
        <w:rPr>
          <w:spacing w:val="-18"/>
        </w:rPr>
        <w:t> </w:t>
      </w:r>
      <w:r>
        <w:rPr/>
        <w:t>políticos</w:t>
      </w:r>
      <w:r>
        <w:rPr>
          <w:spacing w:val="-18"/>
        </w:rPr>
        <w:t> </w:t>
      </w:r>
      <w:r>
        <w:rPr/>
        <w:t>(artículo</w:t>
      </w:r>
      <w:r>
        <w:rPr>
          <w:spacing w:val="-20"/>
        </w:rPr>
        <w:t> </w:t>
      </w:r>
      <w:r>
        <w:rPr/>
        <w:t>2),</w:t>
      </w:r>
      <w:r>
        <w:rPr>
          <w:position w:val="8"/>
          <w:sz w:val="16"/>
        </w:rPr>
        <w:t>125</w:t>
      </w:r>
      <w:r>
        <w:rPr>
          <w:spacing w:val="3"/>
          <w:position w:val="8"/>
          <w:sz w:val="16"/>
        </w:rPr>
        <w:t> </w:t>
      </w:r>
      <w:r>
        <w:rPr/>
        <w:t>y</w:t>
      </w:r>
      <w:r>
        <w:rPr>
          <w:spacing w:val="-22"/>
        </w:rPr>
        <w:t> </w:t>
      </w:r>
      <w:r>
        <w:rPr/>
        <w:t>aunque establece la celebración de convenios con las legislaturas locales y municipios (artículo 85), existe gran opacidad en la operación de los fondos del Ramo 33.</w:t>
      </w:r>
      <w:r>
        <w:rPr>
          <w:position w:val="8"/>
          <w:sz w:val="16"/>
        </w:rPr>
        <w:t>126</w:t>
      </w:r>
      <w:r>
        <w:rPr/>
        <w:t>El 24 y 25 de abril de 2012la C. de Diputados aprobó en lo general y lo particular los cambios constitucionales</w:t>
      </w:r>
      <w:r>
        <w:rPr>
          <w:spacing w:val="-20"/>
        </w:rPr>
        <w:t> </w:t>
      </w:r>
      <w:r>
        <w:rPr/>
        <w:t>siguientes:</w:t>
      </w:r>
      <w:r>
        <w:rPr>
          <w:position w:val="8"/>
          <w:sz w:val="16"/>
        </w:rPr>
        <w:t>127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r>
        <w:rPr/>
        <w:pict>
          <v:line style="position:absolute;mso-position-horizontal-relative:page;mso-position-vertical-relative:paragraph;z-index:9784;mso-wrap-distance-left:0;mso-wrap-distance-right:0" from="85.025002pt,17.338169pt" to="229.075002pt,17.338169pt" stroked="true" strokeweight=".79999pt" strokecolor="#000000">
            <w10:wrap type="topAndBottom"/>
          </v:line>
        </w:pict>
      </w:r>
    </w:p>
    <w:p>
      <w:pPr>
        <w:spacing w:line="297" w:lineRule="auto" w:before="65"/>
        <w:ind w:left="220" w:right="197" w:firstLine="0"/>
        <w:jc w:val="both"/>
        <w:rPr>
          <w:i/>
          <w:sz w:val="16"/>
        </w:rPr>
      </w:pPr>
      <w:r>
        <w:rPr>
          <w:rFonts w:ascii="Calibri" w:hAnsi="Calibri"/>
          <w:position w:val="8"/>
          <w:sz w:val="14"/>
        </w:rPr>
        <w:t>125</w:t>
      </w:r>
      <w:r>
        <w:rPr>
          <w:sz w:val="16"/>
        </w:rPr>
        <w:t>De</w:t>
      </w:r>
      <w:r>
        <w:rPr>
          <w:spacing w:val="-11"/>
          <w:sz w:val="16"/>
        </w:rPr>
        <w:t> </w:t>
      </w:r>
      <w:r>
        <w:rPr>
          <w:sz w:val="16"/>
        </w:rPr>
        <w:t>acuerdo</w:t>
      </w:r>
      <w:r>
        <w:rPr>
          <w:spacing w:val="-11"/>
          <w:sz w:val="16"/>
        </w:rPr>
        <w:t> </w:t>
      </w:r>
      <w:r>
        <w:rPr>
          <w:sz w:val="16"/>
        </w:rPr>
        <w:t>con</w:t>
      </w:r>
      <w:r>
        <w:rPr>
          <w:spacing w:val="-15"/>
          <w:sz w:val="16"/>
        </w:rPr>
        <w:t> </w:t>
      </w:r>
      <w:r>
        <w:rPr>
          <w:sz w:val="16"/>
        </w:rPr>
        <w:t>el</w:t>
      </w:r>
      <w:r>
        <w:rPr>
          <w:spacing w:val="-13"/>
          <w:sz w:val="16"/>
        </w:rPr>
        <w:t> </w:t>
      </w:r>
      <w:r>
        <w:rPr>
          <w:sz w:val="16"/>
        </w:rPr>
        <w:t>debate</w:t>
      </w:r>
      <w:r>
        <w:rPr>
          <w:spacing w:val="-10"/>
          <w:sz w:val="16"/>
        </w:rPr>
        <w:t> </w:t>
      </w:r>
      <w:r>
        <w:rPr>
          <w:sz w:val="16"/>
        </w:rPr>
        <w:t>derivado</w:t>
      </w:r>
      <w:r>
        <w:rPr>
          <w:spacing w:val="-11"/>
          <w:sz w:val="16"/>
        </w:rPr>
        <w:t> </w:t>
      </w:r>
      <w:r>
        <w:rPr>
          <w:sz w:val="16"/>
        </w:rPr>
        <w:t>del</w:t>
      </w:r>
      <w:r>
        <w:rPr>
          <w:spacing w:val="-13"/>
          <w:sz w:val="16"/>
        </w:rPr>
        <w:t> </w:t>
      </w:r>
      <w:r>
        <w:rPr>
          <w:sz w:val="16"/>
        </w:rPr>
        <w:t>Dictamen</w:t>
      </w:r>
      <w:r>
        <w:rPr>
          <w:spacing w:val="-15"/>
          <w:sz w:val="16"/>
        </w:rPr>
        <w:t> </w:t>
      </w:r>
      <w:r>
        <w:rPr>
          <w:sz w:val="16"/>
        </w:rPr>
        <w:t>del</w:t>
      </w:r>
      <w:r>
        <w:rPr>
          <w:spacing w:val="-13"/>
          <w:sz w:val="16"/>
        </w:rPr>
        <w:t> </w:t>
      </w:r>
      <w:r>
        <w:rPr>
          <w:sz w:val="16"/>
        </w:rPr>
        <w:t>14</w:t>
      </w:r>
      <w:r>
        <w:rPr>
          <w:spacing w:val="-11"/>
          <w:sz w:val="16"/>
        </w:rPr>
        <w:t> </w:t>
      </w:r>
      <w:r>
        <w:rPr>
          <w:sz w:val="16"/>
        </w:rPr>
        <w:t>de</w:t>
      </w:r>
      <w:r>
        <w:rPr>
          <w:spacing w:val="-7"/>
          <w:sz w:val="16"/>
        </w:rPr>
        <w:t> </w:t>
      </w:r>
      <w:r>
        <w:rPr>
          <w:sz w:val="16"/>
        </w:rPr>
        <w:t>diciembre</w:t>
      </w:r>
      <w:r>
        <w:rPr>
          <w:spacing w:val="-11"/>
          <w:sz w:val="16"/>
        </w:rPr>
        <w:t> </w:t>
      </w:r>
      <w:r>
        <w:rPr>
          <w:sz w:val="16"/>
        </w:rPr>
        <w:t>de</w:t>
      </w:r>
      <w:r>
        <w:rPr>
          <w:spacing w:val="-7"/>
          <w:sz w:val="16"/>
        </w:rPr>
        <w:t> </w:t>
      </w:r>
      <w:r>
        <w:rPr>
          <w:sz w:val="16"/>
        </w:rPr>
        <w:t>1998</w:t>
      </w:r>
      <w:r>
        <w:rPr>
          <w:i/>
          <w:sz w:val="16"/>
        </w:rPr>
        <w:t>De</w:t>
      </w:r>
      <w:r>
        <w:rPr>
          <w:i/>
          <w:spacing w:val="-11"/>
          <w:sz w:val="16"/>
        </w:rPr>
        <w:t> </w:t>
      </w:r>
      <w:r>
        <w:rPr>
          <w:i/>
          <w:sz w:val="16"/>
        </w:rPr>
        <w:t>la</w:t>
      </w:r>
      <w:r>
        <w:rPr>
          <w:i/>
          <w:spacing w:val="-11"/>
          <w:sz w:val="16"/>
        </w:rPr>
        <w:t> </w:t>
      </w:r>
      <w:r>
        <w:rPr>
          <w:i/>
          <w:sz w:val="16"/>
        </w:rPr>
        <w:t>Comisión</w:t>
      </w:r>
      <w:r>
        <w:rPr>
          <w:i/>
          <w:spacing w:val="-11"/>
          <w:sz w:val="16"/>
        </w:rPr>
        <w:t> </w:t>
      </w:r>
      <w:r>
        <w:rPr>
          <w:i/>
          <w:sz w:val="16"/>
        </w:rPr>
        <w:t>de</w:t>
      </w:r>
      <w:r>
        <w:rPr>
          <w:i/>
          <w:spacing w:val="-11"/>
          <w:sz w:val="16"/>
        </w:rPr>
        <w:t> </w:t>
      </w:r>
      <w:r>
        <w:rPr>
          <w:i/>
          <w:sz w:val="16"/>
        </w:rPr>
        <w:t>Gobernación</w:t>
      </w:r>
      <w:r>
        <w:rPr>
          <w:i/>
          <w:spacing w:val="-11"/>
          <w:sz w:val="16"/>
        </w:rPr>
        <w:t> </w:t>
      </w:r>
      <w:r>
        <w:rPr>
          <w:i/>
          <w:sz w:val="16"/>
        </w:rPr>
        <w:t>y</w:t>
      </w:r>
      <w:r>
        <w:rPr>
          <w:i/>
          <w:spacing w:val="-10"/>
          <w:sz w:val="16"/>
        </w:rPr>
        <w:t> </w:t>
      </w:r>
      <w:r>
        <w:rPr>
          <w:i/>
          <w:sz w:val="16"/>
        </w:rPr>
        <w:t>Puntos </w:t>
      </w:r>
      <w:r>
        <w:rPr>
          <w:i/>
          <w:sz w:val="16"/>
        </w:rPr>
        <w:t>Constitucionales,</w:t>
      </w:r>
      <w:r>
        <w:rPr>
          <w:i/>
          <w:spacing w:val="-7"/>
          <w:sz w:val="16"/>
        </w:rPr>
        <w:t> </w:t>
      </w:r>
      <w:r>
        <w:rPr>
          <w:i/>
          <w:sz w:val="16"/>
        </w:rPr>
        <w:t>con</w:t>
      </w:r>
      <w:r>
        <w:rPr>
          <w:i/>
          <w:spacing w:val="-8"/>
          <w:sz w:val="16"/>
        </w:rPr>
        <w:t> </w:t>
      </w:r>
      <w:r>
        <w:rPr>
          <w:i/>
          <w:sz w:val="16"/>
        </w:rPr>
        <w:t>Proyecto</w:t>
      </w:r>
      <w:r>
        <w:rPr>
          <w:i/>
          <w:spacing w:val="-4"/>
          <w:sz w:val="16"/>
        </w:rPr>
        <w:t> </w:t>
      </w:r>
      <w:r>
        <w:rPr>
          <w:i/>
          <w:sz w:val="16"/>
        </w:rPr>
        <w:t>de</w:t>
      </w:r>
      <w:r>
        <w:rPr>
          <w:i/>
          <w:spacing w:val="-8"/>
          <w:sz w:val="16"/>
        </w:rPr>
        <w:t> </w:t>
      </w:r>
      <w:r>
        <w:rPr>
          <w:i/>
          <w:sz w:val="16"/>
        </w:rPr>
        <w:t>Decreto</w:t>
      </w:r>
      <w:r>
        <w:rPr>
          <w:i/>
          <w:spacing w:val="-4"/>
          <w:sz w:val="16"/>
        </w:rPr>
        <w:t> </w:t>
      </w:r>
      <w:r>
        <w:rPr>
          <w:i/>
          <w:sz w:val="16"/>
        </w:rPr>
        <w:t>que</w:t>
      </w:r>
      <w:r>
        <w:rPr>
          <w:i/>
          <w:spacing w:val="-3"/>
          <w:sz w:val="16"/>
        </w:rPr>
        <w:t> </w:t>
      </w:r>
      <w:r>
        <w:rPr>
          <w:i/>
          <w:sz w:val="16"/>
        </w:rPr>
        <w:t>adiciona</w:t>
      </w:r>
      <w:r>
        <w:rPr>
          <w:i/>
          <w:spacing w:val="-4"/>
          <w:sz w:val="16"/>
        </w:rPr>
        <w:t> </w:t>
      </w:r>
      <w:r>
        <w:rPr>
          <w:i/>
          <w:sz w:val="16"/>
        </w:rPr>
        <w:t>un</w:t>
      </w:r>
      <w:r>
        <w:rPr>
          <w:i/>
          <w:spacing w:val="-8"/>
          <w:sz w:val="16"/>
        </w:rPr>
        <w:t> </w:t>
      </w:r>
      <w:r>
        <w:rPr>
          <w:i/>
          <w:sz w:val="16"/>
        </w:rPr>
        <w:t>párrafo</w:t>
      </w:r>
      <w:r>
        <w:rPr>
          <w:i/>
          <w:spacing w:val="-8"/>
          <w:sz w:val="16"/>
        </w:rPr>
        <w:t> </w:t>
      </w:r>
      <w:r>
        <w:rPr>
          <w:i/>
          <w:sz w:val="16"/>
        </w:rPr>
        <w:t>y</w:t>
      </w:r>
      <w:r>
        <w:rPr>
          <w:i/>
          <w:spacing w:val="-3"/>
          <w:sz w:val="16"/>
        </w:rPr>
        <w:t> </w:t>
      </w:r>
      <w:r>
        <w:rPr>
          <w:i/>
          <w:sz w:val="16"/>
        </w:rPr>
        <w:t>ocho</w:t>
      </w:r>
      <w:r>
        <w:rPr>
          <w:i/>
          <w:spacing w:val="-3"/>
          <w:sz w:val="16"/>
        </w:rPr>
        <w:t> </w:t>
      </w:r>
      <w:r>
        <w:rPr>
          <w:i/>
          <w:sz w:val="16"/>
        </w:rPr>
        <w:t>fracciones</w:t>
      </w:r>
      <w:r>
        <w:rPr>
          <w:i/>
          <w:spacing w:val="-7"/>
          <w:sz w:val="16"/>
        </w:rPr>
        <w:t> </w:t>
      </w:r>
      <w:r>
        <w:rPr>
          <w:i/>
          <w:sz w:val="16"/>
        </w:rPr>
        <w:t>al</w:t>
      </w:r>
      <w:r>
        <w:rPr>
          <w:i/>
          <w:spacing w:val="-2"/>
          <w:sz w:val="16"/>
        </w:rPr>
        <w:t> </w:t>
      </w:r>
      <w:r>
        <w:rPr>
          <w:i/>
          <w:sz w:val="16"/>
        </w:rPr>
        <w:t>artículo</w:t>
      </w:r>
      <w:r>
        <w:rPr>
          <w:i/>
          <w:spacing w:val="-4"/>
          <w:sz w:val="16"/>
        </w:rPr>
        <w:t> </w:t>
      </w:r>
      <w:r>
        <w:rPr>
          <w:i/>
          <w:sz w:val="16"/>
        </w:rPr>
        <w:t>78</w:t>
      </w:r>
      <w:r>
        <w:rPr>
          <w:i/>
          <w:spacing w:val="-8"/>
          <w:sz w:val="16"/>
        </w:rPr>
        <w:t> </w:t>
      </w:r>
      <w:r>
        <w:rPr>
          <w:i/>
          <w:sz w:val="16"/>
        </w:rPr>
        <w:t>con</w:t>
      </w:r>
      <w:r>
        <w:rPr>
          <w:i/>
          <w:spacing w:val="-8"/>
          <w:sz w:val="16"/>
        </w:rPr>
        <w:t> </w:t>
      </w:r>
      <w:r>
        <w:rPr>
          <w:i/>
          <w:sz w:val="16"/>
        </w:rPr>
        <w:t>una</w:t>
      </w:r>
      <w:r>
        <w:rPr>
          <w:i/>
          <w:spacing w:val="-8"/>
          <w:sz w:val="16"/>
        </w:rPr>
        <w:t> </w:t>
      </w:r>
      <w:r>
        <w:rPr>
          <w:i/>
          <w:sz w:val="16"/>
        </w:rPr>
        <w:t>sección</w:t>
      </w:r>
      <w:r>
        <w:rPr>
          <w:i/>
          <w:spacing w:val="-4"/>
          <w:sz w:val="16"/>
        </w:rPr>
        <w:t> </w:t>
      </w:r>
      <w:r>
        <w:rPr>
          <w:i/>
          <w:sz w:val="16"/>
        </w:rPr>
        <w:t>V</w:t>
      </w:r>
      <w:r>
        <w:rPr>
          <w:i/>
          <w:spacing w:val="-6"/>
          <w:sz w:val="16"/>
        </w:rPr>
        <w:t> </w:t>
      </w:r>
      <w:r>
        <w:rPr>
          <w:i/>
          <w:sz w:val="16"/>
        </w:rPr>
        <w:t>en el</w:t>
      </w:r>
      <w:r>
        <w:rPr>
          <w:i/>
          <w:spacing w:val="9"/>
          <w:sz w:val="16"/>
        </w:rPr>
        <w:t> </w:t>
      </w:r>
      <w:r>
        <w:rPr>
          <w:i/>
          <w:sz w:val="16"/>
        </w:rPr>
        <w:t>Capítulo</w:t>
      </w:r>
      <w:r>
        <w:rPr>
          <w:i/>
          <w:spacing w:val="11"/>
          <w:sz w:val="16"/>
        </w:rPr>
        <w:t> </w:t>
      </w:r>
      <w:r>
        <w:rPr>
          <w:i/>
          <w:sz w:val="16"/>
        </w:rPr>
        <w:t>II</w:t>
      </w:r>
      <w:r>
        <w:rPr>
          <w:i/>
          <w:spacing w:val="4"/>
          <w:sz w:val="16"/>
        </w:rPr>
        <w:t> </w:t>
      </w:r>
      <w:r>
        <w:rPr>
          <w:i/>
          <w:sz w:val="16"/>
        </w:rPr>
        <w:t>del</w:t>
      </w:r>
      <w:r>
        <w:rPr>
          <w:i/>
          <w:spacing w:val="8"/>
          <w:sz w:val="16"/>
        </w:rPr>
        <w:t> </w:t>
      </w:r>
      <w:r>
        <w:rPr>
          <w:i/>
          <w:sz w:val="16"/>
        </w:rPr>
        <w:t>Título</w:t>
      </w:r>
      <w:r>
        <w:rPr>
          <w:i/>
          <w:spacing w:val="7"/>
          <w:sz w:val="16"/>
        </w:rPr>
        <w:t> </w:t>
      </w:r>
      <w:r>
        <w:rPr>
          <w:i/>
          <w:sz w:val="16"/>
        </w:rPr>
        <w:t>Tercero,</w:t>
      </w:r>
      <w:r>
        <w:rPr>
          <w:i/>
          <w:spacing w:val="7"/>
          <w:sz w:val="16"/>
        </w:rPr>
        <w:t> </w:t>
      </w:r>
      <w:r>
        <w:rPr>
          <w:i/>
          <w:sz w:val="16"/>
        </w:rPr>
        <w:t>así</w:t>
      </w:r>
      <w:r>
        <w:rPr>
          <w:i/>
          <w:spacing w:val="7"/>
          <w:sz w:val="16"/>
        </w:rPr>
        <w:t> </w:t>
      </w:r>
      <w:r>
        <w:rPr>
          <w:i/>
          <w:sz w:val="16"/>
        </w:rPr>
        <w:t>como</w:t>
      </w:r>
      <w:r>
        <w:rPr>
          <w:i/>
          <w:spacing w:val="7"/>
          <w:sz w:val="16"/>
        </w:rPr>
        <w:t> </w:t>
      </w:r>
      <w:r>
        <w:rPr>
          <w:i/>
          <w:sz w:val="16"/>
        </w:rPr>
        <w:t>el</w:t>
      </w:r>
      <w:r>
        <w:rPr>
          <w:i/>
          <w:spacing w:val="8"/>
          <w:sz w:val="16"/>
        </w:rPr>
        <w:t> </w:t>
      </w:r>
      <w:r>
        <w:rPr>
          <w:i/>
          <w:sz w:val="16"/>
        </w:rPr>
        <w:t>artículo</w:t>
      </w:r>
      <w:r>
        <w:rPr>
          <w:i/>
          <w:spacing w:val="7"/>
          <w:sz w:val="16"/>
        </w:rPr>
        <w:t> </w:t>
      </w:r>
      <w:r>
        <w:rPr>
          <w:i/>
          <w:sz w:val="16"/>
        </w:rPr>
        <w:t>74,</w:t>
      </w:r>
      <w:r>
        <w:rPr>
          <w:i/>
          <w:spacing w:val="11"/>
          <w:sz w:val="16"/>
        </w:rPr>
        <w:t> </w:t>
      </w:r>
      <w:r>
        <w:rPr>
          <w:i/>
          <w:sz w:val="16"/>
        </w:rPr>
        <w:t>fracción</w:t>
      </w:r>
      <w:r>
        <w:rPr>
          <w:i/>
          <w:spacing w:val="11"/>
          <w:sz w:val="16"/>
        </w:rPr>
        <w:t> </w:t>
      </w:r>
      <w:r>
        <w:rPr>
          <w:i/>
          <w:sz w:val="16"/>
        </w:rPr>
        <w:t>IV,</w:t>
      </w:r>
      <w:r>
        <w:rPr>
          <w:i/>
          <w:spacing w:val="7"/>
          <w:sz w:val="16"/>
        </w:rPr>
        <w:t> </w:t>
      </w:r>
      <w:r>
        <w:rPr>
          <w:i/>
          <w:sz w:val="16"/>
        </w:rPr>
        <w:t>párrafo</w:t>
      </w:r>
      <w:r>
        <w:rPr>
          <w:i/>
          <w:spacing w:val="6"/>
          <w:sz w:val="16"/>
        </w:rPr>
        <w:t> </w:t>
      </w:r>
      <w:r>
        <w:rPr>
          <w:i/>
          <w:sz w:val="16"/>
        </w:rPr>
        <w:t>V;</w:t>
      </w:r>
      <w:r>
        <w:rPr>
          <w:i/>
          <w:spacing w:val="7"/>
          <w:sz w:val="16"/>
        </w:rPr>
        <w:t> </w:t>
      </w:r>
      <w:r>
        <w:rPr>
          <w:i/>
          <w:sz w:val="16"/>
        </w:rPr>
        <w:t>que</w:t>
      </w:r>
      <w:r>
        <w:rPr>
          <w:i/>
          <w:spacing w:val="7"/>
          <w:sz w:val="16"/>
        </w:rPr>
        <w:t> </w:t>
      </w:r>
      <w:r>
        <w:rPr>
          <w:i/>
          <w:sz w:val="16"/>
        </w:rPr>
        <w:t>reforman</w:t>
      </w:r>
      <w:r>
        <w:rPr>
          <w:i/>
          <w:spacing w:val="7"/>
          <w:sz w:val="16"/>
        </w:rPr>
        <w:t> </w:t>
      </w:r>
      <w:r>
        <w:rPr>
          <w:i/>
          <w:sz w:val="16"/>
        </w:rPr>
        <w:t>los</w:t>
      </w:r>
      <w:r>
        <w:rPr>
          <w:i/>
          <w:spacing w:val="8"/>
          <w:sz w:val="16"/>
        </w:rPr>
        <w:t> </w:t>
      </w:r>
      <w:r>
        <w:rPr>
          <w:i/>
          <w:sz w:val="16"/>
        </w:rPr>
        <w:t>artículos</w:t>
      </w:r>
      <w:r>
        <w:rPr>
          <w:i/>
          <w:spacing w:val="8"/>
          <w:sz w:val="16"/>
        </w:rPr>
        <w:t> </w:t>
      </w:r>
      <w:r>
        <w:rPr>
          <w:i/>
          <w:sz w:val="16"/>
        </w:rPr>
        <w:t>73,</w:t>
      </w:r>
      <w:r>
        <w:rPr>
          <w:i/>
          <w:spacing w:val="7"/>
          <w:sz w:val="16"/>
        </w:rPr>
        <w:t> </w:t>
      </w:r>
      <w:r>
        <w:rPr>
          <w:i/>
          <w:sz w:val="16"/>
        </w:rPr>
        <w:t>fracción</w:t>
      </w:r>
    </w:p>
    <w:p>
      <w:pPr>
        <w:spacing w:line="169" w:lineRule="exact" w:before="0"/>
        <w:ind w:left="220" w:right="0" w:firstLine="0"/>
        <w:jc w:val="both"/>
        <w:rPr>
          <w:i/>
          <w:sz w:val="16"/>
        </w:rPr>
      </w:pPr>
      <w:r>
        <w:rPr>
          <w:i/>
          <w:sz w:val="16"/>
        </w:rPr>
        <w:t>XXIV, fracción II, y 79; y que deroga la fracción III del artículo 74 de la Constitución Política de los Estados Unidos</w:t>
      </w:r>
    </w:p>
    <w:p>
      <w:pPr>
        <w:spacing w:line="276" w:lineRule="auto" w:before="28"/>
        <w:ind w:left="220" w:right="197" w:firstLine="0"/>
        <w:jc w:val="both"/>
        <w:rPr>
          <w:sz w:val="16"/>
        </w:rPr>
      </w:pPr>
      <w:r>
        <w:rPr>
          <w:i/>
          <w:sz w:val="16"/>
        </w:rPr>
        <w:t>Mexicanos. (Con respecto a un órgano superior de fiscalización), </w:t>
      </w:r>
      <w:r>
        <w:rPr>
          <w:sz w:val="16"/>
        </w:rPr>
        <w:t>la LVII Legislatura del H. Congreso de la Unión realizó tres iniciativas para la reforma de los artículos 73, 74, 78 y 79 de la Constitución Federal, el Grupo Parlamentario del Partido Acción Nacional comentó que “incluso a los partidos políticos, por razón de los financiamientos públicos que reciban, podría ser fiscalizado por esta entidad de fiscalización superior de la Federación.”</w:t>
      </w:r>
    </w:p>
    <w:p>
      <w:pPr>
        <w:spacing w:before="1"/>
        <w:ind w:left="220" w:right="202" w:firstLine="0"/>
        <w:jc w:val="both"/>
        <w:rPr>
          <w:sz w:val="16"/>
        </w:rPr>
      </w:pPr>
      <w:r>
        <w:rPr>
          <w:sz w:val="16"/>
        </w:rPr>
        <w:t>En la LFRCF se excluye a los partidos políticos como sujetos a ser fiscalizados por la ASF; y la Ley Federal de Transparencia y Acceso a la Información Pública Gubernamental los excluye como sujetos obligados.</w:t>
      </w:r>
    </w:p>
    <w:p>
      <w:pPr>
        <w:spacing w:line="244" w:lineRule="auto" w:before="0"/>
        <w:ind w:left="220" w:right="199" w:firstLine="0"/>
        <w:jc w:val="both"/>
        <w:rPr>
          <w:sz w:val="16"/>
        </w:rPr>
      </w:pPr>
      <w:r>
        <w:rPr>
          <w:rFonts w:ascii="Times New Roman" w:hAnsi="Times New Roman"/>
          <w:position w:val="7"/>
          <w:sz w:val="13"/>
        </w:rPr>
        <w:t>126 </w:t>
      </w:r>
      <w:r>
        <w:rPr>
          <w:sz w:val="16"/>
        </w:rPr>
        <w:t>De acuerdo con el Informe del Resultado de la Fiscalización Superior de la Cuenta Pública 2010, la aplicación de recursos transferidos a estados y municipios para infraestructura, mediante el Ramo 33, con frecuencia no cumple con los</w:t>
      </w:r>
      <w:r>
        <w:rPr>
          <w:spacing w:val="-11"/>
          <w:sz w:val="16"/>
        </w:rPr>
        <w:t> </w:t>
      </w:r>
      <w:r>
        <w:rPr>
          <w:sz w:val="16"/>
        </w:rPr>
        <w:t>objetivos</w:t>
      </w:r>
      <w:r>
        <w:rPr>
          <w:spacing w:val="-11"/>
          <w:sz w:val="16"/>
        </w:rPr>
        <w:t> </w:t>
      </w:r>
      <w:r>
        <w:rPr>
          <w:sz w:val="16"/>
        </w:rPr>
        <w:t>de</w:t>
      </w:r>
      <w:r>
        <w:rPr>
          <w:spacing w:val="-9"/>
          <w:sz w:val="16"/>
        </w:rPr>
        <w:t> </w:t>
      </w:r>
      <w:r>
        <w:rPr>
          <w:sz w:val="16"/>
        </w:rPr>
        <w:t>los</w:t>
      </w:r>
      <w:r>
        <w:rPr>
          <w:spacing w:val="-15"/>
          <w:sz w:val="16"/>
        </w:rPr>
        <w:t> </w:t>
      </w:r>
      <w:r>
        <w:rPr>
          <w:sz w:val="16"/>
        </w:rPr>
        <w:t>fondos</w:t>
      </w:r>
      <w:r>
        <w:rPr>
          <w:spacing w:val="-11"/>
          <w:sz w:val="16"/>
        </w:rPr>
        <w:t> </w:t>
      </w:r>
      <w:r>
        <w:rPr>
          <w:sz w:val="16"/>
        </w:rPr>
        <w:t>y</w:t>
      </w:r>
      <w:r>
        <w:rPr>
          <w:spacing w:val="-11"/>
          <w:sz w:val="16"/>
        </w:rPr>
        <w:t> </w:t>
      </w:r>
      <w:r>
        <w:rPr>
          <w:sz w:val="16"/>
        </w:rPr>
        <w:t>programas,</w:t>
      </w:r>
      <w:r>
        <w:rPr>
          <w:spacing w:val="-8"/>
          <w:sz w:val="16"/>
        </w:rPr>
        <w:t> </w:t>
      </w:r>
      <w:r>
        <w:rPr>
          <w:sz w:val="16"/>
        </w:rPr>
        <w:t>lo</w:t>
      </w:r>
      <w:r>
        <w:rPr>
          <w:spacing w:val="-9"/>
          <w:sz w:val="16"/>
        </w:rPr>
        <w:t> </w:t>
      </w:r>
      <w:r>
        <w:rPr>
          <w:sz w:val="16"/>
        </w:rPr>
        <w:t>que</w:t>
      </w:r>
      <w:r>
        <w:rPr>
          <w:spacing w:val="-9"/>
          <w:sz w:val="16"/>
        </w:rPr>
        <w:t> </w:t>
      </w:r>
      <w:r>
        <w:rPr>
          <w:sz w:val="16"/>
        </w:rPr>
        <w:t>demuestra</w:t>
      </w:r>
      <w:r>
        <w:rPr>
          <w:spacing w:val="-9"/>
          <w:sz w:val="16"/>
        </w:rPr>
        <w:t> </w:t>
      </w:r>
      <w:r>
        <w:rPr>
          <w:sz w:val="16"/>
        </w:rPr>
        <w:t>una</w:t>
      </w:r>
      <w:r>
        <w:rPr>
          <w:spacing w:val="-12"/>
          <w:sz w:val="16"/>
        </w:rPr>
        <w:t> </w:t>
      </w:r>
      <w:r>
        <w:rPr>
          <w:sz w:val="16"/>
        </w:rPr>
        <w:t>debilidad</w:t>
      </w:r>
      <w:r>
        <w:rPr>
          <w:spacing w:val="-9"/>
          <w:sz w:val="16"/>
        </w:rPr>
        <w:t> </w:t>
      </w:r>
      <w:r>
        <w:rPr>
          <w:sz w:val="16"/>
        </w:rPr>
        <w:t>de</w:t>
      </w:r>
      <w:r>
        <w:rPr>
          <w:spacing w:val="-9"/>
          <w:sz w:val="16"/>
        </w:rPr>
        <w:t> </w:t>
      </w:r>
      <w:r>
        <w:rPr>
          <w:sz w:val="16"/>
        </w:rPr>
        <w:t>las</w:t>
      </w:r>
      <w:r>
        <w:rPr>
          <w:spacing w:val="-15"/>
          <w:sz w:val="16"/>
        </w:rPr>
        <w:t> </w:t>
      </w:r>
      <w:r>
        <w:rPr>
          <w:sz w:val="16"/>
        </w:rPr>
        <w:t>finanzas</w:t>
      </w:r>
      <w:r>
        <w:rPr>
          <w:spacing w:val="-11"/>
          <w:sz w:val="16"/>
        </w:rPr>
        <w:t> </w:t>
      </w:r>
      <w:r>
        <w:rPr>
          <w:sz w:val="16"/>
        </w:rPr>
        <w:t>de</w:t>
      </w:r>
      <w:r>
        <w:rPr>
          <w:spacing w:val="-9"/>
          <w:sz w:val="16"/>
        </w:rPr>
        <w:t> </w:t>
      </w:r>
      <w:r>
        <w:rPr>
          <w:sz w:val="16"/>
        </w:rPr>
        <w:t>las</w:t>
      </w:r>
      <w:r>
        <w:rPr>
          <w:spacing w:val="-11"/>
          <w:sz w:val="16"/>
        </w:rPr>
        <w:t> </w:t>
      </w:r>
      <w:r>
        <w:rPr>
          <w:sz w:val="16"/>
        </w:rPr>
        <w:t>administraciones</w:t>
      </w:r>
      <w:r>
        <w:rPr>
          <w:spacing w:val="-11"/>
          <w:sz w:val="16"/>
        </w:rPr>
        <w:t> </w:t>
      </w:r>
      <w:r>
        <w:rPr>
          <w:sz w:val="16"/>
        </w:rPr>
        <w:t>estatales y municipales, así como de los inadecuados sistemas de control interno y de rendición de cuentas. La ASF sugiere la promulgación</w:t>
      </w:r>
      <w:r>
        <w:rPr>
          <w:spacing w:val="-7"/>
          <w:sz w:val="16"/>
        </w:rPr>
        <w:t> </w:t>
      </w:r>
      <w:r>
        <w:rPr>
          <w:sz w:val="16"/>
        </w:rPr>
        <w:t>de la</w:t>
      </w:r>
      <w:r>
        <w:rPr>
          <w:spacing w:val="-3"/>
          <w:sz w:val="16"/>
        </w:rPr>
        <w:t> </w:t>
      </w:r>
      <w:r>
        <w:rPr>
          <w:sz w:val="16"/>
        </w:rPr>
        <w:t>Ley</w:t>
      </w:r>
      <w:r>
        <w:rPr>
          <w:spacing w:val="-6"/>
          <w:sz w:val="16"/>
        </w:rPr>
        <w:t> </w:t>
      </w:r>
      <w:r>
        <w:rPr>
          <w:sz w:val="16"/>
        </w:rPr>
        <w:t>Federal</w:t>
      </w:r>
      <w:r>
        <w:rPr>
          <w:spacing w:val="-3"/>
          <w:sz w:val="16"/>
        </w:rPr>
        <w:t> </w:t>
      </w:r>
      <w:r>
        <w:rPr>
          <w:sz w:val="16"/>
        </w:rPr>
        <w:t>de</w:t>
      </w:r>
      <w:r>
        <w:rPr>
          <w:spacing w:val="-3"/>
          <w:sz w:val="16"/>
        </w:rPr>
        <w:t> </w:t>
      </w:r>
      <w:r>
        <w:rPr>
          <w:sz w:val="16"/>
        </w:rPr>
        <w:t>Gasto</w:t>
      </w:r>
      <w:r>
        <w:rPr>
          <w:spacing w:val="-3"/>
          <w:sz w:val="16"/>
        </w:rPr>
        <w:t> </w:t>
      </w:r>
      <w:r>
        <w:rPr>
          <w:sz w:val="16"/>
        </w:rPr>
        <w:t>Federalizado y</w:t>
      </w:r>
      <w:r>
        <w:rPr>
          <w:spacing w:val="-3"/>
          <w:sz w:val="16"/>
        </w:rPr>
        <w:t> </w:t>
      </w:r>
      <w:r>
        <w:rPr>
          <w:sz w:val="16"/>
        </w:rPr>
        <w:t>la</w:t>
      </w:r>
      <w:r>
        <w:rPr>
          <w:spacing w:val="-3"/>
          <w:sz w:val="16"/>
        </w:rPr>
        <w:t> </w:t>
      </w:r>
      <w:r>
        <w:rPr>
          <w:sz w:val="16"/>
        </w:rPr>
        <w:t>derogación</w:t>
      </w:r>
      <w:r>
        <w:rPr>
          <w:spacing w:val="-4"/>
          <w:sz w:val="16"/>
        </w:rPr>
        <w:t> </w:t>
      </w:r>
      <w:r>
        <w:rPr>
          <w:sz w:val="16"/>
        </w:rPr>
        <w:t>del</w:t>
      </w:r>
      <w:r>
        <w:rPr>
          <w:spacing w:val="-6"/>
          <w:sz w:val="16"/>
        </w:rPr>
        <w:t> </w:t>
      </w:r>
      <w:r>
        <w:rPr>
          <w:sz w:val="16"/>
        </w:rPr>
        <w:t>Capítulo</w:t>
      </w:r>
      <w:r>
        <w:rPr>
          <w:spacing w:val="-3"/>
          <w:sz w:val="16"/>
        </w:rPr>
        <w:t> </w:t>
      </w:r>
      <w:r>
        <w:rPr>
          <w:sz w:val="16"/>
        </w:rPr>
        <w:t>V</w:t>
      </w:r>
      <w:r>
        <w:rPr>
          <w:spacing w:val="-2"/>
          <w:sz w:val="16"/>
        </w:rPr>
        <w:t> </w:t>
      </w:r>
      <w:r>
        <w:rPr>
          <w:sz w:val="16"/>
        </w:rPr>
        <w:t>de la LCF.</w:t>
      </w:r>
    </w:p>
    <w:p>
      <w:pPr>
        <w:spacing w:line="240" w:lineRule="auto" w:before="0"/>
        <w:ind w:left="220" w:right="2174" w:firstLine="0"/>
        <w:jc w:val="left"/>
        <w:rPr>
          <w:sz w:val="16"/>
        </w:rPr>
      </w:pPr>
      <w:r>
        <w:rPr>
          <w:sz w:val="16"/>
        </w:rPr>
        <w:t>La ASF se pronunció por la promulgación de la Ley General de Gasto Federalizado. Reunión de Análisis del Informe de la ASF, Grupo Funcional Gasto Federalizado.</w:t>
      </w:r>
    </w:p>
    <w:p>
      <w:pPr>
        <w:spacing w:line="240" w:lineRule="auto" w:before="0"/>
        <w:ind w:left="220" w:right="94" w:firstLine="0"/>
        <w:jc w:val="left"/>
        <w:rPr>
          <w:sz w:val="16"/>
        </w:rPr>
      </w:pPr>
      <w:r>
        <w:rPr>
          <w:sz w:val="16"/>
        </w:rPr>
        <w:t>Disponible en: </w:t>
      </w:r>
      <w:hyperlink r:id="rId188">
        <w:r>
          <w:rPr>
            <w:color w:val="0000FF"/>
            <w:sz w:val="16"/>
            <w:u w:val="single" w:color="0000FF"/>
          </w:rPr>
          <w:t>http://www.asf.gob.mx/Publication/75_Programa_de_TV</w:t>
        </w:r>
        <w:r>
          <w:rPr>
            <w:sz w:val="16"/>
          </w:rPr>
          <w:t>[</w:t>
        </w:r>
      </w:hyperlink>
      <w:r>
        <w:rPr>
          <w:sz w:val="16"/>
        </w:rPr>
        <w:t>Fecha de consulta: 25 de septiembre, 2015]. </w:t>
      </w:r>
      <w:r>
        <w:rPr>
          <w:rFonts w:ascii="Times New Roman" w:hAnsi="Times New Roman"/>
          <w:position w:val="7"/>
          <w:sz w:val="13"/>
        </w:rPr>
        <w:t>127</w:t>
      </w:r>
      <w:r>
        <w:rPr>
          <w:sz w:val="16"/>
        </w:rPr>
        <w:t>En mayo de 2013 la ASF reiteró por tercera ocasión la importancia de materializar las reformas constitucionales propuestas Fuente: Programa Pesos y Contrapesos. Reunión de Análisis del Informe de la ASF, Grupo Funcional Gasto Federalizado. Disponible en: </w:t>
      </w:r>
      <w:hyperlink r:id="rId188">
        <w:r>
          <w:rPr>
            <w:color w:val="0000FF"/>
            <w:sz w:val="16"/>
            <w:u w:val="single" w:color="0000FF"/>
          </w:rPr>
          <w:t>http://www.asf.gob.mx/Publication/75_Programa_de_TV</w:t>
        </w:r>
      </w:hyperlink>
      <w:r>
        <w:rPr>
          <w:color w:val="0000FF"/>
          <w:sz w:val="16"/>
          <w:u w:val="single" w:color="0000FF"/>
        </w:rPr>
        <w:t> </w:t>
      </w:r>
      <w:r>
        <w:rPr>
          <w:sz w:val="16"/>
        </w:rPr>
        <w:t>[Fecha de consulta: [Fecha de consulta: 25 de septiembre, 2015]</w:t>
      </w:r>
    </w:p>
    <w:p>
      <w:pPr>
        <w:spacing w:after="0" w:line="240" w:lineRule="auto"/>
        <w:jc w:val="left"/>
        <w:rPr>
          <w:sz w:val="16"/>
        </w:rPr>
        <w:sectPr>
          <w:pgSz w:w="11910" w:h="16840"/>
          <w:pgMar w:header="0" w:footer="998" w:top="1400" w:bottom="1180" w:left="1480" w:right="1500"/>
        </w:sectPr>
      </w:pPr>
    </w:p>
    <w:p>
      <w:pPr>
        <w:spacing w:line="242" w:lineRule="auto" w:before="57"/>
        <w:ind w:left="3765" w:right="19" w:hanging="3517"/>
        <w:jc w:val="left"/>
        <w:rPr>
          <w:sz w:val="20"/>
        </w:rPr>
      </w:pPr>
      <w:bookmarkStart w:name="_bookmark78" w:id="105"/>
      <w:bookmarkEnd w:id="105"/>
      <w:r>
        <w:rPr/>
      </w:r>
      <w:r>
        <w:rPr>
          <w:sz w:val="20"/>
        </w:rPr>
        <w:t>Cuadro 4. 2. Reformas aprobadas por la Cámara de Diputados para fortalecer la rendición de cuentas, 2012</w:t>
      </w:r>
    </w:p>
    <w:p>
      <w:pPr>
        <w:pStyle w:val="BodyText"/>
        <w:spacing w:before="3" w:after="1"/>
        <w:rPr>
          <w:sz w:val="17"/>
        </w:rPr>
      </w:pPr>
    </w:p>
    <w:tbl>
      <w:tblPr>
        <w:tblW w:w="0" w:type="auto"/>
        <w:jc w:val="left"/>
        <w:tblInd w:w="108" w:type="dxa"/>
        <w:tblBorders>
          <w:top w:val="single" w:sz="11" w:space="0" w:color="BEBEBE"/>
          <w:left w:val="single" w:sz="11" w:space="0" w:color="BEBEBE"/>
          <w:bottom w:val="single" w:sz="11" w:space="0" w:color="BEBEBE"/>
          <w:right w:val="single" w:sz="11" w:space="0" w:color="BEBEBE"/>
          <w:insideH w:val="single" w:sz="11" w:space="0" w:color="BEBEBE"/>
          <w:insideV w:val="single" w:sz="11" w:space="0" w:color="BEBEBE"/>
        </w:tblBorders>
        <w:tblLayout w:type="fixed"/>
        <w:tblCellMar>
          <w:top w:w="0" w:type="dxa"/>
          <w:left w:w="0" w:type="dxa"/>
          <w:bottom w:w="0" w:type="dxa"/>
          <w:right w:w="0" w:type="dxa"/>
        </w:tblCellMar>
        <w:tblLook w:val="01E0"/>
      </w:tblPr>
      <w:tblGrid>
        <w:gridCol w:w="745"/>
        <w:gridCol w:w="7800"/>
      </w:tblGrid>
      <w:tr>
        <w:trPr>
          <w:trHeight w:val="352" w:hRule="exact"/>
        </w:trPr>
        <w:tc>
          <w:tcPr>
            <w:tcW w:w="745" w:type="dxa"/>
          </w:tcPr>
          <w:p>
            <w:pPr/>
          </w:p>
        </w:tc>
        <w:tc>
          <w:tcPr>
            <w:tcW w:w="7800" w:type="dxa"/>
          </w:tcPr>
          <w:p>
            <w:pPr/>
          </w:p>
        </w:tc>
      </w:tr>
      <w:tr>
        <w:trPr>
          <w:trHeight w:val="182" w:hRule="exact"/>
        </w:trPr>
        <w:tc>
          <w:tcPr>
            <w:tcW w:w="745" w:type="dxa"/>
          </w:tcPr>
          <w:p>
            <w:pPr>
              <w:pStyle w:val="TableParagraph"/>
              <w:spacing w:line="158" w:lineRule="exact"/>
              <w:ind w:left="235"/>
              <w:rPr>
                <w:b/>
                <w:sz w:val="14"/>
              </w:rPr>
            </w:pPr>
            <w:r>
              <w:rPr>
                <w:b/>
                <w:sz w:val="14"/>
              </w:rPr>
              <w:t>73</w:t>
            </w:r>
          </w:p>
        </w:tc>
        <w:tc>
          <w:tcPr>
            <w:tcW w:w="7800" w:type="dxa"/>
            <w:tcBorders>
              <w:bottom w:val="single" w:sz="3" w:space="0" w:color="000000"/>
              <w:right w:val="single" w:sz="3" w:space="0" w:color="000000"/>
            </w:tcBorders>
          </w:tcPr>
          <w:p>
            <w:pPr>
              <w:pStyle w:val="TableParagraph"/>
              <w:ind w:left="95" w:right="188"/>
              <w:rPr>
                <w:sz w:val="14"/>
              </w:rPr>
            </w:pPr>
            <w:r>
              <w:rPr>
                <w:sz w:val="14"/>
              </w:rPr>
              <w:t>Reconocer en la Constitución Federal el Sistema Nacional de Fiscalización. (Fracción XXVIII-B)</w:t>
            </w:r>
          </w:p>
        </w:tc>
      </w:tr>
      <w:tr>
        <w:trPr>
          <w:trHeight w:val="1157" w:hRule="exact"/>
        </w:trPr>
        <w:tc>
          <w:tcPr>
            <w:tcW w:w="745" w:type="dxa"/>
          </w:tcPr>
          <w:p>
            <w:pPr>
              <w:pStyle w:val="TableParagraph"/>
              <w:rPr>
                <w:sz w:val="14"/>
              </w:rPr>
            </w:pPr>
          </w:p>
          <w:p>
            <w:pPr>
              <w:pStyle w:val="TableParagraph"/>
              <w:rPr>
                <w:sz w:val="14"/>
              </w:rPr>
            </w:pPr>
          </w:p>
          <w:p>
            <w:pPr>
              <w:pStyle w:val="TableParagraph"/>
              <w:spacing w:before="3"/>
              <w:rPr>
                <w:sz w:val="14"/>
              </w:rPr>
            </w:pPr>
          </w:p>
          <w:p>
            <w:pPr>
              <w:pStyle w:val="TableParagraph"/>
              <w:spacing w:before="1"/>
              <w:ind w:left="235"/>
              <w:rPr>
                <w:b/>
                <w:sz w:val="14"/>
              </w:rPr>
            </w:pPr>
            <w:r>
              <w:rPr>
                <w:b/>
                <w:sz w:val="14"/>
              </w:rPr>
              <w:t>74</w:t>
            </w:r>
          </w:p>
        </w:tc>
        <w:tc>
          <w:tcPr>
            <w:tcW w:w="7800" w:type="dxa"/>
            <w:tcBorders>
              <w:top w:val="single" w:sz="3" w:space="0" w:color="000000"/>
              <w:bottom w:val="single" w:sz="3" w:space="0" w:color="000000"/>
              <w:right w:val="single" w:sz="3" w:space="0" w:color="000000"/>
            </w:tcBorders>
          </w:tcPr>
          <w:p>
            <w:pPr>
              <w:pStyle w:val="TableParagraph"/>
              <w:spacing w:before="17"/>
              <w:ind w:left="95" w:right="188"/>
              <w:rPr>
                <w:sz w:val="14"/>
              </w:rPr>
            </w:pPr>
            <w:r>
              <w:rPr>
                <w:sz w:val="14"/>
              </w:rPr>
              <w:t>Modificar el concepto de “gestión financiera” por “gestión”. (Fracción VI, primer párrafo)</w:t>
            </w:r>
          </w:p>
          <w:p>
            <w:pPr>
              <w:pStyle w:val="TableParagraph"/>
              <w:spacing w:line="161" w:lineRule="exact" w:before="3"/>
              <w:ind w:left="95" w:right="188"/>
              <w:rPr>
                <w:sz w:val="14"/>
              </w:rPr>
            </w:pPr>
            <w:r>
              <w:rPr>
                <w:sz w:val="14"/>
              </w:rPr>
              <w:t>Establecer de manera expresa la evaluación de las políticas públicas. (Fracción VI, primer párrafo)</w:t>
            </w:r>
          </w:p>
          <w:p>
            <w:pPr>
              <w:pStyle w:val="TableParagraph"/>
              <w:ind w:left="95" w:right="188"/>
              <w:rPr>
                <w:sz w:val="14"/>
              </w:rPr>
            </w:pPr>
            <w:r>
              <w:rPr>
                <w:sz w:val="14"/>
              </w:rPr>
              <w:t>Facultar a la ASF para promover cualquier acción en las auditorías sobre el desempeño. (Fracción VI segundo párrafo) Adelantar gradualmente el plazo de presentación de la Cuenta Pública al último día hábil del mes de febrero. (Fracción VI, tercer párrafo)</w:t>
            </w:r>
          </w:p>
          <w:p>
            <w:pPr>
              <w:pStyle w:val="TableParagraph"/>
              <w:spacing w:before="3"/>
              <w:ind w:left="95" w:right="188"/>
              <w:rPr>
                <w:sz w:val="14"/>
              </w:rPr>
            </w:pPr>
            <w:r>
              <w:rPr>
                <w:sz w:val="14"/>
              </w:rPr>
              <w:t>Concluir la revisión de la Cuenta Pública por parte de la Cámara de Diputados el 15 de diciembre del mismo año de su presentación. (Fracción VI, cuarto párrafo)</w:t>
            </w:r>
          </w:p>
        </w:tc>
      </w:tr>
      <w:tr>
        <w:trPr>
          <w:trHeight w:val="2608" w:hRule="exact"/>
        </w:trPr>
        <w:tc>
          <w:tcPr>
            <w:tcW w:w="745"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7"/>
              <w:ind w:left="235"/>
              <w:rPr>
                <w:b/>
                <w:sz w:val="14"/>
              </w:rPr>
            </w:pPr>
            <w:r>
              <w:rPr>
                <w:b/>
                <w:sz w:val="14"/>
              </w:rPr>
              <w:t>79</w:t>
            </w:r>
          </w:p>
        </w:tc>
        <w:tc>
          <w:tcPr>
            <w:tcW w:w="7800" w:type="dxa"/>
            <w:tcBorders>
              <w:top w:val="single" w:sz="3" w:space="0" w:color="000000"/>
              <w:bottom w:val="single" w:sz="3" w:space="0" w:color="000000"/>
              <w:right w:val="single" w:sz="3" w:space="0" w:color="000000"/>
            </w:tcBorders>
          </w:tcPr>
          <w:p>
            <w:pPr>
              <w:pStyle w:val="TableParagraph"/>
              <w:spacing w:line="160" w:lineRule="exact" w:before="20"/>
              <w:ind w:left="95" w:right="188"/>
              <w:rPr>
                <w:sz w:val="14"/>
              </w:rPr>
            </w:pPr>
            <w:r>
              <w:rPr>
                <w:sz w:val="14"/>
              </w:rPr>
              <w:t>Iniciar la fiscalización el primer día hábil del año siguiente al cierre del ejercicio fiscal (Cuarto párrafo).</w:t>
            </w:r>
          </w:p>
          <w:p>
            <w:pPr>
              <w:pStyle w:val="TableParagraph"/>
              <w:ind w:left="95" w:right="188"/>
              <w:rPr>
                <w:sz w:val="14"/>
              </w:rPr>
            </w:pPr>
            <w:r>
              <w:rPr>
                <w:sz w:val="14"/>
              </w:rPr>
              <w:t>Realizar revisiones preliminares y solicitar información del ejercicio en curso para la planeación de auditorías. (Cuarto párrafo)</w:t>
            </w:r>
          </w:p>
          <w:p>
            <w:pPr>
              <w:pStyle w:val="TableParagraph"/>
              <w:ind w:left="95" w:right="188"/>
              <w:rPr>
                <w:sz w:val="14"/>
              </w:rPr>
            </w:pPr>
            <w:r>
              <w:rPr>
                <w:sz w:val="14"/>
              </w:rPr>
              <w:t>Otorgar a la ASF la facultad de realizar evaluaciones preliminares a través de informes trimestrales, así como solicitar información del ejercicio en curso, emitiendo recomendaciones y sugerencias de carácter preventivo. (Quinto párrafo) Realizar acciones sin sujeción a los principios de anualidad y posterioridad para que, en supuestos específicos que la legislación secundaria regule, la ASF pueda tener intervención durante el ejercicio en curso. (Sexto párrafo)</w:t>
            </w:r>
          </w:p>
          <w:p>
            <w:pPr>
              <w:pStyle w:val="TableParagraph"/>
              <w:spacing w:line="244" w:lineRule="auto"/>
              <w:ind w:left="95" w:right="188"/>
              <w:rPr>
                <w:sz w:val="14"/>
              </w:rPr>
            </w:pPr>
            <w:r>
              <w:rPr>
                <w:sz w:val="14"/>
              </w:rPr>
              <w:t>Incluir en la ley, de manera expresa y como sujetos de fiscalización, a los fideicomisos públicos y a las concesiones o cesiones parciales de bienes de dominio público. (Fracción I, primer párrafo)</w:t>
            </w:r>
          </w:p>
          <w:p>
            <w:pPr>
              <w:pStyle w:val="TableParagraph"/>
              <w:spacing w:line="237" w:lineRule="auto"/>
              <w:ind w:left="95" w:right="188"/>
              <w:rPr>
                <w:sz w:val="14"/>
              </w:rPr>
            </w:pPr>
            <w:r>
              <w:rPr>
                <w:sz w:val="14"/>
              </w:rPr>
              <w:t>Incluir en la Ley de Fiscalización de los proyectos de inversión de coparticipación público privada. (Fracción I, segundo párrafo)</w:t>
            </w:r>
          </w:p>
          <w:p>
            <w:pPr>
              <w:pStyle w:val="TableParagraph"/>
              <w:spacing w:line="244" w:lineRule="auto"/>
              <w:ind w:left="95" w:right="188"/>
              <w:rPr>
                <w:sz w:val="14"/>
              </w:rPr>
            </w:pPr>
            <w:r>
              <w:rPr>
                <w:sz w:val="14"/>
              </w:rPr>
              <w:t>En el caso de la revisión de situación excepcional, plantear un nuevo mecanismo para que la ASF realice la fiscalización de manera directa. (Fracción I, quinto párrafo)</w:t>
            </w:r>
          </w:p>
          <w:p>
            <w:pPr>
              <w:pStyle w:val="TableParagraph"/>
              <w:spacing w:line="237" w:lineRule="auto"/>
              <w:ind w:left="95" w:right="188"/>
              <w:rPr>
                <w:sz w:val="14"/>
              </w:rPr>
            </w:pPr>
            <w:r>
              <w:rPr>
                <w:sz w:val="14"/>
              </w:rPr>
              <w:t>Presentar informes individuales de auditoría que se entregarán conforme a la conclusión de las auditorías. (Fracción II) Presentar un Informe General Ejecutivo del Resultado el 31 de octubre. (Fracción II)</w:t>
            </w:r>
          </w:p>
          <w:p>
            <w:pPr>
              <w:pStyle w:val="TableParagraph"/>
              <w:spacing w:line="160" w:lineRule="exact"/>
              <w:ind w:left="95"/>
              <w:rPr>
                <w:sz w:val="14"/>
              </w:rPr>
            </w:pPr>
            <w:r>
              <w:rPr>
                <w:sz w:val="14"/>
              </w:rPr>
              <w:t>Eliminar la posibilidad de que el Auditor Superior de la Federación sea nombrado nuevamente. (Fracción IV, tercer párrafo)</w:t>
            </w:r>
          </w:p>
        </w:tc>
      </w:tr>
      <w:tr>
        <w:trPr>
          <w:trHeight w:val="352" w:hRule="exact"/>
        </w:trPr>
        <w:tc>
          <w:tcPr>
            <w:tcW w:w="745" w:type="dxa"/>
          </w:tcPr>
          <w:p>
            <w:pPr>
              <w:pStyle w:val="TableParagraph"/>
              <w:spacing w:line="160" w:lineRule="exact" w:before="3"/>
              <w:ind w:left="140"/>
              <w:rPr>
                <w:b/>
                <w:sz w:val="14"/>
              </w:rPr>
            </w:pPr>
            <w:r>
              <w:rPr>
                <w:b/>
                <w:sz w:val="14"/>
              </w:rPr>
              <w:t>116 y</w:t>
            </w:r>
          </w:p>
          <w:p>
            <w:pPr>
              <w:pStyle w:val="TableParagraph"/>
              <w:spacing w:line="160" w:lineRule="exact"/>
              <w:ind w:left="195"/>
              <w:rPr>
                <w:b/>
                <w:sz w:val="14"/>
              </w:rPr>
            </w:pPr>
            <w:r>
              <w:rPr>
                <w:b/>
                <w:sz w:val="14"/>
              </w:rPr>
              <w:t>122</w:t>
            </w:r>
          </w:p>
        </w:tc>
        <w:tc>
          <w:tcPr>
            <w:tcW w:w="7800" w:type="dxa"/>
            <w:tcBorders>
              <w:top w:val="single" w:sz="3" w:space="0" w:color="000000"/>
              <w:bottom w:val="single" w:sz="3" w:space="0" w:color="000000"/>
              <w:right w:val="single" w:sz="3" w:space="0" w:color="000000"/>
            </w:tcBorders>
          </w:tcPr>
          <w:p>
            <w:pPr>
              <w:pStyle w:val="TableParagraph"/>
              <w:spacing w:before="17"/>
              <w:ind w:left="95" w:right="188"/>
              <w:rPr>
                <w:sz w:val="14"/>
              </w:rPr>
            </w:pPr>
            <w:r>
              <w:rPr>
                <w:sz w:val="14"/>
              </w:rPr>
              <w:t>Establecer</w:t>
            </w:r>
            <w:r>
              <w:rPr>
                <w:spacing w:val="-8"/>
                <w:sz w:val="14"/>
              </w:rPr>
              <w:t> </w:t>
            </w:r>
            <w:r>
              <w:rPr>
                <w:sz w:val="14"/>
              </w:rPr>
              <w:t>que</w:t>
            </w:r>
            <w:r>
              <w:rPr>
                <w:spacing w:val="-14"/>
                <w:sz w:val="14"/>
              </w:rPr>
              <w:t> </w:t>
            </w:r>
            <w:r>
              <w:rPr>
                <w:sz w:val="14"/>
              </w:rPr>
              <w:t>los</w:t>
            </w:r>
            <w:r>
              <w:rPr>
                <w:spacing w:val="-10"/>
                <w:sz w:val="14"/>
              </w:rPr>
              <w:t> </w:t>
            </w:r>
            <w:r>
              <w:rPr>
                <w:sz w:val="14"/>
              </w:rPr>
              <w:t>informes</w:t>
            </w:r>
            <w:r>
              <w:rPr>
                <w:spacing w:val="-11"/>
                <w:sz w:val="14"/>
              </w:rPr>
              <w:t> </w:t>
            </w:r>
            <w:r>
              <w:rPr>
                <w:sz w:val="14"/>
              </w:rPr>
              <w:t>de</w:t>
            </w:r>
            <w:r>
              <w:rPr>
                <w:spacing w:val="-14"/>
                <w:sz w:val="14"/>
              </w:rPr>
              <w:t> </w:t>
            </w:r>
            <w:r>
              <w:rPr>
                <w:sz w:val="14"/>
              </w:rPr>
              <w:t>auditoría</w:t>
            </w:r>
            <w:r>
              <w:rPr>
                <w:spacing w:val="-17"/>
                <w:sz w:val="14"/>
              </w:rPr>
              <w:t> </w:t>
            </w:r>
            <w:r>
              <w:rPr>
                <w:sz w:val="14"/>
              </w:rPr>
              <w:t>que</w:t>
            </w:r>
            <w:r>
              <w:rPr>
                <w:spacing w:val="-17"/>
                <w:sz w:val="14"/>
              </w:rPr>
              <w:t> </w:t>
            </w:r>
            <w:r>
              <w:rPr>
                <w:sz w:val="14"/>
              </w:rPr>
              <w:t>presentan</w:t>
            </w:r>
            <w:r>
              <w:rPr>
                <w:spacing w:val="-14"/>
                <w:sz w:val="14"/>
              </w:rPr>
              <w:t> </w:t>
            </w:r>
            <w:r>
              <w:rPr>
                <w:sz w:val="14"/>
              </w:rPr>
              <w:t>las</w:t>
            </w:r>
            <w:r>
              <w:rPr>
                <w:spacing w:val="-8"/>
                <w:sz w:val="14"/>
              </w:rPr>
              <w:t> </w:t>
            </w:r>
            <w:r>
              <w:rPr>
                <w:sz w:val="14"/>
              </w:rPr>
              <w:t>entidades</w:t>
            </w:r>
            <w:r>
              <w:rPr>
                <w:spacing w:val="-11"/>
                <w:sz w:val="14"/>
              </w:rPr>
              <w:t> </w:t>
            </w:r>
            <w:r>
              <w:rPr>
                <w:sz w:val="14"/>
              </w:rPr>
              <w:t>de</w:t>
            </w:r>
            <w:r>
              <w:rPr>
                <w:spacing w:val="-17"/>
                <w:sz w:val="14"/>
              </w:rPr>
              <w:t> </w:t>
            </w:r>
            <w:r>
              <w:rPr>
                <w:sz w:val="14"/>
              </w:rPr>
              <w:t>fiscalización</w:t>
            </w:r>
            <w:r>
              <w:rPr>
                <w:spacing w:val="-14"/>
                <w:sz w:val="14"/>
              </w:rPr>
              <w:t> </w:t>
            </w:r>
            <w:r>
              <w:rPr>
                <w:sz w:val="14"/>
              </w:rPr>
              <w:t>superior</w:t>
            </w:r>
            <w:r>
              <w:rPr>
                <w:spacing w:val="-11"/>
                <w:sz w:val="14"/>
              </w:rPr>
              <w:t> </w:t>
            </w:r>
            <w:r>
              <w:rPr>
                <w:sz w:val="14"/>
              </w:rPr>
              <w:t>de</w:t>
            </w:r>
            <w:r>
              <w:rPr>
                <w:spacing w:val="-14"/>
                <w:sz w:val="14"/>
              </w:rPr>
              <w:t> </w:t>
            </w:r>
            <w:r>
              <w:rPr>
                <w:sz w:val="14"/>
              </w:rPr>
              <w:t>las</w:t>
            </w:r>
            <w:r>
              <w:rPr>
                <w:spacing w:val="-8"/>
                <w:sz w:val="14"/>
              </w:rPr>
              <w:t> </w:t>
            </w:r>
            <w:r>
              <w:rPr>
                <w:sz w:val="14"/>
              </w:rPr>
              <w:t>entidades</w:t>
            </w:r>
            <w:r>
              <w:rPr>
                <w:spacing w:val="-11"/>
                <w:sz w:val="14"/>
              </w:rPr>
              <w:t> </w:t>
            </w:r>
            <w:r>
              <w:rPr>
                <w:sz w:val="14"/>
              </w:rPr>
              <w:t>federativas sean</w:t>
            </w:r>
            <w:r>
              <w:rPr>
                <w:spacing w:val="-9"/>
                <w:sz w:val="14"/>
              </w:rPr>
              <w:t> </w:t>
            </w:r>
            <w:r>
              <w:rPr>
                <w:sz w:val="14"/>
              </w:rPr>
              <w:t>públicos.</w:t>
            </w:r>
          </w:p>
        </w:tc>
      </w:tr>
    </w:tbl>
    <w:p>
      <w:pPr>
        <w:pStyle w:val="BodyText"/>
        <w:spacing w:before="7"/>
        <w:rPr>
          <w:sz w:val="12"/>
        </w:rPr>
      </w:pPr>
    </w:p>
    <w:p>
      <w:pPr>
        <w:spacing w:before="0"/>
        <w:ind w:left="140" w:right="19" w:firstLine="0"/>
        <w:jc w:val="left"/>
        <w:rPr>
          <w:sz w:val="12"/>
        </w:rPr>
      </w:pPr>
      <w:r>
        <w:rPr>
          <w:sz w:val="12"/>
        </w:rPr>
        <w:t>FUENTE:     Cámara de Diputados, H. Congreso de la Unión, LXI Legislatura.</w:t>
      </w:r>
    </w:p>
    <w:p>
      <w:pPr>
        <w:pStyle w:val="BodyText"/>
        <w:rPr>
          <w:sz w:val="12"/>
        </w:rPr>
      </w:pPr>
    </w:p>
    <w:p>
      <w:pPr>
        <w:pStyle w:val="BodyText"/>
        <w:rPr>
          <w:sz w:val="12"/>
        </w:rPr>
      </w:pPr>
    </w:p>
    <w:p>
      <w:pPr>
        <w:pStyle w:val="BodyText"/>
        <w:spacing w:before="3"/>
        <w:rPr>
          <w:sz w:val="12"/>
        </w:rPr>
      </w:pPr>
    </w:p>
    <w:p>
      <w:pPr>
        <w:pStyle w:val="BodyText"/>
        <w:spacing w:line="360" w:lineRule="auto"/>
        <w:ind w:left="140" w:right="19" w:firstLine="427"/>
      </w:pPr>
      <w:r>
        <w:rPr/>
        <w:t>Entre las deficiencias identificadas en la actividad fiscalizadora no subsanadas por la LFRCF, destacan las siguientes:</w:t>
      </w:r>
    </w:p>
    <w:p>
      <w:pPr>
        <w:pStyle w:val="BodyText"/>
      </w:pPr>
    </w:p>
    <w:p>
      <w:pPr>
        <w:pStyle w:val="ListParagraph"/>
        <w:numPr>
          <w:ilvl w:val="0"/>
          <w:numId w:val="70"/>
        </w:numPr>
        <w:tabs>
          <w:tab w:pos="861" w:val="left" w:leader="none"/>
        </w:tabs>
        <w:spacing w:line="362" w:lineRule="auto" w:before="142" w:after="0"/>
        <w:ind w:left="861" w:right="261" w:hanging="361"/>
        <w:jc w:val="left"/>
        <w:rPr>
          <w:sz w:val="24"/>
        </w:rPr>
      </w:pPr>
      <w:r>
        <w:rPr>
          <w:sz w:val="24"/>
        </w:rPr>
        <w:t>Prevalece la cantidad de auditorías financieras y de cumplimiento sobre las de</w:t>
      </w:r>
      <w:r>
        <w:rPr>
          <w:spacing w:val="-13"/>
          <w:sz w:val="24"/>
        </w:rPr>
        <w:t> </w:t>
      </w:r>
      <w:r>
        <w:rPr>
          <w:sz w:val="24"/>
        </w:rPr>
        <w:t>desempeño.</w:t>
      </w:r>
    </w:p>
    <w:p>
      <w:pPr>
        <w:pStyle w:val="ListParagraph"/>
        <w:numPr>
          <w:ilvl w:val="0"/>
          <w:numId w:val="70"/>
        </w:numPr>
        <w:tabs>
          <w:tab w:pos="861" w:val="left" w:leader="none"/>
        </w:tabs>
        <w:spacing w:line="362" w:lineRule="auto" w:before="0" w:after="0"/>
        <w:ind w:left="861" w:right="261" w:hanging="361"/>
        <w:jc w:val="left"/>
        <w:rPr>
          <w:sz w:val="24"/>
        </w:rPr>
      </w:pPr>
      <w:r>
        <w:rPr>
          <w:sz w:val="24"/>
        </w:rPr>
        <w:t>Los indicadores estratégicos de desempeño siguen siendo insuficientes para mejorar los resultados de las políticas</w:t>
      </w:r>
      <w:r>
        <w:rPr>
          <w:spacing w:val="-28"/>
          <w:sz w:val="24"/>
        </w:rPr>
        <w:t> </w:t>
      </w:r>
      <w:r>
        <w:rPr>
          <w:sz w:val="24"/>
        </w:rPr>
        <w:t>públicas.</w:t>
      </w:r>
    </w:p>
    <w:p>
      <w:pPr>
        <w:pStyle w:val="ListParagraph"/>
        <w:numPr>
          <w:ilvl w:val="0"/>
          <w:numId w:val="70"/>
        </w:numPr>
        <w:tabs>
          <w:tab w:pos="861" w:val="left" w:leader="none"/>
        </w:tabs>
        <w:spacing w:line="275" w:lineRule="exact" w:before="0" w:after="0"/>
        <w:ind w:left="861" w:right="0" w:hanging="361"/>
        <w:jc w:val="left"/>
        <w:rPr>
          <w:sz w:val="24"/>
        </w:rPr>
      </w:pPr>
      <w:r>
        <w:rPr>
          <w:sz w:val="24"/>
        </w:rPr>
        <w:t>Aumento de la</w:t>
      </w:r>
      <w:r>
        <w:rPr>
          <w:spacing w:val="-14"/>
          <w:sz w:val="24"/>
        </w:rPr>
        <w:t> </w:t>
      </w:r>
      <w:r>
        <w:rPr>
          <w:sz w:val="24"/>
        </w:rPr>
        <w:t>corrupción.</w:t>
      </w:r>
    </w:p>
    <w:p>
      <w:pPr>
        <w:pStyle w:val="ListParagraph"/>
        <w:numPr>
          <w:ilvl w:val="0"/>
          <w:numId w:val="70"/>
        </w:numPr>
        <w:tabs>
          <w:tab w:pos="861" w:val="left" w:leader="none"/>
        </w:tabs>
        <w:spacing w:line="357" w:lineRule="auto" w:before="140" w:after="0"/>
        <w:ind w:left="861" w:right="262" w:hanging="361"/>
        <w:jc w:val="left"/>
        <w:rPr>
          <w:sz w:val="24"/>
        </w:rPr>
      </w:pPr>
      <w:r>
        <w:rPr>
          <w:sz w:val="24"/>
        </w:rPr>
        <w:t>Se carece de un trabajo estratégico que anticipe los cambios</w:t>
      </w:r>
      <w:r>
        <w:rPr>
          <w:spacing w:val="-44"/>
          <w:sz w:val="24"/>
        </w:rPr>
        <w:t> </w:t>
      </w:r>
      <w:r>
        <w:rPr>
          <w:sz w:val="24"/>
        </w:rPr>
        <w:t>nacionales e</w:t>
      </w:r>
      <w:r>
        <w:rPr>
          <w:spacing w:val="-13"/>
          <w:sz w:val="24"/>
        </w:rPr>
        <w:t> </w:t>
      </w:r>
      <w:r>
        <w:rPr>
          <w:sz w:val="24"/>
        </w:rPr>
        <w:t>internacionales.</w:t>
      </w:r>
    </w:p>
    <w:p>
      <w:pPr>
        <w:pStyle w:val="ListParagraph"/>
        <w:numPr>
          <w:ilvl w:val="0"/>
          <w:numId w:val="70"/>
        </w:numPr>
        <w:tabs>
          <w:tab w:pos="861" w:val="left" w:leader="none"/>
        </w:tabs>
        <w:spacing w:line="240" w:lineRule="auto" w:before="8" w:after="0"/>
        <w:ind w:left="861" w:right="0" w:hanging="361"/>
        <w:jc w:val="left"/>
        <w:rPr>
          <w:sz w:val="24"/>
        </w:rPr>
      </w:pPr>
      <w:r>
        <w:rPr>
          <w:sz w:val="24"/>
        </w:rPr>
        <w:t>Las formas sofisticadas de fraude no se han</w:t>
      </w:r>
      <w:r>
        <w:rPr>
          <w:spacing w:val="-33"/>
          <w:sz w:val="24"/>
        </w:rPr>
        <w:t> </w:t>
      </w:r>
      <w:r>
        <w:rPr>
          <w:sz w:val="24"/>
        </w:rPr>
        <w:t>prevenido.</w:t>
      </w:r>
    </w:p>
    <w:p>
      <w:pPr>
        <w:pStyle w:val="ListParagraph"/>
        <w:numPr>
          <w:ilvl w:val="0"/>
          <w:numId w:val="70"/>
        </w:numPr>
        <w:tabs>
          <w:tab w:pos="861" w:val="left" w:leader="none"/>
        </w:tabs>
        <w:spacing w:line="362" w:lineRule="auto" w:before="136" w:after="0"/>
        <w:ind w:left="861" w:right="255" w:hanging="361"/>
        <w:jc w:val="left"/>
        <w:rPr>
          <w:sz w:val="24"/>
        </w:rPr>
      </w:pPr>
      <w:r>
        <w:rPr>
          <w:sz w:val="24"/>
        </w:rPr>
        <w:t>La</w:t>
      </w:r>
      <w:r>
        <w:rPr>
          <w:spacing w:val="-16"/>
          <w:sz w:val="24"/>
        </w:rPr>
        <w:t> </w:t>
      </w:r>
      <w:r>
        <w:rPr>
          <w:sz w:val="24"/>
        </w:rPr>
        <w:t>Entidad</w:t>
      </w:r>
      <w:r>
        <w:rPr>
          <w:spacing w:val="-16"/>
          <w:sz w:val="24"/>
        </w:rPr>
        <w:t> </w:t>
      </w:r>
      <w:r>
        <w:rPr>
          <w:sz w:val="24"/>
        </w:rPr>
        <w:t>de</w:t>
      </w:r>
      <w:r>
        <w:rPr>
          <w:spacing w:val="-16"/>
          <w:sz w:val="24"/>
        </w:rPr>
        <w:t> </w:t>
      </w:r>
      <w:r>
        <w:rPr>
          <w:sz w:val="24"/>
        </w:rPr>
        <w:t>Fiscalización</w:t>
      </w:r>
      <w:r>
        <w:rPr>
          <w:spacing w:val="-16"/>
          <w:sz w:val="24"/>
        </w:rPr>
        <w:t> </w:t>
      </w:r>
      <w:r>
        <w:rPr>
          <w:sz w:val="24"/>
        </w:rPr>
        <w:t>Superior</w:t>
      </w:r>
      <w:r>
        <w:rPr>
          <w:spacing w:val="-14"/>
          <w:sz w:val="24"/>
        </w:rPr>
        <w:t> </w:t>
      </w:r>
      <w:r>
        <w:rPr>
          <w:sz w:val="24"/>
        </w:rPr>
        <w:t>de</w:t>
      </w:r>
      <w:r>
        <w:rPr>
          <w:spacing w:val="-16"/>
          <w:sz w:val="24"/>
        </w:rPr>
        <w:t> </w:t>
      </w:r>
      <w:r>
        <w:rPr>
          <w:sz w:val="24"/>
        </w:rPr>
        <w:t>la</w:t>
      </w:r>
      <w:r>
        <w:rPr>
          <w:spacing w:val="-16"/>
          <w:sz w:val="24"/>
        </w:rPr>
        <w:t> </w:t>
      </w:r>
      <w:r>
        <w:rPr>
          <w:sz w:val="24"/>
        </w:rPr>
        <w:t>Federación</w:t>
      </w:r>
      <w:r>
        <w:rPr>
          <w:spacing w:val="-16"/>
          <w:sz w:val="24"/>
        </w:rPr>
        <w:t> </w:t>
      </w:r>
      <w:r>
        <w:rPr>
          <w:sz w:val="24"/>
        </w:rPr>
        <w:t>está</w:t>
      </w:r>
      <w:r>
        <w:rPr>
          <w:spacing w:val="-12"/>
          <w:sz w:val="24"/>
        </w:rPr>
        <w:t> </w:t>
      </w:r>
      <w:r>
        <w:rPr>
          <w:sz w:val="24"/>
        </w:rPr>
        <w:t>imposibilitada para realizar una fiscalización preventiva de alta</w:t>
      </w:r>
      <w:r>
        <w:rPr>
          <w:spacing w:val="-36"/>
          <w:sz w:val="24"/>
        </w:rPr>
        <w:t> </w:t>
      </w:r>
      <w:r>
        <w:rPr>
          <w:sz w:val="24"/>
        </w:rPr>
        <w:t>calidad.</w:t>
      </w:r>
    </w:p>
    <w:p>
      <w:pPr>
        <w:pStyle w:val="ListParagraph"/>
        <w:numPr>
          <w:ilvl w:val="0"/>
          <w:numId w:val="70"/>
        </w:numPr>
        <w:tabs>
          <w:tab w:pos="861" w:val="left" w:leader="none"/>
        </w:tabs>
        <w:spacing w:line="362" w:lineRule="auto" w:before="0" w:after="0"/>
        <w:ind w:left="861" w:right="261" w:hanging="361"/>
        <w:jc w:val="left"/>
        <w:rPr>
          <w:sz w:val="24"/>
        </w:rPr>
      </w:pPr>
      <w:r>
        <w:rPr>
          <w:sz w:val="24"/>
        </w:rPr>
        <w:t>Los indicadores de desempeño carecen de un impacto distinto de las recomendaciones.</w:t>
      </w:r>
    </w:p>
    <w:p>
      <w:pPr>
        <w:spacing w:after="0" w:line="362" w:lineRule="auto"/>
        <w:jc w:val="left"/>
        <w:rPr>
          <w:sz w:val="24"/>
        </w:rPr>
        <w:sectPr>
          <w:footerReference w:type="default" r:id="rId189"/>
          <w:pgSz w:w="11910" w:h="16840"/>
          <w:pgMar w:footer="998" w:header="0" w:top="1340" w:bottom="1180" w:left="1560" w:right="1540"/>
        </w:sectPr>
      </w:pPr>
    </w:p>
    <w:p>
      <w:pPr>
        <w:pStyle w:val="Heading2"/>
        <w:numPr>
          <w:ilvl w:val="1"/>
          <w:numId w:val="69"/>
        </w:numPr>
        <w:tabs>
          <w:tab w:pos="553" w:val="left" w:leader="none"/>
        </w:tabs>
        <w:spacing w:line="240" w:lineRule="auto" w:before="52" w:after="0"/>
        <w:ind w:left="552" w:right="0" w:hanging="432"/>
        <w:jc w:val="both"/>
      </w:pPr>
      <w:bookmarkStart w:name="_bookmark79" w:id="106"/>
      <w:bookmarkEnd w:id="106"/>
      <w:r>
        <w:rPr>
          <w:b w:val="0"/>
        </w:rPr>
      </w:r>
      <w:bookmarkStart w:name="_bookmark79" w:id="107"/>
      <w:bookmarkEnd w:id="107"/>
      <w:r>
        <w:rPr/>
        <w:t>F</w:t>
      </w:r>
      <w:r>
        <w:rPr/>
        <w:t>ragmentación de la Política de Combate a la</w:t>
      </w:r>
      <w:r>
        <w:rPr>
          <w:spacing w:val="-13"/>
        </w:rPr>
        <w:t> </w:t>
      </w:r>
      <w:r>
        <w:rPr/>
        <w:t>Corrupción</w:t>
      </w:r>
    </w:p>
    <w:p>
      <w:pPr>
        <w:pStyle w:val="BodyText"/>
        <w:rPr>
          <w:b/>
          <w:sz w:val="26"/>
        </w:rPr>
      </w:pPr>
    </w:p>
    <w:p>
      <w:pPr>
        <w:pStyle w:val="BodyText"/>
        <w:rPr>
          <w:b/>
          <w:sz w:val="26"/>
        </w:rPr>
      </w:pPr>
    </w:p>
    <w:p>
      <w:pPr>
        <w:pStyle w:val="BodyText"/>
        <w:spacing w:before="1"/>
        <w:rPr>
          <w:b/>
          <w:sz w:val="23"/>
        </w:rPr>
      </w:pPr>
    </w:p>
    <w:p>
      <w:pPr>
        <w:pStyle w:val="Heading3"/>
        <w:numPr>
          <w:ilvl w:val="2"/>
          <w:numId w:val="69"/>
        </w:numPr>
        <w:tabs>
          <w:tab w:pos="720" w:val="left" w:leader="none"/>
        </w:tabs>
        <w:spacing w:line="240" w:lineRule="auto" w:before="0" w:after="0"/>
        <w:ind w:left="719" w:right="0" w:hanging="599"/>
        <w:jc w:val="both"/>
      </w:pPr>
      <w:bookmarkStart w:name="_bookmark80" w:id="108"/>
      <w:bookmarkEnd w:id="108"/>
      <w:r>
        <w:rPr>
          <w:b w:val="0"/>
        </w:rPr>
      </w:r>
      <w:bookmarkStart w:name="_bookmark80" w:id="109"/>
      <w:bookmarkEnd w:id="109"/>
      <w:r>
        <w:rPr/>
        <w:t>M</w:t>
      </w:r>
      <w:r>
        <w:rPr/>
        <w:t>ecanismos de control interno y</w:t>
      </w:r>
      <w:r>
        <w:rPr>
          <w:spacing w:val="-18"/>
        </w:rPr>
        <w:t> </w:t>
      </w:r>
      <w:r>
        <w:rPr/>
        <w:t>externo</w:t>
      </w:r>
    </w:p>
    <w:p>
      <w:pPr>
        <w:pStyle w:val="BodyText"/>
        <w:spacing w:line="360" w:lineRule="auto" w:before="140"/>
        <w:ind w:left="120" w:right="125"/>
        <w:jc w:val="both"/>
        <w:rPr>
          <w:sz w:val="16"/>
        </w:rPr>
      </w:pPr>
      <w:r>
        <w:rPr/>
        <w:t>¿Cuáles</w:t>
      </w:r>
      <w:r>
        <w:rPr>
          <w:spacing w:val="-6"/>
        </w:rPr>
        <w:t> </w:t>
      </w:r>
      <w:r>
        <w:rPr/>
        <w:t>son</w:t>
      </w:r>
      <w:r>
        <w:rPr>
          <w:spacing w:val="-8"/>
        </w:rPr>
        <w:t> </w:t>
      </w:r>
      <w:r>
        <w:rPr/>
        <w:t>los</w:t>
      </w:r>
      <w:r>
        <w:rPr>
          <w:spacing w:val="-2"/>
        </w:rPr>
        <w:t> </w:t>
      </w:r>
      <w:r>
        <w:rPr/>
        <w:t>mecanismos</w:t>
      </w:r>
      <w:r>
        <w:rPr>
          <w:spacing w:val="-6"/>
        </w:rPr>
        <w:t> </w:t>
      </w:r>
      <w:r>
        <w:rPr/>
        <w:t>de</w:t>
      </w:r>
      <w:r>
        <w:rPr>
          <w:spacing w:val="-8"/>
        </w:rPr>
        <w:t> </w:t>
      </w:r>
      <w:r>
        <w:rPr/>
        <w:t>control</w:t>
      </w:r>
      <w:r>
        <w:rPr>
          <w:spacing w:val="-7"/>
        </w:rPr>
        <w:t> </w:t>
      </w:r>
      <w:r>
        <w:rPr/>
        <w:t>interno</w:t>
      </w:r>
      <w:r>
        <w:rPr>
          <w:spacing w:val="-4"/>
        </w:rPr>
        <w:t> </w:t>
      </w:r>
      <w:r>
        <w:rPr/>
        <w:t>y</w:t>
      </w:r>
      <w:r>
        <w:rPr>
          <w:spacing w:val="-10"/>
        </w:rPr>
        <w:t> </w:t>
      </w:r>
      <w:r>
        <w:rPr/>
        <w:t>externo</w:t>
      </w:r>
      <w:r>
        <w:rPr>
          <w:spacing w:val="-4"/>
        </w:rPr>
        <w:t> </w:t>
      </w:r>
      <w:r>
        <w:rPr/>
        <w:t>de</w:t>
      </w:r>
      <w:r>
        <w:rPr>
          <w:spacing w:val="-8"/>
        </w:rPr>
        <w:t> </w:t>
      </w:r>
      <w:r>
        <w:rPr/>
        <w:t>las</w:t>
      </w:r>
      <w:r>
        <w:rPr>
          <w:spacing w:val="-6"/>
        </w:rPr>
        <w:t> </w:t>
      </w:r>
      <w:r>
        <w:rPr/>
        <w:t>instituciones</w:t>
      </w:r>
      <w:r>
        <w:rPr>
          <w:spacing w:val="-6"/>
        </w:rPr>
        <w:t> </w:t>
      </w:r>
      <w:r>
        <w:rPr/>
        <w:t>de rendición de cuentas para que el Estado disminuya la corrupción y logre la legitimación?</w:t>
      </w:r>
      <w:r>
        <w:rPr>
          <w:spacing w:val="-12"/>
        </w:rPr>
        <w:t> </w:t>
      </w:r>
      <w:r>
        <w:rPr/>
        <w:t>El</w:t>
      </w:r>
      <w:r>
        <w:rPr>
          <w:spacing w:val="-12"/>
        </w:rPr>
        <w:t> </w:t>
      </w:r>
      <w:r>
        <w:rPr/>
        <w:t>Estado</w:t>
      </w:r>
      <w:r>
        <w:rPr>
          <w:spacing w:val="-12"/>
        </w:rPr>
        <w:t> </w:t>
      </w:r>
      <w:r>
        <w:rPr/>
        <w:t>ha</w:t>
      </w:r>
      <w:r>
        <w:rPr>
          <w:spacing w:val="-12"/>
        </w:rPr>
        <w:t> </w:t>
      </w:r>
      <w:r>
        <w:rPr/>
        <w:t>dispuesto</w:t>
      </w:r>
      <w:r>
        <w:rPr>
          <w:spacing w:val="-12"/>
        </w:rPr>
        <w:t> </w:t>
      </w:r>
      <w:r>
        <w:rPr/>
        <w:t>de</w:t>
      </w:r>
      <w:r>
        <w:rPr>
          <w:spacing w:val="-12"/>
        </w:rPr>
        <w:t> </w:t>
      </w:r>
      <w:r>
        <w:rPr/>
        <w:t>las</w:t>
      </w:r>
      <w:r>
        <w:rPr>
          <w:spacing w:val="-10"/>
        </w:rPr>
        <w:t> </w:t>
      </w:r>
      <w:r>
        <w:rPr/>
        <w:t>instituciones</w:t>
      </w:r>
      <w:r>
        <w:rPr>
          <w:spacing w:val="-10"/>
        </w:rPr>
        <w:t> </w:t>
      </w:r>
      <w:r>
        <w:rPr/>
        <w:t>con</w:t>
      </w:r>
      <w:r>
        <w:rPr>
          <w:spacing w:val="-12"/>
        </w:rPr>
        <w:t> </w:t>
      </w:r>
      <w:r>
        <w:rPr/>
        <w:t>objeto</w:t>
      </w:r>
      <w:r>
        <w:rPr>
          <w:spacing w:val="-12"/>
        </w:rPr>
        <w:t> </w:t>
      </w:r>
      <w:r>
        <w:rPr/>
        <w:t>de</w:t>
      </w:r>
      <w:r>
        <w:rPr>
          <w:spacing w:val="-12"/>
        </w:rPr>
        <w:t> </w:t>
      </w:r>
      <w:r>
        <w:rPr/>
        <w:t>coordinar las actividades de rendición de cuentas para el mejor aprovechamiento de los recursos</w:t>
      </w:r>
      <w:r>
        <w:rPr>
          <w:spacing w:val="-11"/>
        </w:rPr>
        <w:t> </w:t>
      </w:r>
      <w:r>
        <w:rPr/>
        <w:t>limitados.</w:t>
      </w:r>
      <w:r>
        <w:rPr>
          <w:position w:val="8"/>
          <w:sz w:val="16"/>
        </w:rPr>
        <w:t>128</w:t>
      </w:r>
    </w:p>
    <w:p>
      <w:pPr>
        <w:pStyle w:val="BodyText"/>
        <w:spacing w:line="360" w:lineRule="auto" w:before="2"/>
        <w:ind w:left="120" w:right="125" w:firstLine="427"/>
        <w:jc w:val="both"/>
      </w:pPr>
      <w:r>
        <w:rPr/>
        <w:t>Las instituciones públicas que tienen como eje político el fomento de una cultura de rendición de cuentas y del combate a la corrupción, tanto del Poder Ejecutivo como del Poder Legislativo, tienen la obligación de implementar las políticas públicas efectivas para vigilar el uso correcto de los recursos.</w:t>
      </w:r>
    </w:p>
    <w:p>
      <w:pPr>
        <w:pStyle w:val="BodyText"/>
        <w:spacing w:line="360" w:lineRule="auto" w:before="2"/>
        <w:ind w:left="120" w:right="124" w:firstLine="427"/>
        <w:jc w:val="both"/>
        <w:rPr>
          <w:sz w:val="16"/>
        </w:rPr>
      </w:pPr>
      <w:r>
        <w:rPr/>
        <w:t>Con las reformas a la LOAPF del 10 de abril de 2003, se sustituyó la denominación de la SECODAM por la SFP. En esa misma fecha, se publicó el Decreto por el que se expide la Ley del Servicio Profesional de Carrera de la Administración Pública Federal (LSPCAPF), las reformas a la Ley de Presupuesto, Contabilidad y Gasto Público Federal y se adicionó la Ley de Planeación.</w:t>
      </w:r>
      <w:r>
        <w:rPr>
          <w:position w:val="8"/>
          <w:sz w:val="16"/>
        </w:rPr>
        <w:t>129</w:t>
      </w:r>
    </w:p>
    <w:p>
      <w:pPr>
        <w:pStyle w:val="BodyText"/>
        <w:spacing w:line="360" w:lineRule="auto"/>
        <w:ind w:left="120" w:right="116" w:firstLine="427"/>
        <w:jc w:val="right"/>
      </w:pPr>
      <w:r>
        <w:rPr/>
        <w:t>Para 2005 la SFP ya contaba con la </w:t>
      </w:r>
      <w:r>
        <w:rPr>
          <w:i/>
        </w:rPr>
        <w:t>Comisión Intersecretarial</w:t>
      </w:r>
      <w:r>
        <w:rPr>
          <w:i/>
          <w:spacing w:val="22"/>
        </w:rPr>
        <w:t> </w:t>
      </w:r>
      <w:r>
        <w:rPr>
          <w:i/>
        </w:rPr>
        <w:t>para</w:t>
      </w:r>
      <w:r>
        <w:rPr>
          <w:i/>
          <w:spacing w:val="65"/>
        </w:rPr>
        <w:t> </w:t>
      </w:r>
      <w:r>
        <w:rPr>
          <w:i/>
        </w:rPr>
        <w:t>la</w:t>
      </w:r>
      <w:r>
        <w:rPr>
          <w:i/>
          <w:w w:val="99"/>
        </w:rPr>
        <w:t> </w:t>
      </w:r>
      <w:r>
        <w:rPr>
          <w:i/>
        </w:rPr>
        <w:t>Transparencia y el Combate a la Corrupción en la</w:t>
      </w:r>
      <w:r>
        <w:rPr>
          <w:i/>
          <w:spacing w:val="9"/>
        </w:rPr>
        <w:t> </w:t>
      </w:r>
      <w:r>
        <w:rPr>
          <w:i/>
        </w:rPr>
        <w:t>Administración Pública</w:t>
      </w:r>
      <w:r>
        <w:rPr>
          <w:i/>
          <w:w w:val="99"/>
        </w:rPr>
        <w:t> </w:t>
      </w:r>
      <w:r>
        <w:rPr>
          <w:i/>
        </w:rPr>
        <w:t>Federal</w:t>
      </w:r>
      <w:r>
        <w:rPr/>
        <w:t>, que tiene como líneas de acción: mejorar los controles</w:t>
      </w:r>
      <w:r>
        <w:rPr>
          <w:spacing w:val="29"/>
        </w:rPr>
        <w:t> </w:t>
      </w:r>
      <w:r>
        <w:rPr/>
        <w:t>de</w:t>
      </w:r>
      <w:r>
        <w:rPr>
          <w:spacing w:val="35"/>
        </w:rPr>
        <w:t> </w:t>
      </w:r>
      <w:r>
        <w:rPr/>
        <w:t>la</w:t>
      </w:r>
      <w:r>
        <w:rPr>
          <w:w w:val="99"/>
        </w:rPr>
        <w:t> </w:t>
      </w:r>
      <w:r>
        <w:rPr/>
        <w:t>Administración</w:t>
      </w:r>
      <w:r>
        <w:rPr>
          <w:spacing w:val="-19"/>
        </w:rPr>
        <w:t> </w:t>
      </w:r>
      <w:r>
        <w:rPr/>
        <w:t>Pública</w:t>
      </w:r>
      <w:r>
        <w:rPr>
          <w:spacing w:val="-19"/>
        </w:rPr>
        <w:t> </w:t>
      </w:r>
      <w:r>
        <w:rPr/>
        <w:t>Federal</w:t>
      </w:r>
      <w:r>
        <w:rPr>
          <w:spacing w:val="-21"/>
        </w:rPr>
        <w:t> </w:t>
      </w:r>
      <w:r>
        <w:rPr/>
        <w:t>(APF),</w:t>
      </w:r>
      <w:r>
        <w:rPr>
          <w:spacing w:val="-16"/>
        </w:rPr>
        <w:t> </w:t>
      </w:r>
      <w:r>
        <w:rPr/>
        <w:t>aplicar</w:t>
      </w:r>
      <w:r>
        <w:rPr>
          <w:spacing w:val="-20"/>
        </w:rPr>
        <w:t> </w:t>
      </w:r>
      <w:r>
        <w:rPr/>
        <w:t>sanciones</w:t>
      </w:r>
      <w:r>
        <w:rPr>
          <w:spacing w:val="-17"/>
        </w:rPr>
        <w:t> </w:t>
      </w:r>
      <w:r>
        <w:rPr/>
        <w:t>a</w:t>
      </w:r>
      <w:r>
        <w:rPr>
          <w:spacing w:val="-22"/>
        </w:rPr>
        <w:t> </w:t>
      </w:r>
      <w:r>
        <w:rPr/>
        <w:t>conductas</w:t>
      </w:r>
      <w:r>
        <w:rPr>
          <w:spacing w:val="-17"/>
        </w:rPr>
        <w:t> </w:t>
      </w:r>
      <w:r>
        <w:rPr/>
        <w:t>irregulares,</w:t>
      </w:r>
      <w:r>
        <w:rPr>
          <w:w w:val="100"/>
        </w:rPr>
        <w:t> </w:t>
      </w:r>
      <w:r>
        <w:rPr/>
        <w:t>mejorar los procesos y servicios en la APF y desarrollar sus</w:t>
      </w:r>
      <w:r>
        <w:rPr>
          <w:spacing w:val="-32"/>
        </w:rPr>
        <w:t> </w:t>
      </w:r>
      <w:r>
        <w:rPr/>
        <w:t>recursos</w:t>
      </w:r>
      <w:r>
        <w:rPr>
          <w:spacing w:val="-3"/>
        </w:rPr>
        <w:t> </w:t>
      </w:r>
      <w:r>
        <w:rPr/>
        <w:t>humanos.</w:t>
      </w:r>
      <w:r>
        <w:rPr>
          <w:w w:val="100"/>
        </w:rPr>
        <w:t> </w:t>
      </w:r>
      <w:r>
        <w:rPr/>
        <w:t>La dependencia del Poder Ejecutivo fue designada para</w:t>
      </w:r>
      <w:r>
        <w:rPr>
          <w:spacing w:val="61"/>
        </w:rPr>
        <w:t> </w:t>
      </w:r>
      <w:r>
        <w:rPr/>
        <w:t>organizar</w:t>
      </w:r>
      <w:r>
        <w:rPr>
          <w:spacing w:val="29"/>
        </w:rPr>
        <w:t> </w:t>
      </w:r>
      <w:r>
        <w:rPr/>
        <w:t>y</w:t>
      </w:r>
      <w:r>
        <w:rPr>
          <w:w w:val="99"/>
        </w:rPr>
        <w:t> </w:t>
      </w:r>
      <w:r>
        <w:rPr/>
        <w:t>coordinar el desarrollo administrativo de la APF y conducir la política</w:t>
      </w:r>
      <w:r>
        <w:rPr>
          <w:spacing w:val="-11"/>
        </w:rPr>
        <w:t> </w:t>
      </w:r>
      <w:r>
        <w:rPr/>
        <w:t>general</w:t>
      </w:r>
      <w:r>
        <w:rPr>
          <w:spacing w:val="-3"/>
        </w:rPr>
        <w:t> </w:t>
      </w:r>
      <w:r>
        <w:rPr/>
        <w:t>de</w:t>
      </w:r>
      <w:r>
        <w:rPr>
          <w:w w:val="99"/>
        </w:rPr>
        <w:t> </w:t>
      </w:r>
      <w:r>
        <w:rPr/>
        <w:t>la</w:t>
      </w:r>
      <w:r>
        <w:rPr>
          <w:spacing w:val="41"/>
        </w:rPr>
        <w:t> </w:t>
      </w:r>
      <w:r>
        <w:rPr/>
        <w:t>misma,</w:t>
      </w:r>
      <w:r>
        <w:rPr>
          <w:spacing w:val="44"/>
        </w:rPr>
        <w:t> </w:t>
      </w:r>
      <w:r>
        <w:rPr/>
        <w:t>establecer</w:t>
      </w:r>
      <w:r>
        <w:rPr>
          <w:spacing w:val="43"/>
        </w:rPr>
        <w:t> </w:t>
      </w:r>
      <w:r>
        <w:rPr/>
        <w:t>acciones</w:t>
      </w:r>
      <w:r>
        <w:rPr>
          <w:spacing w:val="43"/>
        </w:rPr>
        <w:t> </w:t>
      </w:r>
      <w:r>
        <w:rPr/>
        <w:t>nacionales</w:t>
      </w:r>
      <w:r>
        <w:rPr>
          <w:spacing w:val="43"/>
        </w:rPr>
        <w:t> </w:t>
      </w:r>
      <w:r>
        <w:rPr/>
        <w:t>e</w:t>
      </w:r>
      <w:r>
        <w:rPr>
          <w:spacing w:val="45"/>
        </w:rPr>
        <w:t> </w:t>
      </w:r>
      <w:r>
        <w:rPr/>
        <w:t>internacionales</w:t>
      </w:r>
      <w:r>
        <w:rPr>
          <w:spacing w:val="43"/>
        </w:rPr>
        <w:t> </w:t>
      </w:r>
      <w:r>
        <w:rPr/>
        <w:t>que</w:t>
      </w:r>
      <w:r>
        <w:rPr>
          <w:spacing w:val="41"/>
        </w:rPr>
        <w:t> </w:t>
      </w:r>
      <w:r>
        <w:rPr/>
        <w:t>propicien</w:t>
      </w:r>
      <w:r>
        <w:rPr>
          <w:spacing w:val="41"/>
        </w:rPr>
        <w:t> </w:t>
      </w:r>
      <w:r>
        <w:rPr/>
        <w:t>la</w:t>
      </w: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9808;mso-wrap-distance-left:0;mso-wrap-distance-right:0" from="85.025002pt,18.975863pt" to="229.075002pt,18.975863pt" stroked="true" strokeweight=".79999pt" strokecolor="#000000">
            <w10:wrap type="topAndBottom"/>
          </v:line>
        </w:pict>
      </w:r>
    </w:p>
    <w:p>
      <w:pPr>
        <w:spacing w:line="244" w:lineRule="auto" w:before="65"/>
        <w:ind w:left="120" w:right="118" w:firstLine="0"/>
        <w:jc w:val="both"/>
        <w:rPr>
          <w:sz w:val="16"/>
        </w:rPr>
      </w:pPr>
      <w:r>
        <w:rPr>
          <w:rFonts w:ascii="Calibri" w:hAnsi="Calibri"/>
          <w:position w:val="8"/>
          <w:sz w:val="14"/>
        </w:rPr>
        <w:t>128</w:t>
      </w:r>
      <w:r>
        <w:rPr>
          <w:sz w:val="16"/>
        </w:rPr>
        <w:t>Las políticas de la rendición de cuentas consideran: un sistema judicial sancionatorio de actos de corrupción con sentencias basadas en hechos irrefutables; un sistema administrativo obligado a rendir cuentas; un sistema de división de poderes evaluativo de las políticas públicas bajo los criterios de racionalidad, objetividad e imparcialidad; un sistema social que exija cuentas, preparado para comprender e interpretar los informes que se rinden y actuar en consecuencia; un sistema cultural y educativo que resalte que los asuntos políticos son de interés general, en el que se enseñe a discernir sobre la formulación de políticas públicas, su ejecución y su evaluación; un sistema ético que sancione moralmente la deshonestidad y la incompetencia; y un sistema de fiscalización integral que prevenga, en lo posible, cualquier acto de corrupción mediante la evaluación del desempeño de la administración pública.</w:t>
      </w:r>
    </w:p>
    <w:p>
      <w:pPr>
        <w:spacing w:line="192" w:lineRule="exact" w:before="29"/>
        <w:ind w:left="120" w:right="3117" w:firstLine="0"/>
        <w:jc w:val="left"/>
        <w:rPr>
          <w:sz w:val="16"/>
        </w:rPr>
      </w:pPr>
      <w:r>
        <w:rPr>
          <w:rFonts w:ascii="Times New Roman"/>
          <w:position w:val="7"/>
          <w:sz w:val="13"/>
        </w:rPr>
        <w:t>129</w:t>
      </w:r>
      <w:r>
        <w:rPr>
          <w:sz w:val="16"/>
        </w:rPr>
        <w:t>Disponible en: </w:t>
      </w:r>
      <w:hyperlink r:id="rId191">
        <w:r>
          <w:rPr>
            <w:sz w:val="16"/>
          </w:rPr>
          <w:t>http://dof.gob.mx/index.php?year=2003&amp;month=04&amp;day=10</w:t>
        </w:r>
      </w:hyperlink>
      <w:r>
        <w:rPr>
          <w:sz w:val="16"/>
        </w:rPr>
        <w:t> [Fecha de consulta: 25 de septiembre, 2015]</w:t>
      </w:r>
    </w:p>
    <w:p>
      <w:pPr>
        <w:spacing w:after="0" w:line="192" w:lineRule="exact"/>
        <w:jc w:val="left"/>
        <w:rPr>
          <w:sz w:val="16"/>
        </w:rPr>
        <w:sectPr>
          <w:footerReference w:type="default" r:id="rId190"/>
          <w:pgSz w:w="11910" w:h="16840"/>
          <w:pgMar w:footer="998" w:header="0" w:top="1340" w:bottom="1180" w:left="1580" w:right="1580"/>
        </w:sectPr>
      </w:pPr>
    </w:p>
    <w:p>
      <w:pPr>
        <w:pStyle w:val="BodyText"/>
        <w:spacing w:line="362" w:lineRule="auto" w:before="39"/>
        <w:ind w:left="120" w:right="86"/>
      </w:pPr>
      <w:r>
        <w:rPr/>
        <w:t>transparencia en la gestión pública, la rendición de cuentas, el acceso a la información y combate a la corrupción.</w:t>
      </w:r>
    </w:p>
    <w:p>
      <w:pPr>
        <w:pStyle w:val="BodyText"/>
        <w:spacing w:line="360" w:lineRule="auto"/>
        <w:ind w:left="120" w:right="100" w:firstLine="427"/>
        <w:jc w:val="both"/>
        <w:rPr>
          <w:sz w:val="16"/>
        </w:rPr>
      </w:pPr>
      <w:r>
        <w:rPr/>
        <w:t>El Auditor Superior de la Federación, el CPC Juan Manuel Portal, comentó si la institución a su cargo atendiera la corrupción (ASF), ésta correría el riesgo de politizarse</w:t>
      </w:r>
      <w:r>
        <w:rPr>
          <w:position w:val="8"/>
          <w:sz w:val="16"/>
        </w:rPr>
        <w:t>130 </w:t>
      </w:r>
      <w:r>
        <w:rPr/>
        <w:t>y que existen formas en que la ASF coadyuve en la disuasión del problema: </w:t>
      </w:r>
      <w:r>
        <w:rPr>
          <w:spacing w:val="-2"/>
        </w:rPr>
        <w:t>más </w:t>
      </w:r>
      <w:r>
        <w:rPr/>
        <w:t>oportunidad en la intervención de las auditorías, más oportunidad</w:t>
      </w:r>
      <w:r>
        <w:rPr>
          <w:spacing w:val="-8"/>
        </w:rPr>
        <w:t> </w:t>
      </w:r>
      <w:r>
        <w:rPr/>
        <w:t>en</w:t>
      </w:r>
      <w:r>
        <w:rPr>
          <w:spacing w:val="-8"/>
        </w:rPr>
        <w:t> </w:t>
      </w:r>
      <w:r>
        <w:rPr/>
        <w:t>la</w:t>
      </w:r>
      <w:r>
        <w:rPr>
          <w:spacing w:val="-8"/>
        </w:rPr>
        <w:t> </w:t>
      </w:r>
      <w:r>
        <w:rPr/>
        <w:t>presentación</w:t>
      </w:r>
      <w:r>
        <w:rPr>
          <w:spacing w:val="-8"/>
        </w:rPr>
        <w:t> </w:t>
      </w:r>
      <w:r>
        <w:rPr/>
        <w:t>de</w:t>
      </w:r>
      <w:r>
        <w:rPr>
          <w:spacing w:val="-8"/>
        </w:rPr>
        <w:t> </w:t>
      </w:r>
      <w:r>
        <w:rPr/>
        <w:t>los</w:t>
      </w:r>
      <w:r>
        <w:rPr>
          <w:spacing w:val="-6"/>
        </w:rPr>
        <w:t> </w:t>
      </w:r>
      <w:r>
        <w:rPr/>
        <w:t>resultados,</w:t>
      </w:r>
      <w:r>
        <w:rPr>
          <w:spacing w:val="-6"/>
        </w:rPr>
        <w:t> </w:t>
      </w:r>
      <w:r>
        <w:rPr/>
        <w:t>más</w:t>
      </w:r>
      <w:r>
        <w:rPr>
          <w:spacing w:val="-6"/>
        </w:rPr>
        <w:t> </w:t>
      </w:r>
      <w:r>
        <w:rPr/>
        <w:t>claridad</w:t>
      </w:r>
      <w:r>
        <w:rPr>
          <w:spacing w:val="-8"/>
        </w:rPr>
        <w:t> </w:t>
      </w:r>
      <w:r>
        <w:rPr/>
        <w:t>en</w:t>
      </w:r>
      <w:r>
        <w:rPr>
          <w:spacing w:val="-8"/>
        </w:rPr>
        <w:t> </w:t>
      </w:r>
      <w:r>
        <w:rPr/>
        <w:t>los</w:t>
      </w:r>
      <w:r>
        <w:rPr>
          <w:spacing w:val="-6"/>
        </w:rPr>
        <w:t> </w:t>
      </w:r>
      <w:r>
        <w:rPr/>
        <w:t>informes</w:t>
      </w:r>
      <w:r>
        <w:rPr>
          <w:spacing w:val="-3"/>
        </w:rPr>
        <w:t> </w:t>
      </w:r>
      <w:r>
        <w:rPr/>
        <w:t>y en la detención, determinación, desviaciones y debilidades de los controles, de recomendaciones</w:t>
      </w:r>
      <w:r>
        <w:rPr>
          <w:spacing w:val="-7"/>
        </w:rPr>
        <w:t> </w:t>
      </w:r>
      <w:r>
        <w:rPr/>
        <w:t>hacia</w:t>
      </w:r>
      <w:r>
        <w:rPr>
          <w:spacing w:val="-9"/>
        </w:rPr>
        <w:t> </w:t>
      </w:r>
      <w:r>
        <w:rPr/>
        <w:t>la</w:t>
      </w:r>
      <w:r>
        <w:rPr>
          <w:spacing w:val="-5"/>
        </w:rPr>
        <w:t> </w:t>
      </w:r>
      <w:r>
        <w:rPr/>
        <w:t>mejoría</w:t>
      </w:r>
      <w:r>
        <w:rPr>
          <w:spacing w:val="-9"/>
        </w:rPr>
        <w:t> </w:t>
      </w:r>
      <w:r>
        <w:rPr/>
        <w:t>de</w:t>
      </w:r>
      <w:r>
        <w:rPr>
          <w:spacing w:val="-5"/>
        </w:rPr>
        <w:t> </w:t>
      </w:r>
      <w:r>
        <w:rPr/>
        <w:t>las</w:t>
      </w:r>
      <w:r>
        <w:rPr>
          <w:spacing w:val="-7"/>
        </w:rPr>
        <w:t> </w:t>
      </w:r>
      <w:r>
        <w:rPr/>
        <w:t>disposiciones</w:t>
      </w:r>
      <w:r>
        <w:rPr>
          <w:spacing w:val="-7"/>
        </w:rPr>
        <w:t> </w:t>
      </w:r>
      <w:r>
        <w:rPr/>
        <w:t>legales,</w:t>
      </w:r>
      <w:r>
        <w:rPr>
          <w:spacing w:val="-6"/>
        </w:rPr>
        <w:t> </w:t>
      </w:r>
      <w:r>
        <w:rPr/>
        <w:t>procedimientos, controles y en la sanción contra la</w:t>
      </w:r>
      <w:r>
        <w:rPr>
          <w:spacing w:val="-19"/>
        </w:rPr>
        <w:t> </w:t>
      </w:r>
      <w:r>
        <w:rPr/>
        <w:t>impunidad.</w:t>
      </w:r>
      <w:r>
        <w:rPr>
          <w:position w:val="8"/>
          <w:sz w:val="16"/>
        </w:rPr>
        <w:t>131</w:t>
      </w:r>
    </w:p>
    <w:p>
      <w:pPr>
        <w:pStyle w:val="BodyText"/>
        <w:rPr>
          <w:sz w:val="36"/>
        </w:rPr>
      </w:pPr>
    </w:p>
    <w:p>
      <w:pPr>
        <w:pStyle w:val="BodyText"/>
        <w:spacing w:line="360" w:lineRule="auto" w:before="1"/>
        <w:ind w:left="120" w:right="102" w:firstLine="427"/>
        <w:jc w:val="both"/>
      </w:pPr>
      <w:r>
        <w:rPr/>
        <w:t>Los problemas en la educación pública, la salud y el desarrollo económico</w:t>
      </w:r>
      <w:r>
        <w:rPr>
          <w:spacing w:val="-44"/>
        </w:rPr>
        <w:t> </w:t>
      </w:r>
      <w:r>
        <w:rPr/>
        <w:t>y humano</w:t>
      </w:r>
      <w:r>
        <w:rPr>
          <w:spacing w:val="-18"/>
        </w:rPr>
        <w:t> </w:t>
      </w:r>
      <w:r>
        <w:rPr/>
        <w:t>se</w:t>
      </w:r>
      <w:r>
        <w:rPr>
          <w:spacing w:val="-18"/>
        </w:rPr>
        <w:t> </w:t>
      </w:r>
      <w:r>
        <w:rPr/>
        <w:t>originan</w:t>
      </w:r>
      <w:r>
        <w:rPr>
          <w:spacing w:val="-18"/>
        </w:rPr>
        <w:t> </w:t>
      </w:r>
      <w:r>
        <w:rPr/>
        <w:t>por</w:t>
      </w:r>
      <w:r>
        <w:rPr>
          <w:spacing w:val="-16"/>
        </w:rPr>
        <w:t> </w:t>
      </w:r>
      <w:r>
        <w:rPr/>
        <w:t>la</w:t>
      </w:r>
      <w:r>
        <w:rPr>
          <w:spacing w:val="-18"/>
        </w:rPr>
        <w:t> </w:t>
      </w:r>
      <w:r>
        <w:rPr/>
        <w:t>corrupción.</w:t>
      </w:r>
      <w:r>
        <w:rPr>
          <w:spacing w:val="-15"/>
        </w:rPr>
        <w:t> </w:t>
      </w:r>
      <w:r>
        <w:rPr/>
        <w:t>Por</w:t>
      </w:r>
      <w:r>
        <w:rPr>
          <w:spacing w:val="-16"/>
        </w:rPr>
        <w:t> </w:t>
      </w:r>
      <w:r>
        <w:rPr/>
        <w:t>medio</w:t>
      </w:r>
      <w:r>
        <w:rPr>
          <w:spacing w:val="-18"/>
        </w:rPr>
        <w:t> </w:t>
      </w:r>
      <w:r>
        <w:rPr/>
        <w:t>de</w:t>
      </w:r>
      <w:r>
        <w:rPr>
          <w:spacing w:val="-18"/>
        </w:rPr>
        <w:t> </w:t>
      </w:r>
      <w:r>
        <w:rPr/>
        <w:t>las</w:t>
      </w:r>
      <w:r>
        <w:rPr>
          <w:spacing w:val="-16"/>
        </w:rPr>
        <w:t> </w:t>
      </w:r>
      <w:r>
        <w:rPr/>
        <w:t>auditorías</w:t>
      </w:r>
      <w:r>
        <w:rPr>
          <w:spacing w:val="-16"/>
        </w:rPr>
        <w:t> </w:t>
      </w:r>
      <w:r>
        <w:rPr/>
        <w:t>de</w:t>
      </w:r>
      <w:r>
        <w:rPr>
          <w:spacing w:val="-18"/>
        </w:rPr>
        <w:t> </w:t>
      </w:r>
      <w:r>
        <w:rPr/>
        <w:t>desempeño se</w:t>
      </w:r>
      <w:r>
        <w:rPr>
          <w:spacing w:val="-8"/>
        </w:rPr>
        <w:t> </w:t>
      </w:r>
      <w:r>
        <w:rPr/>
        <w:t>evidencia</w:t>
      </w:r>
      <w:r>
        <w:rPr>
          <w:spacing w:val="-8"/>
        </w:rPr>
        <w:t> </w:t>
      </w:r>
      <w:r>
        <w:rPr/>
        <w:t>estos</w:t>
      </w:r>
      <w:r>
        <w:rPr>
          <w:spacing w:val="-3"/>
        </w:rPr>
        <w:t> </w:t>
      </w:r>
      <w:r>
        <w:rPr/>
        <w:t>problemas,</w:t>
      </w:r>
      <w:r>
        <w:rPr>
          <w:spacing w:val="-3"/>
        </w:rPr>
        <w:t> ya</w:t>
      </w:r>
      <w:r>
        <w:rPr>
          <w:spacing w:val="-4"/>
        </w:rPr>
        <w:t> </w:t>
      </w:r>
      <w:r>
        <w:rPr/>
        <w:t>que</w:t>
      </w:r>
      <w:r>
        <w:rPr>
          <w:spacing w:val="-4"/>
        </w:rPr>
        <w:t> </w:t>
      </w:r>
      <w:r>
        <w:rPr/>
        <w:t>son</w:t>
      </w:r>
      <w:r>
        <w:rPr>
          <w:spacing w:val="-8"/>
        </w:rPr>
        <w:t> </w:t>
      </w:r>
      <w:r>
        <w:rPr/>
        <w:t>auditorías</w:t>
      </w:r>
      <w:r>
        <w:rPr>
          <w:spacing w:val="-3"/>
        </w:rPr>
        <w:t> </w:t>
      </w:r>
      <w:r>
        <w:rPr/>
        <w:t>que</w:t>
      </w:r>
      <w:r>
        <w:rPr>
          <w:spacing w:val="-8"/>
        </w:rPr>
        <w:t> </w:t>
      </w:r>
      <w:r>
        <w:rPr/>
        <w:t>revisan</w:t>
      </w:r>
      <w:r>
        <w:rPr>
          <w:spacing w:val="-8"/>
        </w:rPr>
        <w:t> </w:t>
      </w:r>
      <w:r>
        <w:rPr/>
        <w:t>el</w:t>
      </w:r>
      <w:r>
        <w:rPr>
          <w:spacing w:val="-3"/>
        </w:rPr>
        <w:t> </w:t>
      </w:r>
      <w:r>
        <w:rPr/>
        <w:t>resultado</w:t>
      </w:r>
      <w:r>
        <w:rPr>
          <w:spacing w:val="-8"/>
        </w:rPr>
        <w:t> </w:t>
      </w:r>
      <w:r>
        <w:rPr/>
        <w:t>de cada política</w:t>
      </w:r>
      <w:r>
        <w:rPr>
          <w:spacing w:val="-16"/>
        </w:rPr>
        <w:t> </w:t>
      </w:r>
      <w:r>
        <w:rPr/>
        <w:t>pública.</w:t>
      </w:r>
    </w:p>
    <w:p>
      <w:pPr>
        <w:pStyle w:val="BodyText"/>
        <w:spacing w:line="360" w:lineRule="auto" w:before="5"/>
        <w:ind w:left="120" w:right="102" w:firstLine="427"/>
        <w:jc w:val="both"/>
      </w:pPr>
      <w:r>
        <w:rPr/>
        <w:t>La corrupción sofisticada se genera (entre otros factores históricos y culturales), por instituciones políticas débiles, con escaso control presupuestal</w:t>
      </w:r>
      <w:r>
        <w:rPr>
          <w:spacing w:val="-47"/>
        </w:rPr>
        <w:t> </w:t>
      </w:r>
      <w:r>
        <w:rPr/>
        <w:t>y administrativo, y un bajo compromiso institucional para aplicar la fuerza política, sancionar los delitos, la desregulación y el fraude, entre</w:t>
      </w:r>
      <w:r>
        <w:rPr>
          <w:spacing w:val="-37"/>
        </w:rPr>
        <w:t> </w:t>
      </w:r>
      <w:r>
        <w:rPr/>
        <w:t>otros.</w:t>
      </w:r>
    </w:p>
    <w:p>
      <w:pPr>
        <w:pStyle w:val="BodyText"/>
        <w:spacing w:line="360" w:lineRule="auto" w:before="6"/>
        <w:ind w:left="120" w:right="102" w:firstLine="427"/>
        <w:jc w:val="both"/>
      </w:pPr>
      <w:r>
        <w:rPr/>
        <w:t>La corrupción sofisticada es muy difícil de detectar y contrarrestar; ya que, sus</w:t>
      </w:r>
      <w:r>
        <w:rPr>
          <w:spacing w:val="-14"/>
        </w:rPr>
        <w:t> </w:t>
      </w:r>
      <w:r>
        <w:rPr/>
        <w:t>efectos</w:t>
      </w:r>
      <w:r>
        <w:rPr>
          <w:spacing w:val="-14"/>
        </w:rPr>
        <w:t> </w:t>
      </w:r>
      <w:r>
        <w:rPr/>
        <w:t>se</w:t>
      </w:r>
      <w:r>
        <w:rPr>
          <w:spacing w:val="-12"/>
        </w:rPr>
        <w:t> </w:t>
      </w:r>
      <w:r>
        <w:rPr/>
        <w:t>presentan</w:t>
      </w:r>
      <w:r>
        <w:rPr>
          <w:spacing w:val="-12"/>
        </w:rPr>
        <w:t> </w:t>
      </w:r>
      <w:r>
        <w:rPr/>
        <w:t>en</w:t>
      </w:r>
      <w:r>
        <w:rPr>
          <w:spacing w:val="-12"/>
        </w:rPr>
        <w:t> </w:t>
      </w:r>
      <w:r>
        <w:rPr/>
        <w:t>el</w:t>
      </w:r>
      <w:r>
        <w:rPr>
          <w:spacing w:val="-14"/>
        </w:rPr>
        <w:t> </w:t>
      </w:r>
      <w:r>
        <w:rPr/>
        <w:t>corto</w:t>
      </w:r>
      <w:r>
        <w:rPr>
          <w:spacing w:val="-12"/>
        </w:rPr>
        <w:t> </w:t>
      </w:r>
      <w:r>
        <w:rPr/>
        <w:t>como</w:t>
      </w:r>
      <w:r>
        <w:rPr>
          <w:spacing w:val="-15"/>
        </w:rPr>
        <w:t> </w:t>
      </w:r>
      <w:r>
        <w:rPr/>
        <w:t>en</w:t>
      </w:r>
      <w:r>
        <w:rPr>
          <w:spacing w:val="-15"/>
        </w:rPr>
        <w:t> </w:t>
      </w:r>
      <w:r>
        <w:rPr/>
        <w:t>el</w:t>
      </w:r>
      <w:r>
        <w:rPr>
          <w:spacing w:val="-11"/>
        </w:rPr>
        <w:t> </w:t>
      </w:r>
      <w:r>
        <w:rPr/>
        <w:t>largo</w:t>
      </w:r>
      <w:r>
        <w:rPr>
          <w:spacing w:val="-15"/>
        </w:rPr>
        <w:t> </w:t>
      </w:r>
      <w:r>
        <w:rPr/>
        <w:t>plazo</w:t>
      </w:r>
      <w:r>
        <w:rPr>
          <w:spacing w:val="-12"/>
        </w:rPr>
        <w:t> </w:t>
      </w:r>
      <w:r>
        <w:rPr/>
        <w:t>y</w:t>
      </w:r>
      <w:r>
        <w:rPr>
          <w:spacing w:val="-14"/>
        </w:rPr>
        <w:t> </w:t>
      </w:r>
      <w:r>
        <w:rPr/>
        <w:t>requiere</w:t>
      </w:r>
      <w:r>
        <w:rPr>
          <w:spacing w:val="-10"/>
        </w:rPr>
        <w:t> </w:t>
      </w:r>
      <w:r>
        <w:rPr/>
        <w:t>del</w:t>
      </w:r>
      <w:r>
        <w:rPr>
          <w:spacing w:val="-14"/>
        </w:rPr>
        <w:t> </w:t>
      </w:r>
      <w:r>
        <w:rPr/>
        <w:t>trabajo coordinado de las instituciones del</w:t>
      </w:r>
      <w:r>
        <w:rPr>
          <w:spacing w:val="-22"/>
        </w:rPr>
        <w:t> </w:t>
      </w:r>
      <w:r>
        <w:rPr/>
        <w:t>Estado.</w:t>
      </w:r>
    </w:p>
    <w:p>
      <w:pPr>
        <w:pStyle w:val="BodyText"/>
        <w:spacing w:line="360" w:lineRule="auto" w:before="2"/>
        <w:ind w:left="120" w:right="98" w:firstLine="427"/>
        <w:jc w:val="both"/>
      </w:pPr>
      <w:r>
        <w:rPr/>
        <w:t>La</w:t>
      </w:r>
      <w:r>
        <w:rPr>
          <w:spacing w:val="-12"/>
        </w:rPr>
        <w:t> </w:t>
      </w:r>
      <w:r>
        <w:rPr/>
        <w:t>actuación</w:t>
      </w:r>
      <w:r>
        <w:rPr>
          <w:spacing w:val="-12"/>
        </w:rPr>
        <w:t> </w:t>
      </w:r>
      <w:r>
        <w:rPr/>
        <w:t>de</w:t>
      </w:r>
      <w:r>
        <w:rPr>
          <w:spacing w:val="-12"/>
        </w:rPr>
        <w:t> </w:t>
      </w:r>
      <w:r>
        <w:rPr/>
        <w:t>la</w:t>
      </w:r>
      <w:r>
        <w:rPr>
          <w:spacing w:val="-12"/>
        </w:rPr>
        <w:t> </w:t>
      </w:r>
      <w:r>
        <w:rPr/>
        <w:t>ASF</w:t>
      </w:r>
      <w:r>
        <w:rPr>
          <w:spacing w:val="-9"/>
        </w:rPr>
        <w:t> </w:t>
      </w:r>
      <w:r>
        <w:rPr/>
        <w:t>y</w:t>
      </w:r>
      <w:r>
        <w:rPr>
          <w:spacing w:val="-14"/>
        </w:rPr>
        <w:t> </w:t>
      </w:r>
      <w:r>
        <w:rPr/>
        <w:t>SFP</w:t>
      </w:r>
      <w:r>
        <w:rPr>
          <w:spacing w:val="-10"/>
        </w:rPr>
        <w:t> </w:t>
      </w:r>
      <w:r>
        <w:rPr/>
        <w:t>(al</w:t>
      </w:r>
      <w:r>
        <w:rPr>
          <w:spacing w:val="-11"/>
        </w:rPr>
        <w:t> </w:t>
      </w:r>
      <w:r>
        <w:rPr/>
        <w:t>igual</w:t>
      </w:r>
      <w:r>
        <w:rPr>
          <w:spacing w:val="-8"/>
        </w:rPr>
        <w:t> </w:t>
      </w:r>
      <w:r>
        <w:rPr/>
        <w:t>que</w:t>
      </w:r>
      <w:r>
        <w:rPr>
          <w:spacing w:val="-12"/>
        </w:rPr>
        <w:t> </w:t>
      </w:r>
      <w:r>
        <w:rPr/>
        <w:t>toda</w:t>
      </w:r>
      <w:r>
        <w:rPr>
          <w:spacing w:val="-12"/>
        </w:rPr>
        <w:t> </w:t>
      </w:r>
      <w:r>
        <w:rPr/>
        <w:t>institución</w:t>
      </w:r>
      <w:r>
        <w:rPr>
          <w:spacing w:val="-12"/>
        </w:rPr>
        <w:t> </w:t>
      </w:r>
      <w:r>
        <w:rPr/>
        <w:t>pública</w:t>
      </w:r>
      <w:r>
        <w:rPr>
          <w:spacing w:val="-8"/>
        </w:rPr>
        <w:t> </w:t>
      </w:r>
      <w:r>
        <w:rPr/>
        <w:t>y</w:t>
      </w:r>
      <w:r>
        <w:rPr>
          <w:spacing w:val="-14"/>
        </w:rPr>
        <w:t> </w:t>
      </w:r>
      <w:r>
        <w:rPr/>
        <w:t>privada) siempre deben supeditarse al imperio de la </w:t>
      </w:r>
      <w:r>
        <w:rPr>
          <w:spacing w:val="-3"/>
        </w:rPr>
        <w:t>ley, </w:t>
      </w:r>
      <w:r>
        <w:rPr/>
        <w:t>que debe reflejarse en una fiscalización integral (homologación de criterios y el fortalecimiento de mecanismos de coordinación) y favorecer el logro de efectos positivos en los índices de desarrollo humano, </w:t>
      </w:r>
      <w:r>
        <w:rPr>
          <w:spacing w:val="-3"/>
        </w:rPr>
        <w:t>ya </w:t>
      </w:r>
      <w:r>
        <w:rPr/>
        <w:t>que las políticas públicas deben orientarse a mejorar las condiciones de vida de la</w:t>
      </w:r>
      <w:r>
        <w:rPr>
          <w:spacing w:val="-25"/>
        </w:rPr>
        <w:t> </w:t>
      </w:r>
      <w:r>
        <w:rPr/>
        <w:t>sociedad.</w:t>
      </w: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9832;mso-wrap-distance-left:0;mso-wrap-distance-right:0" from="85.025002pt,14.155858pt" to="229.075002pt,14.155858pt" stroked="true" strokeweight=".79999pt" strokecolor="#000000">
            <w10:wrap type="topAndBottom"/>
          </v:line>
        </w:pict>
      </w:r>
    </w:p>
    <w:p>
      <w:pPr>
        <w:spacing w:line="256" w:lineRule="auto" w:before="59"/>
        <w:ind w:left="120" w:right="86" w:firstLine="0"/>
        <w:jc w:val="left"/>
        <w:rPr>
          <w:sz w:val="16"/>
        </w:rPr>
      </w:pPr>
      <w:r>
        <w:rPr>
          <w:rFonts w:ascii="Times New Roman" w:hAnsi="Times New Roman"/>
          <w:position w:val="7"/>
          <w:sz w:val="13"/>
        </w:rPr>
        <w:t>130 </w:t>
      </w:r>
      <w:r>
        <w:rPr>
          <w:sz w:val="16"/>
        </w:rPr>
        <w:t>Es decir, dar una dimensión política a cuestiones no políticas o para desacreditar a un adversario. Disponible en: </w:t>
      </w:r>
      <w:hyperlink r:id="rId30">
        <w:r>
          <w:rPr>
            <w:sz w:val="16"/>
          </w:rPr>
          <w:t>http://diccionario.inep.org/index.html</w:t>
        </w:r>
      </w:hyperlink>
    </w:p>
    <w:p>
      <w:pPr>
        <w:spacing w:line="171" w:lineRule="exact" w:before="0"/>
        <w:ind w:left="120" w:right="86" w:firstLine="0"/>
        <w:jc w:val="left"/>
        <w:rPr>
          <w:sz w:val="16"/>
        </w:rPr>
      </w:pPr>
      <w:r>
        <w:rPr>
          <w:sz w:val="16"/>
        </w:rPr>
        <w:t>Se sugiere revisar: Autonomía de la Auditoría Superior de la Federación y de la Procuraduría General de la República</w:t>
      </w:r>
    </w:p>
    <w:p>
      <w:pPr>
        <w:spacing w:before="0"/>
        <w:ind w:left="120" w:right="3741" w:firstLine="0"/>
        <w:jc w:val="left"/>
        <w:rPr>
          <w:sz w:val="16"/>
        </w:rPr>
      </w:pPr>
      <w:r>
        <w:rPr>
          <w:sz w:val="16"/>
        </w:rPr>
        <w:t>Disponible en: </w:t>
      </w:r>
      <w:hyperlink r:id="rId33">
        <w:r>
          <w:rPr>
            <w:sz w:val="16"/>
          </w:rPr>
          <w:t>http://www.bibliojuridica.org/libros/6/2739/11.pdf</w:t>
        </w:r>
      </w:hyperlink>
      <w:r>
        <w:rPr>
          <w:sz w:val="16"/>
        </w:rPr>
        <w:t> [Fecha de consulta: 25 de septiembre, 2015]</w:t>
      </w:r>
    </w:p>
    <w:p>
      <w:pPr>
        <w:spacing w:line="249" w:lineRule="auto" w:before="0"/>
        <w:ind w:left="120" w:right="3361" w:firstLine="0"/>
        <w:jc w:val="left"/>
        <w:rPr>
          <w:sz w:val="16"/>
        </w:rPr>
      </w:pPr>
      <w:r>
        <w:rPr>
          <w:rFonts w:ascii="Times New Roman" w:hAnsi="Times New Roman"/>
          <w:position w:val="7"/>
          <w:sz w:val="13"/>
        </w:rPr>
        <w:t>131</w:t>
      </w:r>
      <w:r>
        <w:rPr>
          <w:sz w:val="16"/>
        </w:rPr>
        <w:t>Disponible en: </w:t>
      </w:r>
      <w:hyperlink r:id="rId188">
        <w:r>
          <w:rPr>
            <w:color w:val="0000FF"/>
            <w:sz w:val="16"/>
            <w:u w:val="single" w:color="0000FF"/>
          </w:rPr>
          <w:t>http://www.asf.gob.mx/Publication/75_Programa_de_TV</w:t>
        </w:r>
      </w:hyperlink>
      <w:r>
        <w:rPr>
          <w:color w:val="0000FF"/>
          <w:sz w:val="16"/>
          <w:u w:val="single" w:color="0000FF"/>
        </w:rPr>
        <w:t> </w:t>
      </w:r>
      <w:r>
        <w:rPr>
          <w:sz w:val="16"/>
        </w:rPr>
        <w:t>Qué es, qué hace y cuál es el beneficio social de la ASF</w:t>
      </w:r>
    </w:p>
    <w:p>
      <w:pPr>
        <w:spacing w:after="0" w:line="249" w:lineRule="auto"/>
        <w:jc w:val="left"/>
        <w:rPr>
          <w:sz w:val="16"/>
        </w:rPr>
        <w:sectPr>
          <w:footerReference w:type="default" r:id="rId192"/>
          <w:pgSz w:w="11910" w:h="16840"/>
          <w:pgMar w:footer="1346" w:header="0" w:top="1360" w:bottom="1540" w:left="1580" w:right="1600"/>
        </w:sectPr>
      </w:pPr>
    </w:p>
    <w:p>
      <w:pPr>
        <w:pStyle w:val="BodyText"/>
        <w:spacing w:line="360" w:lineRule="auto" w:before="39"/>
        <w:ind w:left="160" w:right="183" w:firstLine="427"/>
        <w:jc w:val="both"/>
      </w:pPr>
      <w:r>
        <w:rPr/>
        <w:t>En</w:t>
      </w:r>
      <w:r>
        <w:rPr>
          <w:spacing w:val="-12"/>
        </w:rPr>
        <w:t> </w:t>
      </w:r>
      <w:r>
        <w:rPr/>
        <w:t>el</w:t>
      </w:r>
      <w:r>
        <w:rPr>
          <w:spacing w:val="-11"/>
        </w:rPr>
        <w:t> </w:t>
      </w:r>
      <w:r>
        <w:rPr/>
        <w:t>cuadro</w:t>
      </w:r>
      <w:r>
        <w:rPr>
          <w:spacing w:val="-12"/>
        </w:rPr>
        <w:t> </w:t>
      </w:r>
      <w:r>
        <w:rPr/>
        <w:t>siguiente</w:t>
      </w:r>
      <w:r>
        <w:rPr>
          <w:spacing w:val="-12"/>
        </w:rPr>
        <w:t> </w:t>
      </w:r>
      <w:r>
        <w:rPr/>
        <w:t>se</w:t>
      </w:r>
      <w:r>
        <w:rPr>
          <w:spacing w:val="-12"/>
        </w:rPr>
        <w:t> </w:t>
      </w:r>
      <w:r>
        <w:rPr/>
        <w:t>observa</w:t>
      </w:r>
      <w:r>
        <w:rPr>
          <w:spacing w:val="-12"/>
        </w:rPr>
        <w:t> </w:t>
      </w:r>
      <w:r>
        <w:rPr/>
        <w:t>que</w:t>
      </w:r>
      <w:r>
        <w:rPr>
          <w:spacing w:val="-12"/>
        </w:rPr>
        <w:t> </w:t>
      </w:r>
      <w:r>
        <w:rPr/>
        <w:t>la</w:t>
      </w:r>
      <w:r>
        <w:rPr>
          <w:spacing w:val="-12"/>
        </w:rPr>
        <w:t> </w:t>
      </w:r>
      <w:r>
        <w:rPr/>
        <w:t>misión</w:t>
      </w:r>
      <w:r>
        <w:rPr>
          <w:spacing w:val="-12"/>
        </w:rPr>
        <w:t> </w:t>
      </w:r>
      <w:r>
        <w:rPr/>
        <w:t>y</w:t>
      </w:r>
      <w:r>
        <w:rPr>
          <w:spacing w:val="-14"/>
        </w:rPr>
        <w:t> </w:t>
      </w:r>
      <w:r>
        <w:rPr/>
        <w:t>las</w:t>
      </w:r>
      <w:r>
        <w:rPr>
          <w:spacing w:val="-10"/>
        </w:rPr>
        <w:t> </w:t>
      </w:r>
      <w:r>
        <w:rPr/>
        <w:t>acciones</w:t>
      </w:r>
      <w:r>
        <w:rPr>
          <w:spacing w:val="-10"/>
        </w:rPr>
        <w:t> </w:t>
      </w:r>
      <w:r>
        <w:rPr/>
        <w:t>prioritarias</w:t>
      </w:r>
      <w:r>
        <w:rPr>
          <w:spacing w:val="-10"/>
        </w:rPr>
        <w:t> </w:t>
      </w:r>
      <w:r>
        <w:rPr/>
        <w:t>de la</w:t>
      </w:r>
      <w:r>
        <w:rPr>
          <w:spacing w:val="-8"/>
        </w:rPr>
        <w:t> </w:t>
      </w:r>
      <w:r>
        <w:rPr/>
        <w:t>institución</w:t>
      </w:r>
      <w:r>
        <w:rPr>
          <w:spacing w:val="-4"/>
        </w:rPr>
        <w:t> </w:t>
      </w:r>
      <w:r>
        <w:rPr/>
        <w:t>de</w:t>
      </w:r>
      <w:r>
        <w:rPr>
          <w:spacing w:val="-8"/>
        </w:rPr>
        <w:t> </w:t>
      </w:r>
      <w:r>
        <w:rPr/>
        <w:t>control</w:t>
      </w:r>
      <w:r>
        <w:rPr>
          <w:spacing w:val="-7"/>
        </w:rPr>
        <w:t> </w:t>
      </w:r>
      <w:r>
        <w:rPr/>
        <w:t>externo</w:t>
      </w:r>
      <w:r>
        <w:rPr>
          <w:spacing w:val="-8"/>
        </w:rPr>
        <w:t> </w:t>
      </w:r>
      <w:r>
        <w:rPr/>
        <w:t>(ASF)</w:t>
      </w:r>
      <w:r>
        <w:rPr>
          <w:spacing w:val="-3"/>
        </w:rPr>
        <w:t> </w:t>
      </w:r>
      <w:r>
        <w:rPr/>
        <w:t>incluyen</w:t>
      </w:r>
      <w:r>
        <w:rPr>
          <w:spacing w:val="-8"/>
        </w:rPr>
        <w:t> </w:t>
      </w:r>
      <w:r>
        <w:rPr/>
        <w:t>la</w:t>
      </w:r>
      <w:r>
        <w:rPr>
          <w:spacing w:val="-8"/>
        </w:rPr>
        <w:t> </w:t>
      </w:r>
      <w:r>
        <w:rPr/>
        <w:t>rendición</w:t>
      </w:r>
      <w:r>
        <w:rPr>
          <w:spacing w:val="-8"/>
        </w:rPr>
        <w:t> </w:t>
      </w:r>
      <w:r>
        <w:rPr/>
        <w:t>de</w:t>
      </w:r>
      <w:r>
        <w:rPr>
          <w:spacing w:val="-8"/>
        </w:rPr>
        <w:t> </w:t>
      </w:r>
      <w:r>
        <w:rPr/>
        <w:t>cuentas,</w:t>
      </w:r>
      <w:r>
        <w:rPr>
          <w:spacing w:val="-5"/>
        </w:rPr>
        <w:t> </w:t>
      </w:r>
      <w:r>
        <w:rPr/>
        <w:t>mientras que la SFP sólo la considera como una acción prioritaria. En forma adicional, la corrupción sólo es una cuestión prioritaria de la SFP, por lo que, de origen, la corrupción no enfrenta esfuerzos</w:t>
      </w:r>
      <w:r>
        <w:rPr>
          <w:spacing w:val="-26"/>
        </w:rPr>
        <w:t> </w:t>
      </w:r>
      <w:r>
        <w:rPr/>
        <w:t>coordinados.</w:t>
      </w:r>
    </w:p>
    <w:p>
      <w:pPr>
        <w:pStyle w:val="BodyText"/>
      </w:pPr>
    </w:p>
    <w:p>
      <w:pPr>
        <w:spacing w:before="140"/>
        <w:ind w:left="540" w:right="175" w:firstLine="0"/>
        <w:jc w:val="left"/>
        <w:rPr>
          <w:sz w:val="20"/>
        </w:rPr>
      </w:pPr>
      <w:bookmarkStart w:name="_bookmark81" w:id="110"/>
      <w:bookmarkEnd w:id="110"/>
      <w:r>
        <w:rPr/>
      </w:r>
      <w:r>
        <w:rPr>
          <w:sz w:val="20"/>
        </w:rPr>
        <w:t>Cuadro 4. 3. Comparativo de la orientación de las instituciones de rendición de cuentas</w:t>
      </w:r>
    </w:p>
    <w:p>
      <w:pPr>
        <w:pStyle w:val="BodyText"/>
        <w:spacing w:before="10"/>
        <w:rPr>
          <w:sz w:val="17"/>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77"/>
        <w:gridCol w:w="2991"/>
        <w:gridCol w:w="4525"/>
      </w:tblGrid>
      <w:tr>
        <w:trPr>
          <w:trHeight w:val="512" w:hRule="exact"/>
        </w:trPr>
        <w:tc>
          <w:tcPr>
            <w:tcW w:w="1077" w:type="dxa"/>
            <w:tcBorders>
              <w:top w:val="single" w:sz="11" w:space="0" w:color="D9D9D9"/>
              <w:left w:val="single" w:sz="11" w:space="0" w:color="D9D9D9"/>
              <w:bottom w:val="single" w:sz="11" w:space="0" w:color="BEBEBE"/>
              <w:right w:val="single" w:sz="11" w:space="0" w:color="D9D9D9"/>
            </w:tcBorders>
          </w:tcPr>
          <w:p>
            <w:pPr/>
          </w:p>
        </w:tc>
        <w:tc>
          <w:tcPr>
            <w:tcW w:w="2991" w:type="dxa"/>
            <w:tcBorders>
              <w:top w:val="single" w:sz="11" w:space="0" w:color="D9D9D9"/>
              <w:left w:val="single" w:sz="11" w:space="0" w:color="D9D9D9"/>
              <w:bottom w:val="single" w:sz="11" w:space="0" w:color="D9D9D9"/>
              <w:right w:val="single" w:sz="11" w:space="0" w:color="D9D9D9"/>
            </w:tcBorders>
          </w:tcPr>
          <w:p>
            <w:pPr>
              <w:pStyle w:val="TableParagraph"/>
              <w:spacing w:before="3"/>
              <w:rPr>
                <w:sz w:val="13"/>
              </w:rPr>
            </w:pPr>
          </w:p>
          <w:p>
            <w:pPr>
              <w:pStyle w:val="TableParagraph"/>
              <w:spacing w:line="244" w:lineRule="auto"/>
              <w:ind w:left="404" w:right="318" w:firstLine="572"/>
              <w:rPr>
                <w:b/>
                <w:sz w:val="14"/>
              </w:rPr>
            </w:pPr>
            <w:r>
              <w:rPr>
                <w:b/>
                <w:sz w:val="14"/>
              </w:rPr>
              <w:t>Control Interno Secretaría de la Función Pública</w:t>
            </w:r>
          </w:p>
        </w:tc>
        <w:tc>
          <w:tcPr>
            <w:tcW w:w="4525" w:type="dxa"/>
            <w:tcBorders>
              <w:top w:val="single" w:sz="11" w:space="0" w:color="D9D9D9"/>
              <w:left w:val="single" w:sz="11" w:space="0" w:color="D9D9D9"/>
              <w:bottom w:val="single" w:sz="11" w:space="0" w:color="D9D9D9"/>
              <w:right w:val="single" w:sz="11" w:space="0" w:color="D9D9D9"/>
            </w:tcBorders>
          </w:tcPr>
          <w:p>
            <w:pPr>
              <w:pStyle w:val="TableParagraph"/>
              <w:spacing w:before="3"/>
              <w:rPr>
                <w:sz w:val="13"/>
              </w:rPr>
            </w:pPr>
          </w:p>
          <w:p>
            <w:pPr>
              <w:pStyle w:val="TableParagraph"/>
              <w:ind w:left="1038" w:right="1043"/>
              <w:jc w:val="center"/>
              <w:rPr>
                <w:b/>
                <w:sz w:val="14"/>
              </w:rPr>
            </w:pPr>
            <w:r>
              <w:rPr>
                <w:b/>
                <w:sz w:val="14"/>
              </w:rPr>
              <w:t>Control Externo</w:t>
            </w:r>
          </w:p>
          <w:p>
            <w:pPr>
              <w:pStyle w:val="TableParagraph"/>
              <w:spacing w:before="3"/>
              <w:ind w:left="1038" w:right="1045"/>
              <w:jc w:val="center"/>
              <w:rPr>
                <w:b/>
                <w:sz w:val="14"/>
              </w:rPr>
            </w:pPr>
            <w:r>
              <w:rPr>
                <w:b/>
                <w:sz w:val="14"/>
              </w:rPr>
              <w:t>Auditoría Superior de la Federación</w:t>
            </w:r>
          </w:p>
        </w:tc>
      </w:tr>
      <w:tr>
        <w:trPr>
          <w:trHeight w:val="214" w:hRule="exact"/>
        </w:trPr>
        <w:tc>
          <w:tcPr>
            <w:tcW w:w="1077" w:type="dxa"/>
            <w:tcBorders>
              <w:top w:val="single" w:sz="11" w:space="0" w:color="BEBEBE"/>
              <w:left w:val="single" w:sz="11" w:space="0" w:color="BEBEBE"/>
              <w:bottom w:val="single" w:sz="11" w:space="0" w:color="BEBEBE"/>
              <w:right w:val="single" w:sz="11" w:space="0" w:color="BEBEBE"/>
            </w:tcBorders>
          </w:tcPr>
          <w:p>
            <w:pPr>
              <w:pStyle w:val="TableParagraph"/>
              <w:spacing w:before="12"/>
              <w:ind w:left="282" w:right="282"/>
              <w:jc w:val="center"/>
              <w:rPr>
                <w:b/>
                <w:sz w:val="14"/>
              </w:rPr>
            </w:pPr>
            <w:r>
              <w:rPr>
                <w:b/>
                <w:sz w:val="14"/>
              </w:rPr>
              <w:t>Ley</w:t>
            </w:r>
          </w:p>
        </w:tc>
        <w:tc>
          <w:tcPr>
            <w:tcW w:w="2991" w:type="dxa"/>
            <w:tcBorders>
              <w:top w:val="single" w:sz="11" w:space="0" w:color="D9D9D9"/>
              <w:left w:val="single" w:sz="11" w:space="0" w:color="BEBEBE"/>
            </w:tcBorders>
          </w:tcPr>
          <w:p>
            <w:pPr>
              <w:pStyle w:val="TableParagraph"/>
              <w:spacing w:line="158" w:lineRule="exact"/>
              <w:ind w:left="216" w:right="122"/>
              <w:rPr>
                <w:sz w:val="14"/>
              </w:rPr>
            </w:pPr>
            <w:r>
              <w:rPr>
                <w:sz w:val="14"/>
              </w:rPr>
              <w:t>LOAPF</w:t>
            </w:r>
          </w:p>
        </w:tc>
        <w:tc>
          <w:tcPr>
            <w:tcW w:w="4525" w:type="dxa"/>
            <w:tcBorders>
              <w:top w:val="single" w:sz="11" w:space="0" w:color="D9D9D9"/>
            </w:tcBorders>
          </w:tcPr>
          <w:p>
            <w:pPr>
              <w:pStyle w:val="TableParagraph"/>
              <w:ind w:left="100" w:right="101"/>
              <w:rPr>
                <w:sz w:val="14"/>
              </w:rPr>
            </w:pPr>
            <w:r>
              <w:rPr>
                <w:sz w:val="14"/>
              </w:rPr>
              <w:t>LFRCF</w:t>
            </w:r>
          </w:p>
        </w:tc>
      </w:tr>
      <w:tr>
        <w:trPr>
          <w:trHeight w:val="1488" w:hRule="exact"/>
        </w:trPr>
        <w:tc>
          <w:tcPr>
            <w:tcW w:w="1077"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rPr>
                <w:sz w:val="14"/>
              </w:rPr>
            </w:pPr>
          </w:p>
          <w:p>
            <w:pPr>
              <w:pStyle w:val="TableParagraph"/>
              <w:rPr>
                <w:sz w:val="14"/>
              </w:rPr>
            </w:pPr>
          </w:p>
          <w:p>
            <w:pPr>
              <w:pStyle w:val="TableParagraph"/>
              <w:spacing w:before="11"/>
              <w:rPr>
                <w:sz w:val="14"/>
              </w:rPr>
            </w:pPr>
          </w:p>
          <w:p>
            <w:pPr>
              <w:pStyle w:val="TableParagraph"/>
              <w:ind w:left="282" w:right="282"/>
              <w:jc w:val="center"/>
              <w:rPr>
                <w:b/>
                <w:sz w:val="14"/>
              </w:rPr>
            </w:pPr>
            <w:r>
              <w:rPr>
                <w:b/>
                <w:sz w:val="14"/>
              </w:rPr>
              <w:t>Misión</w:t>
            </w:r>
          </w:p>
        </w:tc>
        <w:tc>
          <w:tcPr>
            <w:tcW w:w="2991" w:type="dxa"/>
            <w:tcBorders>
              <w:left w:val="single" w:sz="11" w:space="0" w:color="BEBEBE"/>
            </w:tcBorders>
          </w:tcPr>
          <w:p>
            <w:pPr>
              <w:pStyle w:val="TableParagraph"/>
              <w:rPr>
                <w:sz w:val="14"/>
              </w:rPr>
            </w:pPr>
          </w:p>
          <w:p>
            <w:pPr>
              <w:pStyle w:val="TableParagraph"/>
              <w:rPr>
                <w:sz w:val="14"/>
              </w:rPr>
            </w:pPr>
          </w:p>
          <w:p>
            <w:pPr>
              <w:pStyle w:val="TableParagraph"/>
              <w:spacing w:before="98"/>
              <w:ind w:left="216" w:right="122"/>
              <w:rPr>
                <w:sz w:val="14"/>
              </w:rPr>
            </w:pPr>
            <w:r>
              <w:rPr>
                <w:sz w:val="14"/>
              </w:rPr>
              <w:t>Consolidar un Gobierno honesto, eficiente y transparente.</w:t>
            </w:r>
          </w:p>
        </w:tc>
        <w:tc>
          <w:tcPr>
            <w:tcW w:w="4525" w:type="dxa"/>
          </w:tcPr>
          <w:p>
            <w:pPr>
              <w:pStyle w:val="TableParagraph"/>
              <w:spacing w:before="24"/>
              <w:ind w:left="100" w:right="101"/>
              <w:rPr>
                <w:sz w:val="14"/>
              </w:rPr>
            </w:pPr>
            <w:r>
              <w:rPr>
                <w:sz w:val="14"/>
              </w:rPr>
              <w:t>Fiscalizar la Cuenta Pública mediante auditorías que se efectúan a los tres Poderes de la Unión, a los órganos constitucionalmente autónomos, a las entidades federativas y municipios del país, así como a todo ente que ejerza recursos públicos federales, incluyendo a los particulares. Conforme a su mandato legal, el propósito es verificar el cumplimiento de los objetivos contenidos en las políticas y programas gubernamentales, el adecuado desempeño de las entidades fiscalizadas, y el correcto manejo tanto del ingreso como del gasto público.</w:t>
            </w:r>
          </w:p>
        </w:tc>
      </w:tr>
      <w:tr>
        <w:trPr>
          <w:trHeight w:val="1328" w:hRule="exact"/>
        </w:trPr>
        <w:tc>
          <w:tcPr>
            <w:tcW w:w="1077"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rPr>
                <w:sz w:val="14"/>
              </w:rPr>
            </w:pPr>
          </w:p>
          <w:p>
            <w:pPr>
              <w:pStyle w:val="TableParagraph"/>
              <w:rPr>
                <w:sz w:val="14"/>
              </w:rPr>
            </w:pPr>
          </w:p>
          <w:p>
            <w:pPr>
              <w:pStyle w:val="TableParagraph"/>
              <w:spacing w:before="92"/>
              <w:ind w:left="282" w:right="278"/>
              <w:jc w:val="center"/>
              <w:rPr>
                <w:b/>
                <w:sz w:val="14"/>
              </w:rPr>
            </w:pPr>
            <w:r>
              <w:rPr>
                <w:b/>
                <w:sz w:val="14"/>
              </w:rPr>
              <w:t>Visión</w:t>
            </w:r>
          </w:p>
        </w:tc>
        <w:tc>
          <w:tcPr>
            <w:tcW w:w="2991" w:type="dxa"/>
            <w:tcBorders>
              <w:left w:val="single" w:sz="11" w:space="0" w:color="BEBEBE"/>
              <w:bottom w:val="single" w:sz="3" w:space="0" w:color="000000"/>
            </w:tcBorders>
          </w:tcPr>
          <w:p>
            <w:pPr>
              <w:pStyle w:val="TableParagraph"/>
              <w:rPr>
                <w:sz w:val="14"/>
              </w:rPr>
            </w:pPr>
          </w:p>
          <w:p>
            <w:pPr>
              <w:pStyle w:val="TableParagraph"/>
              <w:rPr>
                <w:sz w:val="14"/>
              </w:rPr>
            </w:pPr>
          </w:p>
          <w:p>
            <w:pPr>
              <w:pStyle w:val="TableParagraph"/>
              <w:spacing w:before="99"/>
              <w:ind w:left="216" w:right="122"/>
              <w:rPr>
                <w:sz w:val="14"/>
              </w:rPr>
            </w:pPr>
            <w:r>
              <w:rPr>
                <w:sz w:val="14"/>
              </w:rPr>
              <w:t>2020: La ciudadanía participa y confía en la Función Pública.</w:t>
            </w:r>
          </w:p>
        </w:tc>
        <w:tc>
          <w:tcPr>
            <w:tcW w:w="4525" w:type="dxa"/>
            <w:tcBorders>
              <w:bottom w:val="single" w:sz="3" w:space="0" w:color="000000"/>
            </w:tcBorders>
          </w:tcPr>
          <w:p>
            <w:pPr>
              <w:pStyle w:val="TableParagraph"/>
              <w:spacing w:before="25"/>
              <w:ind w:left="100" w:right="116"/>
              <w:rPr>
                <w:sz w:val="14"/>
              </w:rPr>
            </w:pPr>
            <w:r>
              <w:rPr>
                <w:sz w:val="14"/>
              </w:rPr>
              <w:t>Busca posicionarse como una institución objetiva e imparcial, técnicamente sólida y sujeta a un proceso de mejora continua, cuyos productos puedan constituirse en un elemento central para el Poder Legislativo en la definición de las asignaciones presupuestarias de los programas, proyectos y políticas públicas. De esta manera, contribuirá a generar confianza en la ciudadanía respecto al manejo de los recursos y a fortalecer una cultura gubernamental de transparencia y rendición de cuentas.</w:t>
            </w:r>
          </w:p>
        </w:tc>
      </w:tr>
      <w:tr>
        <w:trPr>
          <w:trHeight w:val="2128" w:hRule="exact"/>
        </w:trPr>
        <w:tc>
          <w:tcPr>
            <w:tcW w:w="1077" w:type="dxa"/>
            <w:tcBorders>
              <w:top w:val="single" w:sz="11" w:space="0" w:color="BEBEBE"/>
              <w:left w:val="single" w:sz="11" w:space="0" w:color="BEBEBE"/>
              <w:bottom w:val="single" w:sz="11" w:space="0" w:color="BEBEBE"/>
              <w:right w:val="single" w:sz="11" w:space="0" w:color="BEBEBE"/>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line="244" w:lineRule="auto" w:before="85"/>
              <w:ind w:left="160" w:right="137" w:firstLine="56"/>
              <w:rPr>
                <w:b/>
                <w:sz w:val="14"/>
              </w:rPr>
            </w:pPr>
            <w:r>
              <w:rPr>
                <w:b/>
                <w:sz w:val="14"/>
              </w:rPr>
              <w:t>Acciones prioritarias</w:t>
            </w:r>
          </w:p>
        </w:tc>
        <w:tc>
          <w:tcPr>
            <w:tcW w:w="2991" w:type="dxa"/>
            <w:tcBorders>
              <w:top w:val="single" w:sz="3" w:space="0" w:color="000000"/>
              <w:left w:val="single" w:sz="11" w:space="0" w:color="BEBEBE"/>
            </w:tcBorders>
          </w:tcPr>
          <w:p>
            <w:pPr>
              <w:pStyle w:val="TableParagraph"/>
              <w:numPr>
                <w:ilvl w:val="0"/>
                <w:numId w:val="71"/>
              </w:numPr>
              <w:tabs>
                <w:tab w:pos="320" w:val="left" w:leader="none"/>
              </w:tabs>
              <w:spacing w:line="240" w:lineRule="auto" w:before="20" w:after="0"/>
              <w:ind w:left="320" w:right="243" w:hanging="224"/>
              <w:jc w:val="left"/>
              <w:rPr>
                <w:sz w:val="14"/>
              </w:rPr>
            </w:pPr>
            <w:r>
              <w:rPr>
                <w:sz w:val="14"/>
              </w:rPr>
              <w:t>Promover la cultura de la legalidad y</w:t>
            </w:r>
            <w:r>
              <w:rPr>
                <w:spacing w:val="-20"/>
                <w:sz w:val="14"/>
              </w:rPr>
              <w:t> </w:t>
            </w:r>
            <w:r>
              <w:rPr>
                <w:sz w:val="14"/>
              </w:rPr>
              <w:t>el aprecio por la rendición de</w:t>
            </w:r>
            <w:r>
              <w:rPr>
                <w:spacing w:val="-23"/>
                <w:sz w:val="14"/>
              </w:rPr>
              <w:t> </w:t>
            </w:r>
            <w:r>
              <w:rPr>
                <w:sz w:val="14"/>
              </w:rPr>
              <w:t>cuentas.</w:t>
            </w:r>
          </w:p>
          <w:p>
            <w:pPr>
              <w:pStyle w:val="TableParagraph"/>
              <w:numPr>
                <w:ilvl w:val="0"/>
                <w:numId w:val="71"/>
              </w:numPr>
              <w:tabs>
                <w:tab w:pos="320" w:val="left" w:leader="none"/>
              </w:tabs>
              <w:spacing w:line="242" w:lineRule="auto" w:before="0" w:after="0"/>
              <w:ind w:left="320" w:right="120" w:hanging="224"/>
              <w:jc w:val="left"/>
              <w:rPr>
                <w:sz w:val="14"/>
              </w:rPr>
            </w:pPr>
            <w:r>
              <w:rPr>
                <w:sz w:val="14"/>
              </w:rPr>
              <w:t>Ampliar la cobertura, impacto y efecto preventivo de la fiscalización a la</w:t>
            </w:r>
            <w:r>
              <w:rPr>
                <w:spacing w:val="-26"/>
                <w:sz w:val="14"/>
              </w:rPr>
              <w:t> </w:t>
            </w:r>
            <w:r>
              <w:rPr>
                <w:sz w:val="14"/>
              </w:rPr>
              <w:t>gestión pública.</w:t>
            </w:r>
          </w:p>
          <w:p>
            <w:pPr>
              <w:pStyle w:val="TableParagraph"/>
              <w:numPr>
                <w:ilvl w:val="0"/>
                <w:numId w:val="71"/>
              </w:numPr>
              <w:tabs>
                <w:tab w:pos="320" w:val="left" w:leader="none"/>
              </w:tabs>
              <w:spacing w:line="160" w:lineRule="exact" w:before="0" w:after="0"/>
              <w:ind w:left="320" w:right="703" w:hanging="224"/>
              <w:jc w:val="left"/>
              <w:rPr>
                <w:sz w:val="14"/>
              </w:rPr>
            </w:pPr>
            <w:r>
              <w:rPr>
                <w:sz w:val="14"/>
              </w:rPr>
              <w:t>Inhibir y sancionar las</w:t>
            </w:r>
            <w:r>
              <w:rPr>
                <w:spacing w:val="-18"/>
                <w:sz w:val="14"/>
              </w:rPr>
              <w:t> </w:t>
            </w:r>
            <w:r>
              <w:rPr>
                <w:sz w:val="14"/>
              </w:rPr>
              <w:t>prácticas corruptas.</w:t>
            </w:r>
          </w:p>
          <w:p>
            <w:pPr>
              <w:pStyle w:val="TableParagraph"/>
              <w:numPr>
                <w:ilvl w:val="0"/>
                <w:numId w:val="71"/>
              </w:numPr>
              <w:tabs>
                <w:tab w:pos="320" w:val="left" w:leader="none"/>
              </w:tabs>
              <w:spacing w:line="240" w:lineRule="auto" w:before="0" w:after="0"/>
              <w:ind w:left="320" w:right="503" w:hanging="224"/>
              <w:jc w:val="left"/>
              <w:rPr>
                <w:sz w:val="14"/>
              </w:rPr>
            </w:pPr>
            <w:r>
              <w:rPr>
                <w:sz w:val="14"/>
              </w:rPr>
              <w:t>Articular estructuras</w:t>
            </w:r>
            <w:r>
              <w:rPr>
                <w:spacing w:val="-19"/>
                <w:sz w:val="14"/>
              </w:rPr>
              <w:t> </w:t>
            </w:r>
            <w:r>
              <w:rPr>
                <w:sz w:val="14"/>
              </w:rPr>
              <w:t>profesionales, eficientes y eficaces del</w:t>
            </w:r>
            <w:r>
              <w:rPr>
                <w:spacing w:val="-28"/>
                <w:sz w:val="14"/>
              </w:rPr>
              <w:t> </w:t>
            </w:r>
            <w:r>
              <w:rPr>
                <w:sz w:val="14"/>
              </w:rPr>
              <w:t>gobierno.</w:t>
            </w:r>
          </w:p>
          <w:p>
            <w:pPr>
              <w:pStyle w:val="TableParagraph"/>
              <w:numPr>
                <w:ilvl w:val="0"/>
                <w:numId w:val="71"/>
              </w:numPr>
              <w:tabs>
                <w:tab w:pos="320" w:val="left" w:leader="none"/>
              </w:tabs>
              <w:spacing w:line="240" w:lineRule="auto" w:before="0" w:after="0"/>
              <w:ind w:left="320" w:right="348" w:hanging="224"/>
              <w:jc w:val="left"/>
              <w:rPr>
                <w:sz w:val="14"/>
              </w:rPr>
            </w:pPr>
            <w:r>
              <w:rPr>
                <w:sz w:val="14"/>
              </w:rPr>
              <w:t>Mejorar la regulación, la gestión y</w:t>
            </w:r>
            <w:r>
              <w:rPr>
                <w:spacing w:val="-22"/>
                <w:sz w:val="14"/>
              </w:rPr>
              <w:t> </w:t>
            </w:r>
            <w:r>
              <w:rPr>
                <w:sz w:val="14"/>
              </w:rPr>
              <w:t>los procesos de la</w:t>
            </w:r>
            <w:r>
              <w:rPr>
                <w:spacing w:val="-15"/>
                <w:sz w:val="14"/>
              </w:rPr>
              <w:t> </w:t>
            </w:r>
            <w:r>
              <w:rPr>
                <w:sz w:val="14"/>
              </w:rPr>
              <w:t>APF.</w:t>
            </w:r>
          </w:p>
          <w:p>
            <w:pPr>
              <w:pStyle w:val="TableParagraph"/>
              <w:numPr>
                <w:ilvl w:val="0"/>
                <w:numId w:val="71"/>
              </w:numPr>
              <w:tabs>
                <w:tab w:pos="344" w:val="left" w:leader="none"/>
              </w:tabs>
              <w:spacing w:line="240" w:lineRule="auto" w:before="3" w:after="0"/>
              <w:ind w:left="320" w:right="204" w:hanging="140"/>
              <w:jc w:val="left"/>
              <w:rPr>
                <w:sz w:val="14"/>
              </w:rPr>
            </w:pPr>
            <w:r>
              <w:rPr>
                <w:sz w:val="14"/>
              </w:rPr>
              <w:t>Optimizar el uso y aprovechamiento</w:t>
            </w:r>
            <w:r>
              <w:rPr>
                <w:spacing w:val="-19"/>
                <w:sz w:val="14"/>
              </w:rPr>
              <w:t> </w:t>
            </w:r>
            <w:r>
              <w:rPr>
                <w:sz w:val="14"/>
              </w:rPr>
              <w:t>de los inmuebles</w:t>
            </w:r>
            <w:r>
              <w:rPr>
                <w:spacing w:val="-17"/>
                <w:sz w:val="14"/>
              </w:rPr>
              <w:t> </w:t>
            </w:r>
            <w:r>
              <w:rPr>
                <w:sz w:val="14"/>
              </w:rPr>
              <w:t>federales.</w:t>
            </w:r>
          </w:p>
        </w:tc>
        <w:tc>
          <w:tcPr>
            <w:tcW w:w="4525" w:type="dxa"/>
            <w:tcBorders>
              <w:top w:val="single" w:sz="3" w:space="0" w:color="000000"/>
            </w:tcBorders>
          </w:tcPr>
          <w:p>
            <w:pPr>
              <w:pStyle w:val="TableParagraph"/>
              <w:numPr>
                <w:ilvl w:val="0"/>
                <w:numId w:val="72"/>
              </w:numPr>
              <w:tabs>
                <w:tab w:pos="264" w:val="left" w:leader="none"/>
              </w:tabs>
              <w:spacing w:line="160" w:lineRule="exact" w:before="20" w:after="0"/>
              <w:ind w:left="276" w:right="0" w:hanging="176"/>
              <w:jc w:val="left"/>
              <w:rPr>
                <w:sz w:val="14"/>
              </w:rPr>
            </w:pPr>
            <w:r>
              <w:rPr>
                <w:sz w:val="14"/>
              </w:rPr>
              <w:t>Propiciar</w:t>
            </w:r>
            <w:r>
              <w:rPr>
                <w:spacing w:val="-4"/>
                <w:sz w:val="14"/>
              </w:rPr>
              <w:t> </w:t>
            </w:r>
            <w:r>
              <w:rPr>
                <w:sz w:val="14"/>
              </w:rPr>
              <w:t>la</w:t>
            </w:r>
            <w:r>
              <w:rPr>
                <w:spacing w:val="-3"/>
                <w:sz w:val="14"/>
              </w:rPr>
              <w:t> </w:t>
            </w:r>
            <w:r>
              <w:rPr>
                <w:sz w:val="14"/>
              </w:rPr>
              <w:t>eficiencia</w:t>
            </w:r>
            <w:r>
              <w:rPr>
                <w:spacing w:val="-6"/>
                <w:sz w:val="14"/>
              </w:rPr>
              <w:t> </w:t>
            </w:r>
            <w:r>
              <w:rPr>
                <w:sz w:val="14"/>
              </w:rPr>
              <w:t>y</w:t>
            </w:r>
            <w:r>
              <w:rPr>
                <w:spacing w:val="-4"/>
                <w:sz w:val="14"/>
              </w:rPr>
              <w:t> </w:t>
            </w:r>
            <w:r>
              <w:rPr>
                <w:sz w:val="14"/>
              </w:rPr>
              <w:t>eficacia</w:t>
            </w:r>
            <w:r>
              <w:rPr>
                <w:spacing w:val="-10"/>
                <w:sz w:val="14"/>
              </w:rPr>
              <w:t> </w:t>
            </w:r>
            <w:r>
              <w:rPr>
                <w:sz w:val="14"/>
              </w:rPr>
              <w:t>de</w:t>
            </w:r>
            <w:r>
              <w:rPr>
                <w:spacing w:val="-6"/>
                <w:sz w:val="14"/>
              </w:rPr>
              <w:t> </w:t>
            </w:r>
            <w:r>
              <w:rPr>
                <w:sz w:val="14"/>
              </w:rPr>
              <w:t>la</w:t>
            </w:r>
            <w:r>
              <w:rPr>
                <w:spacing w:val="-3"/>
                <w:sz w:val="14"/>
              </w:rPr>
              <w:t> </w:t>
            </w:r>
            <w:r>
              <w:rPr>
                <w:sz w:val="14"/>
              </w:rPr>
              <w:t>acción</w:t>
            </w:r>
            <w:r>
              <w:rPr>
                <w:spacing w:val="-6"/>
                <w:sz w:val="14"/>
              </w:rPr>
              <w:t> </w:t>
            </w:r>
            <w:r>
              <w:rPr>
                <w:sz w:val="14"/>
              </w:rPr>
              <w:t>pública.</w:t>
            </w:r>
          </w:p>
          <w:p>
            <w:pPr>
              <w:pStyle w:val="TableParagraph"/>
              <w:numPr>
                <w:ilvl w:val="0"/>
                <w:numId w:val="72"/>
              </w:numPr>
              <w:tabs>
                <w:tab w:pos="264" w:val="left" w:leader="none"/>
              </w:tabs>
              <w:spacing w:line="160" w:lineRule="exact" w:before="0" w:after="0"/>
              <w:ind w:left="263" w:right="0" w:hanging="163"/>
              <w:jc w:val="left"/>
              <w:rPr>
                <w:sz w:val="14"/>
              </w:rPr>
            </w:pPr>
            <w:r>
              <w:rPr>
                <w:sz w:val="14"/>
              </w:rPr>
              <w:t>Promover</w:t>
            </w:r>
            <w:r>
              <w:rPr>
                <w:spacing w:val="-4"/>
                <w:sz w:val="14"/>
              </w:rPr>
              <w:t> </w:t>
            </w:r>
            <w:r>
              <w:rPr>
                <w:sz w:val="14"/>
              </w:rPr>
              <w:t>la</w:t>
            </w:r>
            <w:r>
              <w:rPr>
                <w:spacing w:val="-6"/>
                <w:sz w:val="14"/>
              </w:rPr>
              <w:t> </w:t>
            </w:r>
            <w:r>
              <w:rPr>
                <w:sz w:val="14"/>
              </w:rPr>
              <w:t>implantación</w:t>
            </w:r>
            <w:r>
              <w:rPr>
                <w:spacing w:val="-6"/>
                <w:sz w:val="14"/>
              </w:rPr>
              <w:t> </w:t>
            </w:r>
            <w:r>
              <w:rPr>
                <w:sz w:val="14"/>
              </w:rPr>
              <w:t>de</w:t>
            </w:r>
            <w:r>
              <w:rPr>
                <w:spacing w:val="-10"/>
                <w:sz w:val="14"/>
              </w:rPr>
              <w:t> </w:t>
            </w:r>
            <w:r>
              <w:rPr>
                <w:sz w:val="14"/>
              </w:rPr>
              <w:t>mejores</w:t>
            </w:r>
            <w:r>
              <w:rPr>
                <w:spacing w:val="-4"/>
                <w:sz w:val="14"/>
              </w:rPr>
              <w:t> </w:t>
            </w:r>
            <w:r>
              <w:rPr>
                <w:sz w:val="14"/>
              </w:rPr>
              <w:t>prácticas</w:t>
            </w:r>
            <w:r>
              <w:rPr>
                <w:spacing w:val="-4"/>
                <w:sz w:val="14"/>
              </w:rPr>
              <w:t> </w:t>
            </w:r>
            <w:r>
              <w:rPr>
                <w:sz w:val="14"/>
              </w:rPr>
              <w:t>gubernamentales.</w:t>
            </w:r>
          </w:p>
          <w:p>
            <w:pPr>
              <w:pStyle w:val="TableParagraph"/>
              <w:numPr>
                <w:ilvl w:val="0"/>
                <w:numId w:val="72"/>
              </w:numPr>
              <w:tabs>
                <w:tab w:pos="304" w:val="left" w:leader="none"/>
              </w:tabs>
              <w:spacing w:line="244" w:lineRule="auto" w:before="0" w:after="0"/>
              <w:ind w:left="276" w:right="700" w:hanging="176"/>
              <w:jc w:val="left"/>
              <w:rPr>
                <w:sz w:val="14"/>
              </w:rPr>
            </w:pPr>
            <w:r>
              <w:rPr>
                <w:sz w:val="14"/>
              </w:rPr>
              <w:t>Fomentar el desarrollo del Servicio Civil de Carrera</w:t>
            </w:r>
            <w:r>
              <w:rPr>
                <w:spacing w:val="-27"/>
                <w:sz w:val="14"/>
              </w:rPr>
              <w:t> </w:t>
            </w:r>
            <w:r>
              <w:rPr>
                <w:sz w:val="14"/>
              </w:rPr>
              <w:t>en el Gobierno</w:t>
            </w:r>
            <w:r>
              <w:rPr>
                <w:spacing w:val="-15"/>
                <w:sz w:val="14"/>
              </w:rPr>
              <w:t> </w:t>
            </w:r>
            <w:r>
              <w:rPr>
                <w:sz w:val="14"/>
              </w:rPr>
              <w:t>Federal.</w:t>
            </w:r>
          </w:p>
          <w:p>
            <w:pPr>
              <w:pStyle w:val="TableParagraph"/>
              <w:numPr>
                <w:ilvl w:val="0"/>
                <w:numId w:val="72"/>
              </w:numPr>
              <w:tabs>
                <w:tab w:pos="264" w:val="left" w:leader="none"/>
              </w:tabs>
              <w:spacing w:line="237" w:lineRule="auto" w:before="0" w:after="0"/>
              <w:ind w:left="276" w:right="653" w:hanging="176"/>
              <w:jc w:val="left"/>
              <w:rPr>
                <w:sz w:val="14"/>
              </w:rPr>
            </w:pPr>
            <w:r>
              <w:rPr>
                <w:sz w:val="14"/>
              </w:rPr>
              <w:t>Contribuir al</w:t>
            </w:r>
            <w:r>
              <w:rPr>
                <w:spacing w:val="-4"/>
                <w:sz w:val="14"/>
              </w:rPr>
              <w:t> </w:t>
            </w:r>
            <w:r>
              <w:rPr>
                <w:sz w:val="14"/>
              </w:rPr>
              <w:t>establecimiento</w:t>
            </w:r>
            <w:r>
              <w:rPr>
                <w:spacing w:val="-6"/>
                <w:sz w:val="14"/>
              </w:rPr>
              <w:t> </w:t>
            </w:r>
            <w:r>
              <w:rPr>
                <w:sz w:val="14"/>
              </w:rPr>
              <w:t>de</w:t>
            </w:r>
            <w:r>
              <w:rPr>
                <w:spacing w:val="-10"/>
                <w:sz w:val="14"/>
              </w:rPr>
              <w:t> </w:t>
            </w:r>
            <w:r>
              <w:rPr>
                <w:sz w:val="14"/>
              </w:rPr>
              <w:t>sistemas</w:t>
            </w:r>
            <w:r>
              <w:rPr>
                <w:spacing w:val="-4"/>
                <w:sz w:val="14"/>
              </w:rPr>
              <w:t> </w:t>
            </w:r>
            <w:r>
              <w:rPr>
                <w:sz w:val="14"/>
              </w:rPr>
              <w:t>de</w:t>
            </w:r>
            <w:r>
              <w:rPr>
                <w:spacing w:val="-6"/>
                <w:sz w:val="14"/>
              </w:rPr>
              <w:t> </w:t>
            </w:r>
            <w:r>
              <w:rPr>
                <w:sz w:val="14"/>
              </w:rPr>
              <w:t>evaluación</w:t>
            </w:r>
            <w:r>
              <w:rPr>
                <w:spacing w:val="-3"/>
                <w:sz w:val="14"/>
              </w:rPr>
              <w:t> </w:t>
            </w:r>
            <w:r>
              <w:rPr>
                <w:sz w:val="14"/>
              </w:rPr>
              <w:t>al desempeño.</w:t>
            </w:r>
          </w:p>
          <w:p>
            <w:pPr>
              <w:pStyle w:val="TableParagraph"/>
              <w:spacing w:line="160" w:lineRule="exact"/>
              <w:ind w:left="100" w:right="101"/>
              <w:rPr>
                <w:sz w:val="14"/>
              </w:rPr>
            </w:pPr>
            <w:r>
              <w:rPr>
                <w:sz w:val="14"/>
              </w:rPr>
              <w:t>1)  Impulsar la fiscalización de alto impacto.</w:t>
            </w:r>
          </w:p>
          <w:p>
            <w:pPr>
              <w:pStyle w:val="TableParagraph"/>
              <w:spacing w:line="160" w:lineRule="exact" w:before="3"/>
              <w:ind w:left="100" w:right="101"/>
              <w:rPr>
                <w:sz w:val="14"/>
              </w:rPr>
            </w:pPr>
            <w:r>
              <w:rPr>
                <w:sz w:val="14"/>
              </w:rPr>
              <w:t>6) Fortalecer los mecanismos de fiscalización en la gestión pública.</w:t>
            </w:r>
          </w:p>
          <w:p>
            <w:pPr>
              <w:pStyle w:val="TableParagraph"/>
              <w:numPr>
                <w:ilvl w:val="0"/>
                <w:numId w:val="73"/>
              </w:numPr>
              <w:tabs>
                <w:tab w:pos="316" w:val="left" w:leader="none"/>
              </w:tabs>
              <w:spacing w:line="160" w:lineRule="exact" w:before="0" w:after="0"/>
              <w:ind w:left="276" w:right="0" w:hanging="176"/>
              <w:jc w:val="left"/>
              <w:rPr>
                <w:sz w:val="14"/>
              </w:rPr>
            </w:pPr>
            <w:r>
              <w:rPr>
                <w:sz w:val="14"/>
              </w:rPr>
              <w:t>Inducir</w:t>
            </w:r>
            <w:r>
              <w:rPr>
                <w:spacing w:val="-2"/>
                <w:sz w:val="14"/>
              </w:rPr>
              <w:t> </w:t>
            </w:r>
            <w:r>
              <w:rPr>
                <w:sz w:val="14"/>
              </w:rPr>
              <w:t>la</w:t>
            </w:r>
            <w:r>
              <w:rPr>
                <w:spacing w:val="-5"/>
                <w:sz w:val="14"/>
              </w:rPr>
              <w:t> </w:t>
            </w:r>
            <w:r>
              <w:rPr>
                <w:sz w:val="14"/>
              </w:rPr>
              <w:t>preservación</w:t>
            </w:r>
            <w:r>
              <w:rPr>
                <w:spacing w:val="-5"/>
                <w:sz w:val="14"/>
              </w:rPr>
              <w:t> </w:t>
            </w:r>
            <w:r>
              <w:rPr>
                <w:sz w:val="14"/>
              </w:rPr>
              <w:t>del</w:t>
            </w:r>
            <w:r>
              <w:rPr>
                <w:spacing w:val="-6"/>
                <w:sz w:val="14"/>
              </w:rPr>
              <w:t> </w:t>
            </w:r>
            <w:r>
              <w:rPr>
                <w:sz w:val="14"/>
              </w:rPr>
              <w:t>patrimonio</w:t>
            </w:r>
            <w:r>
              <w:rPr>
                <w:spacing w:val="-5"/>
                <w:sz w:val="14"/>
              </w:rPr>
              <w:t> </w:t>
            </w:r>
            <w:r>
              <w:rPr>
                <w:sz w:val="14"/>
              </w:rPr>
              <w:t>de</w:t>
            </w:r>
            <w:r>
              <w:rPr>
                <w:spacing w:val="-5"/>
                <w:sz w:val="14"/>
              </w:rPr>
              <w:t> </w:t>
            </w:r>
            <w:r>
              <w:rPr>
                <w:sz w:val="14"/>
              </w:rPr>
              <w:t>la</w:t>
            </w:r>
            <w:r>
              <w:rPr>
                <w:spacing w:val="-8"/>
                <w:sz w:val="14"/>
              </w:rPr>
              <w:t> </w:t>
            </w:r>
            <w:r>
              <w:rPr>
                <w:sz w:val="14"/>
              </w:rPr>
              <w:t>Nación.</w:t>
            </w:r>
          </w:p>
          <w:p>
            <w:pPr>
              <w:pStyle w:val="TableParagraph"/>
              <w:numPr>
                <w:ilvl w:val="0"/>
                <w:numId w:val="73"/>
              </w:numPr>
              <w:tabs>
                <w:tab w:pos="316" w:val="left" w:leader="none"/>
              </w:tabs>
              <w:spacing w:line="160" w:lineRule="exact" w:before="0" w:after="0"/>
              <w:ind w:left="316" w:right="0" w:hanging="216"/>
              <w:jc w:val="left"/>
              <w:rPr>
                <w:sz w:val="14"/>
              </w:rPr>
            </w:pPr>
            <w:r>
              <w:rPr>
                <w:sz w:val="14"/>
              </w:rPr>
              <w:t>Identificar oportunidades de</w:t>
            </w:r>
            <w:r>
              <w:rPr>
                <w:spacing w:val="-28"/>
                <w:sz w:val="14"/>
              </w:rPr>
              <w:t> </w:t>
            </w:r>
            <w:r>
              <w:rPr>
                <w:sz w:val="14"/>
              </w:rPr>
              <w:t>mejora.</w:t>
            </w:r>
          </w:p>
          <w:p>
            <w:pPr>
              <w:pStyle w:val="TableParagraph"/>
              <w:numPr>
                <w:ilvl w:val="0"/>
                <w:numId w:val="73"/>
              </w:numPr>
              <w:tabs>
                <w:tab w:pos="316" w:val="left" w:leader="none"/>
              </w:tabs>
              <w:spacing w:line="160" w:lineRule="exact" w:before="0" w:after="0"/>
              <w:ind w:left="316" w:right="0" w:hanging="216"/>
              <w:jc w:val="left"/>
              <w:rPr>
                <w:sz w:val="14"/>
              </w:rPr>
            </w:pPr>
            <w:r>
              <w:rPr>
                <w:sz w:val="14"/>
              </w:rPr>
              <w:t>Arraigar la cultura de la rendición de</w:t>
            </w:r>
            <w:r>
              <w:rPr>
                <w:spacing w:val="-27"/>
                <w:sz w:val="14"/>
              </w:rPr>
              <w:t> </w:t>
            </w:r>
            <w:r>
              <w:rPr>
                <w:sz w:val="14"/>
              </w:rPr>
              <w:t>cuentas.</w:t>
            </w:r>
          </w:p>
          <w:p>
            <w:pPr>
              <w:pStyle w:val="TableParagraph"/>
              <w:numPr>
                <w:ilvl w:val="0"/>
                <w:numId w:val="73"/>
              </w:numPr>
              <w:tabs>
                <w:tab w:pos="276" w:val="left" w:leader="none"/>
              </w:tabs>
              <w:spacing w:line="240" w:lineRule="auto" w:before="3" w:after="0"/>
              <w:ind w:left="276" w:right="306" w:hanging="176"/>
              <w:jc w:val="left"/>
              <w:rPr>
                <w:sz w:val="14"/>
              </w:rPr>
            </w:pPr>
            <w:r>
              <w:rPr>
                <w:sz w:val="14"/>
              </w:rPr>
              <w:t>Reforzar</w:t>
            </w:r>
            <w:r>
              <w:rPr>
                <w:spacing w:val="-1"/>
                <w:sz w:val="14"/>
              </w:rPr>
              <w:t> </w:t>
            </w:r>
            <w:r>
              <w:rPr>
                <w:sz w:val="14"/>
              </w:rPr>
              <w:t>en</w:t>
            </w:r>
            <w:r>
              <w:rPr>
                <w:spacing w:val="-7"/>
                <w:sz w:val="14"/>
              </w:rPr>
              <w:t> </w:t>
            </w:r>
            <w:r>
              <w:rPr>
                <w:sz w:val="14"/>
              </w:rPr>
              <w:t>los</w:t>
            </w:r>
            <w:r>
              <w:rPr>
                <w:spacing w:val="-1"/>
                <w:sz w:val="14"/>
              </w:rPr>
              <w:t> </w:t>
            </w:r>
            <w:r>
              <w:rPr>
                <w:sz w:val="14"/>
              </w:rPr>
              <w:t>programas</w:t>
            </w:r>
            <w:r>
              <w:rPr>
                <w:spacing w:val="-1"/>
                <w:sz w:val="14"/>
              </w:rPr>
              <w:t> </w:t>
            </w:r>
            <w:r>
              <w:rPr>
                <w:sz w:val="14"/>
              </w:rPr>
              <w:t>educativos,</w:t>
            </w:r>
            <w:r>
              <w:rPr>
                <w:spacing w:val="-2"/>
                <w:sz w:val="14"/>
              </w:rPr>
              <w:t> </w:t>
            </w:r>
            <w:r>
              <w:rPr>
                <w:sz w:val="14"/>
              </w:rPr>
              <w:t>el</w:t>
            </w:r>
            <w:r>
              <w:rPr>
                <w:spacing w:val="-5"/>
                <w:sz w:val="14"/>
              </w:rPr>
              <w:t> </w:t>
            </w:r>
            <w:r>
              <w:rPr>
                <w:sz w:val="14"/>
              </w:rPr>
              <w:t>estudio</w:t>
            </w:r>
            <w:r>
              <w:rPr>
                <w:spacing w:val="-7"/>
                <w:sz w:val="14"/>
              </w:rPr>
              <w:t> </w:t>
            </w:r>
            <w:r>
              <w:rPr>
                <w:sz w:val="14"/>
              </w:rPr>
              <w:t>de</w:t>
            </w:r>
            <w:r>
              <w:rPr>
                <w:spacing w:val="-7"/>
                <w:sz w:val="14"/>
              </w:rPr>
              <w:t> </w:t>
            </w:r>
            <w:r>
              <w:rPr>
                <w:sz w:val="14"/>
              </w:rPr>
              <w:t>los</w:t>
            </w:r>
            <w:r>
              <w:rPr>
                <w:spacing w:val="-5"/>
                <w:sz w:val="14"/>
              </w:rPr>
              <w:t> </w:t>
            </w:r>
            <w:r>
              <w:rPr>
                <w:sz w:val="14"/>
              </w:rPr>
              <w:t>valores éticos y</w:t>
            </w:r>
            <w:r>
              <w:rPr>
                <w:spacing w:val="-11"/>
                <w:sz w:val="14"/>
              </w:rPr>
              <w:t> </w:t>
            </w:r>
            <w:r>
              <w:rPr>
                <w:sz w:val="14"/>
              </w:rPr>
              <w:t>morales.</w:t>
            </w:r>
          </w:p>
        </w:tc>
      </w:tr>
    </w:tbl>
    <w:p>
      <w:pPr>
        <w:spacing w:before="6"/>
        <w:ind w:left="869" w:right="175" w:hanging="709"/>
        <w:jc w:val="left"/>
        <w:rPr>
          <w:sz w:val="12"/>
        </w:rPr>
      </w:pPr>
      <w:r>
        <w:rPr>
          <w:sz w:val="12"/>
        </w:rPr>
        <w:t>FUENTE: Elaboración propia con base en: </w:t>
      </w:r>
      <w:hyperlink r:id="rId194">
        <w:r>
          <w:rPr>
            <w:color w:val="0000FF"/>
            <w:sz w:val="12"/>
            <w:u w:val="single" w:color="0000FF"/>
          </w:rPr>
          <w:t>http://www.funcionpublica.gob.mx/index.php/conoce-la-sfp/mision-y-vision.htm</w:t>
        </w:r>
        <w:r>
          <w:rPr>
            <w:color w:val="0000FF"/>
            <w:sz w:val="12"/>
          </w:rPr>
          <w:t>l</w:t>
        </w:r>
      </w:hyperlink>
      <w:r>
        <w:rPr>
          <w:color w:val="0000FF"/>
          <w:sz w:val="12"/>
        </w:rPr>
        <w:t> </w:t>
      </w:r>
      <w:hyperlink r:id="rId195">
        <w:r>
          <w:rPr>
            <w:color w:val="0000FF"/>
            <w:sz w:val="12"/>
            <w:u w:val="single" w:color="0000FF"/>
          </w:rPr>
          <w:t>http://www.asf.gob.mx/Publication/22_Mision_y_Vision</w:t>
        </w:r>
      </w:hyperlink>
      <w:r>
        <w:rPr>
          <w:rFonts w:ascii="Calibri" w:hAnsi="Calibri"/>
          <w:sz w:val="22"/>
        </w:rPr>
        <w:t>; </w:t>
      </w:r>
      <w:hyperlink r:id="rId196">
        <w:r>
          <w:rPr>
            <w:color w:val="0000FF"/>
            <w:sz w:val="12"/>
            <w:u w:val="single" w:color="0000FF"/>
          </w:rPr>
          <w:t>http://www.asf.gob.mx/trans/Obliga/vision.pd</w:t>
        </w:r>
        <w:r>
          <w:rPr>
            <w:color w:val="0000FF"/>
            <w:sz w:val="12"/>
          </w:rPr>
          <w:t>f</w:t>
        </w:r>
        <w:r>
          <w:rPr>
            <w:sz w:val="12"/>
          </w:rPr>
          <w:t>[</w:t>
        </w:r>
      </w:hyperlink>
      <w:r>
        <w:rPr>
          <w:sz w:val="12"/>
        </w:rPr>
        <w:t>Fecha de consulta: 25 de septiembre, 2015]</w:t>
      </w:r>
    </w:p>
    <w:p>
      <w:pPr>
        <w:pStyle w:val="BodyText"/>
        <w:rPr>
          <w:sz w:val="20"/>
        </w:rPr>
      </w:pPr>
    </w:p>
    <w:p>
      <w:pPr>
        <w:pStyle w:val="BodyText"/>
        <w:spacing w:before="2"/>
        <w:rPr>
          <w:sz w:val="19"/>
        </w:rPr>
      </w:pPr>
    </w:p>
    <w:p>
      <w:pPr>
        <w:pStyle w:val="BodyText"/>
        <w:spacing w:line="360" w:lineRule="auto" w:before="69"/>
        <w:ind w:left="160" w:right="184" w:firstLine="427"/>
        <w:jc w:val="both"/>
      </w:pPr>
      <w:r>
        <w:rPr/>
        <w:t>Del cuadro anterior se infiere que el principio rector del Plan Nacional de Desarrollo 2007-2012 relativo “impulsar la consolidación de una administración […]</w:t>
      </w:r>
      <w:r>
        <w:rPr>
          <w:spacing w:val="-9"/>
        </w:rPr>
        <w:t> </w:t>
      </w:r>
      <w:r>
        <w:rPr/>
        <w:t>que</w:t>
      </w:r>
      <w:r>
        <w:rPr>
          <w:spacing w:val="-12"/>
        </w:rPr>
        <w:t> </w:t>
      </w:r>
      <w:r>
        <w:rPr/>
        <w:t>rinda</w:t>
      </w:r>
      <w:r>
        <w:rPr>
          <w:spacing w:val="-12"/>
        </w:rPr>
        <w:t> </w:t>
      </w:r>
      <w:r>
        <w:rPr/>
        <w:t>cuentas,</w:t>
      </w:r>
      <w:r>
        <w:rPr>
          <w:spacing w:val="-9"/>
        </w:rPr>
        <w:t> </w:t>
      </w:r>
      <w:r>
        <w:rPr/>
        <w:t>que</w:t>
      </w:r>
      <w:r>
        <w:rPr>
          <w:spacing w:val="-12"/>
        </w:rPr>
        <w:t> </w:t>
      </w:r>
      <w:r>
        <w:rPr/>
        <w:t>combata</w:t>
      </w:r>
      <w:r>
        <w:rPr>
          <w:spacing w:val="-12"/>
        </w:rPr>
        <w:t> </w:t>
      </w:r>
      <w:r>
        <w:rPr/>
        <w:t>y</w:t>
      </w:r>
      <w:r>
        <w:rPr>
          <w:spacing w:val="-10"/>
        </w:rPr>
        <w:t> </w:t>
      </w:r>
      <w:r>
        <w:rPr/>
        <w:t>castigue</w:t>
      </w:r>
      <w:r>
        <w:rPr>
          <w:spacing w:val="-12"/>
        </w:rPr>
        <w:t> </w:t>
      </w:r>
      <w:r>
        <w:rPr/>
        <w:t>[…]</w:t>
      </w:r>
      <w:r>
        <w:rPr>
          <w:spacing w:val="-9"/>
        </w:rPr>
        <w:t> </w:t>
      </w:r>
      <w:r>
        <w:rPr/>
        <w:t>la</w:t>
      </w:r>
      <w:r>
        <w:rPr>
          <w:spacing w:val="-12"/>
        </w:rPr>
        <w:t> </w:t>
      </w:r>
      <w:r>
        <w:rPr/>
        <w:t>corrupción”</w:t>
      </w:r>
      <w:r>
        <w:rPr>
          <w:spacing w:val="-10"/>
        </w:rPr>
        <w:t> </w:t>
      </w:r>
      <w:r>
        <w:rPr/>
        <w:t>no</w:t>
      </w:r>
      <w:r>
        <w:rPr>
          <w:spacing w:val="-12"/>
        </w:rPr>
        <w:t> </w:t>
      </w:r>
      <w:r>
        <w:rPr/>
        <w:t>formó</w:t>
      </w:r>
      <w:r>
        <w:rPr>
          <w:spacing w:val="-8"/>
        </w:rPr>
        <w:t> </w:t>
      </w:r>
      <w:r>
        <w:rPr/>
        <w:t>parte de la misión y visión de la</w:t>
      </w:r>
      <w:r>
        <w:rPr>
          <w:spacing w:val="-15"/>
        </w:rPr>
        <w:t> </w:t>
      </w:r>
      <w:r>
        <w:rPr/>
        <w:t>SFP.</w:t>
      </w:r>
    </w:p>
    <w:p>
      <w:pPr>
        <w:pStyle w:val="BodyText"/>
        <w:spacing w:line="357" w:lineRule="auto" w:before="6"/>
        <w:ind w:left="160" w:right="178" w:firstLine="427"/>
        <w:jc w:val="both"/>
        <w:rPr>
          <w:i/>
        </w:rPr>
      </w:pPr>
      <w:r>
        <w:rPr/>
        <w:t>En 2001 se llevó a cabo el primer convenio de cooperación entre ambas instituciones y en 2006 establecieron criterios de coordinación en materia de control  interno.  Para  2007  ambas  instituciones  realizaron  el  </w:t>
      </w:r>
      <w:r>
        <w:rPr>
          <w:i/>
          <w:color w:val="0000FF"/>
          <w:u w:val="single" w:color="0000FF"/>
        </w:rPr>
        <w:t>Convenio    de</w:t>
      </w:r>
    </w:p>
    <w:p>
      <w:pPr>
        <w:spacing w:after="0" w:line="357" w:lineRule="auto"/>
        <w:jc w:val="both"/>
        <w:sectPr>
          <w:footerReference w:type="default" r:id="rId193"/>
          <w:pgSz w:w="11910" w:h="16840"/>
          <w:pgMar w:footer="998" w:header="0" w:top="1360" w:bottom="1180" w:left="1540" w:right="1520"/>
          <w:pgNumType w:start="133"/>
        </w:sectPr>
      </w:pPr>
    </w:p>
    <w:p>
      <w:pPr>
        <w:spacing w:line="357" w:lineRule="auto" w:before="55"/>
        <w:ind w:left="120" w:right="86" w:firstLine="0"/>
        <w:jc w:val="left"/>
        <w:rPr>
          <w:sz w:val="16"/>
        </w:rPr>
      </w:pPr>
      <w:r>
        <w:rPr>
          <w:i/>
          <w:color w:val="0000FF"/>
          <w:sz w:val="24"/>
          <w:u w:val="single" w:color="0000FF"/>
        </w:rPr>
        <w:t>Cooperación Técnica e Intercambio de Información que celebran la Secretaría </w:t>
      </w:r>
      <w:r>
        <w:rPr>
          <w:i/>
          <w:color w:val="0000FF"/>
          <w:sz w:val="24"/>
          <w:u w:val="single" w:color="0000FF"/>
        </w:rPr>
        <w:t>de la Función Pública y la Auditoría Superior de la Federación</w:t>
      </w:r>
      <w:r>
        <w:rPr>
          <w:sz w:val="24"/>
        </w:rPr>
        <w:t>.</w:t>
      </w:r>
      <w:r>
        <w:rPr>
          <w:position w:val="8"/>
          <w:sz w:val="16"/>
        </w:rPr>
        <w:t>132</w:t>
      </w:r>
    </w:p>
    <w:p>
      <w:pPr>
        <w:pStyle w:val="BodyText"/>
        <w:rPr>
          <w:sz w:val="20"/>
        </w:rPr>
      </w:pPr>
    </w:p>
    <w:p>
      <w:pPr>
        <w:pStyle w:val="BodyText"/>
        <w:spacing w:line="360" w:lineRule="auto" w:before="190"/>
        <w:ind w:left="120" w:right="103" w:firstLine="427"/>
        <w:jc w:val="both"/>
      </w:pPr>
      <w:r>
        <w:rPr/>
        <w:t>En el documento se reconoce el objetivo común de impulsar la cultura de la rendición de cuentas y el establecimiento de mecanismos para abatir la corrupción y también manifiesta la intención de no duplicar los esfuerzos. En el convenio se establecieron las actividades siguientes:</w:t>
      </w:r>
    </w:p>
    <w:p>
      <w:pPr>
        <w:pStyle w:val="BodyText"/>
        <w:spacing w:before="10"/>
        <w:rPr>
          <w:sz w:val="35"/>
        </w:rPr>
      </w:pPr>
    </w:p>
    <w:p>
      <w:pPr>
        <w:pStyle w:val="ListParagraph"/>
        <w:numPr>
          <w:ilvl w:val="0"/>
          <w:numId w:val="74"/>
        </w:numPr>
        <w:tabs>
          <w:tab w:pos="829" w:val="left" w:leader="none"/>
        </w:tabs>
        <w:spacing w:line="240" w:lineRule="auto" w:before="0" w:after="0"/>
        <w:ind w:left="829" w:right="0" w:hanging="281"/>
        <w:jc w:val="left"/>
        <w:rPr>
          <w:sz w:val="16"/>
        </w:rPr>
      </w:pPr>
      <w:r>
        <w:rPr>
          <w:sz w:val="24"/>
        </w:rPr>
        <w:t>Acciones</w:t>
      </w:r>
      <w:r>
        <w:rPr>
          <w:spacing w:val="-11"/>
          <w:sz w:val="24"/>
        </w:rPr>
        <w:t> </w:t>
      </w:r>
      <w:r>
        <w:rPr>
          <w:sz w:val="24"/>
        </w:rPr>
        <w:t>promovidas:</w:t>
      </w:r>
      <w:r>
        <w:rPr>
          <w:position w:val="8"/>
          <w:sz w:val="16"/>
        </w:rPr>
        <w:t>133</w:t>
      </w:r>
    </w:p>
    <w:p>
      <w:pPr>
        <w:pStyle w:val="ListParagraph"/>
        <w:numPr>
          <w:ilvl w:val="1"/>
          <w:numId w:val="74"/>
        </w:numPr>
        <w:tabs>
          <w:tab w:pos="1397" w:val="left" w:leader="none"/>
        </w:tabs>
        <w:spacing w:line="357" w:lineRule="auto" w:before="140" w:after="0"/>
        <w:ind w:left="1397" w:right="100" w:hanging="568"/>
        <w:jc w:val="both"/>
        <w:rPr>
          <w:sz w:val="16"/>
        </w:rPr>
      </w:pPr>
      <w:r>
        <w:rPr>
          <w:sz w:val="24"/>
        </w:rPr>
        <w:t>La Promoción de Intervención de la Instancia de Control (PIIC), acción mediante la cual la ASF solicita al Órgano Interno de Control del</w:t>
      </w:r>
      <w:r>
        <w:rPr>
          <w:spacing w:val="-14"/>
          <w:sz w:val="24"/>
        </w:rPr>
        <w:t> </w:t>
      </w:r>
      <w:r>
        <w:rPr>
          <w:sz w:val="24"/>
        </w:rPr>
        <w:t>sujeto</w:t>
      </w:r>
      <w:r>
        <w:rPr>
          <w:spacing w:val="-15"/>
          <w:sz w:val="24"/>
        </w:rPr>
        <w:t> </w:t>
      </w:r>
      <w:r>
        <w:rPr>
          <w:sz w:val="24"/>
        </w:rPr>
        <w:t>auditado,</w:t>
      </w:r>
      <w:r>
        <w:rPr>
          <w:spacing w:val="-12"/>
          <w:sz w:val="24"/>
        </w:rPr>
        <w:t> </w:t>
      </w:r>
      <w:r>
        <w:rPr>
          <w:sz w:val="24"/>
        </w:rPr>
        <w:t>que,</w:t>
      </w:r>
      <w:r>
        <w:rPr>
          <w:spacing w:val="-12"/>
          <w:sz w:val="24"/>
        </w:rPr>
        <w:t> </w:t>
      </w:r>
      <w:r>
        <w:rPr>
          <w:sz w:val="24"/>
        </w:rPr>
        <w:t>en</w:t>
      </w:r>
      <w:r>
        <w:rPr>
          <w:spacing w:val="-15"/>
          <w:sz w:val="24"/>
        </w:rPr>
        <w:t> </w:t>
      </w:r>
      <w:r>
        <w:rPr>
          <w:sz w:val="24"/>
        </w:rPr>
        <w:t>el</w:t>
      </w:r>
      <w:r>
        <w:rPr>
          <w:spacing w:val="-14"/>
          <w:sz w:val="24"/>
        </w:rPr>
        <w:t> </w:t>
      </w:r>
      <w:r>
        <w:rPr>
          <w:sz w:val="24"/>
        </w:rPr>
        <w:t>ámbito</w:t>
      </w:r>
      <w:r>
        <w:rPr>
          <w:spacing w:val="-11"/>
          <w:sz w:val="24"/>
        </w:rPr>
        <w:t> </w:t>
      </w:r>
      <w:r>
        <w:rPr>
          <w:sz w:val="24"/>
        </w:rPr>
        <w:t>de</w:t>
      </w:r>
      <w:r>
        <w:rPr>
          <w:spacing w:val="-15"/>
          <w:sz w:val="24"/>
        </w:rPr>
        <w:t> </w:t>
      </w:r>
      <w:r>
        <w:rPr>
          <w:sz w:val="24"/>
        </w:rPr>
        <w:t>sus</w:t>
      </w:r>
      <w:r>
        <w:rPr>
          <w:spacing w:val="-10"/>
          <w:sz w:val="24"/>
        </w:rPr>
        <w:t> </w:t>
      </w:r>
      <w:r>
        <w:rPr>
          <w:sz w:val="24"/>
        </w:rPr>
        <w:t>atribuciones,</w:t>
      </w:r>
      <w:r>
        <w:rPr>
          <w:spacing w:val="-12"/>
          <w:sz w:val="24"/>
        </w:rPr>
        <w:t> </w:t>
      </w:r>
      <w:r>
        <w:rPr>
          <w:sz w:val="24"/>
        </w:rPr>
        <w:t>realice</w:t>
      </w:r>
      <w:r>
        <w:rPr>
          <w:spacing w:val="-15"/>
          <w:sz w:val="24"/>
        </w:rPr>
        <w:t> </w:t>
      </w:r>
      <w:r>
        <w:rPr>
          <w:sz w:val="24"/>
        </w:rPr>
        <w:t>las investigaciones</w:t>
      </w:r>
      <w:r>
        <w:rPr>
          <w:spacing w:val="-14"/>
          <w:sz w:val="24"/>
        </w:rPr>
        <w:t> </w:t>
      </w:r>
      <w:r>
        <w:rPr>
          <w:sz w:val="24"/>
        </w:rPr>
        <w:t>necesarias.</w:t>
      </w:r>
      <w:r>
        <w:rPr>
          <w:position w:val="8"/>
          <w:sz w:val="16"/>
        </w:rPr>
        <w:t>134</w:t>
      </w:r>
    </w:p>
    <w:p>
      <w:pPr>
        <w:pStyle w:val="ListParagraph"/>
        <w:numPr>
          <w:ilvl w:val="1"/>
          <w:numId w:val="74"/>
        </w:numPr>
        <w:tabs>
          <w:tab w:pos="1397" w:val="left" w:leader="none"/>
        </w:tabs>
        <w:spacing w:line="357" w:lineRule="auto" w:before="5" w:after="0"/>
        <w:ind w:left="1397" w:right="104" w:hanging="568"/>
        <w:jc w:val="both"/>
        <w:rPr>
          <w:sz w:val="24"/>
        </w:rPr>
      </w:pPr>
      <w:r>
        <w:rPr>
          <w:sz w:val="24"/>
        </w:rPr>
        <w:t>La Promoción del Finca miento de las Responsabilidades Administrativas Sancionatorias</w:t>
      </w:r>
      <w:r>
        <w:rPr>
          <w:spacing w:val="-20"/>
          <w:sz w:val="24"/>
        </w:rPr>
        <w:t> </w:t>
      </w:r>
      <w:r>
        <w:rPr>
          <w:sz w:val="24"/>
        </w:rPr>
        <w:t>(PRAS).</w:t>
      </w:r>
    </w:p>
    <w:p>
      <w:pPr>
        <w:pStyle w:val="ListParagraph"/>
        <w:numPr>
          <w:ilvl w:val="0"/>
          <w:numId w:val="74"/>
        </w:numPr>
        <w:tabs>
          <w:tab w:pos="829" w:val="left" w:leader="none"/>
        </w:tabs>
        <w:spacing w:line="360" w:lineRule="auto" w:before="8" w:after="0"/>
        <w:ind w:left="829" w:right="107" w:hanging="281"/>
        <w:jc w:val="left"/>
        <w:rPr>
          <w:sz w:val="24"/>
        </w:rPr>
      </w:pPr>
      <w:r>
        <w:rPr>
          <w:sz w:val="24"/>
        </w:rPr>
        <w:t>Dar a conocer los daños o perjuicios (o ambos) económicos al erario mediante el Pliego de</w:t>
      </w:r>
      <w:r>
        <w:rPr>
          <w:spacing w:val="-22"/>
          <w:sz w:val="24"/>
        </w:rPr>
        <w:t> </w:t>
      </w:r>
      <w:r>
        <w:rPr>
          <w:sz w:val="24"/>
        </w:rPr>
        <w:t>Observaciones.</w:t>
      </w:r>
    </w:p>
    <w:p>
      <w:pPr>
        <w:pStyle w:val="ListParagraph"/>
        <w:numPr>
          <w:ilvl w:val="0"/>
          <w:numId w:val="74"/>
        </w:numPr>
        <w:tabs>
          <w:tab w:pos="829" w:val="left" w:leader="none"/>
        </w:tabs>
        <w:spacing w:line="240" w:lineRule="auto" w:before="6" w:after="0"/>
        <w:ind w:left="829" w:right="0" w:hanging="281"/>
        <w:jc w:val="left"/>
        <w:rPr>
          <w:sz w:val="24"/>
        </w:rPr>
      </w:pPr>
      <w:r>
        <w:rPr>
          <w:sz w:val="24"/>
        </w:rPr>
        <w:t>Colaborar en las denuncias</w:t>
      </w:r>
      <w:r>
        <w:rPr>
          <w:spacing w:val="-21"/>
          <w:sz w:val="24"/>
        </w:rPr>
        <w:t> </w:t>
      </w:r>
      <w:r>
        <w:rPr>
          <w:sz w:val="24"/>
        </w:rPr>
        <w:t>penales.</w:t>
      </w:r>
    </w:p>
    <w:p>
      <w:pPr>
        <w:pStyle w:val="ListParagraph"/>
        <w:numPr>
          <w:ilvl w:val="0"/>
          <w:numId w:val="74"/>
        </w:numPr>
        <w:tabs>
          <w:tab w:pos="829" w:val="left" w:leader="none"/>
        </w:tabs>
        <w:spacing w:line="362" w:lineRule="auto" w:before="136" w:after="0"/>
        <w:ind w:left="829" w:right="109" w:hanging="281"/>
        <w:jc w:val="left"/>
        <w:rPr>
          <w:sz w:val="24"/>
        </w:rPr>
      </w:pPr>
      <w:r>
        <w:rPr>
          <w:sz w:val="24"/>
        </w:rPr>
        <w:t>Trabajar de forma conjunta en el intercambio de información, excepto aquella clasificada como reservada, de acuerdo con la</w:t>
      </w:r>
      <w:r>
        <w:rPr>
          <w:spacing w:val="-26"/>
          <w:sz w:val="24"/>
        </w:rPr>
        <w:t> </w:t>
      </w:r>
      <w:r>
        <w:rPr>
          <w:sz w:val="24"/>
        </w:rPr>
        <w:t>LFTAI.</w:t>
      </w:r>
    </w:p>
    <w:p>
      <w:pPr>
        <w:pStyle w:val="BodyText"/>
      </w:pPr>
    </w:p>
    <w:p>
      <w:pPr>
        <w:pStyle w:val="BodyText"/>
        <w:spacing w:line="360" w:lineRule="auto" w:before="139"/>
        <w:ind w:left="120" w:right="105" w:firstLine="427"/>
        <w:jc w:val="both"/>
      </w:pPr>
      <w:r>
        <w:rPr/>
        <w:t>Al respecto, se puede mencionar que, aunque el convenio ha facilitado los trabajos de revisión, la labor de la SFP y la ASF, el seguimiento de las PIIC y PRAS que emite la ASF, están sujetas a las investigaciones que realicen los órganos internos de control del sujeto auditado, y tanto la SFP como cada Órgano  Interno  de  Control  pertenecen  al  mismo  poder  (Ejecutivo Federal),</w:t>
      </w:r>
    </w:p>
    <w:p>
      <w:pPr>
        <w:pStyle w:val="BodyText"/>
        <w:rPr>
          <w:sz w:val="20"/>
        </w:rPr>
      </w:pPr>
    </w:p>
    <w:p>
      <w:pPr>
        <w:pStyle w:val="BodyText"/>
        <w:rPr>
          <w:sz w:val="20"/>
        </w:rPr>
      </w:pPr>
    </w:p>
    <w:p>
      <w:pPr>
        <w:pStyle w:val="BodyText"/>
        <w:spacing w:before="3"/>
        <w:rPr>
          <w:sz w:val="21"/>
        </w:rPr>
      </w:pPr>
      <w:r>
        <w:rPr/>
        <w:pict>
          <v:line style="position:absolute;mso-position-horizontal-relative:page;mso-position-vertical-relative:paragraph;z-index:9856;mso-wrap-distance-left:0;mso-wrap-distance-right:0" from="85.025002pt,14.585866pt" to="229.075002pt,14.585866pt" stroked="true" strokeweight=".79999pt" strokecolor="#000000">
            <w10:wrap type="topAndBottom"/>
          </v:line>
        </w:pict>
      </w:r>
    </w:p>
    <w:p>
      <w:pPr>
        <w:spacing w:line="247" w:lineRule="auto" w:before="59"/>
        <w:ind w:left="120" w:right="86" w:firstLine="0"/>
        <w:jc w:val="left"/>
        <w:rPr>
          <w:sz w:val="16"/>
        </w:rPr>
      </w:pPr>
      <w:r>
        <w:rPr>
          <w:rFonts w:ascii="Times New Roman"/>
          <w:position w:val="7"/>
          <w:sz w:val="13"/>
        </w:rPr>
        <w:t>132</w:t>
      </w:r>
      <w:r>
        <w:rPr>
          <w:sz w:val="16"/>
        </w:rPr>
        <w:t>Disponible en:</w:t>
      </w:r>
      <w:r>
        <w:rPr>
          <w:color w:val="0000FF"/>
          <w:sz w:val="16"/>
          <w:u w:val="single" w:color="0000FF"/>
        </w:rPr>
        <w:t>http://portal.funcionpublica.gob.mx:8080/wb3/work/sites/SFP/resources/LocalContent/1753/1/asf_sfp%20270307.pdf</w:t>
      </w:r>
      <w:r>
        <w:rPr>
          <w:sz w:val="16"/>
        </w:rPr>
        <w:t>[ Fecha de consulta: 25 de septiembre, 2015]</w:t>
      </w:r>
    </w:p>
    <w:p>
      <w:pPr>
        <w:spacing w:line="244" w:lineRule="auto" w:before="0"/>
        <w:ind w:left="120" w:right="99" w:firstLine="0"/>
        <w:jc w:val="both"/>
        <w:rPr>
          <w:sz w:val="16"/>
        </w:rPr>
      </w:pPr>
      <w:r>
        <w:rPr>
          <w:rFonts w:ascii="Calibri" w:hAnsi="Calibri"/>
          <w:position w:val="8"/>
          <w:sz w:val="14"/>
        </w:rPr>
        <w:t>133</w:t>
      </w:r>
      <w:r>
        <w:rPr>
          <w:sz w:val="16"/>
        </w:rPr>
        <w:t>La</w:t>
      </w:r>
      <w:r>
        <w:rPr>
          <w:spacing w:val="-3"/>
          <w:sz w:val="16"/>
        </w:rPr>
        <w:t> </w:t>
      </w:r>
      <w:r>
        <w:rPr>
          <w:sz w:val="16"/>
        </w:rPr>
        <w:t>ASF</w:t>
      </w:r>
      <w:r>
        <w:rPr>
          <w:spacing w:val="-4"/>
          <w:sz w:val="16"/>
        </w:rPr>
        <w:t> </w:t>
      </w:r>
      <w:r>
        <w:rPr>
          <w:sz w:val="16"/>
        </w:rPr>
        <w:t>denomina</w:t>
      </w:r>
      <w:r>
        <w:rPr>
          <w:spacing w:val="-3"/>
          <w:sz w:val="16"/>
        </w:rPr>
        <w:t> </w:t>
      </w:r>
      <w:r>
        <w:rPr>
          <w:sz w:val="16"/>
        </w:rPr>
        <w:t>como</w:t>
      </w:r>
      <w:r>
        <w:rPr>
          <w:spacing w:val="-3"/>
          <w:sz w:val="16"/>
        </w:rPr>
        <w:t> </w:t>
      </w:r>
      <w:r>
        <w:rPr>
          <w:sz w:val="16"/>
        </w:rPr>
        <w:t>acción</w:t>
      </w:r>
      <w:r>
        <w:rPr>
          <w:spacing w:val="-4"/>
          <w:sz w:val="16"/>
        </w:rPr>
        <w:t> </w:t>
      </w:r>
      <w:r>
        <w:rPr>
          <w:sz w:val="16"/>
        </w:rPr>
        <w:t>al</w:t>
      </w:r>
      <w:r>
        <w:rPr>
          <w:spacing w:val="-3"/>
          <w:sz w:val="16"/>
        </w:rPr>
        <w:t> </w:t>
      </w:r>
      <w:r>
        <w:rPr>
          <w:sz w:val="16"/>
        </w:rPr>
        <w:t>instrumento</w:t>
      </w:r>
      <w:r>
        <w:rPr>
          <w:spacing w:val="-4"/>
          <w:sz w:val="16"/>
        </w:rPr>
        <w:t> </w:t>
      </w:r>
      <w:r>
        <w:rPr>
          <w:sz w:val="16"/>
        </w:rPr>
        <w:t>jurídico</w:t>
      </w:r>
      <w:r>
        <w:rPr>
          <w:spacing w:val="-3"/>
          <w:sz w:val="16"/>
        </w:rPr>
        <w:t> </w:t>
      </w:r>
      <w:r>
        <w:rPr>
          <w:sz w:val="16"/>
        </w:rPr>
        <w:t>que</w:t>
      </w:r>
      <w:r>
        <w:rPr>
          <w:spacing w:val="-3"/>
          <w:sz w:val="16"/>
        </w:rPr>
        <w:t> </w:t>
      </w:r>
      <w:r>
        <w:rPr>
          <w:sz w:val="16"/>
        </w:rPr>
        <w:t>la</w:t>
      </w:r>
      <w:r>
        <w:rPr>
          <w:spacing w:val="-3"/>
          <w:sz w:val="16"/>
        </w:rPr>
        <w:t> </w:t>
      </w:r>
      <w:r>
        <w:rPr>
          <w:sz w:val="16"/>
        </w:rPr>
        <w:t>misma</w:t>
      </w:r>
      <w:r>
        <w:rPr>
          <w:spacing w:val="-3"/>
          <w:sz w:val="16"/>
        </w:rPr>
        <w:t> </w:t>
      </w:r>
      <w:r>
        <w:rPr>
          <w:sz w:val="16"/>
        </w:rPr>
        <w:t>ASF</w:t>
      </w:r>
      <w:r>
        <w:rPr>
          <w:spacing w:val="-4"/>
          <w:sz w:val="16"/>
        </w:rPr>
        <w:t> </w:t>
      </w:r>
      <w:r>
        <w:rPr>
          <w:sz w:val="16"/>
        </w:rPr>
        <w:t>formula,</w:t>
      </w:r>
      <w:r>
        <w:rPr>
          <w:spacing w:val="2"/>
          <w:sz w:val="16"/>
        </w:rPr>
        <w:t> </w:t>
      </w:r>
      <w:r>
        <w:rPr>
          <w:sz w:val="16"/>
        </w:rPr>
        <w:t>promueve,</w:t>
      </w:r>
      <w:r>
        <w:rPr>
          <w:spacing w:val="-3"/>
          <w:sz w:val="16"/>
        </w:rPr>
        <w:t> </w:t>
      </w:r>
      <w:r>
        <w:rPr>
          <w:sz w:val="16"/>
        </w:rPr>
        <w:t>presenta</w:t>
      </w:r>
      <w:r>
        <w:rPr>
          <w:spacing w:val="-4"/>
          <w:sz w:val="16"/>
        </w:rPr>
        <w:t> </w:t>
      </w:r>
      <w:r>
        <w:rPr>
          <w:sz w:val="16"/>
        </w:rPr>
        <w:t>o</w:t>
      </w:r>
      <w:r>
        <w:rPr>
          <w:spacing w:val="-4"/>
          <w:sz w:val="16"/>
        </w:rPr>
        <w:t> </w:t>
      </w:r>
      <w:r>
        <w:rPr>
          <w:sz w:val="16"/>
        </w:rPr>
        <w:t>finca</w:t>
      </w:r>
      <w:r>
        <w:rPr>
          <w:spacing w:val="-3"/>
          <w:sz w:val="16"/>
        </w:rPr>
        <w:t> </w:t>
      </w:r>
      <w:r>
        <w:rPr>
          <w:sz w:val="16"/>
        </w:rPr>
        <w:t>ante</w:t>
      </w:r>
      <w:r>
        <w:rPr>
          <w:spacing w:val="-1"/>
          <w:sz w:val="16"/>
        </w:rPr>
        <w:t> </w:t>
      </w:r>
      <w:r>
        <w:rPr>
          <w:sz w:val="16"/>
        </w:rPr>
        <w:t>la entidad fiscalizada o autoridad competente cuando los resultados de las auditorías presentan observaciones. Este término se refiere a lo dispuesto en el artículo 13 de la LFRCF e incluye recomendaciones, recomendaciones al desempeño,</w:t>
      </w:r>
      <w:r>
        <w:rPr>
          <w:spacing w:val="-4"/>
          <w:sz w:val="16"/>
        </w:rPr>
        <w:t> </w:t>
      </w:r>
      <w:r>
        <w:rPr>
          <w:sz w:val="16"/>
        </w:rPr>
        <w:t>solicitudes</w:t>
      </w:r>
      <w:r>
        <w:rPr>
          <w:spacing w:val="-12"/>
          <w:sz w:val="16"/>
        </w:rPr>
        <w:t> </w:t>
      </w:r>
      <w:r>
        <w:rPr>
          <w:sz w:val="16"/>
        </w:rPr>
        <w:t>de</w:t>
      </w:r>
      <w:r>
        <w:rPr>
          <w:spacing w:val="-4"/>
          <w:sz w:val="16"/>
        </w:rPr>
        <w:t> </w:t>
      </w:r>
      <w:r>
        <w:rPr>
          <w:sz w:val="16"/>
        </w:rPr>
        <w:t>aclaración,</w:t>
      </w:r>
      <w:r>
        <w:rPr>
          <w:spacing w:val="-8"/>
          <w:sz w:val="16"/>
        </w:rPr>
        <w:t> </w:t>
      </w:r>
      <w:r>
        <w:rPr>
          <w:sz w:val="16"/>
        </w:rPr>
        <w:t>pliegos</w:t>
      </w:r>
      <w:r>
        <w:rPr>
          <w:spacing w:val="-12"/>
          <w:sz w:val="16"/>
        </w:rPr>
        <w:t> </w:t>
      </w:r>
      <w:r>
        <w:rPr>
          <w:sz w:val="16"/>
        </w:rPr>
        <w:t>de</w:t>
      </w:r>
      <w:r>
        <w:rPr>
          <w:spacing w:val="-9"/>
          <w:sz w:val="16"/>
        </w:rPr>
        <w:t> </w:t>
      </w:r>
      <w:r>
        <w:rPr>
          <w:sz w:val="16"/>
        </w:rPr>
        <w:t>observaciones,</w:t>
      </w:r>
      <w:r>
        <w:rPr>
          <w:spacing w:val="-8"/>
          <w:sz w:val="16"/>
        </w:rPr>
        <w:t> </w:t>
      </w:r>
      <w:r>
        <w:rPr>
          <w:sz w:val="16"/>
        </w:rPr>
        <w:t>finca</w:t>
      </w:r>
      <w:r>
        <w:rPr>
          <w:spacing w:val="-9"/>
          <w:sz w:val="16"/>
        </w:rPr>
        <w:t> </w:t>
      </w:r>
      <w:r>
        <w:rPr>
          <w:sz w:val="16"/>
        </w:rPr>
        <w:t>miento</w:t>
      </w:r>
      <w:r>
        <w:rPr>
          <w:spacing w:val="-5"/>
          <w:sz w:val="16"/>
        </w:rPr>
        <w:t> </w:t>
      </w:r>
      <w:r>
        <w:rPr>
          <w:sz w:val="16"/>
        </w:rPr>
        <w:t>de</w:t>
      </w:r>
      <w:r>
        <w:rPr>
          <w:spacing w:val="-9"/>
          <w:sz w:val="16"/>
        </w:rPr>
        <w:t> </w:t>
      </w:r>
      <w:r>
        <w:rPr>
          <w:sz w:val="16"/>
        </w:rPr>
        <w:t>responsabilidad</w:t>
      </w:r>
      <w:r>
        <w:rPr>
          <w:spacing w:val="-9"/>
          <w:sz w:val="16"/>
        </w:rPr>
        <w:t> </w:t>
      </w:r>
      <w:r>
        <w:rPr>
          <w:sz w:val="16"/>
        </w:rPr>
        <w:t>resarcitoria,</w:t>
      </w:r>
      <w:r>
        <w:rPr>
          <w:spacing w:val="-5"/>
          <w:sz w:val="16"/>
        </w:rPr>
        <w:t> </w:t>
      </w:r>
      <w:r>
        <w:rPr>
          <w:sz w:val="16"/>
        </w:rPr>
        <w:t>denuncias de hechos y de juicio político. Las acciones promovidas son las promociones de intervención de la instancia de control, promociones del ejercicio de la facultad de comprobación fiscal y promociones de responsabilidad administrativa sancionatoria.</w:t>
      </w:r>
    </w:p>
    <w:p>
      <w:pPr>
        <w:spacing w:line="192" w:lineRule="exact" w:before="29"/>
        <w:ind w:left="120" w:right="86" w:firstLine="0"/>
        <w:jc w:val="left"/>
        <w:rPr>
          <w:sz w:val="16"/>
        </w:rPr>
      </w:pPr>
      <w:r>
        <w:rPr>
          <w:rFonts w:ascii="Times New Roman" w:hAnsi="Times New Roman"/>
          <w:position w:val="7"/>
          <w:sz w:val="13"/>
        </w:rPr>
        <w:t>134</w:t>
      </w:r>
      <w:r>
        <w:rPr>
          <w:sz w:val="16"/>
        </w:rPr>
        <w:t>A partir del Informe del Resultado de Revisión y Fiscalización Superior de la Cuenta Pública 2007, la ASF no reporta la promoción de esta acción.</w:t>
      </w:r>
    </w:p>
    <w:p>
      <w:pPr>
        <w:spacing w:after="0" w:line="192" w:lineRule="exact"/>
        <w:jc w:val="left"/>
        <w:rPr>
          <w:sz w:val="16"/>
        </w:rPr>
        <w:sectPr>
          <w:pgSz w:w="11910" w:h="16840"/>
          <w:pgMar w:header="0" w:footer="998" w:top="1340" w:bottom="1180" w:left="1580" w:right="1600"/>
        </w:sectPr>
      </w:pPr>
    </w:p>
    <w:p>
      <w:pPr>
        <w:pStyle w:val="BodyText"/>
        <w:spacing w:line="362" w:lineRule="auto" w:before="39"/>
        <w:ind w:left="120" w:right="142"/>
      </w:pPr>
      <w:r>
        <w:rPr/>
        <w:t>resulta ser una limitante del Poder Legislativo para cumplir su función conferida por el Estado.</w:t>
      </w:r>
    </w:p>
    <w:p>
      <w:pPr>
        <w:pStyle w:val="BodyText"/>
        <w:spacing w:line="360" w:lineRule="auto"/>
        <w:ind w:left="120" w:right="108" w:firstLine="427"/>
        <w:jc w:val="both"/>
      </w:pPr>
      <w:r>
        <w:rPr/>
        <w:t>Sin</w:t>
      </w:r>
      <w:r>
        <w:rPr>
          <w:spacing w:val="-12"/>
        </w:rPr>
        <w:t> </w:t>
      </w:r>
      <w:r>
        <w:rPr/>
        <w:t>duda,</w:t>
      </w:r>
      <w:r>
        <w:rPr>
          <w:spacing w:val="-9"/>
        </w:rPr>
        <w:t> </w:t>
      </w:r>
      <w:r>
        <w:rPr/>
        <w:t>la</w:t>
      </w:r>
      <w:r>
        <w:rPr>
          <w:spacing w:val="-12"/>
        </w:rPr>
        <w:t> </w:t>
      </w:r>
      <w:r>
        <w:rPr/>
        <w:t>fiscalización</w:t>
      </w:r>
      <w:r>
        <w:rPr>
          <w:spacing w:val="-12"/>
        </w:rPr>
        <w:t> </w:t>
      </w:r>
      <w:r>
        <w:rPr/>
        <w:t>superior</w:t>
      </w:r>
      <w:r>
        <w:rPr>
          <w:spacing w:val="-10"/>
        </w:rPr>
        <w:t> </w:t>
      </w:r>
      <w:r>
        <w:rPr/>
        <w:t>(entendida</w:t>
      </w:r>
      <w:r>
        <w:rPr>
          <w:spacing w:val="-12"/>
        </w:rPr>
        <w:t> </w:t>
      </w:r>
      <w:r>
        <w:rPr/>
        <w:t>como</w:t>
      </w:r>
      <w:r>
        <w:rPr>
          <w:spacing w:val="-12"/>
        </w:rPr>
        <w:t> </w:t>
      </w:r>
      <w:r>
        <w:rPr/>
        <w:t>el</w:t>
      </w:r>
      <w:r>
        <w:rPr>
          <w:spacing w:val="-11"/>
        </w:rPr>
        <w:t> </w:t>
      </w:r>
      <w:r>
        <w:rPr/>
        <w:t>ejercicio</w:t>
      </w:r>
      <w:r>
        <w:rPr>
          <w:spacing w:val="-12"/>
        </w:rPr>
        <w:t> </w:t>
      </w:r>
      <w:r>
        <w:rPr/>
        <w:t>de</w:t>
      </w:r>
      <w:r>
        <w:rPr>
          <w:spacing w:val="-12"/>
        </w:rPr>
        <w:t> </w:t>
      </w:r>
      <w:r>
        <w:rPr/>
        <w:t>revisión</w:t>
      </w:r>
      <w:r>
        <w:rPr>
          <w:spacing w:val="-12"/>
        </w:rPr>
        <w:t> </w:t>
      </w:r>
      <w:r>
        <w:rPr/>
        <w:t>por parte de la ASF) ha tenido avances importantes, pero la rendición de cuentas en conjunto, al sumar los resultados obtenidos por la SFP, distan mucho de un resultado satisfactorio en el combate a la</w:t>
      </w:r>
      <w:r>
        <w:rPr>
          <w:spacing w:val="-29"/>
        </w:rPr>
        <w:t> </w:t>
      </w:r>
      <w:r>
        <w:rPr/>
        <w:t>corrupción.</w:t>
      </w:r>
    </w:p>
    <w:p>
      <w:pPr>
        <w:pStyle w:val="BodyText"/>
        <w:spacing w:line="360" w:lineRule="auto" w:before="2"/>
        <w:ind w:left="120" w:right="205" w:firstLine="427"/>
        <w:jc w:val="both"/>
      </w:pPr>
      <w:r>
        <w:rPr/>
        <w:t>¿Por</w:t>
      </w:r>
      <w:r>
        <w:rPr>
          <w:spacing w:val="-7"/>
        </w:rPr>
        <w:t> </w:t>
      </w:r>
      <w:r>
        <w:rPr/>
        <w:t>qué</w:t>
      </w:r>
      <w:r>
        <w:rPr>
          <w:spacing w:val="-9"/>
        </w:rPr>
        <w:t> </w:t>
      </w:r>
      <w:r>
        <w:rPr/>
        <w:t>los</w:t>
      </w:r>
      <w:r>
        <w:rPr>
          <w:spacing w:val="-7"/>
        </w:rPr>
        <w:t> </w:t>
      </w:r>
      <w:r>
        <w:rPr/>
        <w:t>índices</w:t>
      </w:r>
      <w:r>
        <w:rPr>
          <w:spacing w:val="-7"/>
        </w:rPr>
        <w:t> </w:t>
      </w:r>
      <w:r>
        <w:rPr/>
        <w:t>de</w:t>
      </w:r>
      <w:r>
        <w:rPr>
          <w:spacing w:val="-9"/>
        </w:rPr>
        <w:t> </w:t>
      </w:r>
      <w:r>
        <w:rPr/>
        <w:t>corrupción</w:t>
      </w:r>
      <w:r>
        <w:rPr>
          <w:spacing w:val="-9"/>
        </w:rPr>
        <w:t> </w:t>
      </w:r>
      <w:r>
        <w:rPr/>
        <w:t>en</w:t>
      </w:r>
      <w:r>
        <w:rPr>
          <w:spacing w:val="-9"/>
        </w:rPr>
        <w:t> </w:t>
      </w:r>
      <w:r>
        <w:rPr/>
        <w:t>México</w:t>
      </w:r>
      <w:r>
        <w:rPr>
          <w:spacing w:val="-9"/>
        </w:rPr>
        <w:t> </w:t>
      </w:r>
      <w:r>
        <w:rPr/>
        <w:t>han</w:t>
      </w:r>
      <w:r>
        <w:rPr>
          <w:spacing w:val="-9"/>
        </w:rPr>
        <w:t> </w:t>
      </w:r>
      <w:r>
        <w:rPr/>
        <w:t>aumentado</w:t>
      </w:r>
      <w:r>
        <w:rPr>
          <w:spacing w:val="-9"/>
        </w:rPr>
        <w:t> </w:t>
      </w:r>
      <w:r>
        <w:rPr/>
        <w:t>si</w:t>
      </w:r>
      <w:r>
        <w:rPr>
          <w:spacing w:val="-8"/>
        </w:rPr>
        <w:t> </w:t>
      </w:r>
      <w:r>
        <w:rPr/>
        <w:t>la</w:t>
      </w:r>
      <w:r>
        <w:rPr>
          <w:spacing w:val="-9"/>
        </w:rPr>
        <w:t> </w:t>
      </w:r>
      <w:r>
        <w:rPr/>
        <w:t>rendición de cuentas se lleva a cabo de acuerdo con el marco legal del Estado para las instituciones?</w:t>
      </w:r>
    </w:p>
    <w:p>
      <w:pPr>
        <w:pStyle w:val="BodyText"/>
        <w:spacing w:line="360" w:lineRule="auto" w:before="6"/>
        <w:ind w:left="120" w:right="206" w:firstLine="427"/>
        <w:jc w:val="both"/>
      </w:pPr>
      <w:r>
        <w:rPr/>
        <w:t>Por la idiosincrasia que se heredó de los siglos XIX y XX, la escasa cultura política, la corrupción sofisticada que no es contrarrestada coordinadamente entre</w:t>
      </w:r>
      <w:r>
        <w:rPr>
          <w:spacing w:val="-12"/>
        </w:rPr>
        <w:t> </w:t>
      </w:r>
      <w:r>
        <w:rPr/>
        <w:t>las</w:t>
      </w:r>
      <w:r>
        <w:rPr>
          <w:spacing w:val="-10"/>
        </w:rPr>
        <w:t> </w:t>
      </w:r>
      <w:r>
        <w:rPr/>
        <w:t>instituciones</w:t>
      </w:r>
      <w:r>
        <w:rPr>
          <w:spacing w:val="-10"/>
        </w:rPr>
        <w:t> </w:t>
      </w:r>
      <w:r>
        <w:rPr/>
        <w:t>del</w:t>
      </w:r>
      <w:r>
        <w:rPr>
          <w:spacing w:val="-9"/>
        </w:rPr>
        <w:t> </w:t>
      </w:r>
      <w:r>
        <w:rPr/>
        <w:t>Estado,</w:t>
      </w:r>
      <w:r>
        <w:rPr>
          <w:spacing w:val="-9"/>
        </w:rPr>
        <w:t> </w:t>
      </w:r>
      <w:r>
        <w:rPr/>
        <w:t>el</w:t>
      </w:r>
      <w:r>
        <w:rPr>
          <w:spacing w:val="-8"/>
        </w:rPr>
        <w:t> </w:t>
      </w:r>
      <w:r>
        <w:rPr/>
        <w:t>desequilibrio</w:t>
      </w:r>
      <w:r>
        <w:rPr>
          <w:spacing w:val="-12"/>
        </w:rPr>
        <w:t> </w:t>
      </w:r>
      <w:r>
        <w:rPr/>
        <w:t>de</w:t>
      </w:r>
      <w:r>
        <w:rPr>
          <w:spacing w:val="-8"/>
        </w:rPr>
        <w:t> </w:t>
      </w:r>
      <w:r>
        <w:rPr/>
        <w:t>poderes,</w:t>
      </w:r>
      <w:r>
        <w:rPr>
          <w:spacing w:val="-9"/>
        </w:rPr>
        <w:t> </w:t>
      </w:r>
      <w:r>
        <w:rPr/>
        <w:t>los</w:t>
      </w:r>
      <w:r>
        <w:rPr>
          <w:spacing w:val="-10"/>
        </w:rPr>
        <w:t> </w:t>
      </w:r>
      <w:r>
        <w:rPr/>
        <w:t>intereses</w:t>
      </w:r>
      <w:r>
        <w:rPr>
          <w:spacing w:val="-7"/>
        </w:rPr>
        <w:t> </w:t>
      </w:r>
      <w:r>
        <w:rPr/>
        <w:t>de</w:t>
      </w:r>
      <w:r>
        <w:rPr>
          <w:spacing w:val="-12"/>
        </w:rPr>
        <w:t> </w:t>
      </w:r>
      <w:r>
        <w:rPr/>
        <w:t>la clase política, los grupos de poder que impiden la correcta implementación de las políticas públicas, y el uso de medios de impugnación legales que se han empleado en el Siglo XXI para inhibir la rendición de cuentas, entre</w:t>
      </w:r>
      <w:r>
        <w:rPr>
          <w:spacing w:val="-38"/>
        </w:rPr>
        <w:t> </w:t>
      </w:r>
      <w:r>
        <w:rPr/>
        <w:t>otros.</w:t>
      </w:r>
    </w:p>
    <w:p>
      <w:pPr>
        <w:pStyle w:val="BodyText"/>
        <w:spacing w:line="360" w:lineRule="auto" w:before="5"/>
        <w:ind w:left="120" w:right="198" w:firstLine="427"/>
        <w:jc w:val="both"/>
      </w:pPr>
      <w:r>
        <w:rPr/>
        <w:t>Una paradoja del Siglo XXI entre el discurso de apertura a la rendición de cuentas y su praxis se presentó en materia de transparencia. Aunque el Estado mediante la LFTAI impulsó la transparencia como elemento de la rendición de cuentas, el Poder Ejecutivo interpuso controversias constitucionales</w:t>
      </w:r>
      <w:r>
        <w:rPr>
          <w:position w:val="8"/>
          <w:sz w:val="16"/>
        </w:rPr>
        <w:t>135 </w:t>
      </w:r>
      <w:r>
        <w:rPr/>
        <w:t>para evitar ser fiscalizado en algunas dependencias, fondos y programas.</w:t>
      </w:r>
    </w:p>
    <w:p>
      <w:pPr>
        <w:pStyle w:val="BodyText"/>
        <w:spacing w:line="362" w:lineRule="auto" w:before="2"/>
        <w:ind w:left="120" w:right="203" w:firstLine="427"/>
        <w:jc w:val="both"/>
      </w:pPr>
      <w:r>
        <w:rPr/>
        <w:t>En la Conferencia Nacional de Gobernadores de 2003</w:t>
      </w:r>
      <w:r>
        <w:rPr>
          <w:position w:val="8"/>
          <w:sz w:val="14"/>
        </w:rPr>
        <w:t>136 </w:t>
      </w:r>
      <w:r>
        <w:rPr/>
        <w:t>los asistentes solicitaron a la ASF suspender las auditorías al Ramo 33</w:t>
      </w:r>
      <w:r>
        <w:rPr>
          <w:position w:val="8"/>
          <w:sz w:val="14"/>
        </w:rPr>
        <w:t>137</w:t>
      </w:r>
      <w:r>
        <w:rPr>
          <w:rFonts w:ascii="Calibri" w:hAnsi="Calibri"/>
          <w:position w:val="8"/>
          <w:sz w:val="14"/>
        </w:rPr>
        <w:t>. </w:t>
      </w:r>
      <w:r>
        <w:rPr/>
        <w:t>hasta que no fuera resuelta la controversia87/2003 sobre la fiscalización de recursos federales destinados a Estados y municipios. Para su resolución, la SCJN consideró las reformas constitucionales  de 1999, la Ley de  Coordinación Fiscal (LCF)     y la</w:t>
      </w: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9880;mso-wrap-distance-left:0;mso-wrap-distance-right:0" from="85.025002pt,14.441803pt" to="229.075002pt,14.441803pt" stroked="true" strokeweight=".79999pt" strokecolor="#000000">
            <w10:wrap type="topAndBottom"/>
          </v:line>
        </w:pict>
      </w:r>
    </w:p>
    <w:p>
      <w:pPr>
        <w:spacing w:line="252" w:lineRule="auto" w:before="69"/>
        <w:ind w:left="120" w:right="202" w:firstLine="0"/>
        <w:jc w:val="both"/>
        <w:rPr>
          <w:sz w:val="16"/>
        </w:rPr>
      </w:pPr>
      <w:r>
        <w:rPr>
          <w:rFonts w:ascii="Calibri" w:hAnsi="Calibri"/>
          <w:position w:val="8"/>
          <w:sz w:val="14"/>
        </w:rPr>
        <w:t>135</w:t>
      </w:r>
      <w:r>
        <w:rPr>
          <w:sz w:val="16"/>
        </w:rPr>
        <w:t>Las reformas constitucionales de diciembre de 1994 se orientaron a otorgar nuevas atribuciones al Poder Judicial de la</w:t>
      </w:r>
      <w:r>
        <w:rPr>
          <w:spacing w:val="-4"/>
          <w:sz w:val="16"/>
        </w:rPr>
        <w:t> </w:t>
      </w:r>
      <w:r>
        <w:rPr>
          <w:sz w:val="16"/>
        </w:rPr>
        <w:t>Federación</w:t>
      </w:r>
      <w:r>
        <w:rPr>
          <w:spacing w:val="-5"/>
          <w:sz w:val="16"/>
        </w:rPr>
        <w:t> </w:t>
      </w:r>
      <w:r>
        <w:rPr>
          <w:sz w:val="16"/>
        </w:rPr>
        <w:t>y</w:t>
      </w:r>
      <w:r>
        <w:rPr>
          <w:spacing w:val="-4"/>
          <w:sz w:val="16"/>
        </w:rPr>
        <w:t> </w:t>
      </w:r>
      <w:r>
        <w:rPr>
          <w:sz w:val="16"/>
        </w:rPr>
        <w:t>se</w:t>
      </w:r>
      <w:r>
        <w:rPr>
          <w:spacing w:val="-3"/>
          <w:sz w:val="16"/>
        </w:rPr>
        <w:t> </w:t>
      </w:r>
      <w:r>
        <w:rPr>
          <w:sz w:val="16"/>
        </w:rPr>
        <w:t>estableció</w:t>
      </w:r>
      <w:r>
        <w:rPr>
          <w:spacing w:val="-1"/>
          <w:sz w:val="16"/>
        </w:rPr>
        <w:t> </w:t>
      </w:r>
      <w:r>
        <w:rPr>
          <w:sz w:val="16"/>
        </w:rPr>
        <w:t>la</w:t>
      </w:r>
      <w:r>
        <w:rPr>
          <w:spacing w:val="-4"/>
          <w:sz w:val="16"/>
        </w:rPr>
        <w:t> </w:t>
      </w:r>
      <w:r>
        <w:rPr>
          <w:sz w:val="16"/>
        </w:rPr>
        <w:t>Controversia</w:t>
      </w:r>
      <w:r>
        <w:rPr>
          <w:spacing w:val="-4"/>
          <w:sz w:val="16"/>
        </w:rPr>
        <w:t> </w:t>
      </w:r>
      <w:r>
        <w:rPr>
          <w:sz w:val="16"/>
        </w:rPr>
        <w:t>Constitucional</w:t>
      </w:r>
      <w:r>
        <w:rPr>
          <w:spacing w:val="-7"/>
          <w:sz w:val="16"/>
        </w:rPr>
        <w:t> </w:t>
      </w:r>
      <w:r>
        <w:rPr>
          <w:sz w:val="16"/>
        </w:rPr>
        <w:t>como</w:t>
      </w:r>
      <w:r>
        <w:rPr>
          <w:spacing w:val="-4"/>
          <w:sz w:val="16"/>
        </w:rPr>
        <w:t> </w:t>
      </w:r>
      <w:r>
        <w:rPr>
          <w:sz w:val="16"/>
        </w:rPr>
        <w:t>una</w:t>
      </w:r>
      <w:r>
        <w:rPr>
          <w:spacing w:val="-1"/>
          <w:sz w:val="16"/>
        </w:rPr>
        <w:t> </w:t>
      </w:r>
      <w:r>
        <w:rPr>
          <w:sz w:val="16"/>
        </w:rPr>
        <w:t>vía</w:t>
      </w:r>
      <w:r>
        <w:rPr>
          <w:spacing w:val="-5"/>
          <w:sz w:val="16"/>
        </w:rPr>
        <w:t> </w:t>
      </w:r>
      <w:r>
        <w:rPr>
          <w:sz w:val="16"/>
        </w:rPr>
        <w:t>para</w:t>
      </w:r>
      <w:r>
        <w:rPr>
          <w:spacing w:val="-1"/>
          <w:sz w:val="16"/>
        </w:rPr>
        <w:t> </w:t>
      </w:r>
      <w:r>
        <w:rPr>
          <w:sz w:val="16"/>
        </w:rPr>
        <w:t>la</w:t>
      </w:r>
      <w:r>
        <w:rPr>
          <w:spacing w:val="-1"/>
          <w:sz w:val="16"/>
        </w:rPr>
        <w:t> </w:t>
      </w:r>
      <w:r>
        <w:rPr>
          <w:sz w:val="16"/>
        </w:rPr>
        <w:t>solución</w:t>
      </w:r>
      <w:r>
        <w:rPr>
          <w:spacing w:val="-5"/>
          <w:sz w:val="16"/>
        </w:rPr>
        <w:t> </w:t>
      </w:r>
      <w:r>
        <w:rPr>
          <w:sz w:val="16"/>
        </w:rPr>
        <w:t>de</w:t>
      </w:r>
      <w:r>
        <w:rPr>
          <w:spacing w:val="-4"/>
          <w:sz w:val="16"/>
        </w:rPr>
        <w:t> </w:t>
      </w:r>
      <w:r>
        <w:rPr>
          <w:sz w:val="16"/>
        </w:rPr>
        <w:t>conflictos</w:t>
      </w:r>
      <w:r>
        <w:rPr>
          <w:spacing w:val="-7"/>
          <w:sz w:val="16"/>
        </w:rPr>
        <w:t> </w:t>
      </w:r>
      <w:r>
        <w:rPr>
          <w:sz w:val="16"/>
        </w:rPr>
        <w:t>mediante</w:t>
      </w:r>
      <w:r>
        <w:rPr>
          <w:spacing w:val="-2"/>
          <w:sz w:val="16"/>
        </w:rPr>
        <w:t> </w:t>
      </w:r>
      <w:r>
        <w:rPr>
          <w:sz w:val="16"/>
        </w:rPr>
        <w:t>la</w:t>
      </w:r>
      <w:r>
        <w:rPr>
          <w:spacing w:val="-4"/>
          <w:sz w:val="16"/>
        </w:rPr>
        <w:t> </w:t>
      </w:r>
      <w:r>
        <w:rPr>
          <w:sz w:val="16"/>
        </w:rPr>
        <w:t>Ley Reglamentaria</w:t>
      </w:r>
      <w:r>
        <w:rPr>
          <w:spacing w:val="-2"/>
          <w:sz w:val="16"/>
        </w:rPr>
        <w:t> </w:t>
      </w:r>
      <w:r>
        <w:rPr>
          <w:sz w:val="16"/>
        </w:rPr>
        <w:t>de</w:t>
      </w:r>
      <w:r>
        <w:rPr>
          <w:spacing w:val="1"/>
          <w:sz w:val="16"/>
        </w:rPr>
        <w:t> </w:t>
      </w:r>
      <w:r>
        <w:rPr>
          <w:sz w:val="16"/>
        </w:rPr>
        <w:t>las</w:t>
      </w:r>
      <w:r>
        <w:rPr>
          <w:spacing w:val="-2"/>
          <w:sz w:val="16"/>
        </w:rPr>
        <w:t> </w:t>
      </w:r>
      <w:r>
        <w:rPr>
          <w:sz w:val="16"/>
        </w:rPr>
        <w:t>Fracciones</w:t>
      </w:r>
      <w:r>
        <w:rPr>
          <w:spacing w:val="-2"/>
          <w:sz w:val="16"/>
        </w:rPr>
        <w:t> </w:t>
      </w:r>
      <w:r>
        <w:rPr>
          <w:sz w:val="16"/>
        </w:rPr>
        <w:t>I</w:t>
      </w:r>
      <w:r>
        <w:rPr>
          <w:spacing w:val="-3"/>
          <w:sz w:val="16"/>
        </w:rPr>
        <w:t> </w:t>
      </w:r>
      <w:r>
        <w:rPr>
          <w:sz w:val="16"/>
        </w:rPr>
        <w:t>y</w:t>
      </w:r>
      <w:r>
        <w:rPr>
          <w:spacing w:val="-2"/>
          <w:sz w:val="16"/>
        </w:rPr>
        <w:t> </w:t>
      </w:r>
      <w:r>
        <w:rPr>
          <w:sz w:val="16"/>
        </w:rPr>
        <w:t>II</w:t>
      </w:r>
      <w:r>
        <w:rPr>
          <w:spacing w:val="-2"/>
          <w:sz w:val="16"/>
        </w:rPr>
        <w:t> </w:t>
      </w:r>
      <w:r>
        <w:rPr>
          <w:sz w:val="16"/>
        </w:rPr>
        <w:t>del</w:t>
      </w:r>
      <w:r>
        <w:rPr>
          <w:spacing w:val="-5"/>
          <w:sz w:val="16"/>
        </w:rPr>
        <w:t> </w:t>
      </w:r>
      <w:r>
        <w:rPr>
          <w:sz w:val="16"/>
        </w:rPr>
        <w:t>artículo</w:t>
      </w:r>
      <w:r>
        <w:rPr>
          <w:spacing w:val="1"/>
          <w:sz w:val="16"/>
        </w:rPr>
        <w:t> </w:t>
      </w:r>
      <w:r>
        <w:rPr>
          <w:sz w:val="16"/>
        </w:rPr>
        <w:t>105</w:t>
      </w:r>
      <w:r>
        <w:rPr>
          <w:spacing w:val="-2"/>
          <w:sz w:val="16"/>
        </w:rPr>
        <w:t> </w:t>
      </w:r>
      <w:r>
        <w:rPr>
          <w:sz w:val="16"/>
        </w:rPr>
        <w:t>de</w:t>
      </w:r>
      <w:r>
        <w:rPr>
          <w:spacing w:val="1"/>
          <w:sz w:val="16"/>
        </w:rPr>
        <w:t> </w:t>
      </w:r>
      <w:r>
        <w:rPr>
          <w:sz w:val="16"/>
        </w:rPr>
        <w:t>la</w:t>
      </w:r>
      <w:r>
        <w:rPr>
          <w:spacing w:val="2"/>
          <w:sz w:val="16"/>
        </w:rPr>
        <w:t> </w:t>
      </w:r>
      <w:r>
        <w:rPr>
          <w:sz w:val="16"/>
        </w:rPr>
        <w:t>CPEUM</w:t>
      </w:r>
      <w:r>
        <w:rPr>
          <w:spacing w:val="-3"/>
          <w:sz w:val="16"/>
        </w:rPr>
        <w:t> </w:t>
      </w:r>
      <w:r>
        <w:rPr>
          <w:sz w:val="16"/>
        </w:rPr>
        <w:t>publicada</w:t>
      </w:r>
      <w:r>
        <w:rPr>
          <w:spacing w:val="-2"/>
          <w:sz w:val="16"/>
        </w:rPr>
        <w:t> </w:t>
      </w:r>
      <w:r>
        <w:rPr>
          <w:sz w:val="16"/>
        </w:rPr>
        <w:t>en</w:t>
      </w:r>
      <w:r>
        <w:rPr>
          <w:spacing w:val="-2"/>
          <w:sz w:val="16"/>
        </w:rPr>
        <w:t> </w:t>
      </w:r>
      <w:r>
        <w:rPr>
          <w:sz w:val="16"/>
        </w:rPr>
        <w:t>el</w:t>
      </w:r>
      <w:r>
        <w:rPr>
          <w:spacing w:val="-5"/>
          <w:sz w:val="16"/>
        </w:rPr>
        <w:t> </w:t>
      </w:r>
      <w:r>
        <w:rPr>
          <w:sz w:val="16"/>
        </w:rPr>
        <w:t>DOF el</w:t>
      </w:r>
      <w:r>
        <w:rPr>
          <w:spacing w:val="-5"/>
          <w:sz w:val="16"/>
        </w:rPr>
        <w:t> </w:t>
      </w:r>
      <w:r>
        <w:rPr>
          <w:sz w:val="16"/>
        </w:rPr>
        <w:t>11</w:t>
      </w:r>
      <w:r>
        <w:rPr>
          <w:spacing w:val="1"/>
          <w:sz w:val="16"/>
        </w:rPr>
        <w:t> </w:t>
      </w:r>
      <w:r>
        <w:rPr>
          <w:sz w:val="16"/>
        </w:rPr>
        <w:t>de</w:t>
      </w:r>
      <w:r>
        <w:rPr>
          <w:spacing w:val="-2"/>
          <w:sz w:val="16"/>
        </w:rPr>
        <w:t> </w:t>
      </w:r>
      <w:r>
        <w:rPr>
          <w:sz w:val="16"/>
        </w:rPr>
        <w:t>mayo</w:t>
      </w:r>
      <w:r>
        <w:rPr>
          <w:spacing w:val="-2"/>
          <w:sz w:val="16"/>
        </w:rPr>
        <w:t> </w:t>
      </w:r>
      <w:r>
        <w:rPr>
          <w:sz w:val="16"/>
        </w:rPr>
        <w:t>de</w:t>
      </w:r>
      <w:r>
        <w:rPr>
          <w:spacing w:val="1"/>
          <w:sz w:val="16"/>
        </w:rPr>
        <w:t> </w:t>
      </w:r>
      <w:r>
        <w:rPr>
          <w:sz w:val="16"/>
        </w:rPr>
        <w:t>1995.</w:t>
      </w:r>
    </w:p>
    <w:p>
      <w:pPr>
        <w:tabs>
          <w:tab w:pos="8405" w:val="left" w:leader="none"/>
        </w:tabs>
        <w:spacing w:line="175" w:lineRule="exact" w:before="0"/>
        <w:ind w:left="120" w:right="142" w:firstLine="0"/>
        <w:jc w:val="left"/>
        <w:rPr>
          <w:sz w:val="16"/>
        </w:rPr>
      </w:pPr>
      <w:r>
        <w:rPr>
          <w:sz w:val="16"/>
        </w:rPr>
        <w:t>Disponible</w:t>
        <w:tab/>
        <w:t>en:</w:t>
      </w:r>
    </w:p>
    <w:p>
      <w:pPr>
        <w:tabs>
          <w:tab w:pos="8446" w:val="left" w:leader="none"/>
        </w:tabs>
        <w:spacing w:before="0"/>
        <w:ind w:left="120" w:right="202" w:firstLine="0"/>
        <w:jc w:val="left"/>
        <w:rPr>
          <w:sz w:val="16"/>
        </w:rPr>
      </w:pPr>
      <w:hyperlink r:id="rId197">
        <w:r>
          <w:rPr>
            <w:color w:val="0000FF"/>
            <w:sz w:val="16"/>
            <w:u w:val="single" w:color="0000FF"/>
          </w:rPr>
          <w:t>http://www.scjn.gob.mx/conocelacorte/ministra/LA%20CONTROVERSIA%20CONSTITUCIONAL.pdf</w:t>
        </w:r>
        <w:r>
          <w:rPr>
            <w:sz w:val="16"/>
          </w:rPr>
          <w:t>[</w:t>
        </w:r>
      </w:hyperlink>
      <w:r>
        <w:rPr>
          <w:sz w:val="16"/>
        </w:rPr>
        <w:t>Fecha</w:t>
        <w:tab/>
        <w:t>de consulta: 25 de septiembre,</w:t>
      </w:r>
      <w:r>
        <w:rPr>
          <w:spacing w:val="-9"/>
          <w:sz w:val="16"/>
        </w:rPr>
        <w:t> </w:t>
      </w:r>
      <w:r>
        <w:rPr>
          <w:sz w:val="16"/>
        </w:rPr>
        <w:t>2015]</w:t>
      </w:r>
    </w:p>
    <w:p>
      <w:pPr>
        <w:spacing w:line="244" w:lineRule="auto" w:before="0"/>
        <w:ind w:left="120" w:right="198" w:firstLine="0"/>
        <w:jc w:val="left"/>
        <w:rPr>
          <w:sz w:val="16"/>
        </w:rPr>
      </w:pPr>
      <w:r>
        <w:rPr>
          <w:rFonts w:ascii="Times New Roman" w:hAnsi="Times New Roman"/>
          <w:position w:val="7"/>
          <w:sz w:val="13"/>
        </w:rPr>
        <w:t>136</w:t>
      </w:r>
      <w:r>
        <w:rPr>
          <w:sz w:val="16"/>
        </w:rPr>
        <w:t>Celebrada en julio de 2003 para organizar una agenda política común entre las entidades federativas de México. </w:t>
      </w:r>
      <w:r>
        <w:rPr>
          <w:rFonts w:ascii="Calibri" w:hAnsi="Calibri"/>
          <w:position w:val="8"/>
          <w:sz w:val="14"/>
        </w:rPr>
        <w:t>137</w:t>
      </w:r>
      <w:r>
        <w:rPr>
          <w:sz w:val="16"/>
        </w:rPr>
        <w:t>De acuerdo con el artículo 25 de la LCF, el Ramo General 33 está integrado por los ocho fondos siguientes: Fondo de Aportaciones para la Educación Básica y Normal (FAEB); Fondo de Aportaciones para los Servicios de Salud (FASSA);</w:t>
      </w:r>
      <w:r>
        <w:rPr>
          <w:spacing w:val="29"/>
          <w:sz w:val="16"/>
        </w:rPr>
        <w:t> </w:t>
      </w:r>
      <w:r>
        <w:rPr>
          <w:sz w:val="16"/>
        </w:rPr>
        <w:t>Fondo</w:t>
      </w:r>
      <w:r>
        <w:rPr>
          <w:spacing w:val="-9"/>
          <w:sz w:val="16"/>
        </w:rPr>
        <w:t> </w:t>
      </w:r>
      <w:r>
        <w:rPr>
          <w:sz w:val="16"/>
        </w:rPr>
        <w:t>de</w:t>
      </w:r>
      <w:r>
        <w:rPr>
          <w:spacing w:val="-9"/>
          <w:sz w:val="16"/>
        </w:rPr>
        <w:t> </w:t>
      </w:r>
      <w:r>
        <w:rPr>
          <w:sz w:val="16"/>
        </w:rPr>
        <w:t>Aportaciones</w:t>
      </w:r>
      <w:r>
        <w:rPr>
          <w:spacing w:val="-12"/>
          <w:sz w:val="16"/>
        </w:rPr>
        <w:t> </w:t>
      </w:r>
      <w:r>
        <w:rPr>
          <w:sz w:val="16"/>
        </w:rPr>
        <w:t>para</w:t>
      </w:r>
      <w:r>
        <w:rPr>
          <w:spacing w:val="-4"/>
          <w:sz w:val="16"/>
        </w:rPr>
        <w:t> </w:t>
      </w:r>
      <w:r>
        <w:rPr>
          <w:sz w:val="16"/>
        </w:rPr>
        <w:t>la</w:t>
      </w:r>
      <w:r>
        <w:rPr>
          <w:spacing w:val="-4"/>
          <w:sz w:val="16"/>
        </w:rPr>
        <w:t> </w:t>
      </w:r>
      <w:r>
        <w:rPr>
          <w:sz w:val="16"/>
        </w:rPr>
        <w:t>Infraestructura</w:t>
      </w:r>
      <w:r>
        <w:rPr>
          <w:spacing w:val="-9"/>
          <w:sz w:val="16"/>
        </w:rPr>
        <w:t> </w:t>
      </w:r>
      <w:r>
        <w:rPr>
          <w:sz w:val="16"/>
        </w:rPr>
        <w:t>Social</w:t>
      </w:r>
      <w:r>
        <w:rPr>
          <w:spacing w:val="-11"/>
          <w:sz w:val="16"/>
        </w:rPr>
        <w:t> </w:t>
      </w:r>
      <w:r>
        <w:rPr>
          <w:sz w:val="16"/>
        </w:rPr>
        <w:t>(FAIS),</w:t>
      </w:r>
      <w:r>
        <w:rPr>
          <w:spacing w:val="-8"/>
          <w:sz w:val="16"/>
        </w:rPr>
        <w:t> </w:t>
      </w:r>
      <w:r>
        <w:rPr>
          <w:sz w:val="16"/>
        </w:rPr>
        <w:t>el</w:t>
      </w:r>
      <w:r>
        <w:rPr>
          <w:spacing w:val="-11"/>
          <w:sz w:val="16"/>
        </w:rPr>
        <w:t> </w:t>
      </w:r>
      <w:r>
        <w:rPr>
          <w:sz w:val="16"/>
        </w:rPr>
        <w:t>Fondo</w:t>
      </w:r>
      <w:r>
        <w:rPr>
          <w:spacing w:val="-9"/>
          <w:sz w:val="16"/>
        </w:rPr>
        <w:t> </w:t>
      </w:r>
      <w:r>
        <w:rPr>
          <w:sz w:val="16"/>
        </w:rPr>
        <w:t>de</w:t>
      </w:r>
      <w:r>
        <w:rPr>
          <w:spacing w:val="-9"/>
          <w:sz w:val="16"/>
        </w:rPr>
        <w:t> </w:t>
      </w:r>
      <w:r>
        <w:rPr>
          <w:sz w:val="16"/>
        </w:rPr>
        <w:t>Aportaciones</w:t>
      </w:r>
      <w:r>
        <w:rPr>
          <w:spacing w:val="-12"/>
          <w:sz w:val="16"/>
        </w:rPr>
        <w:t> </w:t>
      </w:r>
      <w:r>
        <w:rPr>
          <w:sz w:val="16"/>
        </w:rPr>
        <w:t>para</w:t>
      </w:r>
      <w:r>
        <w:rPr>
          <w:spacing w:val="-9"/>
          <w:sz w:val="16"/>
        </w:rPr>
        <w:t> </w:t>
      </w:r>
      <w:r>
        <w:rPr>
          <w:sz w:val="16"/>
        </w:rPr>
        <w:t>el</w:t>
      </w:r>
      <w:r>
        <w:rPr>
          <w:spacing w:val="-4"/>
          <w:sz w:val="16"/>
        </w:rPr>
        <w:t> </w:t>
      </w:r>
      <w:r>
        <w:rPr>
          <w:sz w:val="16"/>
        </w:rPr>
        <w:t>Fortalecimiento de los Municipios y de las Demarcaciones Territoriales del Distrito Federal (FORTAMUN-DF); el Fondo de Aportaciones Múltiples (FAM); el Fondo de Aportaciones para la Educación Tecnológica y de Adultos (FAETA); el Fondo de Aportaciones para la Seguridad Pública delos Estados y del Distrito Federal (FASP) y el Fondo de Aportaciones para el Fortalecimiento de las Entidades Federativas</w:t>
      </w:r>
      <w:r>
        <w:rPr>
          <w:spacing w:val="-22"/>
          <w:sz w:val="16"/>
        </w:rPr>
        <w:t> </w:t>
      </w:r>
      <w:r>
        <w:rPr>
          <w:sz w:val="16"/>
        </w:rPr>
        <w:t>(FAFEF).</w:t>
      </w:r>
    </w:p>
    <w:p>
      <w:pPr>
        <w:spacing w:after="0" w:line="244" w:lineRule="auto"/>
        <w:jc w:val="left"/>
        <w:rPr>
          <w:sz w:val="16"/>
        </w:rPr>
        <w:sectPr>
          <w:pgSz w:w="11910" w:h="16840"/>
          <w:pgMar w:header="0" w:footer="998" w:top="1360" w:bottom="1180" w:left="1580" w:right="1500"/>
        </w:sectPr>
      </w:pPr>
    </w:p>
    <w:p>
      <w:pPr>
        <w:pStyle w:val="BodyText"/>
        <w:spacing w:line="362" w:lineRule="auto" w:before="39"/>
        <w:ind w:left="120" w:right="142"/>
        <w:rPr>
          <w:sz w:val="14"/>
        </w:rPr>
      </w:pPr>
      <w:r>
        <w:rPr/>
        <w:t>LFRCF, entre otras disposiciones. La SCJN concluyó que los fondos federales ejercidos por los municipios pueden ser fiscalizados de manera concurrente.</w:t>
      </w:r>
      <w:r>
        <w:rPr>
          <w:position w:val="8"/>
          <w:sz w:val="14"/>
        </w:rPr>
        <w:t>138</w:t>
      </w:r>
    </w:p>
    <w:p>
      <w:pPr>
        <w:pStyle w:val="BodyText"/>
        <w:spacing w:line="357" w:lineRule="auto"/>
        <w:ind w:left="120" w:right="204" w:firstLine="427"/>
        <w:jc w:val="both"/>
        <w:rPr>
          <w:sz w:val="16"/>
        </w:rPr>
      </w:pPr>
      <w:r>
        <w:rPr/>
        <w:t>Como resultado de otras las controversias constitucionales interpuestas durante la revisión de la Cuenta Pública 2004, la ASF no pudo atender cuatro solicitudes de la CVASF</w:t>
      </w:r>
      <w:r>
        <w:rPr>
          <w:position w:val="8"/>
          <w:sz w:val="16"/>
        </w:rPr>
        <w:t>139 </w:t>
      </w:r>
      <w:r>
        <w:rPr/>
        <w:t>y otras revisiones.</w:t>
      </w:r>
      <w:r>
        <w:rPr>
          <w:position w:val="8"/>
          <w:sz w:val="16"/>
        </w:rPr>
        <w:t>140</w:t>
      </w:r>
    </w:p>
    <w:p>
      <w:pPr>
        <w:pStyle w:val="BodyText"/>
        <w:spacing w:line="360" w:lineRule="auto"/>
        <w:ind w:left="120" w:right="203" w:firstLine="427"/>
        <w:jc w:val="both"/>
      </w:pPr>
      <w:r>
        <w:rPr/>
        <w:t>Debido</w:t>
      </w:r>
      <w:r>
        <w:rPr>
          <w:spacing w:val="-15"/>
        </w:rPr>
        <w:t> </w:t>
      </w:r>
      <w:r>
        <w:rPr/>
        <w:t>a</w:t>
      </w:r>
      <w:r>
        <w:rPr>
          <w:spacing w:val="-15"/>
        </w:rPr>
        <w:t> </w:t>
      </w:r>
      <w:r>
        <w:rPr/>
        <w:t>la</w:t>
      </w:r>
      <w:r>
        <w:rPr>
          <w:spacing w:val="-15"/>
        </w:rPr>
        <w:t> </w:t>
      </w:r>
      <w:r>
        <w:rPr/>
        <w:t>controversia</w:t>
      </w:r>
      <w:r>
        <w:rPr>
          <w:spacing w:val="-15"/>
        </w:rPr>
        <w:t> </w:t>
      </w:r>
      <w:r>
        <w:rPr/>
        <w:t>constitucional</w:t>
      </w:r>
      <w:r>
        <w:rPr>
          <w:spacing w:val="-11"/>
        </w:rPr>
        <w:t> </w:t>
      </w:r>
      <w:r>
        <w:rPr/>
        <w:t>26/99,</w:t>
      </w:r>
      <w:r>
        <w:rPr>
          <w:position w:val="8"/>
          <w:sz w:val="16"/>
        </w:rPr>
        <w:t>141</w:t>
      </w:r>
      <w:r>
        <w:rPr>
          <w:spacing w:val="9"/>
          <w:position w:val="8"/>
          <w:sz w:val="16"/>
        </w:rPr>
        <w:t> </w:t>
      </w:r>
      <w:r>
        <w:rPr/>
        <w:t>el</w:t>
      </w:r>
      <w:r>
        <w:rPr>
          <w:spacing w:val="-14"/>
        </w:rPr>
        <w:t> </w:t>
      </w:r>
      <w:r>
        <w:rPr/>
        <w:t>Poder</w:t>
      </w:r>
      <w:r>
        <w:rPr>
          <w:spacing w:val="-13"/>
        </w:rPr>
        <w:t> </w:t>
      </w:r>
      <w:r>
        <w:rPr/>
        <w:t>Legislativo</w:t>
      </w:r>
      <w:r>
        <w:rPr>
          <w:spacing w:val="-15"/>
        </w:rPr>
        <w:t> </w:t>
      </w:r>
      <w:r>
        <w:rPr/>
        <w:t>reformó el artículo 18 de la LFRCF para ampliar las revisiones de la ASF, por lo que, sin perjuicio del principio de anualidad, la ASF en la actualidad está facultada para revisar</w:t>
      </w:r>
      <w:r>
        <w:rPr>
          <w:spacing w:val="-7"/>
        </w:rPr>
        <w:t> </w:t>
      </w:r>
      <w:r>
        <w:rPr/>
        <w:t>el</w:t>
      </w:r>
      <w:r>
        <w:rPr>
          <w:spacing w:val="-8"/>
        </w:rPr>
        <w:t> </w:t>
      </w:r>
      <w:r>
        <w:rPr/>
        <w:t>cumplimiento</w:t>
      </w:r>
      <w:r>
        <w:rPr>
          <w:spacing w:val="-9"/>
        </w:rPr>
        <w:t> </w:t>
      </w:r>
      <w:r>
        <w:rPr/>
        <w:t>de</w:t>
      </w:r>
      <w:r>
        <w:rPr>
          <w:spacing w:val="-9"/>
        </w:rPr>
        <w:t> </w:t>
      </w:r>
      <w:r>
        <w:rPr/>
        <w:t>los</w:t>
      </w:r>
      <w:r>
        <w:rPr>
          <w:spacing w:val="-7"/>
        </w:rPr>
        <w:t> </w:t>
      </w:r>
      <w:r>
        <w:rPr/>
        <w:t>objetivos</w:t>
      </w:r>
      <w:r>
        <w:rPr>
          <w:spacing w:val="-7"/>
        </w:rPr>
        <w:t> </w:t>
      </w:r>
      <w:r>
        <w:rPr/>
        <w:t>de</w:t>
      </w:r>
      <w:r>
        <w:rPr>
          <w:spacing w:val="-9"/>
        </w:rPr>
        <w:t> </w:t>
      </w:r>
      <w:r>
        <w:rPr/>
        <w:t>los</w:t>
      </w:r>
      <w:r>
        <w:rPr>
          <w:spacing w:val="-7"/>
        </w:rPr>
        <w:t> </w:t>
      </w:r>
      <w:r>
        <w:rPr/>
        <w:t>programas</w:t>
      </w:r>
      <w:r>
        <w:rPr>
          <w:spacing w:val="-7"/>
        </w:rPr>
        <w:t> </w:t>
      </w:r>
      <w:r>
        <w:rPr/>
        <w:t>federales</w:t>
      </w:r>
      <w:r>
        <w:rPr>
          <w:spacing w:val="-7"/>
        </w:rPr>
        <w:t> </w:t>
      </w:r>
      <w:r>
        <w:rPr/>
        <w:t>de</w:t>
      </w:r>
      <w:r>
        <w:rPr>
          <w:spacing w:val="-9"/>
        </w:rPr>
        <w:t> </w:t>
      </w:r>
      <w:r>
        <w:rPr/>
        <w:t>ejercicios anteriores al de la Cuenta Pública en</w:t>
      </w:r>
      <w:r>
        <w:rPr>
          <w:spacing w:val="-28"/>
        </w:rPr>
        <w:t> </w:t>
      </w:r>
      <w:r>
        <w:rPr/>
        <w:t>revisión.</w:t>
      </w:r>
    </w:p>
    <w:p>
      <w:pPr>
        <w:pStyle w:val="BodyText"/>
        <w:spacing w:line="360" w:lineRule="auto" w:before="2"/>
        <w:ind w:left="120" w:right="206" w:firstLine="427"/>
        <w:jc w:val="both"/>
        <w:rPr>
          <w:sz w:val="16"/>
        </w:rPr>
      </w:pPr>
      <w:r>
        <w:rPr/>
        <w:t>La ASF manifestó observar estrictamente las disposiciones legales que la Constitución Federal le confiere para su tarea fundamental de fiscalizar y ha afirmado que las actividades de controversia parecieran “ser una estrategia que tiene como intención acotar la fiscalización superior, cuando ésta tiene carácter universal y no puede aceptar excepción alguna.” </w:t>
      </w:r>
      <w:r>
        <w:rPr>
          <w:position w:val="8"/>
          <w:sz w:val="16"/>
        </w:rPr>
        <w:t>142</w:t>
      </w:r>
    </w:p>
    <w:p>
      <w:pPr>
        <w:pStyle w:val="BodyText"/>
        <w:spacing w:line="360" w:lineRule="auto" w:before="2"/>
        <w:ind w:left="120" w:right="202" w:firstLine="427"/>
        <w:jc w:val="both"/>
      </w:pPr>
      <w:r>
        <w:rPr/>
        <w:t>En 2008 la ASF comentó que cuatro secretarías de Estado impugnaron la función fiscalizadora de la ASF ante la SCJN mediante controversias constitucionales; ante juzgados de distrito (juicios de amparo); y ante la ASF mediante incidentes de nulidad: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r>
        <w:rPr/>
        <w:pict>
          <v:line style="position:absolute;mso-position-horizontal-relative:page;mso-position-vertical-relative:paragraph;z-index:9904;mso-wrap-distance-left:0;mso-wrap-distance-right:0" from="85.025002pt,16.080753pt" to="229.075002pt,16.080753pt" stroked="true" strokeweight=".79999pt" strokecolor="#000000">
            <w10:wrap type="topAndBottom"/>
          </v:line>
        </w:pict>
      </w:r>
    </w:p>
    <w:p>
      <w:pPr>
        <w:spacing w:line="297" w:lineRule="auto" w:before="70"/>
        <w:ind w:left="120" w:right="203" w:firstLine="0"/>
        <w:jc w:val="both"/>
        <w:rPr>
          <w:sz w:val="16"/>
        </w:rPr>
      </w:pPr>
      <w:r>
        <w:rPr>
          <w:rFonts w:ascii="Calibri" w:hAnsi="Calibri"/>
          <w:position w:val="8"/>
          <w:sz w:val="14"/>
        </w:rPr>
        <w:t>138</w:t>
      </w:r>
      <w:r>
        <w:rPr>
          <w:sz w:val="16"/>
        </w:rPr>
        <w:t>Las facultades concurrentes se refieren a aquellas que se ejercen simultáneamente por la federación y los Estados, relativas a lo dispuesto en la CPEUM en materia de educación (art. 3), sistema penal (art. 18), vigilancia o amparo de asociaciones</w:t>
      </w:r>
      <w:r>
        <w:rPr>
          <w:spacing w:val="-12"/>
          <w:sz w:val="16"/>
        </w:rPr>
        <w:t> </w:t>
      </w:r>
      <w:r>
        <w:rPr>
          <w:sz w:val="16"/>
        </w:rPr>
        <w:t>de</w:t>
      </w:r>
      <w:r>
        <w:rPr>
          <w:spacing w:val="-13"/>
          <w:sz w:val="16"/>
        </w:rPr>
        <w:t> </w:t>
      </w:r>
      <w:r>
        <w:rPr>
          <w:sz w:val="16"/>
        </w:rPr>
        <w:t>trabajadores</w:t>
      </w:r>
      <w:r>
        <w:rPr>
          <w:spacing w:val="-15"/>
          <w:sz w:val="16"/>
        </w:rPr>
        <w:t> </w:t>
      </w:r>
      <w:r>
        <w:rPr>
          <w:sz w:val="16"/>
        </w:rPr>
        <w:t>(art.</w:t>
      </w:r>
      <w:r>
        <w:rPr>
          <w:spacing w:val="-9"/>
          <w:sz w:val="16"/>
        </w:rPr>
        <w:t> </w:t>
      </w:r>
      <w:r>
        <w:rPr>
          <w:sz w:val="16"/>
        </w:rPr>
        <w:t>28),</w:t>
      </w:r>
      <w:r>
        <w:rPr>
          <w:spacing w:val="-5"/>
          <w:sz w:val="16"/>
        </w:rPr>
        <w:t> </w:t>
      </w:r>
      <w:r>
        <w:rPr>
          <w:sz w:val="16"/>
        </w:rPr>
        <w:t>salubridad</w:t>
      </w:r>
      <w:r>
        <w:rPr>
          <w:spacing w:val="-9"/>
          <w:sz w:val="16"/>
        </w:rPr>
        <w:t> </w:t>
      </w:r>
      <w:r>
        <w:rPr>
          <w:sz w:val="16"/>
        </w:rPr>
        <w:t>(art.</w:t>
      </w:r>
      <w:r>
        <w:rPr>
          <w:spacing w:val="-13"/>
          <w:sz w:val="16"/>
        </w:rPr>
        <w:t> </w:t>
      </w:r>
      <w:r>
        <w:rPr>
          <w:sz w:val="16"/>
        </w:rPr>
        <w:t>73)</w:t>
      </w:r>
      <w:r>
        <w:rPr>
          <w:spacing w:val="-9"/>
          <w:sz w:val="16"/>
        </w:rPr>
        <w:t> </w:t>
      </w:r>
      <w:r>
        <w:rPr>
          <w:sz w:val="16"/>
        </w:rPr>
        <w:t>y</w:t>
      </w:r>
      <w:r>
        <w:rPr>
          <w:spacing w:val="-12"/>
          <w:sz w:val="16"/>
        </w:rPr>
        <w:t> </w:t>
      </w:r>
      <w:r>
        <w:rPr>
          <w:sz w:val="16"/>
        </w:rPr>
        <w:t>expropiaciones</w:t>
      </w:r>
      <w:r>
        <w:rPr>
          <w:spacing w:val="-15"/>
          <w:sz w:val="16"/>
        </w:rPr>
        <w:t> </w:t>
      </w:r>
      <w:r>
        <w:rPr>
          <w:sz w:val="16"/>
        </w:rPr>
        <w:t>(art.</w:t>
      </w:r>
      <w:r>
        <w:rPr>
          <w:spacing w:val="-9"/>
          <w:sz w:val="16"/>
        </w:rPr>
        <w:t> </w:t>
      </w:r>
      <w:r>
        <w:rPr>
          <w:sz w:val="16"/>
        </w:rPr>
        <w:t>27).</w:t>
      </w:r>
      <w:r>
        <w:rPr>
          <w:spacing w:val="-9"/>
          <w:sz w:val="16"/>
        </w:rPr>
        <w:t> </w:t>
      </w:r>
      <w:r>
        <w:rPr>
          <w:spacing w:val="2"/>
          <w:sz w:val="16"/>
        </w:rPr>
        <w:t>En</w:t>
      </w:r>
      <w:r>
        <w:rPr>
          <w:spacing w:val="-13"/>
          <w:sz w:val="16"/>
        </w:rPr>
        <w:t> </w:t>
      </w:r>
      <w:r>
        <w:rPr>
          <w:sz w:val="16"/>
        </w:rPr>
        <w:t>la</w:t>
      </w:r>
      <w:r>
        <w:rPr>
          <w:spacing w:val="-13"/>
          <w:sz w:val="16"/>
        </w:rPr>
        <w:t> </w:t>
      </w:r>
      <w:r>
        <w:rPr>
          <w:sz w:val="16"/>
        </w:rPr>
        <w:t>Controversia</w:t>
      </w:r>
      <w:r>
        <w:rPr>
          <w:spacing w:val="-9"/>
          <w:sz w:val="16"/>
        </w:rPr>
        <w:t> </w:t>
      </w:r>
      <w:r>
        <w:rPr>
          <w:sz w:val="16"/>
        </w:rPr>
        <w:t>87/2003</w:t>
      </w:r>
      <w:r>
        <w:rPr>
          <w:spacing w:val="-9"/>
          <w:sz w:val="16"/>
        </w:rPr>
        <w:t> </w:t>
      </w:r>
      <w:r>
        <w:rPr>
          <w:sz w:val="16"/>
        </w:rPr>
        <w:t>la</w:t>
      </w:r>
      <w:r>
        <w:rPr>
          <w:spacing w:val="-5"/>
          <w:sz w:val="16"/>
        </w:rPr>
        <w:t> </w:t>
      </w:r>
      <w:r>
        <w:rPr>
          <w:sz w:val="16"/>
        </w:rPr>
        <w:t>SCJN</w:t>
      </w:r>
    </w:p>
    <w:p>
      <w:pPr>
        <w:spacing w:line="169" w:lineRule="exact" w:before="0"/>
        <w:ind w:left="120" w:right="0" w:firstLine="0"/>
        <w:jc w:val="both"/>
        <w:rPr>
          <w:sz w:val="16"/>
        </w:rPr>
      </w:pPr>
      <w:r>
        <w:rPr>
          <w:sz w:val="16"/>
        </w:rPr>
        <w:t>resolvió como fiscalización concurrente a la revisión de recursos señalados en el artículo 115 fracción IV.</w:t>
      </w:r>
    </w:p>
    <w:p>
      <w:pPr>
        <w:spacing w:line="252" w:lineRule="auto" w:before="29"/>
        <w:ind w:left="120" w:right="202" w:firstLine="0"/>
        <w:jc w:val="both"/>
        <w:rPr>
          <w:sz w:val="16"/>
        </w:rPr>
      </w:pPr>
      <w:r>
        <w:rPr>
          <w:rFonts w:ascii="Calibri" w:hAnsi="Calibri"/>
          <w:position w:val="8"/>
          <w:sz w:val="14"/>
        </w:rPr>
        <w:t>139</w:t>
      </w:r>
      <w:r>
        <w:rPr>
          <w:sz w:val="16"/>
        </w:rPr>
        <w:t>Las cuatro solicitudes de la CVASF </w:t>
      </w:r>
      <w:r>
        <w:rPr>
          <w:spacing w:val="-3"/>
          <w:sz w:val="16"/>
        </w:rPr>
        <w:t>no </w:t>
      </w:r>
      <w:r>
        <w:rPr>
          <w:sz w:val="16"/>
        </w:rPr>
        <w:t>atendidas por controversia sub júdice de la revisión de los ejercicios fiscales de</w:t>
      </w:r>
      <w:r>
        <w:rPr>
          <w:spacing w:val="-8"/>
          <w:sz w:val="16"/>
        </w:rPr>
        <w:t> </w:t>
      </w:r>
      <w:r>
        <w:rPr>
          <w:sz w:val="16"/>
        </w:rPr>
        <w:t>2004</w:t>
      </w:r>
      <w:r>
        <w:rPr>
          <w:spacing w:val="-4"/>
          <w:sz w:val="16"/>
        </w:rPr>
        <w:t> </w:t>
      </w:r>
      <w:r>
        <w:rPr>
          <w:sz w:val="16"/>
        </w:rPr>
        <w:t>y</w:t>
      </w:r>
      <w:r>
        <w:rPr>
          <w:spacing w:val="-7"/>
          <w:sz w:val="16"/>
        </w:rPr>
        <w:t> </w:t>
      </w:r>
      <w:r>
        <w:rPr>
          <w:sz w:val="16"/>
        </w:rPr>
        <w:t>2005</w:t>
      </w:r>
      <w:r>
        <w:rPr>
          <w:spacing w:val="-8"/>
          <w:sz w:val="16"/>
        </w:rPr>
        <w:t> </w:t>
      </w:r>
      <w:r>
        <w:rPr>
          <w:sz w:val="16"/>
        </w:rPr>
        <w:t>fueron:</w:t>
      </w:r>
      <w:r>
        <w:rPr>
          <w:spacing w:val="-7"/>
          <w:sz w:val="16"/>
        </w:rPr>
        <w:t> </w:t>
      </w:r>
      <w:r>
        <w:rPr>
          <w:sz w:val="16"/>
        </w:rPr>
        <w:t>CVASF/LIX-113/0311-12-2003,</w:t>
      </w:r>
      <w:r>
        <w:rPr>
          <w:spacing w:val="-7"/>
          <w:sz w:val="16"/>
        </w:rPr>
        <w:t> </w:t>
      </w:r>
      <w:r>
        <w:rPr>
          <w:sz w:val="16"/>
        </w:rPr>
        <w:t>CVASF/LIX/144/03</w:t>
      </w:r>
      <w:r>
        <w:rPr>
          <w:spacing w:val="-4"/>
          <w:sz w:val="16"/>
        </w:rPr>
        <w:t> </w:t>
      </w:r>
      <w:r>
        <w:rPr>
          <w:sz w:val="16"/>
        </w:rPr>
        <w:t>22-12-2003,</w:t>
      </w:r>
      <w:r>
        <w:rPr>
          <w:spacing w:val="-5"/>
          <w:sz w:val="16"/>
        </w:rPr>
        <w:t> </w:t>
      </w:r>
      <w:r>
        <w:rPr>
          <w:sz w:val="16"/>
        </w:rPr>
        <w:t>CVASF/LIX-157/04</w:t>
      </w:r>
      <w:r>
        <w:rPr>
          <w:spacing w:val="-8"/>
          <w:sz w:val="16"/>
        </w:rPr>
        <w:t> </w:t>
      </w:r>
      <w:r>
        <w:rPr>
          <w:sz w:val="16"/>
        </w:rPr>
        <w:t>11-03-2004, y</w:t>
      </w:r>
      <w:r>
        <w:rPr>
          <w:spacing w:val="-13"/>
          <w:sz w:val="16"/>
        </w:rPr>
        <w:t> </w:t>
      </w:r>
      <w:r>
        <w:rPr>
          <w:sz w:val="16"/>
        </w:rPr>
        <w:t>CVASF/LIX/090/0609/03/2006</w:t>
      </w:r>
    </w:p>
    <w:p>
      <w:pPr>
        <w:spacing w:line="240" w:lineRule="auto" w:before="0"/>
        <w:ind w:left="120" w:right="142" w:firstLine="0"/>
        <w:jc w:val="left"/>
        <w:rPr>
          <w:sz w:val="16"/>
        </w:rPr>
      </w:pPr>
      <w:r>
        <w:rPr>
          <w:sz w:val="16"/>
        </w:rPr>
        <w:t>Disponible en: </w:t>
      </w:r>
      <w:hyperlink r:id="rId198">
        <w:r>
          <w:rPr>
            <w:sz w:val="16"/>
          </w:rPr>
          <w:t>http://www.asf.gob.mx/Trans/Informes/IR2003i/Indice/Ejecutivo.htm</w:t>
        </w:r>
      </w:hyperlink>
      <w:r>
        <w:rPr>
          <w:sz w:val="16"/>
        </w:rPr>
        <w:t> [Fecha de consulta: 12 de mayo, 2012]</w:t>
      </w:r>
    </w:p>
    <w:p>
      <w:pPr>
        <w:spacing w:before="0"/>
        <w:ind w:left="120" w:right="0" w:firstLine="0"/>
        <w:jc w:val="left"/>
        <w:rPr>
          <w:sz w:val="16"/>
        </w:rPr>
      </w:pPr>
      <w:r>
        <w:rPr>
          <w:sz w:val="16"/>
        </w:rPr>
        <w:t>140. De la revisión de los ejercicios 2000 a 2004 fueron interpuestas seis controversias constitucionales: 26/99, 42/2004, 61/2004, 84/2004, 74/2005 y 91/2003.</w:t>
      </w:r>
    </w:p>
    <w:p>
      <w:pPr>
        <w:spacing w:before="0"/>
        <w:ind w:left="120" w:right="111" w:firstLine="0"/>
        <w:jc w:val="both"/>
        <w:rPr>
          <w:sz w:val="16"/>
        </w:rPr>
      </w:pPr>
      <w:r>
        <w:rPr>
          <w:sz w:val="16"/>
        </w:rPr>
        <w:t>ASF, Informe del Resultado de la Revisión y Fiscalización Superior de la Cuenta Pública 2002 (2000, Tomo III), 2001 (2003, Tomo X Parte 2: 219-224), 2002 (2004, Tomo X parte 2: 219-224), 2003 (2005, Tomo III: 147-150), 2004 y  2006,</w:t>
      </w:r>
    </w:p>
    <w:p>
      <w:pPr>
        <w:spacing w:before="0"/>
        <w:ind w:left="120" w:right="0" w:firstLine="0"/>
        <w:jc w:val="both"/>
        <w:rPr>
          <w:sz w:val="16"/>
        </w:rPr>
      </w:pPr>
      <w:r>
        <w:rPr>
          <w:sz w:val="16"/>
        </w:rPr>
        <w:t>Tomo de Resultados Generales: 21, 23, 28, 30, 117, 118, 128, 130, 134, 147, 188, 212, 213, 216, 232 y 238, Tomo III</w:t>
      </w:r>
    </w:p>
    <w:p>
      <w:pPr>
        <w:spacing w:line="181" w:lineRule="exact" w:before="0"/>
        <w:ind w:left="120" w:right="0" w:firstLine="0"/>
        <w:jc w:val="both"/>
        <w:rPr>
          <w:sz w:val="16"/>
        </w:rPr>
      </w:pPr>
      <w:r>
        <w:rPr>
          <w:sz w:val="16"/>
        </w:rPr>
        <w:t>Volumen 3: 4-472 y Volumen 4: 16-32 y Tomo X Volumen 3: 354-398).</w:t>
      </w:r>
    </w:p>
    <w:p>
      <w:pPr>
        <w:spacing w:line="247" w:lineRule="auto" w:before="0"/>
        <w:ind w:left="120" w:right="142" w:firstLine="0"/>
        <w:jc w:val="left"/>
        <w:rPr>
          <w:sz w:val="16"/>
        </w:rPr>
      </w:pPr>
      <w:r>
        <w:rPr>
          <w:rFonts w:ascii="Times New Roman" w:hAnsi="Times New Roman"/>
          <w:position w:val="7"/>
          <w:sz w:val="13"/>
        </w:rPr>
        <w:t>141</w:t>
      </w:r>
      <w:r>
        <w:rPr>
          <w:sz w:val="16"/>
        </w:rPr>
        <w:t>Auditoría III.1.8.4.1. Conclusión de la Revisión Practicada por el Auditor Michael W. Mackey Sobre la Evaluación Integral de las Operaciones y Funciones del Fondo Bancario de Protección al Ahorro (FOBAPROA) de 1995 a 1998 </w:t>
      </w:r>
      <w:r>
        <w:rPr>
          <w:rFonts w:ascii="Calibri" w:hAnsi="Calibri"/>
          <w:position w:val="8"/>
          <w:sz w:val="14"/>
        </w:rPr>
        <w:t>142</w:t>
      </w:r>
      <w:r>
        <w:rPr>
          <w:sz w:val="16"/>
        </w:rPr>
        <w:t>Auditoría Superior de la Federación (2008: 7)</w:t>
      </w:r>
    </w:p>
    <w:p>
      <w:pPr>
        <w:spacing w:before="12"/>
        <w:ind w:left="120" w:right="200" w:firstLine="44"/>
        <w:jc w:val="both"/>
        <w:rPr>
          <w:sz w:val="16"/>
        </w:rPr>
      </w:pPr>
      <w:r>
        <w:rPr>
          <w:sz w:val="16"/>
        </w:rPr>
        <w:t>Disponible</w:t>
      </w:r>
      <w:r>
        <w:rPr>
          <w:spacing w:val="-6"/>
          <w:sz w:val="16"/>
        </w:rPr>
        <w:t> </w:t>
      </w:r>
      <w:r>
        <w:rPr>
          <w:sz w:val="16"/>
        </w:rPr>
        <w:t>en:</w:t>
      </w:r>
      <w:r>
        <w:rPr>
          <w:spacing w:val="-2"/>
          <w:sz w:val="16"/>
        </w:rPr>
        <w:t> </w:t>
      </w:r>
      <w:hyperlink r:id="rId199">
        <w:r>
          <w:rPr>
            <w:color w:val="0000FF"/>
            <w:sz w:val="16"/>
            <w:u w:val="single" w:color="0000FF"/>
          </w:rPr>
          <w:t>http://www.asf.gob.mx/Trans/Informes/ir2006i/Indice/Ejecutivo.htm</w:t>
        </w:r>
      </w:hyperlink>
      <w:r>
        <w:rPr>
          <w:sz w:val="16"/>
        </w:rPr>
        <w:t>[Fecha</w:t>
      </w:r>
      <w:r>
        <w:rPr>
          <w:spacing w:val="-7"/>
          <w:sz w:val="16"/>
        </w:rPr>
        <w:t> </w:t>
      </w:r>
      <w:r>
        <w:rPr>
          <w:sz w:val="16"/>
        </w:rPr>
        <w:t>de</w:t>
      </w:r>
      <w:r>
        <w:rPr>
          <w:spacing w:val="-7"/>
          <w:sz w:val="16"/>
        </w:rPr>
        <w:t> </w:t>
      </w:r>
      <w:r>
        <w:rPr>
          <w:sz w:val="16"/>
        </w:rPr>
        <w:t>consulta:</w:t>
      </w:r>
      <w:r>
        <w:rPr>
          <w:spacing w:val="-10"/>
          <w:sz w:val="16"/>
        </w:rPr>
        <w:t> </w:t>
      </w:r>
      <w:r>
        <w:rPr>
          <w:sz w:val="16"/>
        </w:rPr>
        <w:t>25</w:t>
      </w:r>
      <w:r>
        <w:rPr>
          <w:spacing w:val="-6"/>
          <w:sz w:val="16"/>
        </w:rPr>
        <w:t> </w:t>
      </w:r>
      <w:r>
        <w:rPr>
          <w:sz w:val="16"/>
        </w:rPr>
        <w:t>de</w:t>
      </w:r>
      <w:r>
        <w:rPr>
          <w:spacing w:val="-6"/>
          <w:sz w:val="16"/>
        </w:rPr>
        <w:t> </w:t>
      </w:r>
      <w:r>
        <w:rPr>
          <w:sz w:val="16"/>
        </w:rPr>
        <w:t>septiembre, 2015]</w:t>
      </w:r>
    </w:p>
    <w:p>
      <w:pPr>
        <w:spacing w:after="0"/>
        <w:jc w:val="both"/>
        <w:rPr>
          <w:sz w:val="16"/>
        </w:rPr>
        <w:sectPr>
          <w:pgSz w:w="11910" w:h="16840"/>
          <w:pgMar w:header="0" w:footer="998" w:top="1360" w:bottom="1180" w:left="1580" w:right="1500"/>
        </w:sectPr>
      </w:pPr>
    </w:p>
    <w:p>
      <w:pPr>
        <w:spacing w:before="57"/>
        <w:ind w:left="993" w:right="0" w:firstLine="0"/>
        <w:jc w:val="left"/>
        <w:rPr>
          <w:sz w:val="20"/>
        </w:rPr>
      </w:pPr>
      <w:bookmarkStart w:name="_bookmark82" w:id="111"/>
      <w:bookmarkEnd w:id="111"/>
      <w:r>
        <w:rPr/>
      </w:r>
      <w:r>
        <w:rPr>
          <w:sz w:val="20"/>
        </w:rPr>
        <w:t>Cuadro 4. 4. Medios de impugnación a la rendición de cuentas, 2007 y 2008</w:t>
      </w:r>
    </w:p>
    <w:p>
      <w:pPr>
        <w:pStyle w:val="BodyText"/>
        <w:spacing w:before="3" w:after="1"/>
        <w:rPr>
          <w:sz w:val="16"/>
        </w:rPr>
      </w:pPr>
    </w:p>
    <w:tbl>
      <w:tblPr>
        <w:tblW w:w="0" w:type="auto"/>
        <w:jc w:val="left"/>
        <w:tblInd w:w="1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21"/>
        <w:gridCol w:w="2315"/>
        <w:gridCol w:w="2501"/>
        <w:gridCol w:w="2477"/>
      </w:tblGrid>
      <w:tr>
        <w:trPr>
          <w:trHeight w:val="1172" w:hRule="exact"/>
        </w:trPr>
        <w:tc>
          <w:tcPr>
            <w:tcW w:w="1421" w:type="dxa"/>
            <w:tcBorders>
              <w:top w:val="single" w:sz="18" w:space="0" w:color="D9D9D9"/>
              <w:left w:val="single" w:sz="18" w:space="0" w:color="D9D9D9"/>
              <w:bottom w:val="single" w:sz="18" w:space="0" w:color="D9D9D9"/>
              <w:right w:val="single" w:sz="18" w:space="0" w:color="D9D9D9"/>
            </w:tcBorders>
          </w:tcPr>
          <w:p>
            <w:pPr>
              <w:pStyle w:val="TableParagraph"/>
              <w:rPr>
                <w:sz w:val="14"/>
              </w:rPr>
            </w:pPr>
          </w:p>
          <w:p>
            <w:pPr>
              <w:pStyle w:val="TableParagraph"/>
              <w:rPr>
                <w:sz w:val="14"/>
              </w:rPr>
            </w:pPr>
          </w:p>
          <w:p>
            <w:pPr>
              <w:pStyle w:val="TableParagraph"/>
              <w:spacing w:before="92"/>
              <w:ind w:left="255" w:right="226" w:hanging="4"/>
              <w:rPr>
                <w:b/>
                <w:sz w:val="14"/>
              </w:rPr>
            </w:pPr>
            <w:r>
              <w:rPr>
                <w:b/>
                <w:sz w:val="14"/>
              </w:rPr>
              <w:t>Secretaría de Gobernación</w:t>
            </w:r>
          </w:p>
        </w:tc>
        <w:tc>
          <w:tcPr>
            <w:tcW w:w="2315" w:type="dxa"/>
            <w:tcBorders>
              <w:left w:val="single" w:sz="18" w:space="0" w:color="D9D9D9"/>
            </w:tcBorders>
          </w:tcPr>
          <w:p>
            <w:pPr>
              <w:pStyle w:val="TableParagraph"/>
              <w:spacing w:before="32"/>
              <w:ind w:left="88" w:right="91"/>
              <w:rPr>
                <w:sz w:val="14"/>
              </w:rPr>
            </w:pPr>
            <w:r>
              <w:rPr>
                <w:sz w:val="14"/>
              </w:rPr>
              <w:t>Incidente de Suspensión de la Controversia Constitucional 92/2007, en contra de la auditoría “Programas y Campañas de Comunicación Social del Gobierno Federal”.</w:t>
            </w:r>
          </w:p>
        </w:tc>
        <w:tc>
          <w:tcPr>
            <w:tcW w:w="2501" w:type="dxa"/>
          </w:tcPr>
          <w:p>
            <w:pPr>
              <w:pStyle w:val="TableParagraph"/>
              <w:spacing w:before="32"/>
              <w:ind w:left="108" w:right="271"/>
              <w:rPr>
                <w:sz w:val="14"/>
              </w:rPr>
            </w:pPr>
            <w:r>
              <w:rPr>
                <w:sz w:val="14"/>
              </w:rPr>
              <w:t>Incidente de Suspensión de la Controversia Constitucional 92/2007, en contra de la auditoría “Evaluación del Proceso para el Otorgamiento de Permisos de Sorteos”.</w:t>
            </w:r>
          </w:p>
        </w:tc>
        <w:tc>
          <w:tcPr>
            <w:tcW w:w="2477" w:type="dxa"/>
          </w:tcPr>
          <w:p>
            <w:pPr>
              <w:pStyle w:val="TableParagraph"/>
              <w:spacing w:before="32"/>
              <w:ind w:left="108" w:right="124"/>
              <w:rPr>
                <w:sz w:val="14"/>
              </w:rPr>
            </w:pPr>
            <w:r>
              <w:rPr>
                <w:sz w:val="14"/>
              </w:rPr>
              <w:t>Incidente de Suspensión de la Controversia Constitucional 92/2007, en contra de la auditoría “Evaluación del Proceso para el Otorgamiento de Modificaciones a los Permisos para la Operación de Casas de Juego”.</w:t>
            </w:r>
          </w:p>
        </w:tc>
      </w:tr>
      <w:tr>
        <w:trPr>
          <w:trHeight w:val="1173" w:hRule="exact"/>
        </w:trPr>
        <w:tc>
          <w:tcPr>
            <w:tcW w:w="1421" w:type="dxa"/>
            <w:tcBorders>
              <w:top w:val="single" w:sz="18" w:space="0" w:color="D9D9D9"/>
              <w:left w:val="single" w:sz="18" w:space="0" w:color="D9D9D9"/>
              <w:bottom w:val="single" w:sz="18" w:space="0" w:color="D9D9D9"/>
              <w:right w:val="single" w:sz="18" w:space="0" w:color="D9D9D9"/>
            </w:tcBorders>
          </w:tcPr>
          <w:p>
            <w:pPr>
              <w:pStyle w:val="TableParagraph"/>
              <w:rPr>
                <w:sz w:val="14"/>
              </w:rPr>
            </w:pPr>
          </w:p>
          <w:p>
            <w:pPr>
              <w:pStyle w:val="TableParagraph"/>
              <w:rPr>
                <w:sz w:val="14"/>
              </w:rPr>
            </w:pPr>
          </w:p>
          <w:p>
            <w:pPr>
              <w:pStyle w:val="TableParagraph"/>
              <w:spacing w:before="93"/>
              <w:ind w:left="431" w:right="226" w:hanging="180"/>
              <w:rPr>
                <w:b/>
                <w:sz w:val="14"/>
              </w:rPr>
            </w:pPr>
            <w:r>
              <w:rPr>
                <w:b/>
                <w:sz w:val="14"/>
              </w:rPr>
              <w:t>Secretaría de Energía</w:t>
            </w:r>
          </w:p>
        </w:tc>
        <w:tc>
          <w:tcPr>
            <w:tcW w:w="2315" w:type="dxa"/>
            <w:tcBorders>
              <w:left w:val="single" w:sz="18" w:space="0" w:color="D9D9D9"/>
            </w:tcBorders>
          </w:tcPr>
          <w:p>
            <w:pPr>
              <w:pStyle w:val="TableParagraph"/>
              <w:spacing w:before="33"/>
              <w:ind w:left="88" w:right="86"/>
              <w:rPr>
                <w:sz w:val="14"/>
              </w:rPr>
            </w:pPr>
            <w:r>
              <w:rPr>
                <w:sz w:val="14"/>
              </w:rPr>
              <w:t>Incidente de Suspensión de la Controversia Constitucional 95/2007, en contra de la auditoría “Evaluación del Proceso para el Otorgamiento de Permisos de Estaciones de Carburación de Gas L.P.”</w:t>
            </w:r>
          </w:p>
        </w:tc>
        <w:tc>
          <w:tcPr>
            <w:tcW w:w="2501" w:type="dxa"/>
          </w:tcPr>
          <w:p>
            <w:pPr>
              <w:pStyle w:val="TableParagraph"/>
              <w:spacing w:before="33"/>
              <w:ind w:left="108" w:right="108"/>
              <w:rPr>
                <w:sz w:val="14"/>
              </w:rPr>
            </w:pPr>
            <w:r>
              <w:rPr>
                <w:sz w:val="14"/>
              </w:rPr>
              <w:t>Incidente de Suspensión de la Controversia Constitucional 2/2008, en contra de la auditoría</w:t>
            </w:r>
            <w:r>
              <w:rPr>
                <w:spacing w:val="-20"/>
                <w:sz w:val="14"/>
              </w:rPr>
              <w:t> </w:t>
            </w:r>
            <w:r>
              <w:rPr>
                <w:sz w:val="14"/>
              </w:rPr>
              <w:t>“Evaluación del Proceso para el Otorgamiento de Permisos de Exploración y Explotación de</w:t>
            </w:r>
            <w:r>
              <w:rPr>
                <w:spacing w:val="-16"/>
                <w:sz w:val="14"/>
              </w:rPr>
              <w:t> </w:t>
            </w:r>
            <w:r>
              <w:rPr>
                <w:sz w:val="14"/>
              </w:rPr>
              <w:t>Hidrocarburos”.</w:t>
            </w:r>
          </w:p>
        </w:tc>
        <w:tc>
          <w:tcPr>
            <w:tcW w:w="2477" w:type="dxa"/>
          </w:tcPr>
          <w:p>
            <w:pPr/>
          </w:p>
        </w:tc>
      </w:tr>
      <w:tr>
        <w:trPr>
          <w:trHeight w:val="688" w:hRule="exact"/>
        </w:trPr>
        <w:tc>
          <w:tcPr>
            <w:tcW w:w="1421" w:type="dxa"/>
            <w:tcBorders>
              <w:top w:val="single" w:sz="18" w:space="0" w:color="D9D9D9"/>
              <w:left w:val="single" w:sz="18" w:space="0" w:color="D9D9D9"/>
              <w:bottom w:val="single" w:sz="18" w:space="0" w:color="D9D9D9"/>
              <w:right w:val="single" w:sz="18" w:space="0" w:color="D9D9D9"/>
            </w:tcBorders>
          </w:tcPr>
          <w:p>
            <w:pPr>
              <w:pStyle w:val="TableParagraph"/>
              <w:spacing w:before="10"/>
              <w:ind w:left="92" w:right="88" w:firstLine="2"/>
              <w:jc w:val="center"/>
              <w:rPr>
                <w:b/>
                <w:sz w:val="14"/>
              </w:rPr>
            </w:pPr>
            <w:r>
              <w:rPr>
                <w:b/>
                <w:sz w:val="14"/>
              </w:rPr>
              <w:t>Secretaría de Medio Ambiente</w:t>
            </w:r>
            <w:r>
              <w:rPr>
                <w:b/>
                <w:spacing w:val="-10"/>
                <w:sz w:val="14"/>
              </w:rPr>
              <w:t> </w:t>
            </w:r>
            <w:r>
              <w:rPr>
                <w:b/>
                <w:sz w:val="14"/>
              </w:rPr>
              <w:t>y Recursos Naturales</w:t>
            </w:r>
          </w:p>
        </w:tc>
        <w:tc>
          <w:tcPr>
            <w:tcW w:w="7293" w:type="dxa"/>
            <w:gridSpan w:val="3"/>
            <w:tcBorders>
              <w:left w:val="single" w:sz="18" w:space="0" w:color="D9D9D9"/>
            </w:tcBorders>
          </w:tcPr>
          <w:p>
            <w:pPr>
              <w:pStyle w:val="TableParagraph"/>
              <w:spacing w:before="8"/>
              <w:rPr>
                <w:sz w:val="16"/>
              </w:rPr>
            </w:pPr>
          </w:p>
          <w:p>
            <w:pPr>
              <w:pStyle w:val="TableParagraph"/>
              <w:ind w:left="88"/>
              <w:rPr>
                <w:sz w:val="14"/>
              </w:rPr>
            </w:pPr>
            <w:r>
              <w:rPr>
                <w:sz w:val="14"/>
              </w:rPr>
              <w:t>Controversia Constitucional 3/2008, en contra de la auditoría “Evaluación del Proceso para el Otorgamiento de Certificados Fitosanitarios de Importación”.</w:t>
            </w:r>
          </w:p>
        </w:tc>
      </w:tr>
      <w:tr>
        <w:trPr>
          <w:trHeight w:val="528" w:hRule="exact"/>
        </w:trPr>
        <w:tc>
          <w:tcPr>
            <w:tcW w:w="1421" w:type="dxa"/>
            <w:tcBorders>
              <w:top w:val="single" w:sz="18" w:space="0" w:color="D9D9D9"/>
              <w:left w:val="single" w:sz="18" w:space="0" w:color="D9D9D9"/>
              <w:bottom w:val="single" w:sz="18" w:space="0" w:color="D9D9D9"/>
              <w:right w:val="single" w:sz="18" w:space="0" w:color="D9D9D9"/>
            </w:tcBorders>
          </w:tcPr>
          <w:p>
            <w:pPr>
              <w:pStyle w:val="TableParagraph"/>
              <w:spacing w:line="242" w:lineRule="auto" w:before="10"/>
              <w:ind w:left="115" w:right="108"/>
              <w:jc w:val="center"/>
              <w:rPr>
                <w:b/>
                <w:sz w:val="14"/>
              </w:rPr>
            </w:pPr>
            <w:r>
              <w:rPr>
                <w:b/>
                <w:sz w:val="14"/>
              </w:rPr>
              <w:t>Secretaría de Comunicaciones y Transportes</w:t>
            </w:r>
          </w:p>
        </w:tc>
        <w:tc>
          <w:tcPr>
            <w:tcW w:w="7293" w:type="dxa"/>
            <w:gridSpan w:val="3"/>
            <w:tcBorders>
              <w:left w:val="single" w:sz="18" w:space="0" w:color="D9D9D9"/>
            </w:tcBorders>
          </w:tcPr>
          <w:p>
            <w:pPr>
              <w:pStyle w:val="TableParagraph"/>
              <w:spacing w:line="242" w:lineRule="auto" w:before="32"/>
              <w:ind w:left="88"/>
              <w:rPr>
                <w:sz w:val="14"/>
              </w:rPr>
            </w:pPr>
            <w:r>
              <w:rPr>
                <w:sz w:val="14"/>
              </w:rPr>
              <w:t>Amparo Indirecto 1545/2007 presentado por la administración Portuaria Integral de Dos Bocas, S.A. de C.V., en contra de la auditoría “Evaluación del Proceso Utilizado para el Otorgamiento de Contratos de Prestación de Servicios Portuarios”.</w:t>
            </w:r>
          </w:p>
        </w:tc>
      </w:tr>
    </w:tbl>
    <w:p>
      <w:pPr>
        <w:pStyle w:val="BodyText"/>
        <w:spacing w:before="4"/>
        <w:rPr>
          <w:sz w:val="13"/>
        </w:rPr>
      </w:pPr>
    </w:p>
    <w:p>
      <w:pPr>
        <w:spacing w:before="0"/>
        <w:ind w:left="120" w:right="0" w:firstLine="0"/>
        <w:jc w:val="both"/>
        <w:rPr>
          <w:sz w:val="12"/>
        </w:rPr>
      </w:pPr>
      <w:r>
        <w:rPr>
          <w:sz w:val="12"/>
        </w:rPr>
        <w:t>FUENTE: Elaboración propia con base en: Auditoría Superior de la Federación (2006: 6-9).</w:t>
      </w:r>
    </w:p>
    <w:p>
      <w:pPr>
        <w:pStyle w:val="BodyText"/>
        <w:rPr>
          <w:sz w:val="12"/>
        </w:rPr>
      </w:pPr>
    </w:p>
    <w:p>
      <w:pPr>
        <w:pStyle w:val="BodyText"/>
        <w:rPr>
          <w:sz w:val="12"/>
        </w:rPr>
      </w:pPr>
    </w:p>
    <w:p>
      <w:pPr>
        <w:pStyle w:val="BodyText"/>
        <w:rPr>
          <w:sz w:val="14"/>
        </w:rPr>
      </w:pPr>
    </w:p>
    <w:p>
      <w:pPr>
        <w:pStyle w:val="BodyText"/>
        <w:spacing w:line="360" w:lineRule="auto"/>
        <w:ind w:left="120" w:right="340" w:firstLine="427"/>
        <w:jc w:val="both"/>
      </w:pPr>
      <w:r>
        <w:rPr/>
        <w:t>La</w:t>
      </w:r>
      <w:r>
        <w:rPr>
          <w:spacing w:val="-13"/>
        </w:rPr>
        <w:t> </w:t>
      </w:r>
      <w:r>
        <w:rPr/>
        <w:t>ASF</w:t>
      </w:r>
      <w:r>
        <w:rPr>
          <w:spacing w:val="-10"/>
        </w:rPr>
        <w:t> </w:t>
      </w:r>
      <w:r>
        <w:rPr/>
        <w:t>ha</w:t>
      </w:r>
      <w:r>
        <w:rPr>
          <w:spacing w:val="-13"/>
        </w:rPr>
        <w:t> </w:t>
      </w:r>
      <w:r>
        <w:rPr/>
        <w:t>expresado</w:t>
      </w:r>
      <w:r>
        <w:rPr>
          <w:spacing w:val="-13"/>
        </w:rPr>
        <w:t> </w:t>
      </w:r>
      <w:r>
        <w:rPr/>
        <w:t>que</w:t>
      </w:r>
      <w:r>
        <w:rPr>
          <w:spacing w:val="-13"/>
        </w:rPr>
        <w:t> </w:t>
      </w:r>
      <w:r>
        <w:rPr/>
        <w:t>no</w:t>
      </w:r>
      <w:r>
        <w:rPr>
          <w:spacing w:val="-13"/>
        </w:rPr>
        <w:t> </w:t>
      </w:r>
      <w:r>
        <w:rPr/>
        <w:t>pretender</w:t>
      </w:r>
      <w:r>
        <w:rPr>
          <w:spacing w:val="-11"/>
        </w:rPr>
        <w:t> </w:t>
      </w:r>
      <w:r>
        <w:rPr/>
        <w:t>invadir</w:t>
      </w:r>
      <w:r>
        <w:rPr>
          <w:spacing w:val="-11"/>
        </w:rPr>
        <w:t> </w:t>
      </w:r>
      <w:r>
        <w:rPr/>
        <w:t>la</w:t>
      </w:r>
      <w:r>
        <w:rPr>
          <w:spacing w:val="-13"/>
        </w:rPr>
        <w:t> </w:t>
      </w:r>
      <w:r>
        <w:rPr/>
        <w:t>esfera</w:t>
      </w:r>
      <w:r>
        <w:rPr>
          <w:spacing w:val="-13"/>
        </w:rPr>
        <w:t> </w:t>
      </w:r>
      <w:r>
        <w:rPr/>
        <w:t>de</w:t>
      </w:r>
      <w:r>
        <w:rPr>
          <w:spacing w:val="-13"/>
        </w:rPr>
        <w:t> </w:t>
      </w:r>
      <w:r>
        <w:rPr/>
        <w:t>competencias</w:t>
      </w:r>
      <w:r>
        <w:rPr>
          <w:spacing w:val="-11"/>
        </w:rPr>
        <w:t> </w:t>
      </w:r>
      <w:r>
        <w:rPr/>
        <w:t>de los poderes u órganos constitucionalmente autónomos, puesto que su labor es verificar el cumplimiento de las disposiciones legales, reglamentarias, las políticas, criterios y procedimientos que expiden los poderes u órganos autónomos.</w:t>
      </w:r>
    </w:p>
    <w:p>
      <w:pPr>
        <w:pStyle w:val="BodyText"/>
        <w:spacing w:line="362" w:lineRule="auto" w:before="2"/>
        <w:ind w:left="120" w:right="344" w:firstLine="427"/>
        <w:jc w:val="both"/>
      </w:pPr>
      <w:r>
        <w:rPr/>
        <w:t>La institución también mencionó que sus resoluciones son susceptibles de ser revisadas, en última instancia, por el Poder Judicial de la Federación.</w:t>
      </w:r>
    </w:p>
    <w:p>
      <w:pPr>
        <w:pStyle w:val="BodyText"/>
        <w:spacing w:line="360" w:lineRule="auto"/>
        <w:ind w:left="120" w:right="343" w:firstLine="427"/>
        <w:jc w:val="both"/>
        <w:rPr>
          <w:sz w:val="16"/>
        </w:rPr>
      </w:pPr>
      <w:r>
        <w:rPr/>
        <w:t>En febrero de 2008, la SCJN declaró infundada la petición del Presidente Calderón de suspender de manera temporal las auditorías a la Secretaría de Gobernación</w:t>
      </w:r>
      <w:r>
        <w:rPr>
          <w:spacing w:val="-13"/>
        </w:rPr>
        <w:t> </w:t>
      </w:r>
      <w:r>
        <w:rPr/>
        <w:t>(SEGOB)</w:t>
      </w:r>
      <w:r>
        <w:rPr>
          <w:spacing w:val="-11"/>
        </w:rPr>
        <w:t> </w:t>
      </w:r>
      <w:r>
        <w:rPr/>
        <w:t>en</w:t>
      </w:r>
      <w:r>
        <w:rPr>
          <w:spacing w:val="-13"/>
        </w:rPr>
        <w:t> </w:t>
      </w:r>
      <w:r>
        <w:rPr/>
        <w:t>2008.</w:t>
      </w:r>
      <w:r>
        <w:rPr>
          <w:spacing w:val="-10"/>
        </w:rPr>
        <w:t> </w:t>
      </w:r>
      <w:r>
        <w:rPr/>
        <w:t>Por</w:t>
      </w:r>
      <w:r>
        <w:rPr>
          <w:spacing w:val="-11"/>
        </w:rPr>
        <w:t> </w:t>
      </w:r>
      <w:r>
        <w:rPr/>
        <w:t>lo</w:t>
      </w:r>
      <w:r>
        <w:rPr>
          <w:spacing w:val="-13"/>
        </w:rPr>
        <w:t> </w:t>
      </w:r>
      <w:r>
        <w:rPr/>
        <w:t>anterior,</w:t>
      </w:r>
      <w:r>
        <w:rPr>
          <w:spacing w:val="-10"/>
        </w:rPr>
        <w:t> </w:t>
      </w:r>
      <w:r>
        <w:rPr/>
        <w:t>la</w:t>
      </w:r>
      <w:r>
        <w:rPr>
          <w:spacing w:val="-13"/>
        </w:rPr>
        <w:t> </w:t>
      </w:r>
      <w:r>
        <w:rPr/>
        <w:t>CVASF</w:t>
      </w:r>
      <w:r>
        <w:rPr>
          <w:spacing w:val="-10"/>
        </w:rPr>
        <w:t> </w:t>
      </w:r>
      <w:r>
        <w:rPr/>
        <w:t>solicitó</w:t>
      </w:r>
      <w:r>
        <w:rPr>
          <w:spacing w:val="-13"/>
        </w:rPr>
        <w:t> </w:t>
      </w:r>
      <w:r>
        <w:rPr/>
        <w:t>al</w:t>
      </w:r>
      <w:r>
        <w:rPr>
          <w:spacing w:val="-12"/>
        </w:rPr>
        <w:t> </w:t>
      </w:r>
      <w:r>
        <w:rPr/>
        <w:t>gobierno</w:t>
      </w:r>
      <w:r>
        <w:rPr>
          <w:spacing w:val="-13"/>
        </w:rPr>
        <w:t> </w:t>
      </w:r>
      <w:r>
        <w:rPr/>
        <w:t>de Calderón desistir de las controversias constitucionales, sobre todo, las relacionadas con las revisiones a la Secretaría de</w:t>
      </w:r>
      <w:r>
        <w:rPr>
          <w:spacing w:val="-22"/>
        </w:rPr>
        <w:t> </w:t>
      </w:r>
      <w:r>
        <w:rPr/>
        <w:t>Energía.</w:t>
      </w:r>
      <w:r>
        <w:rPr>
          <w:position w:val="8"/>
          <w:sz w:val="16"/>
        </w:rPr>
        <w:t>143</w:t>
      </w:r>
    </w:p>
    <w:p>
      <w:pPr>
        <w:pStyle w:val="BodyText"/>
        <w:spacing w:before="7"/>
        <w:rPr>
          <w:sz w:val="35"/>
        </w:rPr>
      </w:pPr>
    </w:p>
    <w:p>
      <w:pPr>
        <w:pStyle w:val="Heading3"/>
        <w:numPr>
          <w:ilvl w:val="2"/>
          <w:numId w:val="69"/>
        </w:numPr>
        <w:tabs>
          <w:tab w:pos="655" w:val="left" w:leader="none"/>
        </w:tabs>
        <w:spacing w:line="240" w:lineRule="auto" w:before="0" w:after="0"/>
        <w:ind w:left="654" w:right="0" w:hanging="534"/>
        <w:jc w:val="both"/>
      </w:pPr>
      <w:r>
        <w:rPr/>
        <w:t>Resultados la Política de Combate a la Corrupción,</w:t>
      </w:r>
      <w:r>
        <w:rPr>
          <w:spacing w:val="-26"/>
        </w:rPr>
        <w:t> </w:t>
      </w:r>
      <w:r>
        <w:rPr/>
        <w:t>1983-2013</w:t>
      </w:r>
    </w:p>
    <w:p>
      <w:pPr>
        <w:pStyle w:val="BodyText"/>
        <w:rPr>
          <w:b/>
        </w:rPr>
      </w:pPr>
    </w:p>
    <w:p>
      <w:pPr>
        <w:pStyle w:val="BodyText"/>
        <w:spacing w:before="4"/>
        <w:rPr>
          <w:b/>
        </w:rPr>
      </w:pPr>
    </w:p>
    <w:p>
      <w:pPr>
        <w:pStyle w:val="BodyText"/>
        <w:spacing w:line="360" w:lineRule="auto"/>
        <w:ind w:left="120" w:right="345"/>
        <w:jc w:val="both"/>
      </w:pPr>
      <w:r>
        <w:rPr/>
        <w:t>En el Informe del Resultado de la Revisión de la Cuenta Pública 2011, la auditoría</w:t>
      </w:r>
      <w:r>
        <w:rPr>
          <w:spacing w:val="-21"/>
        </w:rPr>
        <w:t> </w:t>
      </w:r>
      <w:r>
        <w:rPr/>
        <w:t>Evaluación</w:t>
      </w:r>
      <w:r>
        <w:rPr>
          <w:spacing w:val="-21"/>
        </w:rPr>
        <w:t> </w:t>
      </w:r>
      <w:r>
        <w:rPr/>
        <w:t>de</w:t>
      </w:r>
      <w:r>
        <w:rPr>
          <w:spacing w:val="-17"/>
        </w:rPr>
        <w:t> </w:t>
      </w:r>
      <w:r>
        <w:rPr/>
        <w:t>la</w:t>
      </w:r>
      <w:r>
        <w:rPr>
          <w:spacing w:val="-21"/>
        </w:rPr>
        <w:t> </w:t>
      </w:r>
      <w:r>
        <w:rPr/>
        <w:t>Política</w:t>
      </w:r>
      <w:r>
        <w:rPr>
          <w:spacing w:val="-21"/>
        </w:rPr>
        <w:t> </w:t>
      </w:r>
      <w:r>
        <w:rPr/>
        <w:t>de</w:t>
      </w:r>
      <w:r>
        <w:rPr>
          <w:spacing w:val="-17"/>
        </w:rPr>
        <w:t> </w:t>
      </w:r>
      <w:r>
        <w:rPr/>
        <w:t>Combate</w:t>
      </w:r>
      <w:r>
        <w:rPr>
          <w:spacing w:val="-17"/>
        </w:rPr>
        <w:t> </w:t>
      </w:r>
      <w:r>
        <w:rPr/>
        <w:t>a</w:t>
      </w:r>
      <w:r>
        <w:rPr>
          <w:spacing w:val="-21"/>
        </w:rPr>
        <w:t> </w:t>
      </w:r>
      <w:r>
        <w:rPr/>
        <w:t>la</w:t>
      </w:r>
      <w:r>
        <w:rPr>
          <w:spacing w:val="-21"/>
        </w:rPr>
        <w:t> </w:t>
      </w:r>
      <w:r>
        <w:rPr/>
        <w:t>Corrupción</w:t>
      </w:r>
      <w:r>
        <w:rPr>
          <w:spacing w:val="-21"/>
        </w:rPr>
        <w:t> </w:t>
      </w:r>
      <w:r>
        <w:rPr/>
        <w:t>evidenció</w:t>
      </w:r>
      <w:r>
        <w:rPr>
          <w:spacing w:val="-21"/>
        </w:rPr>
        <w:t> </w:t>
      </w:r>
      <w:r>
        <w:rPr/>
        <w:t>algunas de las causas de los escasos resultados de la política anticorrupción en México en un periodo de 30</w:t>
      </w:r>
      <w:r>
        <w:rPr>
          <w:spacing w:val="-11"/>
        </w:rPr>
        <w:t> </w:t>
      </w:r>
      <w:r>
        <w:rPr/>
        <w:t>años.</w:t>
      </w: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9928;mso-wrap-distance-left:0;mso-wrap-distance-right:0" from="85.025002pt,9.585858pt" to="229.075002pt,9.585858pt" stroked="true" strokeweight=".79999pt" strokecolor="#000000">
            <w10:wrap type="topAndBottom"/>
          </v:line>
        </w:pict>
      </w:r>
    </w:p>
    <w:p>
      <w:pPr>
        <w:spacing w:before="65"/>
        <w:ind w:left="120" w:right="0" w:firstLine="0"/>
        <w:jc w:val="left"/>
        <w:rPr>
          <w:sz w:val="16"/>
        </w:rPr>
      </w:pPr>
      <w:r>
        <w:rPr>
          <w:rFonts w:ascii="Calibri"/>
          <w:position w:val="8"/>
          <w:sz w:val="14"/>
        </w:rPr>
        <w:t>143</w:t>
      </w:r>
      <w:r>
        <w:rPr>
          <w:sz w:val="16"/>
        </w:rPr>
        <w:t>Disponible en:</w:t>
      </w:r>
    </w:p>
    <w:p>
      <w:pPr>
        <w:spacing w:before="20"/>
        <w:ind w:left="120" w:right="1861" w:firstLine="0"/>
        <w:jc w:val="left"/>
        <w:rPr>
          <w:sz w:val="16"/>
        </w:rPr>
      </w:pPr>
      <w:hyperlink r:id="rId200">
        <w:r>
          <w:rPr>
            <w:color w:val="0000FF"/>
            <w:sz w:val="16"/>
            <w:u w:val="single" w:color="0000FF"/>
          </w:rPr>
          <w:t>http://www.proceso.com.mx/?p=196737</w:t>
        </w:r>
        <w:r>
          <w:rPr>
            <w:sz w:val="16"/>
          </w:rPr>
          <w:t>;</w:t>
        </w:r>
      </w:hyperlink>
      <w:r>
        <w:rPr>
          <w:sz w:val="16"/>
        </w:rPr>
        <w:t> </w:t>
      </w:r>
      <w:hyperlink r:id="rId201">
        <w:r>
          <w:rPr>
            <w:color w:val="0000FF"/>
            <w:sz w:val="16"/>
            <w:u w:val="single" w:color="0000FF"/>
          </w:rPr>
          <w:t>http://www.elmanana.com.mx/notas.asp?id=40393</w:t>
        </w:r>
        <w:r>
          <w:rPr>
            <w:sz w:val="16"/>
          </w:rPr>
          <w:t>;</w:t>
        </w:r>
      </w:hyperlink>
      <w:r>
        <w:rPr>
          <w:sz w:val="16"/>
        </w:rPr>
        <w:t> y </w:t>
      </w:r>
      <w:hyperlink r:id="rId202">
        <w:r>
          <w:rPr>
            <w:color w:val="0000FF"/>
            <w:sz w:val="16"/>
            <w:u w:val="single" w:color="0000FF"/>
          </w:rPr>
          <w:t>http://www.elporvenir.com.mx/notas.asp?nota_id=193873</w:t>
        </w:r>
        <w:r>
          <w:rPr>
            <w:sz w:val="16"/>
          </w:rPr>
          <w:t>.</w:t>
        </w:r>
      </w:hyperlink>
      <w:r>
        <w:rPr>
          <w:sz w:val="16"/>
        </w:rPr>
        <w:t> [Fecha de consulta: 6 de junio de 2012]</w:t>
      </w:r>
    </w:p>
    <w:p>
      <w:pPr>
        <w:spacing w:after="0"/>
        <w:jc w:val="left"/>
        <w:rPr>
          <w:sz w:val="16"/>
        </w:rPr>
        <w:sectPr>
          <w:pgSz w:w="11910" w:h="16840"/>
          <w:pgMar w:header="0" w:footer="998" w:top="1340" w:bottom="1180" w:left="1580" w:right="1360"/>
        </w:sectPr>
      </w:pPr>
    </w:p>
    <w:p>
      <w:pPr>
        <w:pStyle w:val="BodyText"/>
        <w:spacing w:line="362" w:lineRule="auto" w:before="39"/>
        <w:ind w:left="120" w:right="86" w:firstLine="427"/>
      </w:pPr>
      <w:r>
        <w:rPr/>
        <w:t>La revisión se realizó conforme a los procesos nacionales e internacionales establecidos para el examen de la corrupción:</w:t>
      </w:r>
    </w:p>
    <w:p>
      <w:pPr>
        <w:pStyle w:val="BodyText"/>
        <w:spacing w:before="7"/>
        <w:rPr>
          <w:sz w:val="35"/>
        </w:rPr>
      </w:pPr>
    </w:p>
    <w:p>
      <w:pPr>
        <w:pStyle w:val="ListParagraph"/>
        <w:numPr>
          <w:ilvl w:val="3"/>
          <w:numId w:val="69"/>
        </w:numPr>
        <w:tabs>
          <w:tab w:pos="909" w:val="left" w:leader="none"/>
        </w:tabs>
        <w:spacing w:line="240" w:lineRule="auto" w:before="0" w:after="0"/>
        <w:ind w:left="909" w:right="0" w:hanging="361"/>
        <w:jc w:val="left"/>
        <w:rPr>
          <w:sz w:val="16"/>
        </w:rPr>
      </w:pPr>
      <w:r>
        <w:rPr>
          <w:sz w:val="24"/>
        </w:rPr>
        <w:t>Prevención,</w:t>
      </w:r>
      <w:r>
        <w:rPr>
          <w:spacing w:val="-7"/>
          <w:sz w:val="24"/>
        </w:rPr>
        <w:t> </w:t>
      </w:r>
      <w:r>
        <w:rPr>
          <w:position w:val="8"/>
          <w:sz w:val="16"/>
        </w:rPr>
        <w:t>144</w:t>
      </w:r>
    </w:p>
    <w:p>
      <w:pPr>
        <w:pStyle w:val="ListParagraph"/>
        <w:numPr>
          <w:ilvl w:val="3"/>
          <w:numId w:val="69"/>
        </w:numPr>
        <w:tabs>
          <w:tab w:pos="909" w:val="left" w:leader="none"/>
        </w:tabs>
        <w:spacing w:line="240" w:lineRule="auto" w:before="131" w:after="0"/>
        <w:ind w:left="909" w:right="0" w:hanging="361"/>
        <w:jc w:val="left"/>
        <w:rPr>
          <w:sz w:val="16"/>
        </w:rPr>
      </w:pPr>
      <w:r>
        <w:rPr>
          <w:sz w:val="24"/>
        </w:rPr>
        <w:t>detección,</w:t>
      </w:r>
      <w:r>
        <w:rPr>
          <w:position w:val="8"/>
          <w:sz w:val="16"/>
        </w:rPr>
        <w:t>145</w:t>
      </w:r>
    </w:p>
    <w:p>
      <w:pPr>
        <w:pStyle w:val="ListParagraph"/>
        <w:numPr>
          <w:ilvl w:val="3"/>
          <w:numId w:val="69"/>
        </w:numPr>
        <w:tabs>
          <w:tab w:pos="909" w:val="left" w:leader="none"/>
        </w:tabs>
        <w:spacing w:line="240" w:lineRule="auto" w:before="135" w:after="0"/>
        <w:ind w:left="909" w:right="0" w:hanging="361"/>
        <w:jc w:val="left"/>
        <w:rPr>
          <w:sz w:val="24"/>
        </w:rPr>
      </w:pPr>
      <w:r>
        <w:rPr>
          <w:sz w:val="24"/>
        </w:rPr>
        <w:t>procuración de justicia (investigación)</w:t>
      </w:r>
      <w:r>
        <w:rPr>
          <w:position w:val="8"/>
          <w:sz w:val="16"/>
        </w:rPr>
        <w:t>146</w:t>
      </w:r>
      <w:r>
        <w:rPr>
          <w:spacing w:val="-1"/>
          <w:position w:val="8"/>
          <w:sz w:val="16"/>
        </w:rPr>
        <w:t> </w:t>
      </w:r>
      <w:r>
        <w:rPr>
          <w:sz w:val="24"/>
        </w:rPr>
        <w:t>e</w:t>
      </w:r>
    </w:p>
    <w:p>
      <w:pPr>
        <w:pStyle w:val="ListParagraph"/>
        <w:numPr>
          <w:ilvl w:val="3"/>
          <w:numId w:val="69"/>
        </w:numPr>
        <w:tabs>
          <w:tab w:pos="909" w:val="left" w:leader="none"/>
        </w:tabs>
        <w:spacing w:line="240" w:lineRule="auto" w:before="131" w:after="0"/>
        <w:ind w:left="909" w:right="0" w:hanging="361"/>
        <w:jc w:val="left"/>
        <w:rPr>
          <w:sz w:val="16"/>
        </w:rPr>
      </w:pPr>
      <w:r>
        <w:rPr>
          <w:sz w:val="24"/>
        </w:rPr>
        <w:t>impartición de justicia</w:t>
      </w:r>
      <w:r>
        <w:rPr>
          <w:spacing w:val="-14"/>
          <w:sz w:val="24"/>
        </w:rPr>
        <w:t> </w:t>
      </w:r>
      <w:r>
        <w:rPr>
          <w:sz w:val="24"/>
        </w:rPr>
        <w:t>(sanción).</w:t>
      </w:r>
      <w:r>
        <w:rPr>
          <w:position w:val="8"/>
          <w:sz w:val="16"/>
        </w:rPr>
        <w:t>147</w:t>
      </w:r>
    </w:p>
    <w:p>
      <w:pPr>
        <w:pStyle w:val="BodyText"/>
        <w:rPr>
          <w:sz w:val="26"/>
        </w:rPr>
      </w:pPr>
    </w:p>
    <w:p>
      <w:pPr>
        <w:pStyle w:val="BodyText"/>
        <w:spacing w:line="357" w:lineRule="auto" w:before="221"/>
        <w:ind w:left="120" w:right="86" w:firstLine="427"/>
      </w:pPr>
      <w:r>
        <w:rPr/>
        <w:t>En forma resumida, los procesos comprenden los subprocesos y acciones siguientes: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9952;mso-wrap-distance-left:0;mso-wrap-distance-right:0" from="85.025002pt,16.22117pt" to="229.075002pt,16.22117pt" stroked="true" strokeweight=".80005pt" strokecolor="#000000">
            <w10:wrap type="topAndBottom"/>
          </v:line>
        </w:pict>
      </w:r>
    </w:p>
    <w:p>
      <w:pPr>
        <w:spacing w:line="256" w:lineRule="auto" w:before="59"/>
        <w:ind w:left="120" w:right="86" w:firstLine="0"/>
        <w:jc w:val="left"/>
        <w:rPr>
          <w:sz w:val="16"/>
        </w:rPr>
      </w:pPr>
      <w:r>
        <w:rPr>
          <w:rFonts w:ascii="Times New Roman" w:hAnsi="Times New Roman"/>
          <w:position w:val="7"/>
          <w:sz w:val="13"/>
        </w:rPr>
        <w:t>144</w:t>
      </w:r>
      <w:r>
        <w:rPr>
          <w:sz w:val="16"/>
        </w:rPr>
        <w:t>Se orienta a evitar actos de corrupción mediante una administración más efectiva (ordenamientos que reflejan el imperio de la ley).</w:t>
      </w:r>
    </w:p>
    <w:p>
      <w:pPr>
        <w:spacing w:line="192" w:lineRule="exact" w:before="20"/>
        <w:ind w:left="120" w:right="86" w:firstLine="0"/>
        <w:jc w:val="left"/>
        <w:rPr>
          <w:sz w:val="16"/>
        </w:rPr>
      </w:pPr>
      <w:r>
        <w:rPr>
          <w:rFonts w:ascii="Times New Roman" w:hAnsi="Times New Roman"/>
          <w:position w:val="7"/>
          <w:sz w:val="13"/>
        </w:rPr>
        <w:t>145</w:t>
      </w:r>
      <w:r>
        <w:rPr>
          <w:sz w:val="16"/>
        </w:rPr>
        <w:t>Se refiere a descubrir o recoger evidencias o pruebas de las conductas irregulares de los servidores públicos; hacer más efectivos los mecanismos de revisión.</w:t>
      </w:r>
    </w:p>
    <w:p>
      <w:pPr>
        <w:spacing w:line="196" w:lineRule="exact" w:before="25"/>
        <w:ind w:left="120" w:right="99" w:firstLine="0"/>
        <w:jc w:val="left"/>
        <w:rPr>
          <w:sz w:val="16"/>
        </w:rPr>
      </w:pPr>
      <w:r>
        <w:rPr>
          <w:rFonts w:ascii="Times New Roman" w:hAnsi="Times New Roman"/>
          <w:position w:val="7"/>
          <w:sz w:val="13"/>
        </w:rPr>
        <w:t>146</w:t>
      </w:r>
      <w:r>
        <w:rPr>
          <w:sz w:val="16"/>
        </w:rPr>
        <w:t>Se relaciona con el algoritmo acreditación de los delitos cometidos con las pruebas periciales competentes dividido en los aspectos administrativo y penal.</w:t>
      </w:r>
    </w:p>
    <w:p>
      <w:pPr>
        <w:spacing w:line="192" w:lineRule="exact" w:before="27"/>
        <w:ind w:left="120" w:right="86" w:firstLine="0"/>
        <w:jc w:val="left"/>
        <w:rPr>
          <w:sz w:val="16"/>
        </w:rPr>
      </w:pPr>
      <w:r>
        <w:rPr>
          <w:rFonts w:ascii="Times New Roman" w:hAnsi="Times New Roman"/>
          <w:position w:val="7"/>
          <w:sz w:val="13"/>
        </w:rPr>
        <w:t>147</w:t>
      </w:r>
      <w:r>
        <w:rPr>
          <w:sz w:val="16"/>
        </w:rPr>
        <w:t>Preservar el ejercicio de una justicia pronta, expedita e imparcial, comprometida con la sociedad, con la cual se contribuya al continuo desarrollo de la nación.</w:t>
      </w:r>
    </w:p>
    <w:p>
      <w:pPr>
        <w:spacing w:after="0" w:line="192" w:lineRule="exact"/>
        <w:jc w:val="left"/>
        <w:rPr>
          <w:sz w:val="16"/>
        </w:rPr>
        <w:sectPr>
          <w:pgSz w:w="11910" w:h="16840"/>
          <w:pgMar w:header="0" w:footer="998" w:top="1360" w:bottom="1180" w:left="1580" w:right="1600"/>
        </w:sectPr>
      </w:pPr>
    </w:p>
    <w:p>
      <w:pPr>
        <w:spacing w:before="57"/>
        <w:ind w:left="362" w:right="380" w:firstLine="0"/>
        <w:jc w:val="center"/>
        <w:rPr>
          <w:sz w:val="20"/>
        </w:rPr>
      </w:pPr>
      <w:bookmarkStart w:name="_bookmark83" w:id="112"/>
      <w:bookmarkEnd w:id="112"/>
      <w:r>
        <w:rPr/>
      </w:r>
      <w:r>
        <w:rPr>
          <w:sz w:val="20"/>
        </w:rPr>
        <w:t>Esquema 4. 3. Procesos evaluados de la política de combate a la corrupción, 1983-2013</w:t>
      </w:r>
    </w:p>
    <w:p>
      <w:pPr>
        <w:pStyle w:val="BodyText"/>
        <w:spacing w:before="4"/>
        <w:rPr>
          <w:sz w:val="14"/>
        </w:rPr>
      </w:pPr>
      <w:r>
        <w:rPr/>
        <w:pict>
          <v:group style="position:absolute;margin-left:94.800003pt;margin-top:10.206302pt;width:405pt;height:453.1pt;mso-position-horizontal-relative:page;mso-position-vertical-relative:paragraph;z-index:10288;mso-wrap-distance-left:0;mso-wrap-distance-right:0" coordorigin="1896,204" coordsize="8100,9062">
            <v:shape style="position:absolute;left:1896;top:205;width:8100;height:9060" type="#_x0000_t75" stroked="false">
              <v:imagedata r:id="rId203" o:title=""/>
            </v:shape>
            <v:shape style="position:absolute;left:1978;top:204;width:7934;height:8971" type="#_x0000_t75" stroked="false">
              <v:imagedata r:id="rId204" o:title=""/>
            </v:shape>
            <v:rect style="position:absolute;left:1978;top:204;width:7924;height:8940" filled="true" fillcolor="#d9d9d9" stroked="false">
              <v:fill type="solid"/>
            </v:rect>
            <v:line style="position:absolute" from="2684,931" to="8807,985" stroked="true" strokeweight=".738369pt" strokecolor="#005da1"/>
            <v:line style="position:absolute" from="2700,1016" to="2700,1354" stroked="true" strokeweight=".467464pt" strokecolor="#005da1"/>
            <v:line style="position:absolute" from="8800,970" to="8800,1347" stroked="true" strokeweight=".467464pt" strokecolor="#005da1"/>
            <v:rect style="position:absolute;left:3823;top:402;width:4860;height:318" filled="true" fillcolor="#000000" stroked="false">
              <v:fill type="solid"/>
            </v:rect>
            <v:rect style="position:absolute;left:2040;top:4147;width:1633;height:4899" filled="true" fillcolor="#ffffff" stroked="false">
              <v:fill type="solid"/>
            </v:rect>
            <v:rect style="position:absolute;left:3998;top:1354;width:1755;height:1859" filled="true" fillcolor="#ffffff" stroked="false">
              <v:fill type="solid"/>
            </v:rect>
            <v:rect style="position:absolute;left:3998;top:1354;width:1755;height:1859" filled="false" stroked="true" strokeweight=".148792pt" strokecolor="#005da1"/>
            <v:rect style="position:absolute;left:5965;top:1376;width:1726;height:1859" filled="true" fillcolor="#ffffff" stroked="false">
              <v:fill type="solid"/>
            </v:rect>
            <v:rect style="position:absolute;left:5965;top:1376;width:1726;height:1859" filled="false" stroked="true" strokeweight=".148226pt" strokecolor="#005da1"/>
            <v:rect style="position:absolute;left:2056;top:1354;width:1676;height:2354" filled="true" fillcolor="#ffffff" stroked="false">
              <v:fill type="solid"/>
            </v:rect>
            <v:rect style="position:absolute;left:2056;top:1354;width:1676;height:2354" filled="false" stroked="true" strokeweight=".139653pt" strokecolor="#005da1"/>
            <v:shape style="position:absolute;left:2482;top:3529;width:672;height:556" type="#_x0000_t75" stroked="false">
              <v:imagedata r:id="rId205" o:title=""/>
            </v:shape>
            <v:shape style="position:absolute;left:4582;top:3034;width:564;height:1050" type="#_x0000_t75" stroked="false">
              <v:imagedata r:id="rId206" o:title=""/>
            </v:shape>
            <v:shape style="position:absolute;left:6601;top:3100;width:542;height:962" type="#_x0000_t75" stroked="false">
              <v:imagedata r:id="rId207" o:title=""/>
            </v:shape>
            <v:rect style="position:absolute;left:3900;top:4107;width:1634;height:4929" filled="true" fillcolor="#ffffff" stroked="false">
              <v:fill type="solid"/>
            </v:rect>
            <v:rect style="position:absolute;left:7862;top:1347;width:1726;height:1859" filled="true" fillcolor="#ffffff" stroked="false">
              <v:fill type="solid"/>
            </v:rect>
            <v:rect style="position:absolute;left:7862;top:1347;width:1726;height:1859" filled="false" stroked="true" strokeweight=".148226pt" strokecolor="#005da1"/>
            <v:rect style="position:absolute;left:6049;top:4107;width:1638;height:4814" filled="true" fillcolor="#ffffff" stroked="false">
              <v:fill type="solid"/>
            </v:rect>
            <v:shape style="position:absolute;left:8556;top:3104;width:542;height:962" type="#_x0000_t75" stroked="false">
              <v:imagedata r:id="rId207" o:title=""/>
            </v:shape>
            <v:rect style="position:absolute;left:8041;top:4084;width:1634;height:4825" filled="true" fillcolor="#ffffff" stroked="false">
              <v:fill type="solid"/>
            </v:rect>
            <v:line style="position:absolute" from="6955,998" to="6955,1413" stroked="true" strokeweight=".467464pt" strokecolor="#005da1"/>
            <v:line style="position:absolute" from="4918,974" to="4918,1402" stroked="true" strokeweight=".467464pt" strokecolor="#005da1"/>
            <v:shape style="position:absolute;left:3998;top:1354;width:1756;height:1859" type="#_x0000_t202" filled="false" stroked="false">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5"/>
                      <w:rPr>
                        <w:sz w:val="18"/>
                      </w:rPr>
                    </w:pPr>
                  </w:p>
                  <w:p>
                    <w:pPr>
                      <w:spacing w:line="158" w:lineRule="exact" w:before="0"/>
                      <w:ind w:left="70" w:right="583" w:firstLine="0"/>
                      <w:jc w:val="left"/>
                      <w:rPr>
                        <w:sz w:val="14"/>
                      </w:rPr>
                    </w:pPr>
                    <w:r>
                      <w:rPr>
                        <w:w w:val="65"/>
                        <w:sz w:val="14"/>
                      </w:rPr>
                      <w:t>1 Sistemas de inteligencia. 2 Desarrollo de auditorías.</w:t>
                    </w:r>
                  </w:p>
                  <w:p>
                    <w:pPr>
                      <w:numPr>
                        <w:ilvl w:val="0"/>
                        <w:numId w:val="75"/>
                      </w:numPr>
                      <w:tabs>
                        <w:tab w:pos="145" w:val="left" w:leader="none"/>
                      </w:tabs>
                      <w:spacing w:line="158" w:lineRule="exact" w:before="2"/>
                      <w:ind w:left="70" w:right="387" w:firstLine="0"/>
                      <w:jc w:val="left"/>
                      <w:rPr>
                        <w:sz w:val="14"/>
                      </w:rPr>
                    </w:pPr>
                    <w:r>
                      <w:rPr>
                        <w:w w:val="65"/>
                        <w:sz w:val="14"/>
                      </w:rPr>
                      <w:t>Monitoreo</w:t>
                    </w:r>
                    <w:r>
                      <w:rPr>
                        <w:spacing w:val="-13"/>
                        <w:w w:val="65"/>
                        <w:sz w:val="14"/>
                      </w:rPr>
                      <w:t> </w:t>
                    </w:r>
                    <w:r>
                      <w:rPr>
                        <w:w w:val="65"/>
                        <w:sz w:val="14"/>
                      </w:rPr>
                      <w:t>del</w:t>
                    </w:r>
                    <w:r>
                      <w:rPr>
                        <w:spacing w:val="-13"/>
                        <w:w w:val="65"/>
                        <w:sz w:val="14"/>
                      </w:rPr>
                      <w:t> </w:t>
                    </w:r>
                    <w:r>
                      <w:rPr>
                        <w:w w:val="65"/>
                        <w:sz w:val="14"/>
                      </w:rPr>
                      <w:t>patrimonio</w:t>
                    </w:r>
                    <w:r>
                      <w:rPr>
                        <w:spacing w:val="-14"/>
                        <w:w w:val="65"/>
                        <w:sz w:val="14"/>
                      </w:rPr>
                      <w:t> </w:t>
                    </w:r>
                    <w:r>
                      <w:rPr>
                        <w:w w:val="65"/>
                        <w:sz w:val="14"/>
                      </w:rPr>
                      <w:t>de</w:t>
                    </w:r>
                    <w:r>
                      <w:rPr>
                        <w:spacing w:val="-13"/>
                        <w:w w:val="65"/>
                        <w:sz w:val="14"/>
                      </w:rPr>
                      <w:t> </w:t>
                    </w:r>
                    <w:r>
                      <w:rPr>
                        <w:w w:val="65"/>
                        <w:sz w:val="14"/>
                      </w:rPr>
                      <w:t>los </w:t>
                    </w:r>
                    <w:r>
                      <w:rPr>
                        <w:w w:val="60"/>
                        <w:sz w:val="14"/>
                      </w:rPr>
                      <w:t>servidores </w:t>
                    </w:r>
                    <w:r>
                      <w:rPr>
                        <w:spacing w:val="5"/>
                        <w:w w:val="60"/>
                        <w:sz w:val="14"/>
                      </w:rPr>
                      <w:t> </w:t>
                    </w:r>
                    <w:r>
                      <w:rPr>
                        <w:w w:val="60"/>
                        <w:sz w:val="14"/>
                      </w:rPr>
                      <w:t>públicos.</w:t>
                    </w:r>
                  </w:p>
                  <w:p>
                    <w:pPr>
                      <w:numPr>
                        <w:ilvl w:val="0"/>
                        <w:numId w:val="75"/>
                      </w:numPr>
                      <w:tabs>
                        <w:tab w:pos="145" w:val="left" w:leader="none"/>
                      </w:tabs>
                      <w:spacing w:line="157" w:lineRule="exact" w:before="0"/>
                      <w:ind w:left="144" w:right="0" w:hanging="74"/>
                      <w:jc w:val="left"/>
                      <w:rPr>
                        <w:sz w:val="14"/>
                      </w:rPr>
                    </w:pPr>
                    <w:r>
                      <w:rPr>
                        <w:w w:val="60"/>
                        <w:sz w:val="14"/>
                      </w:rPr>
                      <w:t>Denuncia </w:t>
                    </w:r>
                    <w:r>
                      <w:rPr>
                        <w:spacing w:val="7"/>
                        <w:w w:val="60"/>
                        <w:sz w:val="14"/>
                      </w:rPr>
                      <w:t> </w:t>
                    </w:r>
                    <w:r>
                      <w:rPr>
                        <w:w w:val="60"/>
                        <w:sz w:val="14"/>
                      </w:rPr>
                      <w:t>ciudadana.</w:t>
                    </w:r>
                  </w:p>
                </w:txbxContent>
              </v:textbox>
              <w10:wrap type="none"/>
            </v:shape>
            <v:shape style="position:absolute;left:5965;top:1376;width:1727;height:1859" type="#_x0000_t202" filled="false" stroked="false">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8"/>
                      </w:rPr>
                    </w:pPr>
                  </w:p>
                  <w:p>
                    <w:pPr>
                      <w:numPr>
                        <w:ilvl w:val="0"/>
                        <w:numId w:val="76"/>
                      </w:numPr>
                      <w:tabs>
                        <w:tab w:pos="145" w:val="left" w:leader="none"/>
                      </w:tabs>
                      <w:spacing w:line="160" w:lineRule="exact" w:before="0"/>
                      <w:ind w:left="144" w:right="0" w:hanging="74"/>
                      <w:jc w:val="left"/>
                      <w:rPr>
                        <w:sz w:val="14"/>
                      </w:rPr>
                    </w:pPr>
                    <w:r>
                      <w:rPr>
                        <w:w w:val="60"/>
                        <w:sz w:val="14"/>
                      </w:rPr>
                      <w:t>Investigación </w:t>
                    </w:r>
                    <w:r>
                      <w:rPr>
                        <w:spacing w:val="15"/>
                        <w:w w:val="60"/>
                        <w:sz w:val="14"/>
                      </w:rPr>
                      <w:t> </w:t>
                    </w:r>
                    <w:r>
                      <w:rPr>
                        <w:w w:val="60"/>
                        <w:sz w:val="14"/>
                      </w:rPr>
                      <w:t>administrativa.</w:t>
                    </w:r>
                  </w:p>
                  <w:p>
                    <w:pPr>
                      <w:numPr>
                        <w:ilvl w:val="0"/>
                        <w:numId w:val="76"/>
                      </w:numPr>
                      <w:tabs>
                        <w:tab w:pos="145" w:val="left" w:leader="none"/>
                      </w:tabs>
                      <w:spacing w:line="160" w:lineRule="exact" w:before="0"/>
                      <w:ind w:left="144" w:right="0" w:hanging="74"/>
                      <w:jc w:val="left"/>
                      <w:rPr>
                        <w:sz w:val="14"/>
                      </w:rPr>
                    </w:pPr>
                    <w:r>
                      <w:rPr>
                        <w:w w:val="60"/>
                        <w:sz w:val="14"/>
                      </w:rPr>
                      <w:t>Investigación </w:t>
                    </w:r>
                    <w:r>
                      <w:rPr>
                        <w:spacing w:val="3"/>
                        <w:w w:val="60"/>
                        <w:sz w:val="14"/>
                      </w:rPr>
                      <w:t> </w:t>
                    </w:r>
                    <w:r>
                      <w:rPr>
                        <w:w w:val="60"/>
                        <w:sz w:val="14"/>
                      </w:rPr>
                      <w:t>penal.</w:t>
                    </w:r>
                  </w:p>
                </w:txbxContent>
              </v:textbox>
              <w10:wrap type="none"/>
            </v:shape>
            <v:shape style="position:absolute;left:3823;top:402;width:4861;height:318" type="#_x0000_t202" filled="true" fillcolor="#000000" stroked="true" strokeweight=".184482pt" strokecolor="#4f81bc">
              <v:textbox inset="0,0,0,0">
                <w:txbxContent>
                  <w:p>
                    <w:pPr>
                      <w:spacing w:before="57"/>
                      <w:ind w:left="1274" w:right="0" w:firstLine="0"/>
                      <w:jc w:val="left"/>
                      <w:rPr>
                        <w:b/>
                        <w:sz w:val="15"/>
                      </w:rPr>
                    </w:pPr>
                    <w:r>
                      <w:rPr>
                        <w:b/>
                        <w:color w:val="FFFFFF"/>
                        <w:w w:val="65"/>
                        <w:sz w:val="15"/>
                      </w:rPr>
                      <w:t>Pocesos de la política de combate a la corrupción</w:t>
                    </w:r>
                  </w:p>
                </w:txbxContent>
              </v:textbox>
              <v:fill type="solid"/>
              <w10:wrap type="none"/>
            </v:shape>
            <v:shape style="position:absolute;left:2109;top:1451;width:1556;height:368" type="#_x0000_t202" filled="true" fillcolor="#000000" stroked="false">
              <v:textbox inset="0,0,0,0">
                <w:txbxContent>
                  <w:p>
                    <w:pPr>
                      <w:spacing w:before="93"/>
                      <w:ind w:left="514" w:right="0" w:firstLine="0"/>
                      <w:jc w:val="left"/>
                      <w:rPr>
                        <w:b/>
                        <w:sz w:val="15"/>
                      </w:rPr>
                    </w:pPr>
                    <w:r>
                      <w:rPr>
                        <w:b/>
                        <w:color w:val="FFFFFF"/>
                        <w:w w:val="75"/>
                        <w:sz w:val="15"/>
                      </w:rPr>
                      <w:t>Prevención</w:t>
                    </w:r>
                  </w:p>
                </w:txbxContent>
              </v:textbox>
              <v:fill type="solid"/>
              <w10:wrap type="none"/>
            </v:shape>
            <v:shape style="position:absolute;left:4096;top:1484;width:1563;height:375" type="#_x0000_t202" filled="true" fillcolor="#000000" stroked="false">
              <v:textbox inset="0,0,0,0">
                <w:txbxContent>
                  <w:p>
                    <w:pPr>
                      <w:spacing w:before="98"/>
                      <w:ind w:left="492" w:right="493" w:firstLine="0"/>
                      <w:jc w:val="center"/>
                      <w:rPr>
                        <w:b/>
                        <w:sz w:val="15"/>
                      </w:rPr>
                    </w:pPr>
                    <w:r>
                      <w:rPr>
                        <w:b/>
                        <w:color w:val="FFFFFF"/>
                        <w:w w:val="75"/>
                        <w:sz w:val="15"/>
                      </w:rPr>
                      <w:t>Detección</w:t>
                    </w:r>
                  </w:p>
                </w:txbxContent>
              </v:textbox>
              <v:fill type="solid"/>
              <w10:wrap type="none"/>
            </v:shape>
            <v:shape style="position:absolute;left:7942;top:1489;width:1537;height:514" type="#_x0000_t202" filled="true" fillcolor="#000000" stroked="true" strokeweight=".545099pt" strokecolor="#005da1">
              <v:textbox inset="0,0,0,0">
                <w:txbxContent>
                  <w:p>
                    <w:pPr>
                      <w:spacing w:line="249" w:lineRule="auto" w:before="53"/>
                      <w:ind w:left="419" w:right="238" w:hanging="170"/>
                      <w:jc w:val="left"/>
                      <w:rPr>
                        <w:b/>
                        <w:sz w:val="15"/>
                      </w:rPr>
                    </w:pPr>
                    <w:r>
                      <w:rPr>
                        <w:b/>
                        <w:color w:val="FFFFFF"/>
                        <w:w w:val="65"/>
                        <w:sz w:val="15"/>
                      </w:rPr>
                      <w:t>Impartición de justicia </w:t>
                    </w:r>
                    <w:r>
                      <w:rPr>
                        <w:b/>
                        <w:color w:val="FFFFFF"/>
                        <w:w w:val="75"/>
                        <w:sz w:val="15"/>
                      </w:rPr>
                      <w:t>(Investigación)</w:t>
                    </w:r>
                  </w:p>
                </w:txbxContent>
              </v:textbox>
              <v:fill type="solid"/>
              <w10:wrap type="none"/>
            </v:shape>
            <v:shape style="position:absolute;left:6059;top:1474;width:1537;height:514" type="#_x0000_t202" filled="true" fillcolor="#000000" stroked="true" strokeweight=".545099pt" strokecolor="#005da1">
              <v:textbox inset="0,0,0,0">
                <w:txbxContent>
                  <w:p>
                    <w:pPr>
                      <w:spacing w:line="249" w:lineRule="auto" w:before="53"/>
                      <w:ind w:left="419" w:right="217" w:hanging="192"/>
                      <w:jc w:val="left"/>
                      <w:rPr>
                        <w:b/>
                        <w:sz w:val="15"/>
                      </w:rPr>
                    </w:pPr>
                    <w:r>
                      <w:rPr>
                        <w:b/>
                        <w:color w:val="FFFFFF"/>
                        <w:w w:val="65"/>
                        <w:sz w:val="15"/>
                      </w:rPr>
                      <w:t>Procuración de justicia </w:t>
                    </w:r>
                    <w:r>
                      <w:rPr>
                        <w:b/>
                        <w:color w:val="FFFFFF"/>
                        <w:w w:val="75"/>
                        <w:sz w:val="15"/>
                      </w:rPr>
                      <w:t>(Investigación)</w:t>
                    </w:r>
                  </w:p>
                </w:txbxContent>
              </v:textbox>
              <v:fill type="solid"/>
              <w10:wrap type="none"/>
            </v:shape>
            <v:shape style="position:absolute;left:8041;top:4084;width:1634;height:4826" type="#_x0000_t202" filled="true" fillcolor="#ffffff" stroked="true" strokeweight=".13193pt" strokecolor="#005da1">
              <v:textbox inset="0,0,0,0">
                <w:txbxContent>
                  <w:p>
                    <w:pPr>
                      <w:spacing w:before="52"/>
                      <w:ind w:left="624" w:right="66" w:firstLine="0"/>
                      <w:jc w:val="left"/>
                      <w:rPr>
                        <w:sz w:val="14"/>
                      </w:rPr>
                    </w:pPr>
                    <w:r>
                      <w:rPr>
                        <w:w w:val="75"/>
                        <w:sz w:val="14"/>
                      </w:rPr>
                      <w:t>Acciones:</w:t>
                    </w:r>
                  </w:p>
                  <w:p>
                    <w:pPr>
                      <w:spacing w:line="240" w:lineRule="auto" w:before="2"/>
                      <w:rPr>
                        <w:sz w:val="14"/>
                      </w:rPr>
                    </w:pPr>
                  </w:p>
                  <w:p>
                    <w:pPr>
                      <w:spacing w:line="158" w:lineRule="exact" w:before="0"/>
                      <w:ind w:left="86" w:right="84" w:firstLine="0"/>
                      <w:jc w:val="center"/>
                      <w:rPr>
                        <w:sz w:val="14"/>
                      </w:rPr>
                    </w:pPr>
                    <w:r>
                      <w:rPr>
                        <w:w w:val="65"/>
                        <w:sz w:val="14"/>
                      </w:rPr>
                      <w:t>Documentos de planeación de mediano y largo plazos de las </w:t>
                    </w:r>
                    <w:r>
                      <w:rPr>
                        <w:w w:val="60"/>
                        <w:sz w:val="14"/>
                      </w:rPr>
                      <w:t>sanciones :</w:t>
                    </w:r>
                  </w:p>
                  <w:p>
                    <w:pPr>
                      <w:spacing w:line="240" w:lineRule="auto" w:before="6"/>
                      <w:rPr>
                        <w:sz w:val="13"/>
                      </w:rPr>
                    </w:pPr>
                  </w:p>
                  <w:p>
                    <w:pPr>
                      <w:spacing w:line="160" w:lineRule="exact" w:before="1"/>
                      <w:ind w:left="1" w:right="0" w:firstLine="0"/>
                      <w:jc w:val="center"/>
                      <w:rPr>
                        <w:sz w:val="14"/>
                      </w:rPr>
                    </w:pPr>
                    <w:r>
                      <w:rPr>
                        <w:w w:val="62"/>
                        <w:sz w:val="14"/>
                      </w:rPr>
                      <w:t>1</w:t>
                    </w:r>
                  </w:p>
                  <w:p>
                    <w:pPr>
                      <w:spacing w:line="158" w:lineRule="exact" w:before="4"/>
                      <w:ind w:left="254" w:right="66" w:firstLine="262"/>
                      <w:jc w:val="left"/>
                      <w:rPr>
                        <w:sz w:val="14"/>
                      </w:rPr>
                    </w:pPr>
                    <w:r>
                      <w:rPr>
                        <w:w w:val="75"/>
                        <w:sz w:val="14"/>
                      </w:rPr>
                      <w:t>Administrativas </w:t>
                    </w:r>
                    <w:r>
                      <w:rPr>
                        <w:w w:val="65"/>
                        <w:sz w:val="14"/>
                      </w:rPr>
                      <w:t>(órganos internos de control)</w:t>
                    </w:r>
                  </w:p>
                  <w:p>
                    <w:pPr>
                      <w:spacing w:line="240" w:lineRule="auto" w:before="5"/>
                      <w:rPr>
                        <w:sz w:val="13"/>
                      </w:rPr>
                    </w:pPr>
                  </w:p>
                  <w:p>
                    <w:pPr>
                      <w:spacing w:line="161" w:lineRule="exact" w:before="0"/>
                      <w:ind w:left="1" w:right="0" w:firstLine="0"/>
                      <w:jc w:val="center"/>
                      <w:rPr>
                        <w:sz w:val="14"/>
                      </w:rPr>
                    </w:pPr>
                    <w:r>
                      <w:rPr>
                        <w:w w:val="62"/>
                        <w:sz w:val="14"/>
                      </w:rPr>
                      <w:t>2</w:t>
                    </w:r>
                  </w:p>
                  <w:p>
                    <w:pPr>
                      <w:spacing w:line="160" w:lineRule="exact" w:before="0"/>
                      <w:ind w:left="86" w:right="86" w:firstLine="0"/>
                      <w:jc w:val="center"/>
                      <w:rPr>
                        <w:sz w:val="14"/>
                      </w:rPr>
                    </w:pPr>
                    <w:r>
                      <w:rPr>
                        <w:w w:val="75"/>
                        <w:sz w:val="14"/>
                      </w:rPr>
                      <w:t>Penales</w:t>
                    </w:r>
                  </w:p>
                  <w:p>
                    <w:pPr>
                      <w:spacing w:line="160" w:lineRule="exact" w:before="0"/>
                      <w:ind w:left="86" w:right="86" w:firstLine="0"/>
                      <w:jc w:val="center"/>
                      <w:rPr>
                        <w:sz w:val="14"/>
                      </w:rPr>
                    </w:pPr>
                    <w:r>
                      <w:rPr>
                        <w:w w:val="65"/>
                        <w:sz w:val="14"/>
                      </w:rPr>
                      <w:t>(Ministerio Público y sus auxiliares)</w:t>
                    </w:r>
                  </w:p>
                </w:txbxContent>
              </v:textbox>
              <v:fill type="solid"/>
              <w10:wrap type="none"/>
            </v:shape>
            <v:shape style="position:absolute;left:3900;top:4107;width:1634;height:4929" type="#_x0000_t202" filled="true" fillcolor="#ffffff" stroked="true" strokeweight=".131439pt" strokecolor="#005da1">
              <v:textbox inset="0,0,0,0">
                <w:txbxContent>
                  <w:p>
                    <w:pPr>
                      <w:spacing w:before="52"/>
                      <w:ind w:left="86" w:right="86" w:firstLine="0"/>
                      <w:jc w:val="center"/>
                      <w:rPr>
                        <w:sz w:val="14"/>
                      </w:rPr>
                    </w:pPr>
                    <w:r>
                      <w:rPr>
                        <w:w w:val="75"/>
                        <w:sz w:val="14"/>
                      </w:rPr>
                      <w:t>Acciones:</w:t>
                    </w:r>
                  </w:p>
                  <w:p>
                    <w:pPr>
                      <w:spacing w:line="240" w:lineRule="auto" w:before="8"/>
                      <w:rPr>
                        <w:sz w:val="13"/>
                      </w:rPr>
                    </w:pPr>
                  </w:p>
                  <w:p>
                    <w:pPr>
                      <w:spacing w:line="160" w:lineRule="exact" w:before="1"/>
                      <w:ind w:left="0" w:right="0" w:firstLine="0"/>
                      <w:jc w:val="center"/>
                      <w:rPr>
                        <w:sz w:val="14"/>
                      </w:rPr>
                    </w:pPr>
                    <w:r>
                      <w:rPr>
                        <w:w w:val="62"/>
                        <w:sz w:val="14"/>
                      </w:rPr>
                      <w:t>1</w:t>
                    </w:r>
                  </w:p>
                  <w:p>
                    <w:pPr>
                      <w:spacing w:line="237" w:lineRule="auto" w:before="0"/>
                      <w:ind w:left="98" w:right="99" w:hanging="1"/>
                      <w:jc w:val="center"/>
                      <w:rPr>
                        <w:sz w:val="14"/>
                      </w:rPr>
                    </w:pPr>
                    <w:r>
                      <w:rPr>
                        <w:w w:val="65"/>
                        <w:sz w:val="14"/>
                      </w:rPr>
                      <w:t>Sistemas</w:t>
                    </w:r>
                    <w:r>
                      <w:rPr>
                        <w:spacing w:val="-12"/>
                        <w:w w:val="65"/>
                        <w:sz w:val="14"/>
                      </w:rPr>
                      <w:t> </w:t>
                    </w:r>
                    <w:r>
                      <w:rPr>
                        <w:w w:val="65"/>
                        <w:sz w:val="14"/>
                      </w:rPr>
                      <w:t>que</w:t>
                    </w:r>
                    <w:r>
                      <w:rPr>
                        <w:spacing w:val="-11"/>
                        <w:w w:val="65"/>
                        <w:sz w:val="14"/>
                      </w:rPr>
                      <w:t> </w:t>
                    </w:r>
                    <w:r>
                      <w:rPr>
                        <w:w w:val="65"/>
                        <w:sz w:val="14"/>
                      </w:rPr>
                      <w:t>faciliten</w:t>
                    </w:r>
                    <w:r>
                      <w:rPr>
                        <w:spacing w:val="-12"/>
                        <w:w w:val="65"/>
                        <w:sz w:val="14"/>
                      </w:rPr>
                      <w:t> </w:t>
                    </w:r>
                    <w:r>
                      <w:rPr>
                        <w:w w:val="65"/>
                        <w:sz w:val="14"/>
                      </w:rPr>
                      <w:t>el</w:t>
                    </w:r>
                    <w:r>
                      <w:rPr>
                        <w:spacing w:val="-10"/>
                        <w:w w:val="65"/>
                        <w:sz w:val="14"/>
                      </w:rPr>
                      <w:t> </w:t>
                    </w:r>
                    <w:r>
                      <w:rPr>
                        <w:w w:val="65"/>
                        <w:sz w:val="14"/>
                      </w:rPr>
                      <w:t>analisis</w:t>
                    </w:r>
                    <w:r>
                      <w:rPr>
                        <w:spacing w:val="-12"/>
                        <w:w w:val="65"/>
                        <w:sz w:val="14"/>
                      </w:rPr>
                      <w:t> </w:t>
                    </w:r>
                    <w:r>
                      <w:rPr>
                        <w:w w:val="65"/>
                        <w:sz w:val="14"/>
                      </w:rPr>
                      <w:t>de las</w:t>
                    </w:r>
                    <w:r>
                      <w:rPr>
                        <w:spacing w:val="-12"/>
                        <w:w w:val="65"/>
                        <w:sz w:val="14"/>
                      </w:rPr>
                      <w:t> </w:t>
                    </w:r>
                    <w:r>
                      <w:rPr>
                        <w:w w:val="65"/>
                        <w:sz w:val="14"/>
                      </w:rPr>
                      <w:t>tendencias</w:t>
                    </w:r>
                    <w:r>
                      <w:rPr>
                        <w:spacing w:val="-14"/>
                        <w:w w:val="65"/>
                        <w:sz w:val="14"/>
                      </w:rPr>
                      <w:t> </w:t>
                    </w:r>
                    <w:r>
                      <w:rPr>
                        <w:w w:val="65"/>
                        <w:sz w:val="14"/>
                      </w:rPr>
                      <w:t>de</w:t>
                    </w:r>
                    <w:r>
                      <w:rPr>
                        <w:spacing w:val="-12"/>
                        <w:w w:val="65"/>
                        <w:sz w:val="14"/>
                      </w:rPr>
                      <w:t> </w:t>
                    </w:r>
                    <w:r>
                      <w:rPr>
                        <w:w w:val="65"/>
                        <w:sz w:val="14"/>
                      </w:rPr>
                      <w:t>la</w:t>
                    </w:r>
                    <w:r>
                      <w:rPr>
                        <w:spacing w:val="-13"/>
                        <w:w w:val="65"/>
                        <w:sz w:val="14"/>
                      </w:rPr>
                      <w:t> </w:t>
                    </w:r>
                    <w:r>
                      <w:rPr>
                        <w:w w:val="65"/>
                        <w:sz w:val="14"/>
                      </w:rPr>
                      <w:t>corrupción,</w:t>
                    </w:r>
                    <w:r>
                      <w:rPr>
                        <w:spacing w:val="-14"/>
                        <w:w w:val="65"/>
                        <w:sz w:val="14"/>
                      </w:rPr>
                      <w:t> </w:t>
                    </w:r>
                    <w:r>
                      <w:rPr>
                        <w:w w:val="65"/>
                        <w:sz w:val="14"/>
                      </w:rPr>
                      <w:t>para establecer</w:t>
                    </w:r>
                    <w:r>
                      <w:rPr>
                        <w:spacing w:val="-16"/>
                        <w:w w:val="65"/>
                        <w:sz w:val="14"/>
                      </w:rPr>
                      <w:t> </w:t>
                    </w:r>
                    <w:r>
                      <w:rPr>
                        <w:w w:val="65"/>
                        <w:sz w:val="14"/>
                      </w:rPr>
                      <w:t>normas</w:t>
                    </w:r>
                    <w:r>
                      <w:rPr>
                        <w:spacing w:val="-15"/>
                        <w:w w:val="65"/>
                        <w:sz w:val="14"/>
                      </w:rPr>
                      <w:t> </w:t>
                    </w:r>
                    <w:r>
                      <w:rPr>
                        <w:w w:val="65"/>
                        <w:sz w:val="14"/>
                      </w:rPr>
                      <w:t>metodológicas</w:t>
                    </w:r>
                    <w:r>
                      <w:rPr>
                        <w:spacing w:val="-16"/>
                        <w:w w:val="65"/>
                        <w:sz w:val="14"/>
                      </w:rPr>
                      <w:t> </w:t>
                    </w:r>
                    <w:r>
                      <w:rPr>
                        <w:w w:val="65"/>
                        <w:sz w:val="14"/>
                      </w:rPr>
                      <w:t>y </w:t>
                    </w:r>
                    <w:r>
                      <w:rPr>
                        <w:w w:val="70"/>
                        <w:sz w:val="14"/>
                      </w:rPr>
                      <w:t>acciones coordinadas para </w:t>
                    </w:r>
                    <w:r>
                      <w:rPr>
                        <w:w w:val="75"/>
                        <w:sz w:val="14"/>
                      </w:rPr>
                      <w:t>combatirla.</w:t>
                    </w:r>
                  </w:p>
                  <w:p>
                    <w:pPr>
                      <w:spacing w:line="240" w:lineRule="auto" w:before="7"/>
                      <w:rPr>
                        <w:sz w:val="13"/>
                      </w:rPr>
                    </w:pPr>
                  </w:p>
                  <w:p>
                    <w:pPr>
                      <w:spacing w:line="160" w:lineRule="exact" w:before="0"/>
                      <w:ind w:left="0" w:right="0" w:firstLine="0"/>
                      <w:jc w:val="center"/>
                      <w:rPr>
                        <w:sz w:val="14"/>
                      </w:rPr>
                    </w:pPr>
                    <w:r>
                      <w:rPr>
                        <w:w w:val="62"/>
                        <w:sz w:val="14"/>
                      </w:rPr>
                      <w:t>2</w:t>
                    </w:r>
                  </w:p>
                  <w:p>
                    <w:pPr>
                      <w:spacing w:line="237" w:lineRule="auto" w:before="0"/>
                      <w:ind w:left="136" w:right="136" w:firstLine="39"/>
                      <w:jc w:val="both"/>
                      <w:rPr>
                        <w:sz w:val="14"/>
                      </w:rPr>
                    </w:pPr>
                    <w:r>
                      <w:rPr>
                        <w:w w:val="65"/>
                        <w:sz w:val="14"/>
                      </w:rPr>
                      <w:t>Para</w:t>
                    </w:r>
                    <w:r>
                      <w:rPr>
                        <w:spacing w:val="-10"/>
                        <w:w w:val="65"/>
                        <w:sz w:val="14"/>
                      </w:rPr>
                      <w:t> </w:t>
                    </w:r>
                    <w:r>
                      <w:rPr>
                        <w:w w:val="65"/>
                        <w:sz w:val="14"/>
                      </w:rPr>
                      <w:t>establecer</w:t>
                    </w:r>
                    <w:r>
                      <w:rPr>
                        <w:spacing w:val="-11"/>
                        <w:w w:val="65"/>
                        <w:sz w:val="14"/>
                      </w:rPr>
                      <w:t> </w:t>
                    </w:r>
                    <w:r>
                      <w:rPr>
                        <w:w w:val="65"/>
                        <w:sz w:val="14"/>
                      </w:rPr>
                      <w:t>sistemas</w:t>
                    </w:r>
                    <w:r>
                      <w:rPr>
                        <w:spacing w:val="-11"/>
                        <w:w w:val="65"/>
                        <w:sz w:val="14"/>
                      </w:rPr>
                      <w:t> </w:t>
                    </w:r>
                    <w:r>
                      <w:rPr>
                        <w:w w:val="65"/>
                        <w:sz w:val="14"/>
                      </w:rPr>
                      <w:t>para</w:t>
                    </w:r>
                    <w:r>
                      <w:rPr>
                        <w:spacing w:val="-10"/>
                        <w:w w:val="65"/>
                        <w:sz w:val="14"/>
                      </w:rPr>
                      <w:t> </w:t>
                    </w:r>
                    <w:r>
                      <w:rPr>
                        <w:w w:val="65"/>
                        <w:sz w:val="14"/>
                      </w:rPr>
                      <w:t>la declaración</w:t>
                    </w:r>
                    <w:r>
                      <w:rPr>
                        <w:spacing w:val="-12"/>
                        <w:w w:val="65"/>
                        <w:sz w:val="14"/>
                      </w:rPr>
                      <w:t> </w:t>
                    </w:r>
                    <w:r>
                      <w:rPr>
                        <w:w w:val="65"/>
                        <w:sz w:val="14"/>
                      </w:rPr>
                      <w:t>de</w:t>
                    </w:r>
                    <w:r>
                      <w:rPr>
                        <w:spacing w:val="-10"/>
                        <w:w w:val="65"/>
                        <w:sz w:val="14"/>
                      </w:rPr>
                      <w:t> </w:t>
                    </w:r>
                    <w:r>
                      <w:rPr>
                        <w:w w:val="65"/>
                        <w:sz w:val="14"/>
                      </w:rPr>
                      <w:t>ingresos,</w:t>
                    </w:r>
                    <w:r>
                      <w:rPr>
                        <w:spacing w:val="-12"/>
                        <w:w w:val="65"/>
                        <w:sz w:val="14"/>
                      </w:rPr>
                      <w:t> </w:t>
                    </w:r>
                    <w:r>
                      <w:rPr>
                        <w:w w:val="65"/>
                        <w:sz w:val="14"/>
                      </w:rPr>
                      <w:t>activos</w:t>
                    </w:r>
                    <w:r>
                      <w:rPr>
                        <w:spacing w:val="-11"/>
                        <w:w w:val="65"/>
                        <w:sz w:val="14"/>
                      </w:rPr>
                      <w:t> </w:t>
                    </w:r>
                    <w:r>
                      <w:rPr>
                        <w:w w:val="65"/>
                        <w:sz w:val="14"/>
                      </w:rPr>
                      <w:t>y pasivos</w:t>
                    </w:r>
                    <w:r>
                      <w:rPr>
                        <w:spacing w:val="-16"/>
                        <w:w w:val="65"/>
                        <w:sz w:val="14"/>
                      </w:rPr>
                      <w:t> </w:t>
                    </w:r>
                    <w:r>
                      <w:rPr>
                        <w:w w:val="65"/>
                        <w:sz w:val="14"/>
                      </w:rPr>
                      <w:t>de</w:t>
                    </w:r>
                    <w:r>
                      <w:rPr>
                        <w:spacing w:val="-16"/>
                        <w:w w:val="65"/>
                        <w:sz w:val="14"/>
                      </w:rPr>
                      <w:t> </w:t>
                    </w:r>
                    <w:r>
                      <w:rPr>
                        <w:w w:val="65"/>
                        <w:sz w:val="14"/>
                      </w:rPr>
                      <w:t>los</w:t>
                    </w:r>
                    <w:r>
                      <w:rPr>
                        <w:spacing w:val="-15"/>
                        <w:w w:val="65"/>
                        <w:sz w:val="14"/>
                      </w:rPr>
                      <w:t> </w:t>
                    </w:r>
                    <w:r>
                      <w:rPr>
                        <w:w w:val="65"/>
                        <w:sz w:val="14"/>
                      </w:rPr>
                      <w:t>servidores</w:t>
                    </w:r>
                    <w:r>
                      <w:rPr>
                        <w:spacing w:val="-16"/>
                        <w:w w:val="65"/>
                        <w:sz w:val="14"/>
                      </w:rPr>
                      <w:t> </w:t>
                    </w:r>
                    <w:r>
                      <w:rPr>
                        <w:w w:val="65"/>
                        <w:sz w:val="14"/>
                      </w:rPr>
                      <w:t>públicos.</w:t>
                    </w:r>
                  </w:p>
                  <w:p>
                    <w:pPr>
                      <w:spacing w:line="240" w:lineRule="auto" w:before="7"/>
                      <w:rPr>
                        <w:sz w:val="13"/>
                      </w:rPr>
                    </w:pPr>
                  </w:p>
                  <w:p>
                    <w:pPr>
                      <w:spacing w:line="160" w:lineRule="exact" w:before="0"/>
                      <w:ind w:left="0" w:right="0" w:firstLine="0"/>
                      <w:jc w:val="center"/>
                      <w:rPr>
                        <w:sz w:val="14"/>
                      </w:rPr>
                    </w:pPr>
                    <w:r>
                      <w:rPr>
                        <w:color w:val="17365D"/>
                        <w:w w:val="62"/>
                        <w:sz w:val="14"/>
                      </w:rPr>
                      <w:t>3</w:t>
                    </w:r>
                  </w:p>
                  <w:p>
                    <w:pPr>
                      <w:spacing w:before="0"/>
                      <w:ind w:left="136" w:right="135" w:firstLine="0"/>
                      <w:jc w:val="center"/>
                      <w:rPr>
                        <w:sz w:val="14"/>
                      </w:rPr>
                    </w:pPr>
                    <w:r>
                      <w:rPr>
                        <w:w w:val="60"/>
                        <w:sz w:val="14"/>
                      </w:rPr>
                      <w:t>Instrumento de detección temprana </w:t>
                    </w:r>
                    <w:r>
                      <w:rPr>
                        <w:w w:val="65"/>
                        <w:sz w:val="14"/>
                      </w:rPr>
                      <w:t>de los actos de corrupción.</w:t>
                    </w:r>
                  </w:p>
                </w:txbxContent>
              </v:textbox>
              <v:fill type="solid"/>
              <w10:wrap type="none"/>
            </v:shape>
            <v:shape style="position:absolute;left:6049;top:4107;width:1639;height:4815" type="#_x0000_t202" filled="true" fillcolor="#ffffff" stroked="true" strokeweight=".132051pt" strokecolor="#005da1">
              <v:textbox inset="0,0,0,0">
                <w:txbxContent>
                  <w:p>
                    <w:pPr>
                      <w:spacing w:before="52"/>
                      <w:ind w:left="626" w:right="69" w:firstLine="0"/>
                      <w:jc w:val="left"/>
                      <w:rPr>
                        <w:sz w:val="14"/>
                      </w:rPr>
                    </w:pPr>
                    <w:r>
                      <w:rPr>
                        <w:w w:val="75"/>
                        <w:sz w:val="14"/>
                      </w:rPr>
                      <w:t>Acciones:</w:t>
                    </w:r>
                  </w:p>
                  <w:p>
                    <w:pPr>
                      <w:spacing w:line="240" w:lineRule="auto" w:before="2"/>
                      <w:rPr>
                        <w:sz w:val="14"/>
                      </w:rPr>
                    </w:pPr>
                  </w:p>
                  <w:p>
                    <w:pPr>
                      <w:spacing w:line="158" w:lineRule="exact" w:before="0"/>
                      <w:ind w:left="112" w:right="111" w:firstLine="1"/>
                      <w:jc w:val="center"/>
                      <w:rPr>
                        <w:sz w:val="14"/>
                      </w:rPr>
                    </w:pPr>
                    <w:r>
                      <w:rPr>
                        <w:w w:val="70"/>
                        <w:sz w:val="14"/>
                      </w:rPr>
                      <w:t>Investigación, tramitación y </w:t>
                    </w:r>
                    <w:r>
                      <w:rPr>
                        <w:w w:val="60"/>
                        <w:sz w:val="14"/>
                      </w:rPr>
                      <w:t>sustanciación de  responsabilidades:</w:t>
                    </w:r>
                  </w:p>
                  <w:p>
                    <w:pPr>
                      <w:spacing w:line="240" w:lineRule="auto" w:before="5"/>
                      <w:rPr>
                        <w:sz w:val="13"/>
                      </w:rPr>
                    </w:pPr>
                  </w:p>
                  <w:p>
                    <w:pPr>
                      <w:spacing w:line="161" w:lineRule="exact" w:before="0"/>
                      <w:ind w:left="0" w:right="0" w:firstLine="0"/>
                      <w:jc w:val="center"/>
                      <w:rPr>
                        <w:sz w:val="14"/>
                      </w:rPr>
                    </w:pPr>
                    <w:r>
                      <w:rPr>
                        <w:w w:val="62"/>
                        <w:sz w:val="14"/>
                      </w:rPr>
                      <w:t>1</w:t>
                    </w:r>
                  </w:p>
                  <w:p>
                    <w:pPr>
                      <w:spacing w:line="158" w:lineRule="exact" w:before="4"/>
                      <w:ind w:left="256" w:right="69" w:firstLine="262"/>
                      <w:jc w:val="left"/>
                      <w:rPr>
                        <w:sz w:val="14"/>
                      </w:rPr>
                    </w:pPr>
                    <w:r>
                      <w:rPr>
                        <w:w w:val="75"/>
                        <w:sz w:val="14"/>
                      </w:rPr>
                      <w:t>Administrativas </w:t>
                    </w:r>
                    <w:r>
                      <w:rPr>
                        <w:w w:val="65"/>
                        <w:sz w:val="14"/>
                      </w:rPr>
                      <w:t>(órganos internos de control)</w:t>
                    </w:r>
                  </w:p>
                  <w:p>
                    <w:pPr>
                      <w:spacing w:line="240" w:lineRule="auto" w:before="5"/>
                      <w:rPr>
                        <w:sz w:val="13"/>
                      </w:rPr>
                    </w:pPr>
                  </w:p>
                  <w:p>
                    <w:pPr>
                      <w:spacing w:line="160" w:lineRule="exact" w:before="0"/>
                      <w:ind w:left="0" w:right="0" w:firstLine="0"/>
                      <w:jc w:val="center"/>
                      <w:rPr>
                        <w:sz w:val="14"/>
                      </w:rPr>
                    </w:pPr>
                    <w:r>
                      <w:rPr>
                        <w:w w:val="62"/>
                        <w:sz w:val="14"/>
                      </w:rPr>
                      <w:t>2</w:t>
                    </w:r>
                  </w:p>
                  <w:p>
                    <w:pPr>
                      <w:spacing w:before="0"/>
                      <w:ind w:left="274" w:right="69" w:firstLine="383"/>
                      <w:jc w:val="left"/>
                      <w:rPr>
                        <w:sz w:val="14"/>
                      </w:rPr>
                    </w:pPr>
                    <w:r>
                      <w:rPr>
                        <w:w w:val="75"/>
                        <w:sz w:val="14"/>
                      </w:rPr>
                      <w:t>Penales </w:t>
                    </w:r>
                    <w:r>
                      <w:rPr>
                        <w:w w:val="65"/>
                        <w:sz w:val="14"/>
                      </w:rPr>
                      <w:t>(Procuraduría General de la</w:t>
                    </w:r>
                  </w:p>
                  <w:p>
                    <w:pPr>
                      <w:spacing w:line="159" w:lineRule="exact" w:before="0"/>
                      <w:ind w:left="548" w:right="548" w:firstLine="0"/>
                      <w:jc w:val="center"/>
                      <w:rPr>
                        <w:sz w:val="14"/>
                      </w:rPr>
                    </w:pPr>
                    <w:r>
                      <w:rPr>
                        <w:w w:val="75"/>
                        <w:sz w:val="14"/>
                      </w:rPr>
                      <w:t>República)</w:t>
                    </w:r>
                  </w:p>
                </w:txbxContent>
              </v:textbox>
              <v:fill type="solid"/>
              <w10:wrap type="none"/>
            </v:shape>
            <v:shape style="position:absolute;left:2040;top:4147;width:1633;height:4900" type="#_x0000_t202" filled="true" fillcolor="#ffffff" stroked="true" strokeweight=".131561pt" strokecolor="#005da1">
              <v:textbox inset="0,0,0,0">
                <w:txbxContent>
                  <w:p>
                    <w:pPr>
                      <w:spacing w:before="52"/>
                      <w:ind w:left="37" w:right="37" w:firstLine="0"/>
                      <w:jc w:val="center"/>
                      <w:rPr>
                        <w:sz w:val="14"/>
                      </w:rPr>
                    </w:pPr>
                    <w:r>
                      <w:rPr>
                        <w:w w:val="75"/>
                        <w:sz w:val="14"/>
                      </w:rPr>
                      <w:t>Acciones:</w:t>
                    </w:r>
                  </w:p>
                  <w:p>
                    <w:pPr>
                      <w:spacing w:line="240" w:lineRule="auto" w:before="8"/>
                      <w:rPr>
                        <w:sz w:val="13"/>
                      </w:rPr>
                    </w:pPr>
                  </w:p>
                  <w:p>
                    <w:pPr>
                      <w:spacing w:line="160" w:lineRule="exact" w:before="1"/>
                      <w:ind w:left="37" w:right="38" w:firstLine="0"/>
                      <w:jc w:val="center"/>
                      <w:rPr>
                        <w:sz w:val="14"/>
                      </w:rPr>
                    </w:pPr>
                    <w:r>
                      <w:rPr>
                        <w:w w:val="75"/>
                        <w:sz w:val="14"/>
                      </w:rPr>
                      <w:t>1 y 2</w:t>
                    </w:r>
                  </w:p>
                  <w:p>
                    <w:pPr>
                      <w:spacing w:line="237" w:lineRule="auto" w:before="0"/>
                      <w:ind w:left="37" w:right="38" w:firstLine="0"/>
                      <w:jc w:val="center"/>
                      <w:rPr>
                        <w:sz w:val="14"/>
                      </w:rPr>
                    </w:pPr>
                    <w:r>
                      <w:rPr>
                        <w:w w:val="65"/>
                        <w:sz w:val="14"/>
                      </w:rPr>
                      <w:t>Ordenamientos que reflejen el imperio de la ley y la armonización legislativa </w:t>
                    </w:r>
                    <w:r>
                      <w:rPr>
                        <w:w w:val="70"/>
                        <w:sz w:val="14"/>
                      </w:rPr>
                      <w:t>nacional con las convenciones </w:t>
                    </w:r>
                    <w:r>
                      <w:rPr>
                        <w:w w:val="75"/>
                        <w:sz w:val="14"/>
                      </w:rPr>
                      <w:t>internacionales.</w:t>
                    </w:r>
                  </w:p>
                  <w:p>
                    <w:pPr>
                      <w:spacing w:line="240" w:lineRule="auto" w:before="7"/>
                      <w:rPr>
                        <w:sz w:val="13"/>
                      </w:rPr>
                    </w:pPr>
                  </w:p>
                  <w:p>
                    <w:pPr>
                      <w:spacing w:line="160" w:lineRule="exact" w:before="0"/>
                      <w:ind w:left="0" w:right="0" w:firstLine="0"/>
                      <w:jc w:val="center"/>
                      <w:rPr>
                        <w:sz w:val="14"/>
                      </w:rPr>
                    </w:pPr>
                    <w:r>
                      <w:rPr>
                        <w:color w:val="17365D"/>
                        <w:w w:val="62"/>
                        <w:sz w:val="14"/>
                      </w:rPr>
                      <w:t>3</w:t>
                    </w:r>
                  </w:p>
                  <w:p>
                    <w:pPr>
                      <w:spacing w:line="160" w:lineRule="exact" w:before="0"/>
                      <w:ind w:left="37" w:right="38" w:firstLine="0"/>
                      <w:jc w:val="center"/>
                      <w:rPr>
                        <w:sz w:val="14"/>
                      </w:rPr>
                    </w:pPr>
                    <w:r>
                      <w:rPr>
                        <w:w w:val="65"/>
                        <w:sz w:val="14"/>
                      </w:rPr>
                      <w:t>Control interno, externo y social.</w:t>
                    </w:r>
                  </w:p>
                  <w:p>
                    <w:pPr>
                      <w:spacing w:line="240" w:lineRule="auto" w:before="8"/>
                      <w:rPr>
                        <w:sz w:val="13"/>
                      </w:rPr>
                    </w:pPr>
                  </w:p>
                  <w:p>
                    <w:pPr>
                      <w:spacing w:line="160" w:lineRule="exact" w:before="1"/>
                      <w:ind w:left="0" w:right="0" w:firstLine="0"/>
                      <w:jc w:val="center"/>
                      <w:rPr>
                        <w:sz w:val="14"/>
                      </w:rPr>
                    </w:pPr>
                    <w:r>
                      <w:rPr>
                        <w:color w:val="17365D"/>
                        <w:w w:val="62"/>
                        <w:sz w:val="14"/>
                      </w:rPr>
                      <w:t>4</w:t>
                    </w:r>
                  </w:p>
                  <w:p>
                    <w:pPr>
                      <w:spacing w:line="158" w:lineRule="exact" w:before="4"/>
                      <w:ind w:left="37" w:right="37" w:firstLine="0"/>
                      <w:jc w:val="center"/>
                      <w:rPr>
                        <w:sz w:val="14"/>
                      </w:rPr>
                    </w:pPr>
                    <w:r>
                      <w:rPr>
                        <w:w w:val="60"/>
                        <w:sz w:val="14"/>
                      </w:rPr>
                      <w:t>Profesionalización de los servidores </w:t>
                    </w:r>
                    <w:r>
                      <w:rPr>
                        <w:w w:val="75"/>
                        <w:sz w:val="14"/>
                      </w:rPr>
                      <w:t>públicos.</w:t>
                    </w:r>
                  </w:p>
                  <w:p>
                    <w:pPr>
                      <w:spacing w:line="240" w:lineRule="auto" w:before="5"/>
                      <w:rPr>
                        <w:sz w:val="13"/>
                      </w:rPr>
                    </w:pPr>
                  </w:p>
                  <w:p>
                    <w:pPr>
                      <w:spacing w:line="161" w:lineRule="exact" w:before="0"/>
                      <w:ind w:left="0" w:right="0" w:firstLine="0"/>
                      <w:jc w:val="center"/>
                      <w:rPr>
                        <w:sz w:val="14"/>
                      </w:rPr>
                    </w:pPr>
                    <w:r>
                      <w:rPr>
                        <w:color w:val="17365D"/>
                        <w:w w:val="62"/>
                        <w:sz w:val="14"/>
                      </w:rPr>
                      <w:t>5</w:t>
                    </w:r>
                  </w:p>
                  <w:p>
                    <w:pPr>
                      <w:spacing w:line="158" w:lineRule="exact" w:before="4"/>
                      <w:ind w:left="37" w:right="37" w:firstLine="0"/>
                      <w:jc w:val="center"/>
                      <w:rPr>
                        <w:sz w:val="14"/>
                      </w:rPr>
                    </w:pPr>
                    <w:r>
                      <w:rPr>
                        <w:w w:val="65"/>
                        <w:sz w:val="14"/>
                      </w:rPr>
                      <w:t>Mantenimiento y preservación de los bienes muebles e inmuebles del </w:t>
                    </w:r>
                    <w:r>
                      <w:rPr>
                        <w:w w:val="60"/>
                        <w:sz w:val="14"/>
                      </w:rPr>
                      <w:t>gobierno  federal</w:t>
                    </w:r>
                  </w:p>
                  <w:p>
                    <w:pPr>
                      <w:spacing w:line="240" w:lineRule="auto" w:before="6"/>
                      <w:rPr>
                        <w:sz w:val="13"/>
                      </w:rPr>
                    </w:pPr>
                  </w:p>
                  <w:p>
                    <w:pPr>
                      <w:spacing w:line="160" w:lineRule="exact" w:before="1"/>
                      <w:ind w:left="0" w:right="0" w:firstLine="0"/>
                      <w:jc w:val="center"/>
                      <w:rPr>
                        <w:sz w:val="14"/>
                      </w:rPr>
                    </w:pPr>
                    <w:r>
                      <w:rPr>
                        <w:color w:val="17365D"/>
                        <w:w w:val="62"/>
                        <w:sz w:val="14"/>
                      </w:rPr>
                      <w:t>6</w:t>
                    </w:r>
                  </w:p>
                  <w:p>
                    <w:pPr>
                      <w:spacing w:line="158" w:lineRule="exact" w:before="4"/>
                      <w:ind w:left="36" w:right="38" w:firstLine="0"/>
                      <w:jc w:val="center"/>
                      <w:rPr>
                        <w:sz w:val="14"/>
                      </w:rPr>
                    </w:pPr>
                    <w:r>
                      <w:rPr>
                        <w:w w:val="60"/>
                        <w:sz w:val="14"/>
                      </w:rPr>
                      <w:t>Adecuada planeación, programación </w:t>
                    </w:r>
                    <w:r>
                      <w:rPr>
                        <w:w w:val="65"/>
                        <w:sz w:val="14"/>
                      </w:rPr>
                      <w:t>y presupuestación de los ingresos y </w:t>
                    </w:r>
                    <w:r>
                      <w:rPr>
                        <w:w w:val="60"/>
                        <w:sz w:val="14"/>
                      </w:rPr>
                      <w:t>egresos  públicos.</w:t>
                    </w:r>
                  </w:p>
                  <w:p>
                    <w:pPr>
                      <w:spacing w:line="240" w:lineRule="auto" w:before="6"/>
                      <w:rPr>
                        <w:sz w:val="13"/>
                      </w:rPr>
                    </w:pPr>
                  </w:p>
                  <w:p>
                    <w:pPr>
                      <w:spacing w:line="160" w:lineRule="exact" w:before="1"/>
                      <w:ind w:left="0" w:right="0" w:firstLine="0"/>
                      <w:jc w:val="center"/>
                      <w:rPr>
                        <w:sz w:val="14"/>
                      </w:rPr>
                    </w:pPr>
                    <w:r>
                      <w:rPr>
                        <w:color w:val="17365D"/>
                        <w:w w:val="62"/>
                        <w:sz w:val="14"/>
                      </w:rPr>
                      <w:t>7</w:t>
                    </w:r>
                  </w:p>
                  <w:p>
                    <w:pPr>
                      <w:spacing w:line="158" w:lineRule="exact" w:before="4"/>
                      <w:ind w:left="37" w:right="37" w:firstLine="0"/>
                      <w:jc w:val="center"/>
                      <w:rPr>
                        <w:sz w:val="14"/>
                      </w:rPr>
                    </w:pPr>
                    <w:r>
                      <w:rPr>
                        <w:w w:val="65"/>
                        <w:sz w:val="14"/>
                      </w:rPr>
                      <w:t>informes institucionales para la </w:t>
                    </w:r>
                    <w:r>
                      <w:rPr>
                        <w:w w:val="70"/>
                        <w:sz w:val="14"/>
                      </w:rPr>
                      <w:t>evaluación de la gestión </w:t>
                    </w:r>
                    <w:r>
                      <w:rPr>
                        <w:w w:val="75"/>
                        <w:sz w:val="14"/>
                      </w:rPr>
                      <w:t>gubernamental.</w:t>
                    </w:r>
                  </w:p>
                </w:txbxContent>
              </v:textbox>
              <v:fill type="solid"/>
              <w10:wrap type="none"/>
            </v:shape>
            <v:shape style="position:absolute;left:2056;top:1354;width:1676;height:2354" type="#_x0000_t202" filled="false" stroked="false">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8"/>
                      </w:rPr>
                    </w:pPr>
                  </w:p>
                  <w:p>
                    <w:pPr>
                      <w:numPr>
                        <w:ilvl w:val="0"/>
                        <w:numId w:val="77"/>
                      </w:numPr>
                      <w:tabs>
                        <w:tab w:pos="144" w:val="left" w:leader="none"/>
                      </w:tabs>
                      <w:spacing w:line="160" w:lineRule="exact" w:before="0"/>
                      <w:ind w:left="142" w:right="0" w:hanging="72"/>
                      <w:jc w:val="left"/>
                      <w:rPr>
                        <w:sz w:val="14"/>
                      </w:rPr>
                    </w:pPr>
                    <w:r>
                      <w:rPr>
                        <w:w w:val="60"/>
                        <w:sz w:val="14"/>
                      </w:rPr>
                      <w:t>Convenciones </w:t>
                    </w:r>
                    <w:r>
                      <w:rPr>
                        <w:spacing w:val="19"/>
                        <w:w w:val="60"/>
                        <w:sz w:val="14"/>
                      </w:rPr>
                      <w:t> </w:t>
                    </w:r>
                    <w:r>
                      <w:rPr>
                        <w:w w:val="60"/>
                        <w:sz w:val="14"/>
                      </w:rPr>
                      <w:t>internacionales.</w:t>
                    </w:r>
                  </w:p>
                  <w:p>
                    <w:pPr>
                      <w:numPr>
                        <w:ilvl w:val="0"/>
                        <w:numId w:val="77"/>
                      </w:numPr>
                      <w:tabs>
                        <w:tab w:pos="144" w:val="left" w:leader="none"/>
                      </w:tabs>
                      <w:spacing w:line="160" w:lineRule="exact" w:before="0"/>
                      <w:ind w:left="143" w:right="0" w:hanging="73"/>
                      <w:jc w:val="left"/>
                      <w:rPr>
                        <w:sz w:val="14"/>
                      </w:rPr>
                    </w:pPr>
                    <w:r>
                      <w:rPr>
                        <w:w w:val="60"/>
                        <w:sz w:val="14"/>
                      </w:rPr>
                      <w:t>Armonización </w:t>
                    </w:r>
                    <w:r>
                      <w:rPr>
                        <w:spacing w:val="11"/>
                        <w:w w:val="60"/>
                        <w:sz w:val="14"/>
                      </w:rPr>
                      <w:t> </w:t>
                    </w:r>
                    <w:r>
                      <w:rPr>
                        <w:w w:val="60"/>
                        <w:sz w:val="14"/>
                      </w:rPr>
                      <w:t>legislativa.</w:t>
                    </w:r>
                  </w:p>
                  <w:p>
                    <w:pPr>
                      <w:numPr>
                        <w:ilvl w:val="0"/>
                        <w:numId w:val="77"/>
                      </w:numPr>
                      <w:tabs>
                        <w:tab w:pos="144" w:val="left" w:leader="none"/>
                      </w:tabs>
                      <w:spacing w:line="160" w:lineRule="exact" w:before="0"/>
                      <w:ind w:left="143" w:right="0" w:hanging="73"/>
                      <w:jc w:val="left"/>
                      <w:rPr>
                        <w:sz w:val="14"/>
                      </w:rPr>
                    </w:pPr>
                    <w:r>
                      <w:rPr>
                        <w:w w:val="65"/>
                        <w:sz w:val="14"/>
                      </w:rPr>
                      <w:t>Control</w:t>
                    </w:r>
                    <w:r>
                      <w:rPr>
                        <w:spacing w:val="-14"/>
                        <w:w w:val="65"/>
                        <w:sz w:val="14"/>
                      </w:rPr>
                      <w:t> </w:t>
                    </w:r>
                    <w:r>
                      <w:rPr>
                        <w:w w:val="65"/>
                        <w:sz w:val="14"/>
                      </w:rPr>
                      <w:t>de</w:t>
                    </w:r>
                    <w:r>
                      <w:rPr>
                        <w:spacing w:val="-13"/>
                        <w:w w:val="65"/>
                        <w:sz w:val="14"/>
                      </w:rPr>
                      <w:t> </w:t>
                    </w:r>
                    <w:r>
                      <w:rPr>
                        <w:w w:val="65"/>
                        <w:sz w:val="14"/>
                      </w:rPr>
                      <w:t>la</w:t>
                    </w:r>
                    <w:r>
                      <w:rPr>
                        <w:spacing w:val="-12"/>
                        <w:w w:val="65"/>
                        <w:sz w:val="14"/>
                      </w:rPr>
                      <w:t> </w:t>
                    </w:r>
                    <w:r>
                      <w:rPr>
                        <w:w w:val="65"/>
                        <w:sz w:val="14"/>
                      </w:rPr>
                      <w:t>gestión</w:t>
                    </w:r>
                    <w:r>
                      <w:rPr>
                        <w:spacing w:val="-14"/>
                        <w:w w:val="65"/>
                        <w:sz w:val="14"/>
                      </w:rPr>
                      <w:t> </w:t>
                    </w:r>
                    <w:r>
                      <w:rPr>
                        <w:w w:val="65"/>
                        <w:sz w:val="14"/>
                      </w:rPr>
                      <w:t>pública.</w:t>
                    </w:r>
                  </w:p>
                  <w:p>
                    <w:pPr>
                      <w:numPr>
                        <w:ilvl w:val="0"/>
                        <w:numId w:val="77"/>
                      </w:numPr>
                      <w:tabs>
                        <w:tab w:pos="144" w:val="left" w:leader="none"/>
                      </w:tabs>
                      <w:spacing w:line="159" w:lineRule="exact" w:before="0"/>
                      <w:ind w:left="143" w:right="0" w:hanging="73"/>
                      <w:jc w:val="left"/>
                      <w:rPr>
                        <w:sz w:val="14"/>
                      </w:rPr>
                    </w:pPr>
                    <w:r>
                      <w:rPr>
                        <w:w w:val="60"/>
                        <w:sz w:val="14"/>
                      </w:rPr>
                      <w:t>Servicio</w:t>
                    </w:r>
                    <w:r>
                      <w:rPr>
                        <w:spacing w:val="23"/>
                        <w:w w:val="60"/>
                        <w:sz w:val="14"/>
                      </w:rPr>
                      <w:t> </w:t>
                    </w:r>
                    <w:r>
                      <w:rPr>
                        <w:w w:val="60"/>
                        <w:sz w:val="14"/>
                      </w:rPr>
                      <w:t>Profesional</w:t>
                    </w:r>
                    <w:r>
                      <w:rPr>
                        <w:spacing w:val="23"/>
                        <w:w w:val="60"/>
                        <w:sz w:val="14"/>
                      </w:rPr>
                      <w:t> </w:t>
                    </w:r>
                    <w:r>
                      <w:rPr>
                        <w:w w:val="60"/>
                        <w:sz w:val="14"/>
                      </w:rPr>
                      <w:t>de</w:t>
                    </w:r>
                    <w:r>
                      <w:rPr>
                        <w:spacing w:val="-4"/>
                        <w:w w:val="60"/>
                        <w:sz w:val="14"/>
                      </w:rPr>
                      <w:t> </w:t>
                    </w:r>
                    <w:r>
                      <w:rPr>
                        <w:w w:val="60"/>
                        <w:sz w:val="14"/>
                      </w:rPr>
                      <w:t>Carrera.</w:t>
                    </w:r>
                  </w:p>
                  <w:p>
                    <w:pPr>
                      <w:numPr>
                        <w:ilvl w:val="0"/>
                        <w:numId w:val="77"/>
                      </w:numPr>
                      <w:tabs>
                        <w:tab w:pos="144" w:val="left" w:leader="none"/>
                      </w:tabs>
                      <w:spacing w:line="159" w:lineRule="exact" w:before="0"/>
                      <w:ind w:left="143" w:right="0" w:hanging="73"/>
                      <w:jc w:val="left"/>
                      <w:rPr>
                        <w:sz w:val="14"/>
                      </w:rPr>
                    </w:pPr>
                    <w:r>
                      <w:rPr>
                        <w:w w:val="60"/>
                        <w:sz w:val="14"/>
                      </w:rPr>
                      <w:t>Protección</w:t>
                    </w:r>
                    <w:r>
                      <w:rPr>
                        <w:spacing w:val="23"/>
                        <w:w w:val="60"/>
                        <w:sz w:val="14"/>
                      </w:rPr>
                      <w:t> </w:t>
                    </w:r>
                    <w:r>
                      <w:rPr>
                        <w:w w:val="60"/>
                        <w:sz w:val="14"/>
                      </w:rPr>
                      <w:t>del</w:t>
                    </w:r>
                    <w:r>
                      <w:rPr>
                        <w:spacing w:val="23"/>
                        <w:w w:val="60"/>
                        <w:sz w:val="14"/>
                      </w:rPr>
                      <w:t> </w:t>
                    </w:r>
                    <w:r>
                      <w:rPr>
                        <w:w w:val="60"/>
                        <w:sz w:val="14"/>
                      </w:rPr>
                      <w:t>Patrimonio</w:t>
                    </w:r>
                    <w:r>
                      <w:rPr>
                        <w:spacing w:val="2"/>
                        <w:w w:val="60"/>
                        <w:sz w:val="14"/>
                      </w:rPr>
                      <w:t> </w:t>
                    </w:r>
                    <w:r>
                      <w:rPr>
                        <w:w w:val="60"/>
                        <w:sz w:val="14"/>
                      </w:rPr>
                      <w:t>Nacional.</w:t>
                    </w:r>
                  </w:p>
                  <w:p>
                    <w:pPr>
                      <w:numPr>
                        <w:ilvl w:val="0"/>
                        <w:numId w:val="77"/>
                      </w:numPr>
                      <w:tabs>
                        <w:tab w:pos="144" w:val="left" w:leader="none"/>
                      </w:tabs>
                      <w:spacing w:line="159" w:lineRule="exact" w:before="0"/>
                      <w:ind w:left="143" w:right="0" w:hanging="73"/>
                      <w:jc w:val="left"/>
                      <w:rPr>
                        <w:sz w:val="14"/>
                      </w:rPr>
                    </w:pPr>
                    <w:r>
                      <w:rPr>
                        <w:w w:val="65"/>
                        <w:sz w:val="14"/>
                      </w:rPr>
                      <w:t>Uso</w:t>
                    </w:r>
                    <w:r>
                      <w:rPr>
                        <w:spacing w:val="-13"/>
                        <w:w w:val="65"/>
                        <w:sz w:val="14"/>
                      </w:rPr>
                      <w:t> </w:t>
                    </w:r>
                    <w:r>
                      <w:rPr>
                        <w:w w:val="65"/>
                        <w:sz w:val="14"/>
                      </w:rPr>
                      <w:t>racional</w:t>
                    </w:r>
                    <w:r>
                      <w:rPr>
                        <w:spacing w:val="-14"/>
                        <w:w w:val="65"/>
                        <w:sz w:val="14"/>
                      </w:rPr>
                      <w:t> </w:t>
                    </w:r>
                    <w:r>
                      <w:rPr>
                        <w:w w:val="65"/>
                        <w:sz w:val="14"/>
                      </w:rPr>
                      <w:t>del</w:t>
                    </w:r>
                    <w:r>
                      <w:rPr>
                        <w:spacing w:val="-13"/>
                        <w:w w:val="65"/>
                        <w:sz w:val="14"/>
                      </w:rPr>
                      <w:t> </w:t>
                    </w:r>
                    <w:r>
                      <w:rPr>
                        <w:w w:val="65"/>
                        <w:sz w:val="14"/>
                      </w:rPr>
                      <w:t>gasto.</w:t>
                    </w:r>
                  </w:p>
                  <w:p>
                    <w:pPr>
                      <w:numPr>
                        <w:ilvl w:val="0"/>
                        <w:numId w:val="77"/>
                      </w:numPr>
                      <w:tabs>
                        <w:tab w:pos="144" w:val="left" w:leader="none"/>
                      </w:tabs>
                      <w:spacing w:before="0"/>
                      <w:ind w:left="142" w:right="151" w:hanging="72"/>
                      <w:jc w:val="left"/>
                      <w:rPr>
                        <w:sz w:val="14"/>
                      </w:rPr>
                    </w:pPr>
                    <w:r>
                      <w:rPr>
                        <w:w w:val="75"/>
                        <w:sz w:val="14"/>
                      </w:rPr>
                      <w:t>Rendición de cuentas y </w:t>
                    </w:r>
                    <w:r>
                      <w:rPr>
                        <w:w w:val="65"/>
                        <w:sz w:val="14"/>
                      </w:rPr>
                      <w:t>transparencia</w:t>
                    </w:r>
                    <w:r>
                      <w:rPr>
                        <w:spacing w:val="-16"/>
                        <w:w w:val="65"/>
                        <w:sz w:val="14"/>
                      </w:rPr>
                      <w:t> </w:t>
                    </w:r>
                    <w:r>
                      <w:rPr>
                        <w:w w:val="65"/>
                        <w:sz w:val="14"/>
                      </w:rPr>
                      <w:t>de</w:t>
                    </w:r>
                    <w:r>
                      <w:rPr>
                        <w:spacing w:val="-16"/>
                        <w:w w:val="65"/>
                        <w:sz w:val="14"/>
                      </w:rPr>
                      <w:t> </w:t>
                    </w:r>
                    <w:r>
                      <w:rPr>
                        <w:w w:val="65"/>
                        <w:sz w:val="14"/>
                      </w:rPr>
                      <w:t>la</w:t>
                    </w:r>
                    <w:r>
                      <w:rPr>
                        <w:spacing w:val="-16"/>
                        <w:w w:val="65"/>
                        <w:sz w:val="14"/>
                      </w:rPr>
                      <w:t> </w:t>
                    </w:r>
                    <w:r>
                      <w:rPr>
                        <w:w w:val="65"/>
                        <w:sz w:val="14"/>
                      </w:rPr>
                      <w:t>gestión</w:t>
                    </w:r>
                    <w:r>
                      <w:rPr>
                        <w:spacing w:val="-16"/>
                        <w:w w:val="65"/>
                        <w:sz w:val="14"/>
                      </w:rPr>
                      <w:t> </w:t>
                    </w:r>
                    <w:r>
                      <w:rPr>
                        <w:w w:val="65"/>
                        <w:sz w:val="14"/>
                      </w:rPr>
                      <w:t>pública.</w:t>
                    </w:r>
                  </w:p>
                </w:txbxContent>
              </v:textbox>
              <w10:wrap type="none"/>
            </v:shape>
            <v:shape style="position:absolute;left:7862;top:1347;width:1727;height:1859" type="#_x0000_t202" filled="false" stroked="false">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8"/>
                      </w:rPr>
                    </w:pPr>
                  </w:p>
                  <w:p>
                    <w:pPr>
                      <w:numPr>
                        <w:ilvl w:val="0"/>
                        <w:numId w:val="78"/>
                      </w:numPr>
                      <w:tabs>
                        <w:tab w:pos="145" w:val="left" w:leader="none"/>
                      </w:tabs>
                      <w:spacing w:line="160" w:lineRule="exact" w:before="0"/>
                      <w:ind w:left="144" w:right="0" w:hanging="73"/>
                      <w:jc w:val="left"/>
                      <w:rPr>
                        <w:sz w:val="14"/>
                      </w:rPr>
                    </w:pPr>
                    <w:r>
                      <w:rPr>
                        <w:w w:val="60"/>
                        <w:sz w:val="14"/>
                      </w:rPr>
                      <w:t>Sanción </w:t>
                    </w:r>
                    <w:r>
                      <w:rPr>
                        <w:spacing w:val="9"/>
                        <w:w w:val="60"/>
                        <w:sz w:val="14"/>
                      </w:rPr>
                      <w:t> </w:t>
                    </w:r>
                    <w:r>
                      <w:rPr>
                        <w:w w:val="60"/>
                        <w:sz w:val="14"/>
                      </w:rPr>
                      <w:t>administrativa.</w:t>
                    </w:r>
                  </w:p>
                  <w:p>
                    <w:pPr>
                      <w:numPr>
                        <w:ilvl w:val="0"/>
                        <w:numId w:val="78"/>
                      </w:numPr>
                      <w:tabs>
                        <w:tab w:pos="145" w:val="left" w:leader="none"/>
                      </w:tabs>
                      <w:spacing w:line="160" w:lineRule="exact" w:before="0"/>
                      <w:ind w:left="144" w:right="0" w:hanging="73"/>
                      <w:jc w:val="left"/>
                      <w:rPr>
                        <w:sz w:val="14"/>
                      </w:rPr>
                    </w:pPr>
                    <w:r>
                      <w:rPr>
                        <w:w w:val="60"/>
                        <w:sz w:val="14"/>
                      </w:rPr>
                      <w:t>Sanción</w:t>
                    </w:r>
                    <w:r>
                      <w:rPr>
                        <w:spacing w:val="20"/>
                        <w:w w:val="60"/>
                        <w:sz w:val="14"/>
                      </w:rPr>
                      <w:t> </w:t>
                    </w:r>
                    <w:r>
                      <w:rPr>
                        <w:w w:val="60"/>
                        <w:sz w:val="14"/>
                      </w:rPr>
                      <w:t>penal.</w:t>
                    </w:r>
                  </w:p>
                </w:txbxContent>
              </v:textbox>
              <w10:wrap type="none"/>
            </v:shape>
            <w10:wrap type="topAndBottom"/>
          </v:group>
        </w:pict>
      </w:r>
    </w:p>
    <w:p>
      <w:pPr>
        <w:pStyle w:val="BodyText"/>
        <w:spacing w:before="2"/>
        <w:rPr>
          <w:sz w:val="19"/>
        </w:rPr>
      </w:pPr>
    </w:p>
    <w:p>
      <w:pPr>
        <w:spacing w:before="0"/>
        <w:ind w:left="100" w:right="86" w:firstLine="0"/>
        <w:jc w:val="left"/>
        <w:rPr>
          <w:sz w:val="12"/>
        </w:rPr>
      </w:pPr>
      <w:r>
        <w:rPr>
          <w:sz w:val="12"/>
        </w:rPr>
        <w:t>FUENTE: Elaboración propia con base en: Auditoría Superior de la Federación (2013: 1-21).</w:t>
      </w:r>
    </w:p>
    <w:p>
      <w:pPr>
        <w:pStyle w:val="BodyText"/>
        <w:rPr>
          <w:sz w:val="12"/>
        </w:rPr>
      </w:pPr>
    </w:p>
    <w:p>
      <w:pPr>
        <w:pStyle w:val="BodyText"/>
        <w:rPr>
          <w:sz w:val="12"/>
        </w:rPr>
      </w:pPr>
    </w:p>
    <w:p>
      <w:pPr>
        <w:pStyle w:val="BodyText"/>
        <w:rPr>
          <w:sz w:val="12"/>
        </w:rPr>
      </w:pPr>
    </w:p>
    <w:p>
      <w:pPr>
        <w:pStyle w:val="BodyText"/>
        <w:spacing w:before="6"/>
        <w:rPr>
          <w:sz w:val="14"/>
        </w:rPr>
      </w:pPr>
    </w:p>
    <w:p>
      <w:pPr>
        <w:pStyle w:val="BodyText"/>
        <w:spacing w:line="362" w:lineRule="auto"/>
        <w:ind w:left="100" w:right="44"/>
      </w:pPr>
      <w:r>
        <w:rPr/>
        <w:t>La evaluación de la política anticorrupción determinó que los factores asociados a los procesos son los siguientes:</w:t>
      </w:r>
    </w:p>
    <w:p>
      <w:pPr>
        <w:spacing w:before="196"/>
        <w:ind w:left="362" w:right="380" w:firstLine="0"/>
        <w:jc w:val="center"/>
        <w:rPr>
          <w:sz w:val="20"/>
        </w:rPr>
      </w:pPr>
      <w:bookmarkStart w:name="_bookmark84" w:id="113"/>
      <w:bookmarkEnd w:id="113"/>
      <w:r>
        <w:rPr/>
      </w:r>
      <w:r>
        <w:rPr>
          <w:sz w:val="20"/>
        </w:rPr>
        <w:t>Cuadro 4. 5. Proceso de prevención</w:t>
      </w:r>
    </w:p>
    <w:p>
      <w:pPr>
        <w:pStyle w:val="BodyText"/>
        <w:spacing w:before="10"/>
        <w:rPr>
          <w:sz w:val="17"/>
        </w:rPr>
      </w:pPr>
    </w:p>
    <w:tbl>
      <w:tblPr>
        <w:tblW w:w="0" w:type="auto"/>
        <w:jc w:val="left"/>
        <w:tblInd w:w="15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80"/>
        <w:gridCol w:w="7062"/>
      </w:tblGrid>
      <w:tr>
        <w:trPr>
          <w:trHeight w:val="500" w:hRule="exact"/>
        </w:trPr>
        <w:tc>
          <w:tcPr>
            <w:tcW w:w="1380" w:type="dxa"/>
            <w:vMerge w:val="restart"/>
          </w:tcPr>
          <w:p>
            <w:pPr>
              <w:pStyle w:val="TableParagraph"/>
              <w:rPr>
                <w:sz w:val="18"/>
              </w:rPr>
            </w:pPr>
          </w:p>
          <w:p>
            <w:pPr>
              <w:pStyle w:val="TableParagraph"/>
              <w:rPr>
                <w:sz w:val="18"/>
              </w:rPr>
            </w:pPr>
          </w:p>
          <w:p>
            <w:pPr>
              <w:pStyle w:val="TableParagraph"/>
              <w:rPr>
                <w:sz w:val="18"/>
              </w:rPr>
            </w:pPr>
          </w:p>
          <w:p>
            <w:pPr>
              <w:pStyle w:val="TableParagraph"/>
              <w:spacing w:before="154"/>
              <w:ind w:left="384" w:right="301"/>
              <w:rPr>
                <w:b/>
                <w:sz w:val="18"/>
              </w:rPr>
            </w:pPr>
            <w:r>
              <w:rPr>
                <w:b/>
                <w:sz w:val="18"/>
              </w:rPr>
              <w:t>Estado</w:t>
            </w:r>
          </w:p>
        </w:tc>
        <w:tc>
          <w:tcPr>
            <w:tcW w:w="7062" w:type="dxa"/>
            <w:tcBorders>
              <w:bottom w:val="nil"/>
            </w:tcBorders>
          </w:tcPr>
          <w:p>
            <w:pPr>
              <w:pStyle w:val="TableParagraph"/>
              <w:spacing w:before="43"/>
              <w:ind w:left="64"/>
              <w:rPr>
                <w:sz w:val="18"/>
              </w:rPr>
            </w:pPr>
            <w:r>
              <w:rPr>
                <w:sz w:val="18"/>
              </w:rPr>
              <w:t>El art. 133 de la CPEUM establece la disposición del Estado para celebrar convenios internacionales, los cuales fueron suscritos con la OEA, la OCDE y la ONU.</w:t>
            </w:r>
          </w:p>
        </w:tc>
      </w:tr>
      <w:tr>
        <w:trPr>
          <w:trHeight w:val="656" w:hRule="exact"/>
        </w:trPr>
        <w:tc>
          <w:tcPr>
            <w:tcW w:w="1380" w:type="dxa"/>
            <w:vMerge/>
          </w:tcPr>
          <w:p>
            <w:pPr/>
          </w:p>
        </w:tc>
        <w:tc>
          <w:tcPr>
            <w:tcW w:w="7062" w:type="dxa"/>
            <w:tcBorders>
              <w:top w:val="nil"/>
              <w:bottom w:val="nil"/>
            </w:tcBorders>
          </w:tcPr>
          <w:p>
            <w:pPr>
              <w:pStyle w:val="TableParagraph"/>
              <w:spacing w:before="19"/>
              <w:ind w:left="64" w:right="64"/>
              <w:jc w:val="both"/>
              <w:rPr>
                <w:sz w:val="18"/>
              </w:rPr>
            </w:pPr>
            <w:r>
              <w:rPr>
                <w:sz w:val="18"/>
              </w:rPr>
              <w:t>En la Ley General de Contabilidad Gubernamental (publicado en 2008 y reformado en diciembre de 2012) se dispuso transparentar la información financiera de los tres órdenes de gobierno</w:t>
            </w:r>
          </w:p>
        </w:tc>
      </w:tr>
      <w:tr>
        <w:trPr>
          <w:trHeight w:val="624" w:hRule="exact"/>
        </w:trPr>
        <w:tc>
          <w:tcPr>
            <w:tcW w:w="1380" w:type="dxa"/>
            <w:vMerge/>
          </w:tcPr>
          <w:p>
            <w:pPr/>
          </w:p>
        </w:tc>
        <w:tc>
          <w:tcPr>
            <w:tcW w:w="7062" w:type="dxa"/>
            <w:tcBorders>
              <w:top w:val="nil"/>
            </w:tcBorders>
          </w:tcPr>
          <w:p>
            <w:pPr>
              <w:pStyle w:val="TableParagraph"/>
              <w:ind w:left="64" w:right="69"/>
              <w:jc w:val="both"/>
              <w:rPr>
                <w:sz w:val="18"/>
              </w:rPr>
            </w:pPr>
            <w:r>
              <w:rPr>
                <w:sz w:val="18"/>
              </w:rPr>
              <w:t>Fue emitida la Ley Federal Anticorrupción en Contrataciones Públicas y la Ley Federal para</w:t>
            </w:r>
            <w:r>
              <w:rPr>
                <w:spacing w:val="-13"/>
                <w:sz w:val="18"/>
              </w:rPr>
              <w:t> </w:t>
            </w:r>
            <w:r>
              <w:rPr>
                <w:sz w:val="18"/>
              </w:rPr>
              <w:t>la</w:t>
            </w:r>
            <w:r>
              <w:rPr>
                <w:spacing w:val="-13"/>
                <w:sz w:val="18"/>
              </w:rPr>
              <w:t> </w:t>
            </w:r>
            <w:r>
              <w:rPr>
                <w:sz w:val="18"/>
              </w:rPr>
              <w:t>Prevención</w:t>
            </w:r>
            <w:r>
              <w:rPr>
                <w:spacing w:val="-17"/>
                <w:sz w:val="18"/>
              </w:rPr>
              <w:t> </w:t>
            </w:r>
            <w:r>
              <w:rPr>
                <w:sz w:val="18"/>
              </w:rPr>
              <w:t>e</w:t>
            </w:r>
            <w:r>
              <w:rPr>
                <w:spacing w:val="-13"/>
                <w:sz w:val="18"/>
              </w:rPr>
              <w:t> </w:t>
            </w:r>
            <w:r>
              <w:rPr>
                <w:sz w:val="18"/>
              </w:rPr>
              <w:t>Identificación</w:t>
            </w:r>
            <w:r>
              <w:rPr>
                <w:spacing w:val="-17"/>
                <w:sz w:val="18"/>
              </w:rPr>
              <w:t> </w:t>
            </w:r>
            <w:r>
              <w:rPr>
                <w:sz w:val="18"/>
              </w:rPr>
              <w:t>de</w:t>
            </w:r>
            <w:r>
              <w:rPr>
                <w:spacing w:val="-13"/>
                <w:sz w:val="18"/>
              </w:rPr>
              <w:t> </w:t>
            </w:r>
            <w:r>
              <w:rPr>
                <w:sz w:val="18"/>
              </w:rPr>
              <w:t>Operaciones</w:t>
            </w:r>
            <w:r>
              <w:rPr>
                <w:spacing w:val="-15"/>
                <w:sz w:val="18"/>
              </w:rPr>
              <w:t> </w:t>
            </w:r>
            <w:r>
              <w:rPr>
                <w:sz w:val="18"/>
              </w:rPr>
              <w:t>con</w:t>
            </w:r>
            <w:r>
              <w:rPr>
                <w:spacing w:val="-13"/>
                <w:sz w:val="18"/>
              </w:rPr>
              <w:t> </w:t>
            </w:r>
            <w:r>
              <w:rPr>
                <w:sz w:val="18"/>
              </w:rPr>
              <w:t>Recursos</w:t>
            </w:r>
            <w:r>
              <w:rPr>
                <w:spacing w:val="-11"/>
                <w:sz w:val="18"/>
              </w:rPr>
              <w:t> </w:t>
            </w:r>
            <w:r>
              <w:rPr>
                <w:sz w:val="18"/>
              </w:rPr>
              <w:t>de</w:t>
            </w:r>
            <w:r>
              <w:rPr>
                <w:spacing w:val="-13"/>
                <w:sz w:val="18"/>
              </w:rPr>
              <w:t> </w:t>
            </w:r>
            <w:r>
              <w:rPr>
                <w:sz w:val="18"/>
              </w:rPr>
              <w:t>Procedencia</w:t>
            </w:r>
            <w:r>
              <w:rPr>
                <w:spacing w:val="-13"/>
                <w:sz w:val="18"/>
              </w:rPr>
              <w:t> </w:t>
            </w:r>
            <w:r>
              <w:rPr>
                <w:sz w:val="18"/>
              </w:rPr>
              <w:t>Ilícita, ambas en 2012.</w:t>
            </w:r>
          </w:p>
        </w:tc>
      </w:tr>
    </w:tbl>
    <w:p>
      <w:pPr>
        <w:pStyle w:val="BodyText"/>
        <w:spacing w:before="2"/>
        <w:rPr>
          <w:sz w:val="19"/>
        </w:rPr>
      </w:pPr>
      <w:r>
        <w:rPr/>
        <w:pict>
          <v:line style="position:absolute;mso-position-horizontal-relative:page;mso-position-vertical-relative:paragraph;z-index:10312;mso-wrap-distance-left:0;mso-wrap-distance-right:0" from="87.425003pt,13.19999pt" to="157.050003pt,13.19999pt" stroked="true" strokeweight=".40002pt" strokecolor="#000000">
            <w10:wrap type="topAndBottom"/>
          </v:line>
        </w:pict>
      </w:r>
    </w:p>
    <w:p>
      <w:pPr>
        <w:spacing w:after="0"/>
        <w:rPr>
          <w:sz w:val="19"/>
        </w:rPr>
        <w:sectPr>
          <w:pgSz w:w="11910" w:h="16840"/>
          <w:pgMar w:header="0" w:footer="998" w:top="1340" w:bottom="1180" w:left="1600" w:right="1580"/>
        </w:sectPr>
      </w:pPr>
    </w:p>
    <w:tbl>
      <w:tblPr>
        <w:tblW w:w="0" w:type="auto"/>
        <w:jc w:val="left"/>
        <w:tblInd w:w="15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80"/>
        <w:gridCol w:w="7062"/>
      </w:tblGrid>
      <w:tr>
        <w:trPr>
          <w:trHeight w:val="758" w:hRule="exact"/>
        </w:trPr>
        <w:tc>
          <w:tcPr>
            <w:tcW w:w="1380" w:type="dxa"/>
            <w:tcBorders>
              <w:bottom w:val="nil"/>
            </w:tcBorders>
          </w:tcPr>
          <w:p>
            <w:pPr>
              <w:pStyle w:val="TableParagraph"/>
              <w:rPr>
                <w:sz w:val="18"/>
              </w:rPr>
            </w:pPr>
          </w:p>
          <w:p>
            <w:pPr>
              <w:pStyle w:val="TableParagraph"/>
              <w:spacing w:before="4"/>
              <w:rPr>
                <w:sz w:val="17"/>
              </w:rPr>
            </w:pPr>
          </w:p>
          <w:p>
            <w:pPr>
              <w:pStyle w:val="TableParagraph"/>
              <w:ind w:left="363" w:right="301"/>
              <w:rPr>
                <w:b/>
                <w:sz w:val="18"/>
              </w:rPr>
            </w:pPr>
            <w:r>
              <w:rPr>
                <w:b/>
                <w:sz w:val="18"/>
              </w:rPr>
              <w:t>Política</w:t>
            </w:r>
          </w:p>
        </w:tc>
        <w:tc>
          <w:tcPr>
            <w:tcW w:w="7062" w:type="dxa"/>
            <w:tcBorders>
              <w:bottom w:val="nil"/>
            </w:tcBorders>
          </w:tcPr>
          <w:p>
            <w:pPr>
              <w:pStyle w:val="TableParagraph"/>
              <w:spacing w:before="71"/>
              <w:ind w:left="64" w:right="66"/>
              <w:jc w:val="both"/>
              <w:rPr>
                <w:sz w:val="18"/>
              </w:rPr>
            </w:pPr>
            <w:r>
              <w:rPr>
                <w:sz w:val="18"/>
              </w:rPr>
              <w:t>El gobierno federal estableció que todos los ejecutores del gasto consolidaran la información sobre la gestión financiera y sobre el cumplimiento de los programas presupuestarios en la CHPF bajo protesta de decir verdad.</w:t>
            </w:r>
          </w:p>
        </w:tc>
      </w:tr>
      <w:tr>
        <w:trPr>
          <w:trHeight w:val="282" w:hRule="exact"/>
        </w:trPr>
        <w:tc>
          <w:tcPr>
            <w:tcW w:w="1380" w:type="dxa"/>
            <w:tcBorders>
              <w:top w:val="nil"/>
            </w:tcBorders>
          </w:tcPr>
          <w:p>
            <w:pPr/>
          </w:p>
        </w:tc>
        <w:tc>
          <w:tcPr>
            <w:tcW w:w="7062" w:type="dxa"/>
            <w:tcBorders>
              <w:top w:val="nil"/>
            </w:tcBorders>
          </w:tcPr>
          <w:p>
            <w:pPr>
              <w:pStyle w:val="TableParagraph"/>
              <w:spacing w:before="45"/>
              <w:ind w:left="64"/>
              <w:rPr>
                <w:sz w:val="18"/>
              </w:rPr>
            </w:pPr>
            <w:r>
              <w:rPr>
                <w:sz w:val="18"/>
              </w:rPr>
              <w:t>Se estableció la figura de contraloría social el 11 de abril de 2008.</w:t>
            </w:r>
          </w:p>
        </w:tc>
      </w:tr>
      <w:tr>
        <w:trPr>
          <w:trHeight w:val="268" w:hRule="exact"/>
        </w:trPr>
        <w:tc>
          <w:tcPr>
            <w:tcW w:w="1380" w:type="dxa"/>
            <w:tcBorders>
              <w:left w:val="nil"/>
              <w:right w:val="nil"/>
            </w:tcBorders>
          </w:tcPr>
          <w:p>
            <w:pPr/>
          </w:p>
        </w:tc>
        <w:tc>
          <w:tcPr>
            <w:tcW w:w="7062" w:type="dxa"/>
            <w:tcBorders>
              <w:left w:val="nil"/>
              <w:right w:val="nil"/>
            </w:tcBorders>
          </w:tcPr>
          <w:p>
            <w:pPr/>
          </w:p>
        </w:tc>
      </w:tr>
      <w:tr>
        <w:trPr>
          <w:trHeight w:val="716" w:hRule="exact"/>
        </w:trPr>
        <w:tc>
          <w:tcPr>
            <w:tcW w:w="1380" w:type="dxa"/>
            <w:tcBorders>
              <w:bottom w:val="nil"/>
            </w:tcBorders>
          </w:tcPr>
          <w:p>
            <w:pPr/>
          </w:p>
        </w:tc>
        <w:tc>
          <w:tcPr>
            <w:tcW w:w="7062" w:type="dxa"/>
            <w:tcBorders>
              <w:bottom w:val="nil"/>
            </w:tcBorders>
          </w:tcPr>
          <w:p>
            <w:pPr>
              <w:pStyle w:val="TableParagraph"/>
              <w:spacing w:before="10"/>
              <w:rPr>
                <w:sz w:val="14"/>
              </w:rPr>
            </w:pPr>
          </w:p>
          <w:p>
            <w:pPr>
              <w:pStyle w:val="TableParagraph"/>
              <w:ind w:left="64"/>
              <w:rPr>
                <w:sz w:val="18"/>
              </w:rPr>
            </w:pPr>
            <w:r>
              <w:rPr>
                <w:sz w:val="18"/>
              </w:rPr>
              <w:t>La armonización legal del Estado Mexicano con los convenios internacionales anticorrupción inició en 2007. Hasta 2013 no se habían concluido la armonización.</w:t>
            </w:r>
          </w:p>
        </w:tc>
      </w:tr>
      <w:tr>
        <w:trPr>
          <w:trHeight w:val="596" w:hRule="exact"/>
        </w:trPr>
        <w:tc>
          <w:tcPr>
            <w:tcW w:w="1380" w:type="dxa"/>
            <w:tcBorders>
              <w:top w:val="nil"/>
              <w:bottom w:val="nil"/>
            </w:tcBorders>
          </w:tcPr>
          <w:p>
            <w:pPr/>
          </w:p>
        </w:tc>
        <w:tc>
          <w:tcPr>
            <w:tcW w:w="7062" w:type="dxa"/>
            <w:tcBorders>
              <w:top w:val="nil"/>
              <w:bottom w:val="nil"/>
            </w:tcBorders>
          </w:tcPr>
          <w:p>
            <w:pPr>
              <w:pStyle w:val="TableParagraph"/>
              <w:spacing w:before="107"/>
              <w:ind w:left="64"/>
              <w:rPr>
                <w:sz w:val="18"/>
              </w:rPr>
            </w:pPr>
            <w:r>
              <w:rPr>
                <w:sz w:val="18"/>
              </w:rPr>
              <w:t>La SFP no elaboró un tablero de control de las actividades de los compromisos de las convenciones internacionales anticorrupción con la OEA y la OCDE.</w:t>
            </w:r>
          </w:p>
        </w:tc>
      </w:tr>
      <w:tr>
        <w:trPr>
          <w:trHeight w:val="750" w:hRule="exact"/>
        </w:trPr>
        <w:tc>
          <w:tcPr>
            <w:tcW w:w="1380" w:type="dxa"/>
            <w:tcBorders>
              <w:top w:val="nil"/>
              <w:bottom w:val="nil"/>
            </w:tcBorders>
          </w:tcPr>
          <w:p>
            <w:pPr/>
          </w:p>
        </w:tc>
        <w:tc>
          <w:tcPr>
            <w:tcW w:w="7062" w:type="dxa"/>
            <w:tcBorders>
              <w:top w:val="nil"/>
              <w:bottom w:val="nil"/>
            </w:tcBorders>
          </w:tcPr>
          <w:p>
            <w:pPr>
              <w:pStyle w:val="TableParagraph"/>
              <w:spacing w:before="55"/>
              <w:ind w:left="64" w:right="65"/>
              <w:jc w:val="both"/>
              <w:rPr>
                <w:sz w:val="18"/>
              </w:rPr>
            </w:pPr>
            <w:r>
              <w:rPr>
                <w:sz w:val="18"/>
              </w:rPr>
              <w:t>En</w:t>
            </w:r>
            <w:r>
              <w:rPr>
                <w:spacing w:val="-10"/>
                <w:sz w:val="18"/>
              </w:rPr>
              <w:t> </w:t>
            </w:r>
            <w:r>
              <w:rPr>
                <w:sz w:val="18"/>
              </w:rPr>
              <w:t>la</w:t>
            </w:r>
            <w:r>
              <w:rPr>
                <w:spacing w:val="-10"/>
                <w:sz w:val="18"/>
              </w:rPr>
              <w:t> </w:t>
            </w:r>
            <w:r>
              <w:rPr>
                <w:sz w:val="18"/>
              </w:rPr>
              <w:t>estructura</w:t>
            </w:r>
            <w:r>
              <w:rPr>
                <w:spacing w:val="-13"/>
                <w:sz w:val="18"/>
              </w:rPr>
              <w:t> </w:t>
            </w:r>
            <w:r>
              <w:rPr>
                <w:sz w:val="18"/>
              </w:rPr>
              <w:t>orgánica</w:t>
            </w:r>
            <w:r>
              <w:rPr>
                <w:spacing w:val="-13"/>
                <w:sz w:val="18"/>
              </w:rPr>
              <w:t> </w:t>
            </w:r>
            <w:r>
              <w:rPr>
                <w:sz w:val="18"/>
              </w:rPr>
              <w:t>de</w:t>
            </w:r>
            <w:r>
              <w:rPr>
                <w:spacing w:val="-13"/>
                <w:sz w:val="18"/>
              </w:rPr>
              <w:t> </w:t>
            </w:r>
            <w:r>
              <w:rPr>
                <w:sz w:val="18"/>
              </w:rPr>
              <w:t>la</w:t>
            </w:r>
            <w:r>
              <w:rPr>
                <w:spacing w:val="-10"/>
                <w:sz w:val="18"/>
              </w:rPr>
              <w:t> </w:t>
            </w:r>
            <w:r>
              <w:rPr>
                <w:sz w:val="18"/>
              </w:rPr>
              <w:t>SFP</w:t>
            </w:r>
            <w:r>
              <w:rPr>
                <w:spacing w:val="-13"/>
                <w:sz w:val="18"/>
              </w:rPr>
              <w:t> </w:t>
            </w:r>
            <w:r>
              <w:rPr>
                <w:sz w:val="18"/>
              </w:rPr>
              <w:t>se</w:t>
            </w:r>
            <w:r>
              <w:rPr>
                <w:spacing w:val="-13"/>
                <w:sz w:val="18"/>
              </w:rPr>
              <w:t> </w:t>
            </w:r>
            <w:r>
              <w:rPr>
                <w:sz w:val="18"/>
              </w:rPr>
              <w:t>privilegió</w:t>
            </w:r>
            <w:r>
              <w:rPr>
                <w:spacing w:val="-13"/>
                <w:sz w:val="18"/>
              </w:rPr>
              <w:t> </w:t>
            </w:r>
            <w:r>
              <w:rPr>
                <w:sz w:val="18"/>
              </w:rPr>
              <w:t>a</w:t>
            </w:r>
            <w:r>
              <w:rPr>
                <w:spacing w:val="-10"/>
                <w:sz w:val="18"/>
              </w:rPr>
              <w:t> </w:t>
            </w:r>
            <w:r>
              <w:rPr>
                <w:sz w:val="18"/>
              </w:rPr>
              <w:t>las</w:t>
            </w:r>
            <w:r>
              <w:rPr>
                <w:spacing w:val="-8"/>
                <w:sz w:val="18"/>
              </w:rPr>
              <w:t> </w:t>
            </w:r>
            <w:r>
              <w:rPr>
                <w:sz w:val="18"/>
              </w:rPr>
              <w:t>acciones</w:t>
            </w:r>
            <w:r>
              <w:rPr>
                <w:spacing w:val="-8"/>
                <w:sz w:val="18"/>
              </w:rPr>
              <w:t> </w:t>
            </w:r>
            <w:r>
              <w:rPr>
                <w:sz w:val="18"/>
              </w:rPr>
              <w:t>directivas,</w:t>
            </w:r>
            <w:r>
              <w:rPr>
                <w:spacing w:val="-8"/>
                <w:sz w:val="18"/>
              </w:rPr>
              <w:t> </w:t>
            </w:r>
            <w:r>
              <w:rPr>
                <w:sz w:val="18"/>
              </w:rPr>
              <w:t>en</w:t>
            </w:r>
            <w:r>
              <w:rPr>
                <w:spacing w:val="-13"/>
                <w:sz w:val="18"/>
              </w:rPr>
              <w:t> </w:t>
            </w:r>
            <w:r>
              <w:rPr>
                <w:sz w:val="18"/>
              </w:rPr>
              <w:t>detrimento de</w:t>
            </w:r>
            <w:r>
              <w:rPr>
                <w:spacing w:val="-8"/>
                <w:sz w:val="18"/>
              </w:rPr>
              <w:t> </w:t>
            </w:r>
            <w:r>
              <w:rPr>
                <w:sz w:val="18"/>
              </w:rPr>
              <w:t>las</w:t>
            </w:r>
            <w:r>
              <w:rPr>
                <w:spacing w:val="-6"/>
                <w:sz w:val="18"/>
              </w:rPr>
              <w:t> </w:t>
            </w:r>
            <w:r>
              <w:rPr>
                <w:sz w:val="18"/>
              </w:rPr>
              <w:t>operativas,</w:t>
            </w:r>
            <w:r>
              <w:rPr>
                <w:spacing w:val="-6"/>
                <w:sz w:val="18"/>
              </w:rPr>
              <w:t> </w:t>
            </w:r>
            <w:r>
              <w:rPr>
                <w:sz w:val="18"/>
              </w:rPr>
              <w:t>lo</w:t>
            </w:r>
            <w:r>
              <w:rPr>
                <w:spacing w:val="-8"/>
                <w:sz w:val="18"/>
              </w:rPr>
              <w:t> </w:t>
            </w:r>
            <w:r>
              <w:rPr>
                <w:sz w:val="18"/>
              </w:rPr>
              <w:t>que</w:t>
            </w:r>
            <w:r>
              <w:rPr>
                <w:spacing w:val="-6"/>
                <w:sz w:val="18"/>
              </w:rPr>
              <w:t> </w:t>
            </w:r>
            <w:r>
              <w:rPr>
                <w:sz w:val="18"/>
              </w:rPr>
              <w:t>incidió</w:t>
            </w:r>
            <w:r>
              <w:rPr>
                <w:spacing w:val="-8"/>
                <w:sz w:val="18"/>
              </w:rPr>
              <w:t> </w:t>
            </w:r>
            <w:r>
              <w:rPr>
                <w:sz w:val="18"/>
              </w:rPr>
              <w:t>que</w:t>
            </w:r>
            <w:r>
              <w:rPr>
                <w:spacing w:val="-8"/>
                <w:sz w:val="18"/>
              </w:rPr>
              <w:t> </w:t>
            </w:r>
            <w:r>
              <w:rPr>
                <w:sz w:val="18"/>
              </w:rPr>
              <w:t>la</w:t>
            </w:r>
            <w:r>
              <w:rPr>
                <w:spacing w:val="-8"/>
                <w:sz w:val="18"/>
              </w:rPr>
              <w:t> </w:t>
            </w:r>
            <w:r>
              <w:rPr>
                <w:sz w:val="18"/>
              </w:rPr>
              <w:t>operación</w:t>
            </w:r>
            <w:r>
              <w:rPr>
                <w:spacing w:val="-12"/>
                <w:sz w:val="18"/>
              </w:rPr>
              <w:t> </w:t>
            </w:r>
            <w:r>
              <w:rPr>
                <w:sz w:val="18"/>
              </w:rPr>
              <w:t>se</w:t>
            </w:r>
            <w:r>
              <w:rPr>
                <w:spacing w:val="-12"/>
                <w:sz w:val="18"/>
              </w:rPr>
              <w:t> </w:t>
            </w:r>
            <w:r>
              <w:rPr>
                <w:sz w:val="18"/>
              </w:rPr>
              <w:t>viera</w:t>
            </w:r>
            <w:r>
              <w:rPr>
                <w:spacing w:val="-8"/>
                <w:sz w:val="18"/>
              </w:rPr>
              <w:t> </w:t>
            </w:r>
            <w:r>
              <w:rPr>
                <w:sz w:val="18"/>
              </w:rPr>
              <w:t>limitada</w:t>
            </w:r>
            <w:r>
              <w:rPr>
                <w:spacing w:val="-8"/>
                <w:sz w:val="18"/>
              </w:rPr>
              <w:t> </w:t>
            </w:r>
            <w:r>
              <w:rPr>
                <w:sz w:val="18"/>
              </w:rPr>
              <w:t>para</w:t>
            </w:r>
            <w:r>
              <w:rPr>
                <w:spacing w:val="-8"/>
                <w:sz w:val="18"/>
              </w:rPr>
              <w:t> </w:t>
            </w:r>
            <w:r>
              <w:rPr>
                <w:sz w:val="18"/>
              </w:rPr>
              <w:t>lograr</w:t>
            </w:r>
            <w:r>
              <w:rPr>
                <w:spacing w:val="-8"/>
                <w:sz w:val="18"/>
              </w:rPr>
              <w:t> </w:t>
            </w:r>
            <w:r>
              <w:rPr>
                <w:sz w:val="18"/>
              </w:rPr>
              <w:t>la</w:t>
            </w:r>
            <w:r>
              <w:rPr>
                <w:spacing w:val="-8"/>
                <w:sz w:val="18"/>
              </w:rPr>
              <w:t> </w:t>
            </w:r>
            <w:r>
              <w:rPr>
                <w:sz w:val="18"/>
              </w:rPr>
              <w:t>eficacia y eficiencia de la</w:t>
            </w:r>
            <w:r>
              <w:rPr>
                <w:spacing w:val="-6"/>
                <w:sz w:val="18"/>
              </w:rPr>
              <w:t> </w:t>
            </w:r>
            <w:r>
              <w:rPr>
                <w:sz w:val="18"/>
              </w:rPr>
              <w:t>SFP.</w:t>
            </w:r>
          </w:p>
        </w:tc>
      </w:tr>
      <w:tr>
        <w:trPr>
          <w:trHeight w:val="532" w:hRule="exact"/>
        </w:trPr>
        <w:tc>
          <w:tcPr>
            <w:tcW w:w="1380" w:type="dxa"/>
            <w:vMerge w:val="restart"/>
            <w:tcBorders>
              <w:top w:val="nil"/>
            </w:tcBorders>
          </w:tcPr>
          <w:p>
            <w:pPr>
              <w:pStyle w:val="TableParagraph"/>
              <w:spacing w:before="6"/>
              <w:rPr>
                <w:sz w:val="19"/>
              </w:rPr>
            </w:pPr>
          </w:p>
          <w:p>
            <w:pPr>
              <w:pStyle w:val="TableParagraph"/>
              <w:ind w:left="108" w:right="115" w:firstLine="4"/>
              <w:jc w:val="center"/>
              <w:rPr>
                <w:b/>
                <w:sz w:val="18"/>
              </w:rPr>
            </w:pPr>
            <w:r>
              <w:rPr>
                <w:b/>
                <w:sz w:val="18"/>
              </w:rPr>
              <w:t>Rendición de cuentas (Evaluación de la</w:t>
            </w:r>
            <w:r>
              <w:rPr>
                <w:b/>
                <w:spacing w:val="-6"/>
                <w:sz w:val="18"/>
              </w:rPr>
              <w:t> </w:t>
            </w:r>
            <w:r>
              <w:rPr>
                <w:b/>
                <w:sz w:val="18"/>
              </w:rPr>
              <w:t>política)</w:t>
            </w:r>
          </w:p>
        </w:tc>
        <w:tc>
          <w:tcPr>
            <w:tcW w:w="7062" w:type="dxa"/>
            <w:tcBorders>
              <w:top w:val="nil"/>
              <w:bottom w:val="nil"/>
            </w:tcBorders>
          </w:tcPr>
          <w:p>
            <w:pPr>
              <w:pStyle w:val="TableParagraph"/>
              <w:spacing w:line="204" w:lineRule="exact" w:before="62"/>
              <w:ind w:left="64"/>
              <w:rPr>
                <w:sz w:val="18"/>
              </w:rPr>
            </w:pPr>
            <w:r>
              <w:rPr>
                <w:sz w:val="18"/>
              </w:rPr>
              <w:t>No</w:t>
            </w:r>
            <w:r>
              <w:rPr>
                <w:spacing w:val="-12"/>
                <w:sz w:val="18"/>
              </w:rPr>
              <w:t> </w:t>
            </w:r>
            <w:r>
              <w:rPr>
                <w:sz w:val="18"/>
              </w:rPr>
              <w:t>se</w:t>
            </w:r>
            <w:r>
              <w:rPr>
                <w:spacing w:val="-12"/>
                <w:sz w:val="18"/>
              </w:rPr>
              <w:t> </w:t>
            </w:r>
            <w:r>
              <w:rPr>
                <w:sz w:val="18"/>
              </w:rPr>
              <w:t>les</w:t>
            </w:r>
            <w:r>
              <w:rPr>
                <w:spacing w:val="-10"/>
                <w:sz w:val="18"/>
              </w:rPr>
              <w:t> </w:t>
            </w:r>
            <w:r>
              <w:rPr>
                <w:sz w:val="18"/>
              </w:rPr>
              <w:t>otorgaron</w:t>
            </w:r>
            <w:r>
              <w:rPr>
                <w:spacing w:val="-16"/>
                <w:sz w:val="18"/>
              </w:rPr>
              <w:t> </w:t>
            </w:r>
            <w:r>
              <w:rPr>
                <w:sz w:val="18"/>
              </w:rPr>
              <w:t>facultades</w:t>
            </w:r>
            <w:r>
              <w:rPr>
                <w:spacing w:val="-10"/>
                <w:sz w:val="18"/>
              </w:rPr>
              <w:t> </w:t>
            </w:r>
            <w:r>
              <w:rPr>
                <w:sz w:val="18"/>
              </w:rPr>
              <w:t>a</w:t>
            </w:r>
            <w:r>
              <w:rPr>
                <w:spacing w:val="-12"/>
                <w:sz w:val="18"/>
              </w:rPr>
              <w:t> </w:t>
            </w:r>
            <w:r>
              <w:rPr>
                <w:sz w:val="18"/>
              </w:rPr>
              <w:t>las</w:t>
            </w:r>
            <w:r>
              <w:rPr>
                <w:spacing w:val="-10"/>
                <w:sz w:val="18"/>
              </w:rPr>
              <w:t> </w:t>
            </w:r>
            <w:r>
              <w:rPr>
                <w:sz w:val="18"/>
              </w:rPr>
              <w:t>dependencias</w:t>
            </w:r>
            <w:r>
              <w:rPr>
                <w:spacing w:val="-14"/>
                <w:sz w:val="18"/>
              </w:rPr>
              <w:t> </w:t>
            </w:r>
            <w:r>
              <w:rPr>
                <w:sz w:val="18"/>
              </w:rPr>
              <w:t>para</w:t>
            </w:r>
            <w:r>
              <w:rPr>
                <w:spacing w:val="-12"/>
                <w:sz w:val="18"/>
              </w:rPr>
              <w:t> </w:t>
            </w:r>
            <w:r>
              <w:rPr>
                <w:sz w:val="18"/>
              </w:rPr>
              <w:t>desarrollar</w:t>
            </w:r>
            <w:r>
              <w:rPr>
                <w:spacing w:val="-12"/>
                <w:sz w:val="18"/>
              </w:rPr>
              <w:t> </w:t>
            </w:r>
            <w:r>
              <w:rPr>
                <w:sz w:val="18"/>
              </w:rPr>
              <w:t>e</w:t>
            </w:r>
            <w:r>
              <w:rPr>
                <w:spacing w:val="-12"/>
                <w:sz w:val="18"/>
              </w:rPr>
              <w:t> </w:t>
            </w:r>
            <w:r>
              <w:rPr>
                <w:sz w:val="18"/>
              </w:rPr>
              <w:t>implantar</w:t>
            </w:r>
            <w:r>
              <w:rPr>
                <w:spacing w:val="-15"/>
                <w:sz w:val="18"/>
              </w:rPr>
              <w:t> </w:t>
            </w:r>
            <w:r>
              <w:rPr>
                <w:sz w:val="18"/>
              </w:rPr>
              <w:t>servicios de inteligencia a fin de detectar, sancionar y erradicar las prácticas</w:t>
            </w:r>
            <w:r>
              <w:rPr>
                <w:spacing w:val="-17"/>
                <w:sz w:val="18"/>
              </w:rPr>
              <w:t> </w:t>
            </w:r>
            <w:r>
              <w:rPr>
                <w:sz w:val="18"/>
              </w:rPr>
              <w:t>corruptas.</w:t>
            </w:r>
          </w:p>
        </w:tc>
      </w:tr>
      <w:tr>
        <w:trPr>
          <w:trHeight w:val="590" w:hRule="exact"/>
        </w:trPr>
        <w:tc>
          <w:tcPr>
            <w:tcW w:w="1380" w:type="dxa"/>
            <w:vMerge/>
            <w:tcBorders>
              <w:bottom w:val="nil"/>
            </w:tcBorders>
          </w:tcPr>
          <w:p>
            <w:pPr/>
          </w:p>
        </w:tc>
        <w:tc>
          <w:tcPr>
            <w:tcW w:w="7062" w:type="dxa"/>
            <w:tcBorders>
              <w:top w:val="nil"/>
              <w:bottom w:val="nil"/>
            </w:tcBorders>
          </w:tcPr>
          <w:p>
            <w:pPr>
              <w:pStyle w:val="TableParagraph"/>
              <w:spacing w:line="204" w:lineRule="exact" w:before="50"/>
              <w:ind w:left="64"/>
              <w:rPr>
                <w:sz w:val="18"/>
              </w:rPr>
            </w:pPr>
            <w:r>
              <w:rPr>
                <w:sz w:val="18"/>
              </w:rPr>
              <w:t>No hubo evidencia de que la SFP se coordinara con la Secretaría de Relaciones Exteriores y la SEGOB para realizar la armonización legal.</w:t>
            </w:r>
          </w:p>
        </w:tc>
      </w:tr>
      <w:tr>
        <w:trPr>
          <w:trHeight w:val="1202" w:hRule="exact"/>
        </w:trPr>
        <w:tc>
          <w:tcPr>
            <w:tcW w:w="1380" w:type="dxa"/>
            <w:tcBorders>
              <w:top w:val="nil"/>
              <w:bottom w:val="nil"/>
            </w:tcBorders>
          </w:tcPr>
          <w:p>
            <w:pPr/>
          </w:p>
        </w:tc>
        <w:tc>
          <w:tcPr>
            <w:tcW w:w="7062" w:type="dxa"/>
            <w:tcBorders>
              <w:top w:val="nil"/>
              <w:bottom w:val="nil"/>
            </w:tcBorders>
          </w:tcPr>
          <w:p>
            <w:pPr>
              <w:pStyle w:val="TableParagraph"/>
              <w:spacing w:before="47"/>
              <w:ind w:left="64" w:right="66"/>
              <w:jc w:val="both"/>
              <w:rPr>
                <w:sz w:val="18"/>
              </w:rPr>
            </w:pPr>
            <w:r>
              <w:rPr>
                <w:sz w:val="18"/>
              </w:rPr>
              <w:t>A 2013 no se han otorgado facultades dependencia alguna para dar seguimiento a las convenciones contra la corrupción que ha suscrito el Estado mexicano (lo cual, de acuerdo</w:t>
            </w:r>
            <w:r>
              <w:rPr>
                <w:spacing w:val="-7"/>
                <w:sz w:val="18"/>
              </w:rPr>
              <w:t> </w:t>
            </w:r>
            <w:r>
              <w:rPr>
                <w:sz w:val="18"/>
              </w:rPr>
              <w:t>con</w:t>
            </w:r>
            <w:r>
              <w:rPr>
                <w:spacing w:val="-7"/>
                <w:sz w:val="18"/>
              </w:rPr>
              <w:t> </w:t>
            </w:r>
            <w:r>
              <w:rPr>
                <w:sz w:val="18"/>
              </w:rPr>
              <w:t>la</w:t>
            </w:r>
            <w:r>
              <w:rPr>
                <w:spacing w:val="-7"/>
                <w:sz w:val="18"/>
              </w:rPr>
              <w:t> </w:t>
            </w:r>
            <w:r>
              <w:rPr>
                <w:sz w:val="18"/>
              </w:rPr>
              <w:t>ASF</w:t>
            </w:r>
            <w:r>
              <w:rPr>
                <w:spacing w:val="-9"/>
                <w:sz w:val="18"/>
              </w:rPr>
              <w:t> </w:t>
            </w:r>
            <w:r>
              <w:rPr>
                <w:spacing w:val="-3"/>
                <w:sz w:val="18"/>
              </w:rPr>
              <w:t>es</w:t>
            </w:r>
            <w:r>
              <w:rPr>
                <w:spacing w:val="-5"/>
                <w:sz w:val="18"/>
              </w:rPr>
              <w:t> </w:t>
            </w:r>
            <w:r>
              <w:rPr>
                <w:sz w:val="18"/>
              </w:rPr>
              <w:t>un</w:t>
            </w:r>
            <w:r>
              <w:rPr>
                <w:spacing w:val="-7"/>
                <w:sz w:val="18"/>
              </w:rPr>
              <w:t> </w:t>
            </w:r>
            <w:r>
              <w:rPr>
                <w:sz w:val="18"/>
              </w:rPr>
              <w:t>aspecto</w:t>
            </w:r>
            <w:r>
              <w:rPr>
                <w:spacing w:val="-11"/>
                <w:sz w:val="18"/>
              </w:rPr>
              <w:t> </w:t>
            </w:r>
            <w:r>
              <w:rPr>
                <w:sz w:val="18"/>
              </w:rPr>
              <w:t>importante</w:t>
            </w:r>
            <w:r>
              <w:rPr>
                <w:spacing w:val="-11"/>
                <w:sz w:val="18"/>
              </w:rPr>
              <w:t> </w:t>
            </w:r>
            <w:r>
              <w:rPr>
                <w:sz w:val="18"/>
              </w:rPr>
              <w:t>si</w:t>
            </w:r>
            <w:r>
              <w:rPr>
                <w:spacing w:val="-6"/>
                <w:sz w:val="18"/>
              </w:rPr>
              <w:t> </w:t>
            </w:r>
            <w:r>
              <w:rPr>
                <w:sz w:val="18"/>
              </w:rPr>
              <w:t>se</w:t>
            </w:r>
            <w:r>
              <w:rPr>
                <w:spacing w:val="-15"/>
                <w:sz w:val="18"/>
              </w:rPr>
              <w:t> </w:t>
            </w:r>
            <w:r>
              <w:rPr>
                <w:sz w:val="18"/>
              </w:rPr>
              <w:t>considera</w:t>
            </w:r>
            <w:r>
              <w:rPr>
                <w:spacing w:val="-7"/>
                <w:sz w:val="18"/>
              </w:rPr>
              <w:t> </w:t>
            </w:r>
            <w:r>
              <w:rPr>
                <w:sz w:val="18"/>
              </w:rPr>
              <w:t>que</w:t>
            </w:r>
            <w:r>
              <w:rPr>
                <w:spacing w:val="-11"/>
                <w:sz w:val="18"/>
              </w:rPr>
              <w:t> </w:t>
            </w:r>
            <w:r>
              <w:rPr>
                <w:sz w:val="18"/>
              </w:rPr>
              <w:t>se</w:t>
            </w:r>
            <w:r>
              <w:rPr>
                <w:spacing w:val="-7"/>
                <w:sz w:val="18"/>
              </w:rPr>
              <w:t> </w:t>
            </w:r>
            <w:r>
              <w:rPr>
                <w:sz w:val="18"/>
              </w:rPr>
              <w:t>ha</w:t>
            </w:r>
            <w:r>
              <w:rPr>
                <w:spacing w:val="-7"/>
                <w:sz w:val="18"/>
              </w:rPr>
              <w:t> </w:t>
            </w:r>
            <w:r>
              <w:rPr>
                <w:sz w:val="18"/>
              </w:rPr>
              <w:t>reconocido</w:t>
            </w:r>
            <w:r>
              <w:rPr>
                <w:spacing w:val="-7"/>
                <w:sz w:val="18"/>
              </w:rPr>
              <w:t> </w:t>
            </w:r>
            <w:r>
              <w:rPr>
                <w:sz w:val="18"/>
              </w:rPr>
              <w:t>que la corrupción trasciende internacionalmente </w:t>
            </w:r>
            <w:r>
              <w:rPr>
                <w:spacing w:val="-3"/>
                <w:sz w:val="18"/>
              </w:rPr>
              <w:t>y, </w:t>
            </w:r>
            <w:r>
              <w:rPr>
                <w:sz w:val="18"/>
              </w:rPr>
              <w:t>por tanto, se requieren acciones para promover y facilitar la cooperación</w:t>
            </w:r>
            <w:r>
              <w:rPr>
                <w:spacing w:val="-13"/>
                <w:sz w:val="18"/>
              </w:rPr>
              <w:t> </w:t>
            </w:r>
            <w:r>
              <w:rPr>
                <w:sz w:val="18"/>
              </w:rPr>
              <w:t>internacional.</w:t>
            </w:r>
          </w:p>
        </w:tc>
      </w:tr>
      <w:tr>
        <w:trPr>
          <w:trHeight w:val="1038" w:hRule="exact"/>
        </w:trPr>
        <w:tc>
          <w:tcPr>
            <w:tcW w:w="1380" w:type="dxa"/>
            <w:tcBorders>
              <w:top w:val="nil"/>
            </w:tcBorders>
          </w:tcPr>
          <w:p>
            <w:pPr/>
          </w:p>
        </w:tc>
        <w:tc>
          <w:tcPr>
            <w:tcW w:w="7062" w:type="dxa"/>
            <w:tcBorders>
              <w:top w:val="nil"/>
            </w:tcBorders>
          </w:tcPr>
          <w:p>
            <w:pPr>
              <w:pStyle w:val="TableParagraph"/>
              <w:spacing w:before="105"/>
              <w:ind w:left="64" w:right="64"/>
              <w:jc w:val="both"/>
              <w:rPr>
                <w:sz w:val="18"/>
              </w:rPr>
            </w:pPr>
            <w:r>
              <w:rPr>
                <w:sz w:val="18"/>
              </w:rPr>
              <w:t>La</w:t>
            </w:r>
            <w:r>
              <w:rPr>
                <w:spacing w:val="-8"/>
                <w:sz w:val="18"/>
              </w:rPr>
              <w:t> </w:t>
            </w:r>
            <w:r>
              <w:rPr>
                <w:sz w:val="18"/>
              </w:rPr>
              <w:t>contraloría</w:t>
            </w:r>
            <w:r>
              <w:rPr>
                <w:spacing w:val="-12"/>
                <w:sz w:val="18"/>
              </w:rPr>
              <w:t> </w:t>
            </w:r>
            <w:r>
              <w:rPr>
                <w:sz w:val="18"/>
              </w:rPr>
              <w:t>social</w:t>
            </w:r>
            <w:r>
              <w:rPr>
                <w:spacing w:val="-12"/>
                <w:sz w:val="18"/>
              </w:rPr>
              <w:t> </w:t>
            </w:r>
            <w:r>
              <w:rPr>
                <w:sz w:val="18"/>
              </w:rPr>
              <w:t>no</w:t>
            </w:r>
            <w:r>
              <w:rPr>
                <w:spacing w:val="-8"/>
                <w:sz w:val="18"/>
              </w:rPr>
              <w:t> </w:t>
            </w:r>
            <w:r>
              <w:rPr>
                <w:sz w:val="18"/>
              </w:rPr>
              <w:t>permite</w:t>
            </w:r>
            <w:r>
              <w:rPr>
                <w:spacing w:val="-8"/>
                <w:sz w:val="18"/>
              </w:rPr>
              <w:t> </w:t>
            </w:r>
            <w:r>
              <w:rPr>
                <w:sz w:val="18"/>
              </w:rPr>
              <w:t>evaluar</w:t>
            </w:r>
            <w:r>
              <w:rPr>
                <w:spacing w:val="-8"/>
                <w:sz w:val="18"/>
              </w:rPr>
              <w:t> </w:t>
            </w:r>
            <w:r>
              <w:rPr>
                <w:sz w:val="18"/>
              </w:rPr>
              <w:t>la</w:t>
            </w:r>
            <w:r>
              <w:rPr>
                <w:spacing w:val="-12"/>
                <w:sz w:val="18"/>
              </w:rPr>
              <w:t> </w:t>
            </w:r>
            <w:r>
              <w:rPr>
                <w:sz w:val="18"/>
              </w:rPr>
              <w:t>contribución</w:t>
            </w:r>
            <w:r>
              <w:rPr>
                <w:spacing w:val="-8"/>
                <w:sz w:val="18"/>
              </w:rPr>
              <w:t> </w:t>
            </w:r>
            <w:r>
              <w:rPr>
                <w:sz w:val="18"/>
              </w:rPr>
              <w:t>de</w:t>
            </w:r>
            <w:r>
              <w:rPr>
                <w:spacing w:val="-8"/>
                <w:sz w:val="18"/>
              </w:rPr>
              <w:t> </w:t>
            </w:r>
            <w:r>
              <w:rPr>
                <w:sz w:val="18"/>
              </w:rPr>
              <w:t>sus</w:t>
            </w:r>
            <w:r>
              <w:rPr>
                <w:spacing w:val="-6"/>
                <w:sz w:val="18"/>
              </w:rPr>
              <w:t> </w:t>
            </w:r>
            <w:r>
              <w:rPr>
                <w:sz w:val="18"/>
              </w:rPr>
              <w:t>resultados</w:t>
            </w:r>
            <w:r>
              <w:rPr>
                <w:spacing w:val="-6"/>
                <w:sz w:val="18"/>
              </w:rPr>
              <w:t> </w:t>
            </w:r>
            <w:r>
              <w:rPr>
                <w:sz w:val="18"/>
              </w:rPr>
              <w:t>en</w:t>
            </w:r>
            <w:r>
              <w:rPr>
                <w:spacing w:val="-8"/>
                <w:sz w:val="18"/>
              </w:rPr>
              <w:t> </w:t>
            </w:r>
            <w:r>
              <w:rPr>
                <w:sz w:val="18"/>
              </w:rPr>
              <w:t>el</w:t>
            </w:r>
            <w:r>
              <w:rPr>
                <w:spacing w:val="-8"/>
                <w:sz w:val="18"/>
              </w:rPr>
              <w:t> </w:t>
            </w:r>
            <w:r>
              <w:rPr>
                <w:sz w:val="18"/>
              </w:rPr>
              <w:t>combate a la corrupción, </w:t>
            </w:r>
            <w:r>
              <w:rPr>
                <w:spacing w:val="-3"/>
                <w:sz w:val="18"/>
              </w:rPr>
              <w:t>ya </w:t>
            </w:r>
            <w:r>
              <w:rPr>
                <w:sz w:val="18"/>
              </w:rPr>
              <w:t>que se realiza de manera cualitativa y sólo se informa sobre las acciones realizadas para formar la operación de dicha contraloría, pero no de su impacto en la disminución de actos de</w:t>
            </w:r>
            <w:r>
              <w:rPr>
                <w:spacing w:val="-16"/>
                <w:sz w:val="18"/>
              </w:rPr>
              <w:t> </w:t>
            </w:r>
            <w:r>
              <w:rPr>
                <w:sz w:val="18"/>
              </w:rPr>
              <w:t>corrupción.</w:t>
            </w:r>
          </w:p>
        </w:tc>
      </w:tr>
    </w:tbl>
    <w:p>
      <w:pPr>
        <w:pStyle w:val="BodyText"/>
        <w:spacing w:before="8"/>
        <w:rPr>
          <w:sz w:val="11"/>
        </w:rPr>
      </w:pPr>
    </w:p>
    <w:p>
      <w:pPr>
        <w:spacing w:before="1"/>
        <w:ind w:left="100" w:right="86" w:firstLine="0"/>
        <w:jc w:val="left"/>
        <w:rPr>
          <w:sz w:val="12"/>
        </w:rPr>
      </w:pPr>
      <w:r>
        <w:rPr>
          <w:sz w:val="12"/>
        </w:rPr>
        <w:t>FUENTE: Elaboración propia con base en: ASF (2013: 1-213).</w:t>
      </w:r>
    </w:p>
    <w:p>
      <w:pPr>
        <w:spacing w:before="18"/>
        <w:ind w:left="668" w:right="86" w:firstLine="0"/>
        <w:jc w:val="left"/>
        <w:rPr>
          <w:sz w:val="12"/>
        </w:rPr>
      </w:pPr>
      <w:r>
        <w:rPr>
          <w:sz w:val="12"/>
        </w:rPr>
        <w:t>Disponible en: </w:t>
      </w:r>
      <w:hyperlink r:id="rId209">
        <w:r>
          <w:rPr>
            <w:sz w:val="12"/>
          </w:rPr>
          <w:t>http://www.asf.gob.mx/Trans/Informes/IR2011i/Grupos/Gobierno/2011_0059_a.pdf</w:t>
        </w:r>
      </w:hyperlink>
    </w:p>
    <w:p>
      <w:pPr>
        <w:pStyle w:val="ListParagraph"/>
        <w:numPr>
          <w:ilvl w:val="0"/>
          <w:numId w:val="79"/>
        </w:numPr>
        <w:tabs>
          <w:tab w:pos="668" w:val="left" w:leader="none"/>
          <w:tab w:pos="669" w:val="left" w:leader="none"/>
        </w:tabs>
        <w:spacing w:line="240" w:lineRule="auto" w:before="22" w:after="0"/>
        <w:ind w:left="668" w:right="0" w:hanging="424"/>
        <w:jc w:val="left"/>
        <w:rPr>
          <w:sz w:val="12"/>
        </w:rPr>
      </w:pPr>
      <w:r>
        <w:rPr>
          <w:sz w:val="12"/>
        </w:rPr>
        <w:t>[Fecha de consulta: 25 de septiembre,</w:t>
      </w:r>
      <w:r>
        <w:rPr>
          <w:spacing w:val="-9"/>
          <w:sz w:val="12"/>
        </w:rPr>
        <w:t> </w:t>
      </w:r>
      <w:r>
        <w:rPr>
          <w:sz w:val="12"/>
        </w:rPr>
        <w:t>2015]</w:t>
      </w:r>
    </w:p>
    <w:p>
      <w:pPr>
        <w:pStyle w:val="ListParagraph"/>
        <w:numPr>
          <w:ilvl w:val="0"/>
          <w:numId w:val="79"/>
        </w:numPr>
        <w:tabs>
          <w:tab w:pos="668" w:val="left" w:leader="none"/>
          <w:tab w:pos="669" w:val="left" w:leader="none"/>
        </w:tabs>
        <w:spacing w:line="240" w:lineRule="auto" w:before="1" w:after="0"/>
        <w:ind w:left="668" w:right="121" w:hanging="424"/>
        <w:jc w:val="both"/>
        <w:rPr>
          <w:sz w:val="12"/>
        </w:rPr>
      </w:pPr>
      <w:r>
        <w:rPr>
          <w:sz w:val="12"/>
        </w:rPr>
        <w:t>En</w:t>
      </w:r>
      <w:r>
        <w:rPr>
          <w:spacing w:val="-2"/>
          <w:sz w:val="12"/>
        </w:rPr>
        <w:t> </w:t>
      </w:r>
      <w:r>
        <w:rPr>
          <w:sz w:val="12"/>
        </w:rPr>
        <w:t>los</w:t>
      </w:r>
      <w:r>
        <w:rPr>
          <w:spacing w:val="-3"/>
          <w:sz w:val="12"/>
        </w:rPr>
        <w:t> </w:t>
      </w:r>
      <w:r>
        <w:rPr>
          <w:sz w:val="12"/>
        </w:rPr>
        <w:t>informes</w:t>
      </w:r>
      <w:r>
        <w:rPr>
          <w:spacing w:val="-3"/>
          <w:sz w:val="12"/>
        </w:rPr>
        <w:t> </w:t>
      </w:r>
      <w:r>
        <w:rPr>
          <w:sz w:val="12"/>
        </w:rPr>
        <w:t>de</w:t>
      </w:r>
      <w:r>
        <w:rPr>
          <w:spacing w:val="-6"/>
          <w:sz w:val="12"/>
        </w:rPr>
        <w:t> </w:t>
      </w:r>
      <w:r>
        <w:rPr>
          <w:sz w:val="12"/>
        </w:rPr>
        <w:t>rendición</w:t>
      </w:r>
      <w:r>
        <w:rPr>
          <w:spacing w:val="-2"/>
          <w:sz w:val="12"/>
        </w:rPr>
        <w:t> </w:t>
      </w:r>
      <w:r>
        <w:rPr>
          <w:sz w:val="12"/>
        </w:rPr>
        <w:t>de</w:t>
      </w:r>
      <w:r>
        <w:rPr>
          <w:spacing w:val="-6"/>
          <w:sz w:val="12"/>
        </w:rPr>
        <w:t> </w:t>
      </w:r>
      <w:r>
        <w:rPr>
          <w:sz w:val="12"/>
        </w:rPr>
        <w:t>cuentas</w:t>
      </w:r>
      <w:r>
        <w:rPr>
          <w:spacing w:val="-3"/>
          <w:sz w:val="12"/>
        </w:rPr>
        <w:t> </w:t>
      </w:r>
      <w:r>
        <w:rPr>
          <w:sz w:val="12"/>
        </w:rPr>
        <w:t>(Cuenta</w:t>
      </w:r>
      <w:r>
        <w:rPr>
          <w:spacing w:val="-6"/>
          <w:sz w:val="12"/>
        </w:rPr>
        <w:t> </w:t>
      </w:r>
      <w:r>
        <w:rPr>
          <w:sz w:val="12"/>
        </w:rPr>
        <w:t>de</w:t>
      </w:r>
      <w:r>
        <w:rPr>
          <w:spacing w:val="-6"/>
          <w:sz w:val="12"/>
        </w:rPr>
        <w:t> </w:t>
      </w:r>
      <w:r>
        <w:rPr>
          <w:spacing w:val="2"/>
          <w:sz w:val="12"/>
        </w:rPr>
        <w:t>la</w:t>
      </w:r>
      <w:r>
        <w:rPr>
          <w:spacing w:val="-6"/>
          <w:sz w:val="12"/>
        </w:rPr>
        <w:t> </w:t>
      </w:r>
      <w:r>
        <w:rPr>
          <w:sz w:val="12"/>
        </w:rPr>
        <w:t>Hacienda</w:t>
      </w:r>
      <w:r>
        <w:rPr>
          <w:spacing w:val="-6"/>
          <w:sz w:val="12"/>
        </w:rPr>
        <w:t> </w:t>
      </w:r>
      <w:r>
        <w:rPr>
          <w:sz w:val="12"/>
        </w:rPr>
        <w:t>Pública</w:t>
      </w:r>
      <w:r>
        <w:rPr>
          <w:spacing w:val="-6"/>
          <w:sz w:val="12"/>
        </w:rPr>
        <w:t> </w:t>
      </w:r>
      <w:r>
        <w:rPr>
          <w:sz w:val="12"/>
        </w:rPr>
        <w:t>Federal, Informe</w:t>
      </w:r>
      <w:r>
        <w:rPr>
          <w:spacing w:val="-6"/>
          <w:sz w:val="12"/>
        </w:rPr>
        <w:t> </w:t>
      </w:r>
      <w:r>
        <w:rPr>
          <w:sz w:val="12"/>
        </w:rPr>
        <w:t>de</w:t>
      </w:r>
      <w:r>
        <w:rPr>
          <w:spacing w:val="-6"/>
          <w:sz w:val="12"/>
        </w:rPr>
        <w:t> </w:t>
      </w:r>
      <w:r>
        <w:rPr>
          <w:sz w:val="12"/>
        </w:rPr>
        <w:t>Ejecución</w:t>
      </w:r>
      <w:r>
        <w:rPr>
          <w:spacing w:val="-2"/>
          <w:sz w:val="12"/>
        </w:rPr>
        <w:t> </w:t>
      </w:r>
      <w:r>
        <w:rPr>
          <w:sz w:val="12"/>
        </w:rPr>
        <w:t>del</w:t>
      </w:r>
      <w:r>
        <w:rPr>
          <w:spacing w:val="-2"/>
          <w:sz w:val="12"/>
        </w:rPr>
        <w:t> </w:t>
      </w:r>
      <w:r>
        <w:rPr>
          <w:sz w:val="12"/>
        </w:rPr>
        <w:t>Plan</w:t>
      </w:r>
      <w:r>
        <w:rPr>
          <w:spacing w:val="-2"/>
          <w:sz w:val="12"/>
        </w:rPr>
        <w:t> </w:t>
      </w:r>
      <w:r>
        <w:rPr>
          <w:sz w:val="12"/>
        </w:rPr>
        <w:t>Nacional</w:t>
      </w:r>
      <w:r>
        <w:rPr>
          <w:spacing w:val="-2"/>
          <w:sz w:val="12"/>
        </w:rPr>
        <w:t> </w:t>
      </w:r>
      <w:r>
        <w:rPr>
          <w:sz w:val="12"/>
        </w:rPr>
        <w:t>de</w:t>
      </w:r>
      <w:r>
        <w:rPr>
          <w:spacing w:val="-6"/>
          <w:sz w:val="12"/>
        </w:rPr>
        <w:t> </w:t>
      </w:r>
      <w:r>
        <w:rPr>
          <w:sz w:val="12"/>
        </w:rPr>
        <w:t>Desarrollo</w:t>
      </w:r>
      <w:r>
        <w:rPr>
          <w:spacing w:val="-2"/>
          <w:sz w:val="12"/>
        </w:rPr>
        <w:t> </w:t>
      </w:r>
      <w:r>
        <w:rPr>
          <w:sz w:val="12"/>
        </w:rPr>
        <w:t>e</w:t>
      </w:r>
      <w:r>
        <w:rPr>
          <w:spacing w:val="-2"/>
          <w:sz w:val="12"/>
        </w:rPr>
        <w:t> </w:t>
      </w:r>
      <w:r>
        <w:rPr>
          <w:sz w:val="12"/>
        </w:rPr>
        <w:t>Informes</w:t>
      </w:r>
      <w:r>
        <w:rPr>
          <w:spacing w:val="-3"/>
          <w:sz w:val="12"/>
        </w:rPr>
        <w:t> </w:t>
      </w:r>
      <w:r>
        <w:rPr>
          <w:spacing w:val="2"/>
          <w:sz w:val="12"/>
        </w:rPr>
        <w:t>de </w:t>
      </w:r>
      <w:r>
        <w:rPr>
          <w:sz w:val="12"/>
        </w:rPr>
        <w:t>Labores) se muestran las metas de combate a la corrupción, pero no sus resultados y se informa sobre </w:t>
      </w:r>
      <w:r>
        <w:rPr>
          <w:spacing w:val="2"/>
          <w:sz w:val="12"/>
        </w:rPr>
        <w:t>la </w:t>
      </w:r>
      <w:r>
        <w:rPr>
          <w:sz w:val="12"/>
        </w:rPr>
        <w:t>asistencia a convenciones internacionales anticorrupción, también sin</w:t>
      </w:r>
      <w:r>
        <w:rPr>
          <w:spacing w:val="-13"/>
          <w:sz w:val="12"/>
        </w:rPr>
        <w:t> </w:t>
      </w:r>
      <w:r>
        <w:rPr>
          <w:sz w:val="12"/>
        </w:rPr>
        <w:t>resultados.</w:t>
      </w:r>
    </w:p>
    <w:p>
      <w:pPr>
        <w:pStyle w:val="BodyText"/>
        <w:rPr>
          <w:sz w:val="12"/>
        </w:rPr>
      </w:pPr>
    </w:p>
    <w:p>
      <w:pPr>
        <w:pStyle w:val="BodyText"/>
        <w:rPr>
          <w:sz w:val="12"/>
        </w:rPr>
      </w:pPr>
    </w:p>
    <w:p>
      <w:pPr>
        <w:pStyle w:val="BodyText"/>
        <w:spacing w:before="105"/>
        <w:ind w:left="100" w:right="86"/>
      </w:pPr>
      <w:r>
        <w:rPr/>
        <w:t>Conclusiones del proceso de prevención:</w:t>
      </w:r>
    </w:p>
    <w:p>
      <w:pPr>
        <w:pStyle w:val="ListParagraph"/>
        <w:numPr>
          <w:ilvl w:val="0"/>
          <w:numId w:val="80"/>
        </w:numPr>
        <w:tabs>
          <w:tab w:pos="821" w:val="left" w:leader="none"/>
        </w:tabs>
        <w:spacing w:line="362" w:lineRule="auto" w:before="136" w:after="0"/>
        <w:ind w:left="821" w:right="129" w:hanging="361"/>
        <w:jc w:val="both"/>
        <w:rPr>
          <w:sz w:val="24"/>
        </w:rPr>
      </w:pPr>
      <w:r>
        <w:rPr>
          <w:sz w:val="24"/>
        </w:rPr>
        <w:t>El legislador realizó cambios al marco jurídico en los años ochenta, sin contar con una definición propia de</w:t>
      </w:r>
      <w:r>
        <w:rPr>
          <w:spacing w:val="-21"/>
          <w:sz w:val="24"/>
        </w:rPr>
        <w:t> </w:t>
      </w:r>
      <w:r>
        <w:rPr>
          <w:sz w:val="24"/>
        </w:rPr>
        <w:t>corrupción.</w:t>
      </w:r>
    </w:p>
    <w:p>
      <w:pPr>
        <w:pStyle w:val="BodyText"/>
      </w:pPr>
    </w:p>
    <w:p>
      <w:pPr>
        <w:pStyle w:val="ListParagraph"/>
        <w:numPr>
          <w:ilvl w:val="0"/>
          <w:numId w:val="80"/>
        </w:numPr>
        <w:tabs>
          <w:tab w:pos="821" w:val="left" w:leader="none"/>
        </w:tabs>
        <w:spacing w:line="360" w:lineRule="auto" w:before="139" w:after="0"/>
        <w:ind w:left="821" w:right="121" w:hanging="361"/>
        <w:jc w:val="both"/>
        <w:rPr>
          <w:sz w:val="24"/>
        </w:rPr>
      </w:pPr>
      <w:r>
        <w:rPr>
          <w:sz w:val="24"/>
        </w:rPr>
        <w:t>Desde 2011 la Unidad de Inteligencia Financiera de la SHCP, ha venido atendiendo</w:t>
      </w:r>
      <w:r>
        <w:rPr>
          <w:spacing w:val="-8"/>
          <w:sz w:val="24"/>
        </w:rPr>
        <w:t> </w:t>
      </w:r>
      <w:r>
        <w:rPr>
          <w:sz w:val="24"/>
        </w:rPr>
        <w:t>16</w:t>
      </w:r>
      <w:r>
        <w:rPr>
          <w:spacing w:val="-8"/>
          <w:sz w:val="24"/>
        </w:rPr>
        <w:t> </w:t>
      </w:r>
      <w:r>
        <w:rPr>
          <w:sz w:val="24"/>
        </w:rPr>
        <w:t>de</w:t>
      </w:r>
      <w:r>
        <w:rPr>
          <w:spacing w:val="-8"/>
          <w:sz w:val="24"/>
        </w:rPr>
        <w:t> </w:t>
      </w:r>
      <w:r>
        <w:rPr>
          <w:sz w:val="24"/>
        </w:rPr>
        <w:t>las</w:t>
      </w:r>
      <w:r>
        <w:rPr>
          <w:spacing w:val="-6"/>
          <w:sz w:val="24"/>
        </w:rPr>
        <w:t> </w:t>
      </w:r>
      <w:r>
        <w:rPr>
          <w:sz w:val="24"/>
        </w:rPr>
        <w:t>40</w:t>
      </w:r>
      <w:r>
        <w:rPr>
          <w:spacing w:val="-8"/>
          <w:sz w:val="24"/>
        </w:rPr>
        <w:t> </w:t>
      </w:r>
      <w:r>
        <w:rPr>
          <w:sz w:val="24"/>
        </w:rPr>
        <w:t>recomendaciones</w:t>
      </w:r>
      <w:r>
        <w:rPr>
          <w:spacing w:val="-6"/>
          <w:sz w:val="24"/>
        </w:rPr>
        <w:t> </w:t>
      </w:r>
      <w:r>
        <w:rPr>
          <w:sz w:val="24"/>
        </w:rPr>
        <w:t>para</w:t>
      </w:r>
      <w:r>
        <w:rPr>
          <w:spacing w:val="-8"/>
          <w:sz w:val="24"/>
        </w:rPr>
        <w:t> </w:t>
      </w:r>
      <w:r>
        <w:rPr>
          <w:sz w:val="24"/>
        </w:rPr>
        <w:t>evitar</w:t>
      </w:r>
      <w:r>
        <w:rPr>
          <w:spacing w:val="-6"/>
          <w:sz w:val="24"/>
        </w:rPr>
        <w:t> </w:t>
      </w:r>
      <w:r>
        <w:rPr>
          <w:sz w:val="24"/>
        </w:rPr>
        <w:t>el</w:t>
      </w:r>
      <w:r>
        <w:rPr>
          <w:spacing w:val="-7"/>
          <w:sz w:val="24"/>
        </w:rPr>
        <w:t> </w:t>
      </w:r>
      <w:r>
        <w:rPr>
          <w:sz w:val="24"/>
        </w:rPr>
        <w:t>lavado</w:t>
      </w:r>
      <w:r>
        <w:rPr>
          <w:spacing w:val="-8"/>
          <w:sz w:val="24"/>
        </w:rPr>
        <w:t> </w:t>
      </w:r>
      <w:r>
        <w:rPr>
          <w:sz w:val="24"/>
        </w:rPr>
        <w:t>de</w:t>
      </w:r>
      <w:r>
        <w:rPr>
          <w:spacing w:val="-8"/>
          <w:sz w:val="24"/>
        </w:rPr>
        <w:t> </w:t>
      </w:r>
      <w:r>
        <w:rPr>
          <w:sz w:val="24"/>
        </w:rPr>
        <w:t>dinero que se relacionan con el combate a la</w:t>
      </w:r>
      <w:r>
        <w:rPr>
          <w:spacing w:val="-23"/>
          <w:sz w:val="24"/>
        </w:rPr>
        <w:t> </w:t>
      </w:r>
      <w:r>
        <w:rPr>
          <w:sz w:val="24"/>
        </w:rPr>
        <w:t>corrupción.</w:t>
      </w:r>
    </w:p>
    <w:p>
      <w:pPr>
        <w:pStyle w:val="BodyText"/>
      </w:pPr>
    </w:p>
    <w:p>
      <w:pPr>
        <w:pStyle w:val="ListParagraph"/>
        <w:numPr>
          <w:ilvl w:val="0"/>
          <w:numId w:val="80"/>
        </w:numPr>
        <w:tabs>
          <w:tab w:pos="821" w:val="left" w:leader="none"/>
        </w:tabs>
        <w:spacing w:line="360" w:lineRule="auto" w:before="142" w:after="0"/>
        <w:ind w:left="821" w:right="125" w:hanging="361"/>
        <w:jc w:val="both"/>
        <w:rPr>
          <w:sz w:val="24"/>
        </w:rPr>
      </w:pPr>
      <w:r>
        <w:rPr>
          <w:sz w:val="24"/>
        </w:rPr>
        <w:t>La operación de los OIC no permite combatir eficazmente la corrupción. En el periodo 2004-2011, la ASF determinó como su principal problemática la inactividad de los expedientes, fallas en su integración, falta de congruencia de las acciones determinadas, inadecuada fundamentación  de  las  irregularidades  determinadas,  fallas  en     </w:t>
      </w:r>
      <w:r>
        <w:rPr>
          <w:spacing w:val="26"/>
          <w:sz w:val="24"/>
        </w:rPr>
        <w:t> </w:t>
      </w:r>
      <w:r>
        <w:rPr>
          <w:sz w:val="24"/>
        </w:rPr>
        <w:t>las</w:t>
      </w:r>
    </w:p>
    <w:p>
      <w:pPr>
        <w:spacing w:after="0" w:line="360" w:lineRule="auto"/>
        <w:jc w:val="both"/>
        <w:rPr>
          <w:sz w:val="24"/>
        </w:rPr>
        <w:sectPr>
          <w:footerReference w:type="default" r:id="rId208"/>
          <w:pgSz w:w="11910" w:h="16840"/>
          <w:pgMar w:footer="998" w:header="0" w:top="1400" w:bottom="1180" w:left="1600" w:right="1580"/>
        </w:sectPr>
      </w:pPr>
    </w:p>
    <w:p>
      <w:pPr>
        <w:pStyle w:val="BodyText"/>
        <w:spacing w:line="362" w:lineRule="auto" w:before="39"/>
        <w:ind w:left="781" w:right="385"/>
      </w:pPr>
      <w:r>
        <w:rPr/>
        <w:t>formalidades para la notificación y problemas con la ejecución de las sanciones.</w:t>
      </w:r>
    </w:p>
    <w:p>
      <w:pPr>
        <w:pStyle w:val="BodyText"/>
        <w:spacing w:before="11"/>
        <w:rPr>
          <w:sz w:val="32"/>
        </w:rPr>
      </w:pPr>
    </w:p>
    <w:p>
      <w:pPr>
        <w:pStyle w:val="ListParagraph"/>
        <w:numPr>
          <w:ilvl w:val="0"/>
          <w:numId w:val="80"/>
        </w:numPr>
        <w:tabs>
          <w:tab w:pos="781" w:val="left" w:leader="none"/>
        </w:tabs>
        <w:spacing w:line="360" w:lineRule="auto" w:before="0" w:after="0"/>
        <w:ind w:left="781" w:right="147" w:hanging="361"/>
        <w:jc w:val="both"/>
        <w:rPr>
          <w:sz w:val="24"/>
        </w:rPr>
      </w:pPr>
      <w:r>
        <w:rPr>
          <w:sz w:val="24"/>
        </w:rPr>
        <w:t>La LSPCAPF, se publicó 31años después de planteada la necesidad de profesionalizar el servicio público (1983) y no estableció un mandato expreso para que toda la APF implemente el Servicio Profesional de Carrera</w:t>
      </w:r>
      <w:r>
        <w:rPr>
          <w:spacing w:val="-10"/>
          <w:sz w:val="24"/>
        </w:rPr>
        <w:t> </w:t>
      </w:r>
      <w:r>
        <w:rPr>
          <w:sz w:val="24"/>
        </w:rPr>
        <w:t>(SPC).</w:t>
      </w:r>
    </w:p>
    <w:p>
      <w:pPr>
        <w:pStyle w:val="BodyText"/>
        <w:spacing w:before="2"/>
        <w:rPr>
          <w:sz w:val="33"/>
        </w:rPr>
      </w:pPr>
    </w:p>
    <w:p>
      <w:pPr>
        <w:pStyle w:val="ListParagraph"/>
        <w:numPr>
          <w:ilvl w:val="0"/>
          <w:numId w:val="80"/>
        </w:numPr>
        <w:tabs>
          <w:tab w:pos="781" w:val="left" w:leader="none"/>
        </w:tabs>
        <w:spacing w:line="360" w:lineRule="auto" w:before="0" w:after="0"/>
        <w:ind w:left="781" w:right="145" w:hanging="361"/>
        <w:jc w:val="both"/>
        <w:rPr>
          <w:sz w:val="24"/>
        </w:rPr>
      </w:pPr>
      <w:r>
        <w:rPr>
          <w:sz w:val="24"/>
        </w:rPr>
        <w:t>A 2010 la SFP y el Instituto de Administración y Avalúos de Bienes Nacionales no habían acreditado el cumplimiento de los objetivos del Sistema de Administración</w:t>
      </w:r>
      <w:r>
        <w:rPr>
          <w:spacing w:val="-22"/>
          <w:sz w:val="24"/>
        </w:rPr>
        <w:t> </w:t>
      </w:r>
      <w:r>
        <w:rPr>
          <w:sz w:val="24"/>
        </w:rPr>
        <w:t>Inmobiliaria.</w:t>
      </w:r>
    </w:p>
    <w:p>
      <w:pPr>
        <w:pStyle w:val="BodyText"/>
        <w:spacing w:before="2"/>
        <w:rPr>
          <w:sz w:val="33"/>
        </w:rPr>
      </w:pPr>
    </w:p>
    <w:p>
      <w:pPr>
        <w:pStyle w:val="ListParagraph"/>
        <w:numPr>
          <w:ilvl w:val="0"/>
          <w:numId w:val="80"/>
        </w:numPr>
        <w:tabs>
          <w:tab w:pos="781" w:val="left" w:leader="none"/>
        </w:tabs>
        <w:spacing w:line="360" w:lineRule="auto" w:before="0" w:after="0"/>
        <w:ind w:left="781" w:right="143" w:hanging="361"/>
        <w:jc w:val="both"/>
        <w:rPr>
          <w:sz w:val="24"/>
        </w:rPr>
      </w:pPr>
      <w:r>
        <w:rPr>
          <w:sz w:val="24"/>
        </w:rPr>
        <w:t>En el periodo 2001 a 2010, no se estableció ningún programa presupuestario para registrar el gasto destinado al combate a la corrupción.</w:t>
      </w:r>
      <w:r>
        <w:rPr>
          <w:spacing w:val="-17"/>
          <w:sz w:val="24"/>
        </w:rPr>
        <w:t> </w:t>
      </w:r>
      <w:r>
        <w:rPr>
          <w:sz w:val="24"/>
        </w:rPr>
        <w:t>En</w:t>
      </w:r>
      <w:r>
        <w:rPr>
          <w:spacing w:val="-20"/>
          <w:sz w:val="24"/>
        </w:rPr>
        <w:t> </w:t>
      </w:r>
      <w:r>
        <w:rPr>
          <w:sz w:val="24"/>
        </w:rPr>
        <w:t>el</w:t>
      </w:r>
      <w:r>
        <w:rPr>
          <w:spacing w:val="-19"/>
          <w:sz w:val="24"/>
        </w:rPr>
        <w:t> </w:t>
      </w:r>
      <w:r>
        <w:rPr>
          <w:sz w:val="24"/>
        </w:rPr>
        <w:t>periodo</w:t>
      </w:r>
      <w:r>
        <w:rPr>
          <w:spacing w:val="-16"/>
          <w:sz w:val="24"/>
        </w:rPr>
        <w:t> </w:t>
      </w:r>
      <w:r>
        <w:rPr>
          <w:sz w:val="24"/>
        </w:rPr>
        <w:t>2007-2012</w:t>
      </w:r>
      <w:r>
        <w:rPr>
          <w:spacing w:val="-20"/>
          <w:sz w:val="24"/>
        </w:rPr>
        <w:t> </w:t>
      </w:r>
      <w:r>
        <w:rPr>
          <w:sz w:val="24"/>
        </w:rPr>
        <w:t>se</w:t>
      </w:r>
      <w:r>
        <w:rPr>
          <w:spacing w:val="-20"/>
          <w:sz w:val="24"/>
        </w:rPr>
        <w:t> </w:t>
      </w:r>
      <w:r>
        <w:rPr>
          <w:sz w:val="24"/>
        </w:rPr>
        <w:t>asignaron</w:t>
      </w:r>
      <w:r>
        <w:rPr>
          <w:spacing w:val="-20"/>
          <w:sz w:val="24"/>
        </w:rPr>
        <w:t> </w:t>
      </w:r>
      <w:r>
        <w:rPr>
          <w:sz w:val="24"/>
        </w:rPr>
        <w:t>recursos</w:t>
      </w:r>
      <w:r>
        <w:rPr>
          <w:spacing w:val="-18"/>
          <w:sz w:val="24"/>
        </w:rPr>
        <w:t> </w:t>
      </w:r>
      <w:r>
        <w:rPr>
          <w:sz w:val="24"/>
        </w:rPr>
        <w:t>a</w:t>
      </w:r>
      <w:r>
        <w:rPr>
          <w:spacing w:val="-20"/>
          <w:sz w:val="24"/>
        </w:rPr>
        <w:t> </w:t>
      </w:r>
      <w:r>
        <w:rPr>
          <w:sz w:val="24"/>
        </w:rPr>
        <w:t>un</w:t>
      </w:r>
      <w:r>
        <w:rPr>
          <w:spacing w:val="-16"/>
          <w:sz w:val="24"/>
        </w:rPr>
        <w:t> </w:t>
      </w:r>
      <w:r>
        <w:rPr>
          <w:sz w:val="24"/>
        </w:rPr>
        <w:t>programa anticorrupción,</w:t>
      </w:r>
      <w:r>
        <w:rPr>
          <w:spacing w:val="-10"/>
          <w:sz w:val="24"/>
        </w:rPr>
        <w:t> </w:t>
      </w:r>
      <w:r>
        <w:rPr>
          <w:sz w:val="24"/>
        </w:rPr>
        <w:t>pero</w:t>
      </w:r>
      <w:r>
        <w:rPr>
          <w:spacing w:val="-13"/>
          <w:sz w:val="24"/>
        </w:rPr>
        <w:t> </w:t>
      </w:r>
      <w:r>
        <w:rPr>
          <w:sz w:val="24"/>
        </w:rPr>
        <w:t>éste</w:t>
      </w:r>
      <w:r>
        <w:rPr>
          <w:spacing w:val="-6"/>
          <w:sz w:val="24"/>
        </w:rPr>
        <w:t> </w:t>
      </w:r>
      <w:r>
        <w:rPr>
          <w:sz w:val="24"/>
        </w:rPr>
        <w:t>no</w:t>
      </w:r>
      <w:r>
        <w:rPr>
          <w:spacing w:val="-13"/>
          <w:sz w:val="24"/>
        </w:rPr>
        <w:t> </w:t>
      </w:r>
      <w:r>
        <w:rPr>
          <w:sz w:val="24"/>
        </w:rPr>
        <w:t>tuvo</w:t>
      </w:r>
      <w:r>
        <w:rPr>
          <w:spacing w:val="-12"/>
          <w:sz w:val="24"/>
        </w:rPr>
        <w:t> </w:t>
      </w:r>
      <w:r>
        <w:rPr>
          <w:sz w:val="24"/>
        </w:rPr>
        <w:t>la</w:t>
      </w:r>
      <w:r>
        <w:rPr>
          <w:spacing w:val="-13"/>
          <w:sz w:val="24"/>
        </w:rPr>
        <w:t> </w:t>
      </w:r>
      <w:r>
        <w:rPr>
          <w:sz w:val="24"/>
        </w:rPr>
        <w:t>obligación</w:t>
      </w:r>
      <w:r>
        <w:rPr>
          <w:spacing w:val="-9"/>
          <w:sz w:val="24"/>
        </w:rPr>
        <w:t> </w:t>
      </w:r>
      <w:r>
        <w:rPr>
          <w:sz w:val="24"/>
        </w:rPr>
        <w:t>de</w:t>
      </w:r>
      <w:r>
        <w:rPr>
          <w:spacing w:val="-9"/>
          <w:sz w:val="24"/>
        </w:rPr>
        <w:t> </w:t>
      </w:r>
      <w:r>
        <w:rPr>
          <w:sz w:val="24"/>
        </w:rPr>
        <w:t>reportar</w:t>
      </w:r>
      <w:r>
        <w:rPr>
          <w:spacing w:val="-11"/>
          <w:sz w:val="24"/>
        </w:rPr>
        <w:t> </w:t>
      </w:r>
      <w:r>
        <w:rPr>
          <w:sz w:val="24"/>
        </w:rPr>
        <w:t>sus</w:t>
      </w:r>
      <w:r>
        <w:rPr>
          <w:spacing w:val="-5"/>
          <w:sz w:val="24"/>
        </w:rPr>
        <w:t> </w:t>
      </w:r>
      <w:r>
        <w:rPr>
          <w:sz w:val="24"/>
        </w:rPr>
        <w:t>actividades con base en indicadores de</w:t>
      </w:r>
      <w:r>
        <w:rPr>
          <w:spacing w:val="-22"/>
          <w:sz w:val="24"/>
        </w:rPr>
        <w:t> </w:t>
      </w:r>
      <w:r>
        <w:rPr>
          <w:sz w:val="24"/>
        </w:rPr>
        <w:t>desempeño.</w:t>
      </w:r>
    </w:p>
    <w:p>
      <w:pPr>
        <w:pStyle w:val="BodyText"/>
        <w:spacing w:before="6"/>
        <w:rPr>
          <w:sz w:val="33"/>
        </w:rPr>
      </w:pPr>
    </w:p>
    <w:p>
      <w:pPr>
        <w:pStyle w:val="ListParagraph"/>
        <w:numPr>
          <w:ilvl w:val="0"/>
          <w:numId w:val="80"/>
        </w:numPr>
        <w:tabs>
          <w:tab w:pos="781" w:val="left" w:leader="none"/>
        </w:tabs>
        <w:spacing w:line="360" w:lineRule="auto" w:before="0" w:after="0"/>
        <w:ind w:left="781" w:right="143" w:hanging="361"/>
        <w:jc w:val="both"/>
        <w:rPr>
          <w:sz w:val="24"/>
        </w:rPr>
      </w:pPr>
      <w:r>
        <w:rPr>
          <w:sz w:val="24"/>
        </w:rPr>
        <w:t>En</w:t>
      </w:r>
      <w:r>
        <w:rPr>
          <w:spacing w:val="-9"/>
          <w:sz w:val="24"/>
        </w:rPr>
        <w:t> </w:t>
      </w:r>
      <w:r>
        <w:rPr>
          <w:sz w:val="24"/>
        </w:rPr>
        <w:t>materia</w:t>
      </w:r>
      <w:r>
        <w:rPr>
          <w:spacing w:val="-9"/>
          <w:sz w:val="24"/>
        </w:rPr>
        <w:t> </w:t>
      </w:r>
      <w:r>
        <w:rPr>
          <w:sz w:val="24"/>
        </w:rPr>
        <w:t>de</w:t>
      </w:r>
      <w:r>
        <w:rPr>
          <w:spacing w:val="-9"/>
          <w:sz w:val="24"/>
        </w:rPr>
        <w:t> </w:t>
      </w:r>
      <w:r>
        <w:rPr>
          <w:sz w:val="24"/>
        </w:rPr>
        <w:t>transparencia,</w:t>
      </w:r>
      <w:r>
        <w:rPr>
          <w:spacing w:val="-5"/>
          <w:sz w:val="24"/>
        </w:rPr>
        <w:t> </w:t>
      </w:r>
      <w:r>
        <w:rPr>
          <w:sz w:val="24"/>
        </w:rPr>
        <w:t>el</w:t>
      </w:r>
      <w:r>
        <w:rPr>
          <w:spacing w:val="-8"/>
          <w:sz w:val="24"/>
        </w:rPr>
        <w:t> </w:t>
      </w:r>
      <w:r>
        <w:rPr>
          <w:sz w:val="24"/>
        </w:rPr>
        <w:t>proceso</w:t>
      </w:r>
      <w:r>
        <w:rPr>
          <w:spacing w:val="-9"/>
          <w:sz w:val="24"/>
        </w:rPr>
        <w:t> </w:t>
      </w:r>
      <w:r>
        <w:rPr>
          <w:sz w:val="24"/>
        </w:rPr>
        <w:t>administrativo</w:t>
      </w:r>
      <w:r>
        <w:rPr>
          <w:spacing w:val="-9"/>
          <w:sz w:val="24"/>
        </w:rPr>
        <w:t> </w:t>
      </w:r>
      <w:r>
        <w:rPr>
          <w:sz w:val="24"/>
        </w:rPr>
        <w:t>no</w:t>
      </w:r>
      <w:r>
        <w:rPr>
          <w:spacing w:val="-9"/>
          <w:sz w:val="24"/>
        </w:rPr>
        <w:t> </w:t>
      </w:r>
      <w:r>
        <w:rPr>
          <w:sz w:val="24"/>
        </w:rPr>
        <w:t>ha</w:t>
      </w:r>
      <w:r>
        <w:rPr>
          <w:spacing w:val="-9"/>
          <w:sz w:val="24"/>
        </w:rPr>
        <w:t> </w:t>
      </w:r>
      <w:r>
        <w:rPr>
          <w:sz w:val="24"/>
        </w:rPr>
        <w:t>obtenido</w:t>
      </w:r>
      <w:r>
        <w:rPr>
          <w:spacing w:val="-9"/>
          <w:sz w:val="24"/>
        </w:rPr>
        <w:t> </w:t>
      </w:r>
      <w:r>
        <w:rPr>
          <w:sz w:val="24"/>
        </w:rPr>
        <w:t>los resultados programados a 2013, en términos de que ésta contribuya a abatir la corrupción y elevar la confianza de la sociedad en las instituciones</w:t>
      </w:r>
      <w:r>
        <w:rPr>
          <w:spacing w:val="-23"/>
          <w:sz w:val="24"/>
        </w:rPr>
        <w:t> </w:t>
      </w:r>
      <w:r>
        <w:rPr>
          <w:sz w:val="24"/>
        </w:rPr>
        <w:t>gubernamentales.</w:t>
      </w:r>
    </w:p>
    <w:p>
      <w:pPr>
        <w:pStyle w:val="BodyText"/>
        <w:spacing w:before="3"/>
      </w:pPr>
    </w:p>
    <w:p>
      <w:pPr>
        <w:spacing w:before="0"/>
        <w:ind w:left="2773" w:right="385" w:firstLine="0"/>
        <w:jc w:val="left"/>
        <w:rPr>
          <w:sz w:val="20"/>
        </w:rPr>
      </w:pPr>
      <w:bookmarkStart w:name="_bookmark85" w:id="114"/>
      <w:bookmarkEnd w:id="114"/>
      <w:r>
        <w:rPr/>
      </w:r>
      <w:r>
        <w:rPr>
          <w:sz w:val="20"/>
        </w:rPr>
        <w:t>Cuadro 4. 6. Proceso de detección</w:t>
      </w:r>
    </w:p>
    <w:p>
      <w:pPr>
        <w:pStyle w:val="BodyText"/>
        <w:spacing w:before="6"/>
        <w:rPr>
          <w:sz w:val="17"/>
        </w:r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85"/>
        <w:gridCol w:w="7094"/>
      </w:tblGrid>
      <w:tr>
        <w:trPr>
          <w:trHeight w:val="280" w:hRule="exact"/>
        </w:trPr>
        <w:tc>
          <w:tcPr>
            <w:tcW w:w="1385" w:type="dxa"/>
            <w:tcBorders>
              <w:bottom w:val="nil"/>
            </w:tcBorders>
          </w:tcPr>
          <w:p>
            <w:pPr/>
          </w:p>
        </w:tc>
        <w:tc>
          <w:tcPr>
            <w:tcW w:w="7094" w:type="dxa"/>
            <w:tcBorders>
              <w:bottom w:val="nil"/>
            </w:tcBorders>
          </w:tcPr>
          <w:p>
            <w:pPr>
              <w:pStyle w:val="TableParagraph"/>
              <w:spacing w:before="30"/>
              <w:ind w:left="64"/>
              <w:rPr>
                <w:sz w:val="16"/>
              </w:rPr>
            </w:pPr>
            <w:r>
              <w:rPr>
                <w:sz w:val="16"/>
              </w:rPr>
              <w:t>Ley General del Sistema Nacional de Seguridad Pública (2009)</w:t>
            </w:r>
          </w:p>
        </w:tc>
      </w:tr>
      <w:tr>
        <w:trPr>
          <w:trHeight w:val="462" w:hRule="exact"/>
        </w:trPr>
        <w:tc>
          <w:tcPr>
            <w:tcW w:w="1385" w:type="dxa"/>
            <w:tcBorders>
              <w:top w:val="nil"/>
              <w:bottom w:val="nil"/>
            </w:tcBorders>
          </w:tcPr>
          <w:p>
            <w:pPr>
              <w:pStyle w:val="TableParagraph"/>
              <w:spacing w:before="2"/>
              <w:rPr>
                <w:sz w:val="17"/>
              </w:rPr>
            </w:pPr>
          </w:p>
          <w:p>
            <w:pPr>
              <w:pStyle w:val="TableParagraph"/>
              <w:ind w:left="109" w:right="108"/>
              <w:jc w:val="center"/>
              <w:rPr>
                <w:b/>
                <w:sz w:val="16"/>
              </w:rPr>
            </w:pPr>
            <w:r>
              <w:rPr>
                <w:b/>
                <w:sz w:val="16"/>
              </w:rPr>
              <w:t>Estado</w:t>
            </w:r>
          </w:p>
        </w:tc>
        <w:tc>
          <w:tcPr>
            <w:tcW w:w="7094" w:type="dxa"/>
            <w:tcBorders>
              <w:top w:val="nil"/>
              <w:bottom w:val="nil"/>
            </w:tcBorders>
          </w:tcPr>
          <w:p>
            <w:pPr>
              <w:pStyle w:val="TableParagraph"/>
              <w:spacing w:before="45"/>
              <w:ind w:left="64"/>
              <w:rPr>
                <w:sz w:val="16"/>
              </w:rPr>
            </w:pPr>
            <w:r>
              <w:rPr>
                <w:sz w:val="16"/>
              </w:rPr>
              <w:t>Ley Federal para la Prevención e Identificación de Operaciones con Recursos de Procedencia Ilícita (2012)</w:t>
            </w:r>
          </w:p>
        </w:tc>
      </w:tr>
      <w:tr>
        <w:trPr>
          <w:trHeight w:val="410" w:hRule="exact"/>
        </w:trPr>
        <w:tc>
          <w:tcPr>
            <w:tcW w:w="1385" w:type="dxa"/>
            <w:tcBorders>
              <w:top w:val="nil"/>
            </w:tcBorders>
          </w:tcPr>
          <w:p>
            <w:pPr/>
          </w:p>
        </w:tc>
        <w:tc>
          <w:tcPr>
            <w:tcW w:w="7094" w:type="dxa"/>
            <w:tcBorders>
              <w:top w:val="nil"/>
            </w:tcBorders>
          </w:tcPr>
          <w:p>
            <w:pPr>
              <w:pStyle w:val="TableParagraph"/>
              <w:spacing w:before="31"/>
              <w:ind w:left="64"/>
              <w:rPr>
                <w:sz w:val="16"/>
              </w:rPr>
            </w:pPr>
            <w:r>
              <w:rPr>
                <w:sz w:val="16"/>
              </w:rPr>
              <w:t>En</w:t>
            </w:r>
            <w:r>
              <w:rPr>
                <w:spacing w:val="-11"/>
                <w:sz w:val="16"/>
              </w:rPr>
              <w:t> </w:t>
            </w:r>
            <w:r>
              <w:rPr>
                <w:sz w:val="16"/>
              </w:rPr>
              <w:t>la</w:t>
            </w:r>
            <w:r>
              <w:rPr>
                <w:spacing w:val="-7"/>
                <w:sz w:val="16"/>
              </w:rPr>
              <w:t> </w:t>
            </w:r>
            <w:r>
              <w:rPr>
                <w:sz w:val="16"/>
              </w:rPr>
              <w:t>Ley</w:t>
            </w:r>
            <w:r>
              <w:rPr>
                <w:spacing w:val="-14"/>
                <w:sz w:val="16"/>
              </w:rPr>
              <w:t> </w:t>
            </w:r>
            <w:r>
              <w:rPr>
                <w:sz w:val="16"/>
              </w:rPr>
              <w:t>de</w:t>
            </w:r>
            <w:r>
              <w:rPr>
                <w:spacing w:val="-11"/>
                <w:sz w:val="16"/>
              </w:rPr>
              <w:t> </w:t>
            </w:r>
            <w:r>
              <w:rPr>
                <w:sz w:val="16"/>
              </w:rPr>
              <w:t>Fiscalización</w:t>
            </w:r>
            <w:r>
              <w:rPr>
                <w:spacing w:val="-11"/>
                <w:sz w:val="16"/>
              </w:rPr>
              <w:t> </w:t>
            </w:r>
            <w:r>
              <w:rPr>
                <w:sz w:val="16"/>
              </w:rPr>
              <w:t>y</w:t>
            </w:r>
            <w:r>
              <w:rPr>
                <w:spacing w:val="-14"/>
                <w:sz w:val="16"/>
              </w:rPr>
              <w:t> </w:t>
            </w:r>
            <w:r>
              <w:rPr>
                <w:sz w:val="16"/>
              </w:rPr>
              <w:t>Rendición</w:t>
            </w:r>
            <w:r>
              <w:rPr>
                <w:spacing w:val="-11"/>
                <w:sz w:val="16"/>
              </w:rPr>
              <w:t> </w:t>
            </w:r>
            <w:r>
              <w:rPr>
                <w:sz w:val="16"/>
              </w:rPr>
              <w:t>de</w:t>
            </w:r>
            <w:r>
              <w:rPr>
                <w:spacing w:val="-11"/>
                <w:sz w:val="16"/>
              </w:rPr>
              <w:t> </w:t>
            </w:r>
            <w:r>
              <w:rPr>
                <w:sz w:val="16"/>
              </w:rPr>
              <w:t>Cuentas</w:t>
            </w:r>
            <w:r>
              <w:rPr>
                <w:spacing w:val="-10"/>
                <w:sz w:val="16"/>
              </w:rPr>
              <w:t> </w:t>
            </w:r>
            <w:r>
              <w:rPr>
                <w:sz w:val="16"/>
              </w:rPr>
              <w:t>de</w:t>
            </w:r>
            <w:r>
              <w:rPr>
                <w:spacing w:val="-7"/>
                <w:sz w:val="16"/>
              </w:rPr>
              <w:t> </w:t>
            </w:r>
            <w:r>
              <w:rPr>
                <w:sz w:val="16"/>
              </w:rPr>
              <w:t>la</w:t>
            </w:r>
            <w:r>
              <w:rPr>
                <w:spacing w:val="-7"/>
                <w:sz w:val="16"/>
              </w:rPr>
              <w:t> </w:t>
            </w:r>
            <w:r>
              <w:rPr>
                <w:sz w:val="16"/>
              </w:rPr>
              <w:t>Federación</w:t>
            </w:r>
            <w:r>
              <w:rPr>
                <w:spacing w:val="-11"/>
                <w:sz w:val="16"/>
              </w:rPr>
              <w:t> </w:t>
            </w:r>
            <w:r>
              <w:rPr>
                <w:sz w:val="16"/>
              </w:rPr>
              <w:t>emitida</w:t>
            </w:r>
            <w:r>
              <w:rPr>
                <w:spacing w:val="-11"/>
                <w:sz w:val="16"/>
              </w:rPr>
              <w:t> </w:t>
            </w:r>
            <w:r>
              <w:rPr>
                <w:sz w:val="16"/>
              </w:rPr>
              <w:t>en</w:t>
            </w:r>
            <w:r>
              <w:rPr>
                <w:spacing w:val="-11"/>
                <w:sz w:val="16"/>
              </w:rPr>
              <w:t> </w:t>
            </w:r>
            <w:r>
              <w:rPr>
                <w:sz w:val="16"/>
              </w:rPr>
              <w:t>el</w:t>
            </w:r>
            <w:r>
              <w:rPr>
                <w:spacing w:val="-13"/>
                <w:sz w:val="16"/>
              </w:rPr>
              <w:t> </w:t>
            </w:r>
            <w:r>
              <w:rPr>
                <w:sz w:val="16"/>
              </w:rPr>
              <w:t>2000</w:t>
            </w:r>
            <w:r>
              <w:rPr>
                <w:spacing w:val="-7"/>
                <w:sz w:val="16"/>
              </w:rPr>
              <w:t> </w:t>
            </w:r>
            <w:r>
              <w:rPr>
                <w:sz w:val="16"/>
              </w:rPr>
              <w:t>y</w:t>
            </w:r>
            <w:r>
              <w:rPr>
                <w:spacing w:val="-10"/>
                <w:sz w:val="16"/>
              </w:rPr>
              <w:t> </w:t>
            </w:r>
            <w:r>
              <w:rPr>
                <w:sz w:val="16"/>
              </w:rPr>
              <w:t>reformada en 2009, que dispuso la ejecución de auditorías de</w:t>
            </w:r>
            <w:r>
              <w:rPr>
                <w:spacing w:val="-19"/>
                <w:sz w:val="16"/>
              </w:rPr>
              <w:t> </w:t>
            </w:r>
            <w:r>
              <w:rPr>
                <w:sz w:val="16"/>
              </w:rPr>
              <w:t>desempeño.</w:t>
            </w:r>
          </w:p>
        </w:tc>
      </w:tr>
      <w:tr>
        <w:trPr>
          <w:trHeight w:val="260" w:hRule="exact"/>
        </w:trPr>
        <w:tc>
          <w:tcPr>
            <w:tcW w:w="1385" w:type="dxa"/>
            <w:tcBorders>
              <w:left w:val="nil"/>
              <w:right w:val="nil"/>
            </w:tcBorders>
          </w:tcPr>
          <w:p>
            <w:pPr/>
          </w:p>
        </w:tc>
        <w:tc>
          <w:tcPr>
            <w:tcW w:w="7094" w:type="dxa"/>
            <w:tcBorders>
              <w:left w:val="nil"/>
              <w:right w:val="nil"/>
            </w:tcBorders>
          </w:tcPr>
          <w:p>
            <w:pPr/>
          </w:p>
        </w:tc>
      </w:tr>
      <w:tr>
        <w:trPr>
          <w:trHeight w:val="560" w:hRule="exact"/>
        </w:trPr>
        <w:tc>
          <w:tcPr>
            <w:tcW w:w="1385" w:type="dxa"/>
          </w:tcPr>
          <w:p>
            <w:pPr>
              <w:pStyle w:val="TableParagraph"/>
              <w:spacing w:before="5"/>
              <w:rPr>
                <w:sz w:val="15"/>
              </w:rPr>
            </w:pPr>
          </w:p>
          <w:p>
            <w:pPr>
              <w:pStyle w:val="TableParagraph"/>
              <w:ind w:left="107" w:right="108"/>
              <w:jc w:val="center"/>
              <w:rPr>
                <w:b/>
                <w:sz w:val="16"/>
              </w:rPr>
            </w:pPr>
            <w:r>
              <w:rPr>
                <w:b/>
                <w:sz w:val="16"/>
              </w:rPr>
              <w:t>Política</w:t>
            </w:r>
          </w:p>
        </w:tc>
        <w:tc>
          <w:tcPr>
            <w:tcW w:w="7094" w:type="dxa"/>
          </w:tcPr>
          <w:p>
            <w:pPr>
              <w:pStyle w:val="TableParagraph"/>
              <w:ind w:left="64" w:right="73"/>
              <w:jc w:val="both"/>
              <w:rPr>
                <w:sz w:val="16"/>
              </w:rPr>
            </w:pPr>
            <w:r>
              <w:rPr>
                <w:sz w:val="16"/>
              </w:rPr>
              <w:t>Las dependencias que participan en el combate a la corrupción, cuentan con las facultades para investigar las conductas de los servidores públicos, que puedan constituir responsabilidades administrativas.</w:t>
            </w:r>
          </w:p>
        </w:tc>
      </w:tr>
      <w:tr>
        <w:trPr>
          <w:trHeight w:val="264" w:hRule="exact"/>
        </w:trPr>
        <w:tc>
          <w:tcPr>
            <w:tcW w:w="1385" w:type="dxa"/>
            <w:tcBorders>
              <w:left w:val="nil"/>
              <w:right w:val="nil"/>
            </w:tcBorders>
          </w:tcPr>
          <w:p>
            <w:pPr/>
          </w:p>
        </w:tc>
        <w:tc>
          <w:tcPr>
            <w:tcW w:w="7094" w:type="dxa"/>
            <w:tcBorders>
              <w:left w:val="nil"/>
              <w:right w:val="nil"/>
            </w:tcBorders>
          </w:tcPr>
          <w:p>
            <w:pPr/>
          </w:p>
        </w:tc>
      </w:tr>
      <w:tr>
        <w:trPr>
          <w:trHeight w:val="476" w:hRule="exact"/>
        </w:trPr>
        <w:tc>
          <w:tcPr>
            <w:tcW w:w="1385" w:type="dxa"/>
            <w:tcBorders>
              <w:bottom w:val="nil"/>
            </w:tcBorders>
          </w:tcPr>
          <w:p>
            <w:pPr/>
          </w:p>
        </w:tc>
        <w:tc>
          <w:tcPr>
            <w:tcW w:w="7094" w:type="dxa"/>
            <w:tcBorders>
              <w:bottom w:val="nil"/>
            </w:tcBorders>
          </w:tcPr>
          <w:p>
            <w:pPr>
              <w:pStyle w:val="TableParagraph"/>
              <w:spacing w:before="86"/>
              <w:ind w:left="64"/>
              <w:rPr>
                <w:sz w:val="16"/>
              </w:rPr>
            </w:pPr>
            <w:r>
              <w:rPr>
                <w:sz w:val="16"/>
              </w:rPr>
              <w:t>De 1983 a 2006 no se identificaron disposiciones que establecieran los sistemas de inteligencia para prever, detectar y combatir la corrupción.</w:t>
            </w:r>
          </w:p>
        </w:tc>
      </w:tr>
      <w:tr>
        <w:trPr>
          <w:trHeight w:val="564" w:hRule="exact"/>
        </w:trPr>
        <w:tc>
          <w:tcPr>
            <w:tcW w:w="1385" w:type="dxa"/>
            <w:vMerge w:val="restart"/>
            <w:tcBorders>
              <w:top w:val="nil"/>
            </w:tcBorders>
          </w:tcPr>
          <w:p>
            <w:pPr>
              <w:pStyle w:val="TableParagraph"/>
              <w:spacing w:before="1"/>
              <w:ind w:left="128" w:right="122" w:hanging="4"/>
              <w:jc w:val="center"/>
              <w:rPr>
                <w:b/>
                <w:sz w:val="16"/>
              </w:rPr>
            </w:pPr>
            <w:r>
              <w:rPr>
                <w:b/>
                <w:sz w:val="16"/>
              </w:rPr>
              <w:t>Rendición de cuentas (Evaluación</w:t>
            </w:r>
            <w:r>
              <w:rPr>
                <w:b/>
                <w:spacing w:val="-10"/>
                <w:sz w:val="16"/>
              </w:rPr>
              <w:t> </w:t>
            </w:r>
            <w:r>
              <w:rPr>
                <w:b/>
                <w:sz w:val="16"/>
              </w:rPr>
              <w:t>de la</w:t>
            </w:r>
            <w:r>
              <w:rPr>
                <w:b/>
                <w:spacing w:val="-6"/>
                <w:sz w:val="16"/>
              </w:rPr>
              <w:t> </w:t>
            </w:r>
            <w:r>
              <w:rPr>
                <w:b/>
                <w:sz w:val="16"/>
              </w:rPr>
              <w:t>política)</w:t>
            </w:r>
          </w:p>
        </w:tc>
        <w:tc>
          <w:tcPr>
            <w:tcW w:w="7094" w:type="dxa"/>
            <w:tcBorders>
              <w:top w:val="nil"/>
              <w:bottom w:val="nil"/>
            </w:tcBorders>
          </w:tcPr>
          <w:p>
            <w:pPr>
              <w:pStyle w:val="TableParagraph"/>
              <w:spacing w:before="85"/>
              <w:ind w:left="64"/>
              <w:rPr>
                <w:sz w:val="16"/>
              </w:rPr>
            </w:pPr>
            <w:r>
              <w:rPr>
                <w:sz w:val="16"/>
              </w:rPr>
              <w:t>La LOAPF no otorgó facultades a la SFP para llevar a cabo el seguimiento de la evolución de la situación patrimonial de los servidores públicos.</w:t>
            </w:r>
          </w:p>
        </w:tc>
      </w:tr>
      <w:tr>
        <w:trPr>
          <w:trHeight w:val="664" w:hRule="exact"/>
        </w:trPr>
        <w:tc>
          <w:tcPr>
            <w:tcW w:w="1385" w:type="dxa"/>
            <w:vMerge/>
          </w:tcPr>
          <w:p>
            <w:pPr/>
          </w:p>
        </w:tc>
        <w:tc>
          <w:tcPr>
            <w:tcW w:w="7094" w:type="dxa"/>
            <w:tcBorders>
              <w:top w:val="nil"/>
              <w:bottom w:val="nil"/>
            </w:tcBorders>
          </w:tcPr>
          <w:p>
            <w:pPr>
              <w:pStyle w:val="TableParagraph"/>
              <w:spacing w:before="93"/>
              <w:ind w:left="64"/>
              <w:rPr>
                <w:sz w:val="16"/>
              </w:rPr>
            </w:pPr>
            <w:r>
              <w:rPr>
                <w:sz w:val="16"/>
              </w:rPr>
              <w:t>En la planificación nacional 1983-1990 no se estableció disposición para los consejos de participación ciudadana, sólo se establecieron mecanismos de participación social.</w:t>
            </w:r>
          </w:p>
        </w:tc>
      </w:tr>
    </w:tbl>
    <w:p>
      <w:pPr>
        <w:spacing w:after="0"/>
        <w:rPr>
          <w:sz w:val="16"/>
        </w:rPr>
        <w:sectPr>
          <w:footerReference w:type="default" r:id="rId210"/>
          <w:pgSz w:w="11910" w:h="16840"/>
          <w:pgMar w:footer="998" w:header="0" w:top="1360" w:bottom="1180" w:left="1640" w:right="1560"/>
          <w:pgNumType w:start="141"/>
        </w:sectPr>
      </w:pPr>
    </w:p>
    <w:tbl>
      <w:tblPr>
        <w:tblW w:w="0" w:type="auto"/>
        <w:jc w:val="left"/>
        <w:tblInd w:w="15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94"/>
      </w:tblGrid>
      <w:tr>
        <w:trPr>
          <w:trHeight w:val="750" w:hRule="exact"/>
        </w:trPr>
        <w:tc>
          <w:tcPr>
            <w:tcW w:w="7094" w:type="dxa"/>
            <w:tcBorders>
              <w:left w:val="single" w:sz="3" w:space="0" w:color="000000"/>
              <w:right w:val="single" w:sz="3" w:space="0" w:color="000000"/>
            </w:tcBorders>
          </w:tcPr>
          <w:p>
            <w:pPr>
              <w:pStyle w:val="TableParagraph"/>
              <w:spacing w:before="2"/>
              <w:ind w:left="64" w:right="70"/>
              <w:jc w:val="both"/>
              <w:rPr>
                <w:sz w:val="16"/>
              </w:rPr>
            </w:pPr>
            <w:r>
              <w:rPr>
                <w:sz w:val="16"/>
              </w:rPr>
              <w:t>En el Programa Nacional de Rendición de Cuentas, Transparencia y Combate a la Corrupción, 2008-2012</w:t>
            </w:r>
            <w:r>
              <w:rPr>
                <w:spacing w:val="-3"/>
                <w:sz w:val="16"/>
              </w:rPr>
              <w:t> </w:t>
            </w:r>
            <w:r>
              <w:rPr>
                <w:sz w:val="16"/>
              </w:rPr>
              <w:t>(PNRCTCC)</w:t>
            </w:r>
            <w:r>
              <w:rPr>
                <w:spacing w:val="-4"/>
                <w:sz w:val="16"/>
              </w:rPr>
              <w:t> </w:t>
            </w:r>
            <w:r>
              <w:rPr>
                <w:spacing w:val="-3"/>
                <w:sz w:val="16"/>
              </w:rPr>
              <w:t>no </w:t>
            </w:r>
            <w:r>
              <w:rPr>
                <w:sz w:val="16"/>
              </w:rPr>
              <w:t>registró</w:t>
            </w:r>
            <w:r>
              <w:rPr>
                <w:spacing w:val="-8"/>
                <w:sz w:val="16"/>
              </w:rPr>
              <w:t> </w:t>
            </w:r>
            <w:r>
              <w:rPr>
                <w:sz w:val="16"/>
              </w:rPr>
              <w:t>resultados</w:t>
            </w:r>
            <w:r>
              <w:rPr>
                <w:spacing w:val="-6"/>
                <w:sz w:val="16"/>
              </w:rPr>
              <w:t> </w:t>
            </w:r>
            <w:r>
              <w:rPr>
                <w:sz w:val="16"/>
              </w:rPr>
              <w:t>en</w:t>
            </w:r>
            <w:r>
              <w:rPr>
                <w:spacing w:val="-12"/>
                <w:sz w:val="16"/>
              </w:rPr>
              <w:t> </w:t>
            </w:r>
            <w:r>
              <w:rPr>
                <w:sz w:val="16"/>
              </w:rPr>
              <w:t>el</w:t>
            </w:r>
            <w:r>
              <w:rPr>
                <w:spacing w:val="-6"/>
                <w:sz w:val="16"/>
              </w:rPr>
              <w:t> </w:t>
            </w:r>
            <w:r>
              <w:rPr>
                <w:sz w:val="16"/>
              </w:rPr>
              <w:t>indicador</w:t>
            </w:r>
            <w:r>
              <w:rPr>
                <w:spacing w:val="-8"/>
                <w:sz w:val="16"/>
              </w:rPr>
              <w:t> </w:t>
            </w:r>
            <w:r>
              <w:rPr>
                <w:sz w:val="16"/>
              </w:rPr>
              <w:t>relativo</w:t>
            </w:r>
            <w:r>
              <w:rPr>
                <w:spacing w:val="-8"/>
                <w:sz w:val="16"/>
              </w:rPr>
              <w:t> </w:t>
            </w:r>
            <w:r>
              <w:rPr>
                <w:sz w:val="16"/>
              </w:rPr>
              <w:t>a</w:t>
            </w:r>
            <w:r>
              <w:rPr>
                <w:spacing w:val="-4"/>
                <w:sz w:val="16"/>
              </w:rPr>
              <w:t> </w:t>
            </w:r>
            <w:r>
              <w:rPr>
                <w:sz w:val="16"/>
              </w:rPr>
              <w:t>la</w:t>
            </w:r>
            <w:r>
              <w:rPr>
                <w:spacing w:val="-8"/>
                <w:sz w:val="16"/>
              </w:rPr>
              <w:t> </w:t>
            </w:r>
            <w:r>
              <w:rPr>
                <w:sz w:val="16"/>
              </w:rPr>
              <w:t>participación</w:t>
            </w:r>
            <w:r>
              <w:rPr>
                <w:spacing w:val="-12"/>
                <w:sz w:val="16"/>
              </w:rPr>
              <w:t> </w:t>
            </w:r>
            <w:r>
              <w:rPr>
                <w:sz w:val="16"/>
              </w:rPr>
              <w:t>ciudadana. La SFP emitió una guía de participación ciudadana, sin mostrar el porcentaje de dependencias y entidades</w:t>
            </w:r>
            <w:r>
              <w:rPr>
                <w:spacing w:val="-4"/>
                <w:sz w:val="16"/>
              </w:rPr>
              <w:t> </w:t>
            </w:r>
            <w:r>
              <w:rPr>
                <w:sz w:val="16"/>
              </w:rPr>
              <w:t>de</w:t>
            </w:r>
            <w:r>
              <w:rPr>
                <w:spacing w:val="-2"/>
                <w:sz w:val="16"/>
              </w:rPr>
              <w:t> </w:t>
            </w:r>
            <w:r>
              <w:rPr>
                <w:sz w:val="16"/>
              </w:rPr>
              <w:t>la</w:t>
            </w:r>
            <w:r>
              <w:rPr>
                <w:spacing w:val="-4"/>
                <w:sz w:val="16"/>
              </w:rPr>
              <w:t> </w:t>
            </w:r>
            <w:r>
              <w:rPr>
                <w:sz w:val="16"/>
              </w:rPr>
              <w:t>APF</w:t>
            </w:r>
            <w:r>
              <w:rPr>
                <w:spacing w:val="-2"/>
                <w:sz w:val="16"/>
              </w:rPr>
              <w:t> </w:t>
            </w:r>
            <w:r>
              <w:rPr>
                <w:sz w:val="16"/>
              </w:rPr>
              <w:t>que</w:t>
            </w:r>
            <w:r>
              <w:rPr>
                <w:spacing w:val="-4"/>
                <w:sz w:val="16"/>
              </w:rPr>
              <w:t> </w:t>
            </w:r>
            <w:r>
              <w:rPr>
                <w:sz w:val="16"/>
              </w:rPr>
              <w:t>cumplieron</w:t>
            </w:r>
            <w:r>
              <w:rPr>
                <w:spacing w:val="-8"/>
                <w:sz w:val="16"/>
              </w:rPr>
              <w:t> </w:t>
            </w:r>
            <w:r>
              <w:rPr>
                <w:sz w:val="16"/>
              </w:rPr>
              <w:t>con</w:t>
            </w:r>
            <w:r>
              <w:rPr>
                <w:spacing w:val="-4"/>
                <w:sz w:val="16"/>
              </w:rPr>
              <w:t> </w:t>
            </w:r>
            <w:r>
              <w:rPr>
                <w:sz w:val="16"/>
              </w:rPr>
              <w:t>los</w:t>
            </w:r>
            <w:r>
              <w:rPr>
                <w:spacing w:val="-4"/>
                <w:sz w:val="16"/>
              </w:rPr>
              <w:t> </w:t>
            </w:r>
            <w:r>
              <w:rPr>
                <w:sz w:val="16"/>
              </w:rPr>
              <w:t>lineamientos</w:t>
            </w:r>
            <w:r>
              <w:rPr>
                <w:spacing w:val="-4"/>
                <w:sz w:val="16"/>
              </w:rPr>
              <w:t> </w:t>
            </w:r>
            <w:r>
              <w:rPr>
                <w:sz w:val="16"/>
              </w:rPr>
              <w:t>para</w:t>
            </w:r>
            <w:r>
              <w:rPr>
                <w:spacing w:val="-2"/>
                <w:sz w:val="16"/>
              </w:rPr>
              <w:t> </w:t>
            </w:r>
            <w:r>
              <w:rPr>
                <w:sz w:val="16"/>
              </w:rPr>
              <w:t>garantizar</w:t>
            </w:r>
            <w:r>
              <w:rPr>
                <w:spacing w:val="-2"/>
                <w:sz w:val="16"/>
              </w:rPr>
              <w:t> </w:t>
            </w:r>
            <w:r>
              <w:rPr>
                <w:sz w:val="16"/>
              </w:rPr>
              <w:t>la</w:t>
            </w:r>
            <w:r>
              <w:rPr>
                <w:spacing w:val="3"/>
                <w:sz w:val="16"/>
              </w:rPr>
              <w:t> </w:t>
            </w:r>
            <w:r>
              <w:rPr>
                <w:sz w:val="16"/>
              </w:rPr>
              <w:t>participación.</w:t>
            </w:r>
          </w:p>
        </w:tc>
      </w:tr>
      <w:tr>
        <w:trPr>
          <w:trHeight w:val="1040" w:hRule="exact"/>
        </w:trPr>
        <w:tc>
          <w:tcPr>
            <w:tcW w:w="7094" w:type="dxa"/>
            <w:tcBorders>
              <w:left w:val="single" w:sz="3" w:space="0" w:color="000000"/>
              <w:right w:val="single" w:sz="3" w:space="0" w:color="000000"/>
            </w:tcBorders>
          </w:tcPr>
          <w:p>
            <w:pPr>
              <w:pStyle w:val="TableParagraph"/>
              <w:ind w:left="64" w:right="70"/>
              <w:jc w:val="both"/>
              <w:rPr>
                <w:sz w:val="16"/>
              </w:rPr>
            </w:pPr>
            <w:r>
              <w:rPr>
                <w:sz w:val="16"/>
              </w:rPr>
              <w:t>El</w:t>
            </w:r>
            <w:r>
              <w:rPr>
                <w:spacing w:val="-6"/>
                <w:sz w:val="16"/>
              </w:rPr>
              <w:t> </w:t>
            </w:r>
            <w:r>
              <w:rPr>
                <w:sz w:val="16"/>
              </w:rPr>
              <w:t>indicador</w:t>
            </w:r>
            <w:r>
              <w:rPr>
                <w:spacing w:val="-4"/>
                <w:sz w:val="16"/>
              </w:rPr>
              <w:t> </w:t>
            </w:r>
            <w:r>
              <w:rPr>
                <w:sz w:val="16"/>
              </w:rPr>
              <w:t>de</w:t>
            </w:r>
            <w:r>
              <w:rPr>
                <w:spacing w:val="-1"/>
                <w:sz w:val="16"/>
              </w:rPr>
              <w:t> </w:t>
            </w:r>
            <w:r>
              <w:rPr>
                <w:sz w:val="16"/>
              </w:rPr>
              <w:t>las</w:t>
            </w:r>
            <w:r>
              <w:rPr>
                <w:spacing w:val="-6"/>
                <w:sz w:val="16"/>
              </w:rPr>
              <w:t> </w:t>
            </w:r>
            <w:r>
              <w:rPr>
                <w:sz w:val="16"/>
              </w:rPr>
              <w:t>organizaciones</w:t>
            </w:r>
            <w:r>
              <w:rPr>
                <w:spacing w:val="-6"/>
                <w:sz w:val="16"/>
              </w:rPr>
              <w:t> </w:t>
            </w:r>
            <w:r>
              <w:rPr>
                <w:sz w:val="16"/>
              </w:rPr>
              <w:t>civiles</w:t>
            </w:r>
            <w:r>
              <w:rPr>
                <w:spacing w:val="-6"/>
                <w:sz w:val="16"/>
              </w:rPr>
              <w:t> </w:t>
            </w:r>
            <w:r>
              <w:rPr>
                <w:sz w:val="16"/>
              </w:rPr>
              <w:t>que</w:t>
            </w:r>
            <w:r>
              <w:rPr>
                <w:spacing w:val="-3"/>
                <w:sz w:val="16"/>
              </w:rPr>
              <w:t> </w:t>
            </w:r>
            <w:r>
              <w:rPr>
                <w:sz w:val="16"/>
              </w:rPr>
              <w:t>participan</w:t>
            </w:r>
            <w:r>
              <w:rPr>
                <w:spacing w:val="-7"/>
                <w:sz w:val="16"/>
              </w:rPr>
              <w:t> </w:t>
            </w:r>
            <w:r>
              <w:rPr>
                <w:sz w:val="16"/>
              </w:rPr>
              <w:t>en</w:t>
            </w:r>
            <w:r>
              <w:rPr>
                <w:spacing w:val="-7"/>
                <w:sz w:val="16"/>
              </w:rPr>
              <w:t> </w:t>
            </w:r>
            <w:r>
              <w:rPr>
                <w:sz w:val="16"/>
              </w:rPr>
              <w:t>el</w:t>
            </w:r>
            <w:r>
              <w:rPr>
                <w:spacing w:val="-6"/>
                <w:sz w:val="16"/>
              </w:rPr>
              <w:t> </w:t>
            </w:r>
            <w:r>
              <w:rPr>
                <w:sz w:val="16"/>
              </w:rPr>
              <w:t>monitoreo</w:t>
            </w:r>
            <w:r>
              <w:rPr>
                <w:spacing w:val="-3"/>
                <w:sz w:val="16"/>
              </w:rPr>
              <w:t> </w:t>
            </w:r>
            <w:r>
              <w:rPr>
                <w:sz w:val="16"/>
              </w:rPr>
              <w:t>de</w:t>
            </w:r>
            <w:r>
              <w:rPr>
                <w:spacing w:val="-1"/>
                <w:sz w:val="16"/>
              </w:rPr>
              <w:t> </w:t>
            </w:r>
            <w:r>
              <w:rPr>
                <w:sz w:val="16"/>
              </w:rPr>
              <w:t>la</w:t>
            </w:r>
            <w:r>
              <w:rPr>
                <w:spacing w:val="-3"/>
                <w:sz w:val="16"/>
              </w:rPr>
              <w:t> </w:t>
            </w:r>
            <w:r>
              <w:rPr>
                <w:sz w:val="16"/>
              </w:rPr>
              <w:t>gestión</w:t>
            </w:r>
            <w:r>
              <w:rPr>
                <w:spacing w:val="-4"/>
                <w:sz w:val="16"/>
              </w:rPr>
              <w:t> </w:t>
            </w:r>
            <w:r>
              <w:rPr>
                <w:sz w:val="16"/>
              </w:rPr>
              <w:t>pública</w:t>
            </w:r>
            <w:r>
              <w:rPr>
                <w:spacing w:val="-3"/>
                <w:sz w:val="16"/>
              </w:rPr>
              <w:t> </w:t>
            </w:r>
            <w:r>
              <w:rPr>
                <w:sz w:val="16"/>
              </w:rPr>
              <w:t>para contribuir a la transparencia y al combate a la corrupción, tuvo un cumplimiento menor al 50%, y </w:t>
            </w:r>
            <w:r>
              <w:rPr>
                <w:spacing w:val="-3"/>
                <w:sz w:val="16"/>
              </w:rPr>
              <w:t>no </w:t>
            </w:r>
            <w:r>
              <w:rPr>
                <w:sz w:val="16"/>
              </w:rPr>
              <w:t>se precisó el número de instancias que existen, de qué tipo son, cuáles son sus funciones, en qué campo de la política se inscriben en el combate a la corrupción, y si son funcionales para los objetivos que fueron</w:t>
            </w:r>
            <w:r>
              <w:rPr>
                <w:spacing w:val="-13"/>
                <w:sz w:val="16"/>
              </w:rPr>
              <w:t> </w:t>
            </w:r>
            <w:r>
              <w:rPr>
                <w:sz w:val="16"/>
              </w:rPr>
              <w:t>creadas.</w:t>
            </w:r>
          </w:p>
        </w:tc>
      </w:tr>
      <w:tr>
        <w:trPr>
          <w:trHeight w:val="1152" w:hRule="exact"/>
        </w:trPr>
        <w:tc>
          <w:tcPr>
            <w:tcW w:w="7094" w:type="dxa"/>
            <w:tcBorders>
              <w:left w:val="single" w:sz="3" w:space="0" w:color="000000"/>
              <w:right w:val="single" w:sz="3" w:space="0" w:color="000000"/>
            </w:tcBorders>
          </w:tcPr>
          <w:p>
            <w:pPr>
              <w:pStyle w:val="TableParagraph"/>
              <w:spacing w:before="107"/>
              <w:ind w:left="64" w:right="69"/>
              <w:jc w:val="both"/>
              <w:rPr>
                <w:sz w:val="16"/>
              </w:rPr>
            </w:pPr>
            <w:r>
              <w:rPr>
                <w:sz w:val="16"/>
              </w:rPr>
              <w:t>La LOAPF </w:t>
            </w:r>
            <w:r>
              <w:rPr>
                <w:spacing w:val="-3"/>
                <w:sz w:val="16"/>
              </w:rPr>
              <w:t>no </w:t>
            </w:r>
            <w:r>
              <w:rPr>
                <w:sz w:val="16"/>
              </w:rPr>
              <w:t>estableció un mandato expreso para que los organismos descentralizados y las entidades</w:t>
            </w:r>
            <w:r>
              <w:rPr>
                <w:spacing w:val="-11"/>
                <w:sz w:val="16"/>
              </w:rPr>
              <w:t> </w:t>
            </w:r>
            <w:r>
              <w:rPr>
                <w:sz w:val="16"/>
              </w:rPr>
              <w:t>del</w:t>
            </w:r>
            <w:r>
              <w:rPr>
                <w:spacing w:val="-10"/>
                <w:sz w:val="16"/>
              </w:rPr>
              <w:t> </w:t>
            </w:r>
            <w:r>
              <w:rPr>
                <w:sz w:val="16"/>
              </w:rPr>
              <w:t>sector</w:t>
            </w:r>
            <w:r>
              <w:rPr>
                <w:spacing w:val="-8"/>
                <w:sz w:val="16"/>
              </w:rPr>
              <w:t> </w:t>
            </w:r>
            <w:r>
              <w:rPr>
                <w:sz w:val="16"/>
              </w:rPr>
              <w:t>paraestatal</w:t>
            </w:r>
            <w:r>
              <w:rPr>
                <w:spacing w:val="-6"/>
                <w:sz w:val="16"/>
              </w:rPr>
              <w:t> </w:t>
            </w:r>
            <w:r>
              <w:rPr>
                <w:sz w:val="16"/>
              </w:rPr>
              <w:t>implementen</w:t>
            </w:r>
            <w:r>
              <w:rPr>
                <w:spacing w:val="-12"/>
                <w:sz w:val="16"/>
              </w:rPr>
              <w:t> </w:t>
            </w:r>
            <w:r>
              <w:rPr>
                <w:sz w:val="16"/>
              </w:rPr>
              <w:t>el</w:t>
            </w:r>
            <w:r>
              <w:rPr>
                <w:spacing w:val="-10"/>
                <w:sz w:val="16"/>
              </w:rPr>
              <w:t> </w:t>
            </w:r>
            <w:r>
              <w:rPr>
                <w:sz w:val="16"/>
              </w:rPr>
              <w:t>SPC.</w:t>
            </w:r>
            <w:r>
              <w:rPr>
                <w:spacing w:val="-7"/>
                <w:sz w:val="16"/>
              </w:rPr>
              <w:t> </w:t>
            </w:r>
            <w:r>
              <w:rPr>
                <w:sz w:val="16"/>
              </w:rPr>
              <w:t>La</w:t>
            </w:r>
            <w:r>
              <w:rPr>
                <w:spacing w:val="-8"/>
                <w:sz w:val="16"/>
              </w:rPr>
              <w:t> </w:t>
            </w:r>
            <w:r>
              <w:rPr>
                <w:sz w:val="16"/>
              </w:rPr>
              <w:t>Ley</w:t>
            </w:r>
            <w:r>
              <w:rPr>
                <w:spacing w:val="-6"/>
                <w:sz w:val="16"/>
              </w:rPr>
              <w:t> </w:t>
            </w:r>
            <w:r>
              <w:rPr>
                <w:sz w:val="16"/>
              </w:rPr>
              <w:t>estableció</w:t>
            </w:r>
            <w:r>
              <w:rPr>
                <w:spacing w:val="-8"/>
                <w:sz w:val="16"/>
              </w:rPr>
              <w:t> </w:t>
            </w:r>
            <w:r>
              <w:rPr>
                <w:sz w:val="16"/>
              </w:rPr>
              <w:t>que</w:t>
            </w:r>
            <w:r>
              <w:rPr>
                <w:spacing w:val="-8"/>
                <w:sz w:val="16"/>
              </w:rPr>
              <w:t> </w:t>
            </w:r>
            <w:r>
              <w:rPr>
                <w:sz w:val="16"/>
              </w:rPr>
              <w:t>el</w:t>
            </w:r>
            <w:r>
              <w:rPr>
                <w:spacing w:val="-6"/>
                <w:sz w:val="16"/>
              </w:rPr>
              <w:t> </w:t>
            </w:r>
            <w:r>
              <w:rPr>
                <w:sz w:val="16"/>
              </w:rPr>
              <w:t>sistema</w:t>
            </w:r>
            <w:r>
              <w:rPr>
                <w:spacing w:val="-8"/>
                <w:sz w:val="16"/>
              </w:rPr>
              <w:t> </w:t>
            </w:r>
            <w:r>
              <w:rPr>
                <w:sz w:val="16"/>
              </w:rPr>
              <w:t>debió</w:t>
            </w:r>
            <w:r>
              <w:rPr>
                <w:spacing w:val="-8"/>
                <w:sz w:val="16"/>
              </w:rPr>
              <w:t> </w:t>
            </w:r>
            <w:r>
              <w:rPr>
                <w:sz w:val="16"/>
              </w:rPr>
              <w:t>optar en su totalidad en un periodo que no excediera de tres años a partir de la entrada en vigencia de la ley, por lo que la plena operación del servicio debió lograrse en 2006, situación que no se concretó debido a que el SPC aún está en su fase de</w:t>
            </w:r>
            <w:r>
              <w:rPr>
                <w:spacing w:val="-26"/>
                <w:sz w:val="16"/>
              </w:rPr>
              <w:t> </w:t>
            </w:r>
            <w:r>
              <w:rPr>
                <w:sz w:val="16"/>
              </w:rPr>
              <w:t>consolidación.</w:t>
            </w:r>
          </w:p>
        </w:tc>
      </w:tr>
      <w:tr>
        <w:trPr>
          <w:trHeight w:val="674" w:hRule="exact"/>
        </w:trPr>
        <w:tc>
          <w:tcPr>
            <w:tcW w:w="7094" w:type="dxa"/>
            <w:tcBorders>
              <w:left w:val="single" w:sz="3" w:space="0" w:color="000000"/>
              <w:right w:val="single" w:sz="3" w:space="0" w:color="000000"/>
            </w:tcBorders>
          </w:tcPr>
          <w:p>
            <w:pPr>
              <w:pStyle w:val="TableParagraph"/>
              <w:spacing w:before="107"/>
              <w:ind w:left="64" w:right="74"/>
              <w:jc w:val="both"/>
              <w:rPr>
                <w:sz w:val="16"/>
              </w:rPr>
            </w:pPr>
            <w:r>
              <w:rPr>
                <w:sz w:val="16"/>
              </w:rPr>
              <w:t>No se diseñó, ni se instrumentaron indicadores para medir y evaluar el cumplimiento de los objetivos</w:t>
            </w:r>
            <w:r>
              <w:rPr>
                <w:spacing w:val="-15"/>
                <w:sz w:val="16"/>
              </w:rPr>
              <w:t> </w:t>
            </w:r>
            <w:r>
              <w:rPr>
                <w:sz w:val="16"/>
              </w:rPr>
              <w:t>rectores</w:t>
            </w:r>
            <w:r>
              <w:rPr>
                <w:spacing w:val="-15"/>
                <w:sz w:val="16"/>
              </w:rPr>
              <w:t> </w:t>
            </w:r>
            <w:r>
              <w:rPr>
                <w:sz w:val="16"/>
              </w:rPr>
              <w:t>del</w:t>
            </w:r>
            <w:r>
              <w:rPr>
                <w:spacing w:val="-18"/>
                <w:sz w:val="16"/>
              </w:rPr>
              <w:t> </w:t>
            </w:r>
            <w:r>
              <w:rPr>
                <w:sz w:val="16"/>
              </w:rPr>
              <w:t>SPC,</w:t>
            </w:r>
            <w:r>
              <w:rPr>
                <w:spacing w:val="-14"/>
                <w:sz w:val="16"/>
              </w:rPr>
              <w:t> </w:t>
            </w:r>
            <w:r>
              <w:rPr>
                <w:sz w:val="16"/>
              </w:rPr>
              <w:t>consistentes</w:t>
            </w:r>
            <w:r>
              <w:rPr>
                <w:spacing w:val="-15"/>
                <w:sz w:val="16"/>
              </w:rPr>
              <w:t> </w:t>
            </w:r>
            <w:r>
              <w:rPr>
                <w:sz w:val="16"/>
              </w:rPr>
              <w:t>en</w:t>
            </w:r>
            <w:r>
              <w:rPr>
                <w:spacing w:val="-16"/>
                <w:sz w:val="16"/>
              </w:rPr>
              <w:t> </w:t>
            </w:r>
            <w:r>
              <w:rPr>
                <w:sz w:val="16"/>
              </w:rPr>
              <w:t>legalidad,</w:t>
            </w:r>
            <w:r>
              <w:rPr>
                <w:spacing w:val="-15"/>
                <w:sz w:val="16"/>
              </w:rPr>
              <w:t> </w:t>
            </w:r>
            <w:r>
              <w:rPr>
                <w:sz w:val="16"/>
              </w:rPr>
              <w:t>eficiencia,</w:t>
            </w:r>
            <w:r>
              <w:rPr>
                <w:spacing w:val="-12"/>
                <w:sz w:val="16"/>
              </w:rPr>
              <w:t> </w:t>
            </w:r>
            <w:r>
              <w:rPr>
                <w:sz w:val="16"/>
              </w:rPr>
              <w:t>objetividad,</w:t>
            </w:r>
            <w:r>
              <w:rPr>
                <w:spacing w:val="-15"/>
                <w:sz w:val="16"/>
              </w:rPr>
              <w:t> </w:t>
            </w:r>
            <w:r>
              <w:rPr>
                <w:sz w:val="16"/>
              </w:rPr>
              <w:t>calidad,</w:t>
            </w:r>
            <w:r>
              <w:rPr>
                <w:spacing w:val="-9"/>
                <w:sz w:val="16"/>
              </w:rPr>
              <w:t> </w:t>
            </w:r>
            <w:r>
              <w:rPr>
                <w:sz w:val="16"/>
              </w:rPr>
              <w:t>imparcialidad, equidad, competencia por mérito y equidad de</w:t>
            </w:r>
            <w:r>
              <w:rPr>
                <w:spacing w:val="-19"/>
                <w:sz w:val="16"/>
              </w:rPr>
              <w:t> </w:t>
            </w:r>
            <w:r>
              <w:rPr>
                <w:sz w:val="16"/>
              </w:rPr>
              <w:t>género.</w:t>
            </w:r>
          </w:p>
        </w:tc>
      </w:tr>
      <w:tr>
        <w:trPr>
          <w:trHeight w:val="744" w:hRule="exact"/>
        </w:trPr>
        <w:tc>
          <w:tcPr>
            <w:tcW w:w="7094" w:type="dxa"/>
            <w:tcBorders>
              <w:left w:val="single" w:sz="3" w:space="0" w:color="000000"/>
              <w:right w:val="single" w:sz="3" w:space="0" w:color="000000"/>
            </w:tcBorders>
          </w:tcPr>
          <w:p>
            <w:pPr>
              <w:pStyle w:val="TableParagraph"/>
              <w:ind w:left="64" w:right="72"/>
              <w:jc w:val="both"/>
              <w:rPr>
                <w:sz w:val="16"/>
              </w:rPr>
            </w:pPr>
            <w:r>
              <w:rPr>
                <w:sz w:val="16"/>
              </w:rPr>
              <w:t>Los indicadores de control de confianza han mostrado una limitada cobertura para construirse en un elemento eficaz contra el combate a la corrupción, ya que los Centros de Evaluación y Control de Confianza Estatales atendieron al 21.7% de los servidores públicos.</w:t>
            </w:r>
          </w:p>
        </w:tc>
      </w:tr>
    </w:tbl>
    <w:p>
      <w:pPr>
        <w:pStyle w:val="BodyText"/>
        <w:spacing w:before="6"/>
        <w:rPr>
          <w:sz w:val="12"/>
        </w:rPr>
      </w:pPr>
    </w:p>
    <w:p>
      <w:pPr>
        <w:spacing w:line="137" w:lineRule="exact" w:before="0"/>
        <w:ind w:left="100" w:right="272" w:firstLine="0"/>
        <w:jc w:val="left"/>
        <w:rPr>
          <w:sz w:val="12"/>
        </w:rPr>
      </w:pPr>
      <w:r>
        <w:rPr/>
        <w:pict>
          <v:group style="position:absolute;margin-left:87.824997pt;margin-top:-225.422058pt;width:424.15pt;height:218.85pt;mso-position-horizontal-relative:page;mso-position-vertical-relative:paragraph;z-index:-347968" coordorigin="1756,-4508" coordsize="8483,4377">
            <v:line style="position:absolute" from="1765,-4500" to="3141,-4500" stroked="true" strokeweight=".39999pt" strokecolor="#000000"/>
            <v:line style="position:absolute" from="1760,-4504" to="1760,-135" stroked="true" strokeweight=".39999pt" strokecolor="#000000"/>
            <v:line style="position:absolute" from="1765,-139" to="3141,-139" stroked="true" strokeweight=".39999pt" strokecolor="#000000"/>
            <v:line style="position:absolute" from="3149,-139" to="10235,-139" stroked="true" strokeweight=".39999pt" strokecolor="#000000"/>
            <w10:wrap type="none"/>
          </v:group>
        </w:pict>
      </w:r>
      <w:r>
        <w:rPr>
          <w:sz w:val="12"/>
        </w:rPr>
        <w:t>FUENTE: Elaboración propia con base en: ASF (2013: 1-213).</w:t>
      </w:r>
    </w:p>
    <w:p>
      <w:pPr>
        <w:spacing w:before="0"/>
        <w:ind w:left="668" w:right="2879" w:firstLine="0"/>
        <w:jc w:val="left"/>
        <w:rPr>
          <w:sz w:val="12"/>
        </w:rPr>
      </w:pPr>
      <w:r>
        <w:rPr>
          <w:sz w:val="12"/>
        </w:rPr>
        <w:t>Disponible en: </w:t>
      </w:r>
      <w:hyperlink r:id="rId209">
        <w:r>
          <w:rPr>
            <w:sz w:val="12"/>
          </w:rPr>
          <w:t>http://www.asf.gob.mx/Trans/Informes/IR2011i/Grupos/Gobierno/2011_0059_a.pdf</w:t>
        </w:r>
      </w:hyperlink>
      <w:r>
        <w:rPr>
          <w:sz w:val="12"/>
        </w:rPr>
        <w:t> [Fecha de consulta: 25 de septiembre, 2015]</w:t>
      </w:r>
    </w:p>
    <w:p>
      <w:pPr>
        <w:pStyle w:val="BodyText"/>
        <w:rPr>
          <w:sz w:val="12"/>
        </w:rPr>
      </w:pPr>
    </w:p>
    <w:p>
      <w:pPr>
        <w:pStyle w:val="BodyText"/>
        <w:rPr>
          <w:sz w:val="12"/>
        </w:rPr>
      </w:pPr>
    </w:p>
    <w:p>
      <w:pPr>
        <w:pStyle w:val="BodyText"/>
        <w:rPr>
          <w:sz w:val="12"/>
        </w:rPr>
      </w:pPr>
    </w:p>
    <w:p>
      <w:pPr>
        <w:pStyle w:val="BodyText"/>
        <w:spacing w:before="6"/>
        <w:rPr>
          <w:sz w:val="14"/>
        </w:rPr>
      </w:pPr>
    </w:p>
    <w:p>
      <w:pPr>
        <w:pStyle w:val="BodyText"/>
        <w:ind w:left="100" w:right="272"/>
      </w:pPr>
      <w:r>
        <w:rPr/>
        <w:t>Conclusiones del proceso de detección:</w:t>
      </w:r>
    </w:p>
    <w:p>
      <w:pPr>
        <w:pStyle w:val="ListParagraph"/>
        <w:numPr>
          <w:ilvl w:val="0"/>
          <w:numId w:val="81"/>
        </w:numPr>
        <w:tabs>
          <w:tab w:pos="821" w:val="left" w:leader="none"/>
        </w:tabs>
        <w:spacing w:line="360" w:lineRule="auto" w:before="140" w:after="0"/>
        <w:ind w:left="821" w:right="146" w:hanging="361"/>
        <w:jc w:val="both"/>
        <w:rPr>
          <w:sz w:val="24"/>
        </w:rPr>
      </w:pPr>
      <w:r>
        <w:rPr>
          <w:sz w:val="24"/>
        </w:rPr>
        <w:t>La SFP no realizó trabajos de inteligencia para detectar a servidores públicos que recurrieron a prácticas ilegales en el desarrollo de sus funciones. El 60.9% determinados por la SFP y los OIC fueron por incumplimiento en la presentación de la declaración de situación patrimonial y por quejas y</w:t>
      </w:r>
      <w:r>
        <w:rPr>
          <w:spacing w:val="-23"/>
          <w:sz w:val="24"/>
        </w:rPr>
        <w:t> </w:t>
      </w:r>
      <w:r>
        <w:rPr>
          <w:sz w:val="24"/>
        </w:rPr>
        <w:t>denuncias.</w:t>
      </w:r>
    </w:p>
    <w:p>
      <w:pPr>
        <w:pStyle w:val="BodyText"/>
      </w:pPr>
    </w:p>
    <w:p>
      <w:pPr>
        <w:pStyle w:val="ListParagraph"/>
        <w:numPr>
          <w:ilvl w:val="0"/>
          <w:numId w:val="81"/>
        </w:numPr>
        <w:tabs>
          <w:tab w:pos="821" w:val="left" w:leader="none"/>
        </w:tabs>
        <w:spacing w:line="360" w:lineRule="auto" w:before="142" w:after="0"/>
        <w:ind w:left="821" w:right="144" w:hanging="361"/>
        <w:jc w:val="both"/>
        <w:rPr>
          <w:sz w:val="24"/>
        </w:rPr>
      </w:pPr>
      <w:r>
        <w:rPr>
          <w:sz w:val="24"/>
        </w:rPr>
        <w:t>La</w:t>
      </w:r>
      <w:r>
        <w:rPr>
          <w:spacing w:val="-20"/>
          <w:sz w:val="24"/>
        </w:rPr>
        <w:t> </w:t>
      </w:r>
      <w:r>
        <w:rPr>
          <w:sz w:val="24"/>
        </w:rPr>
        <w:t>política</w:t>
      </w:r>
      <w:r>
        <w:rPr>
          <w:spacing w:val="-20"/>
          <w:sz w:val="24"/>
        </w:rPr>
        <w:t> </w:t>
      </w:r>
      <w:r>
        <w:rPr>
          <w:sz w:val="24"/>
        </w:rPr>
        <w:t>pública</w:t>
      </w:r>
      <w:r>
        <w:rPr>
          <w:spacing w:val="-20"/>
          <w:sz w:val="24"/>
        </w:rPr>
        <w:t> </w:t>
      </w:r>
      <w:r>
        <w:rPr>
          <w:sz w:val="24"/>
        </w:rPr>
        <w:t>de</w:t>
      </w:r>
      <w:r>
        <w:rPr>
          <w:spacing w:val="-20"/>
          <w:sz w:val="24"/>
        </w:rPr>
        <w:t> </w:t>
      </w:r>
      <w:r>
        <w:rPr>
          <w:sz w:val="24"/>
        </w:rPr>
        <w:t>combate</w:t>
      </w:r>
      <w:r>
        <w:rPr>
          <w:spacing w:val="-20"/>
          <w:sz w:val="24"/>
        </w:rPr>
        <w:t> </w:t>
      </w:r>
      <w:r>
        <w:rPr>
          <w:sz w:val="24"/>
        </w:rPr>
        <w:t>a</w:t>
      </w:r>
      <w:r>
        <w:rPr>
          <w:spacing w:val="-20"/>
          <w:sz w:val="24"/>
        </w:rPr>
        <w:t> </w:t>
      </w:r>
      <w:r>
        <w:rPr>
          <w:sz w:val="24"/>
        </w:rPr>
        <w:t>la</w:t>
      </w:r>
      <w:r>
        <w:rPr>
          <w:spacing w:val="-20"/>
          <w:sz w:val="24"/>
        </w:rPr>
        <w:t> </w:t>
      </w:r>
      <w:r>
        <w:rPr>
          <w:sz w:val="24"/>
        </w:rPr>
        <w:t>corrupción</w:t>
      </w:r>
      <w:r>
        <w:rPr>
          <w:spacing w:val="-20"/>
          <w:sz w:val="24"/>
        </w:rPr>
        <w:t> </w:t>
      </w:r>
      <w:r>
        <w:rPr>
          <w:sz w:val="24"/>
        </w:rPr>
        <w:t>ha</w:t>
      </w:r>
      <w:r>
        <w:rPr>
          <w:spacing w:val="-20"/>
          <w:sz w:val="24"/>
        </w:rPr>
        <w:t> </w:t>
      </w:r>
      <w:r>
        <w:rPr>
          <w:sz w:val="24"/>
        </w:rPr>
        <w:t>operado</w:t>
      </w:r>
      <w:r>
        <w:rPr>
          <w:spacing w:val="-20"/>
          <w:sz w:val="24"/>
        </w:rPr>
        <w:t> </w:t>
      </w:r>
      <w:r>
        <w:rPr>
          <w:sz w:val="24"/>
        </w:rPr>
        <w:t>sin</w:t>
      </w:r>
      <w:r>
        <w:rPr>
          <w:spacing w:val="-20"/>
          <w:sz w:val="24"/>
        </w:rPr>
        <w:t> </w:t>
      </w:r>
      <w:r>
        <w:rPr>
          <w:sz w:val="24"/>
        </w:rPr>
        <w:t>coordinación entre las dependencias y entidades de la APF, ésta sólo ha suscrito mecanismos</w:t>
      </w:r>
      <w:r>
        <w:rPr>
          <w:spacing w:val="-4"/>
          <w:sz w:val="24"/>
        </w:rPr>
        <w:t> </w:t>
      </w:r>
      <w:r>
        <w:rPr>
          <w:sz w:val="24"/>
        </w:rPr>
        <w:t>de</w:t>
      </w:r>
      <w:r>
        <w:rPr>
          <w:spacing w:val="-6"/>
          <w:sz w:val="24"/>
        </w:rPr>
        <w:t> </w:t>
      </w:r>
      <w:r>
        <w:rPr>
          <w:sz w:val="24"/>
        </w:rPr>
        <w:t>coordinación</w:t>
      </w:r>
      <w:r>
        <w:rPr>
          <w:spacing w:val="-6"/>
          <w:sz w:val="24"/>
        </w:rPr>
        <w:t> </w:t>
      </w:r>
      <w:r>
        <w:rPr>
          <w:sz w:val="24"/>
        </w:rPr>
        <w:t>con</w:t>
      </w:r>
      <w:r>
        <w:rPr>
          <w:spacing w:val="-6"/>
          <w:sz w:val="24"/>
        </w:rPr>
        <w:t> </w:t>
      </w:r>
      <w:r>
        <w:rPr>
          <w:sz w:val="24"/>
        </w:rPr>
        <w:t>5</w:t>
      </w:r>
      <w:r>
        <w:rPr>
          <w:spacing w:val="-6"/>
          <w:sz w:val="24"/>
        </w:rPr>
        <w:t> </w:t>
      </w:r>
      <w:r>
        <w:rPr>
          <w:sz w:val="24"/>
        </w:rPr>
        <w:t>de</w:t>
      </w:r>
      <w:r>
        <w:rPr>
          <w:spacing w:val="-2"/>
          <w:sz w:val="24"/>
        </w:rPr>
        <w:t> </w:t>
      </w:r>
      <w:r>
        <w:rPr>
          <w:sz w:val="24"/>
        </w:rPr>
        <w:t>las</w:t>
      </w:r>
      <w:r>
        <w:rPr>
          <w:spacing w:val="-4"/>
          <w:sz w:val="24"/>
        </w:rPr>
        <w:t> </w:t>
      </w:r>
      <w:r>
        <w:rPr>
          <w:sz w:val="24"/>
        </w:rPr>
        <w:t>316</w:t>
      </w:r>
      <w:r>
        <w:rPr>
          <w:spacing w:val="-6"/>
          <w:sz w:val="24"/>
        </w:rPr>
        <w:t> </w:t>
      </w:r>
      <w:r>
        <w:rPr>
          <w:sz w:val="24"/>
        </w:rPr>
        <w:t>existentes.</w:t>
      </w:r>
      <w:r>
        <w:rPr>
          <w:spacing w:val="-4"/>
          <w:sz w:val="24"/>
        </w:rPr>
        <w:t> </w:t>
      </w:r>
      <w:r>
        <w:rPr>
          <w:sz w:val="24"/>
        </w:rPr>
        <w:t>La</w:t>
      </w:r>
      <w:r>
        <w:rPr>
          <w:spacing w:val="-6"/>
          <w:sz w:val="24"/>
        </w:rPr>
        <w:t> </w:t>
      </w:r>
      <w:r>
        <w:rPr>
          <w:sz w:val="24"/>
        </w:rPr>
        <w:t>SFP</w:t>
      </w:r>
      <w:r>
        <w:rPr>
          <w:spacing w:val="-8"/>
          <w:sz w:val="24"/>
        </w:rPr>
        <w:t> </w:t>
      </w:r>
      <w:r>
        <w:rPr>
          <w:sz w:val="24"/>
        </w:rPr>
        <w:t>carece de coordinación con los otros Poderes de la Unión y con los órganos constitucionalmente</w:t>
      </w:r>
      <w:r>
        <w:rPr>
          <w:spacing w:val="-20"/>
          <w:sz w:val="24"/>
        </w:rPr>
        <w:t> </w:t>
      </w:r>
      <w:r>
        <w:rPr>
          <w:sz w:val="24"/>
        </w:rPr>
        <w:t>autónomos.</w:t>
      </w:r>
    </w:p>
    <w:p>
      <w:pPr>
        <w:pStyle w:val="BodyText"/>
        <w:spacing w:before="6"/>
      </w:pPr>
    </w:p>
    <w:p>
      <w:pPr>
        <w:pStyle w:val="ListParagraph"/>
        <w:numPr>
          <w:ilvl w:val="0"/>
          <w:numId w:val="81"/>
        </w:numPr>
        <w:tabs>
          <w:tab w:pos="821" w:val="left" w:leader="none"/>
        </w:tabs>
        <w:spacing w:line="360" w:lineRule="auto" w:before="0" w:after="0"/>
        <w:ind w:left="821" w:right="145" w:hanging="361"/>
        <w:jc w:val="both"/>
        <w:rPr>
          <w:sz w:val="24"/>
        </w:rPr>
      </w:pPr>
      <w:r>
        <w:rPr>
          <w:sz w:val="24"/>
        </w:rPr>
        <w:t>La</w:t>
      </w:r>
      <w:r>
        <w:rPr>
          <w:spacing w:val="-9"/>
          <w:sz w:val="24"/>
        </w:rPr>
        <w:t> </w:t>
      </w:r>
      <w:r>
        <w:rPr>
          <w:sz w:val="24"/>
        </w:rPr>
        <w:t>SFP</w:t>
      </w:r>
      <w:r>
        <w:rPr>
          <w:spacing w:val="-7"/>
          <w:sz w:val="24"/>
        </w:rPr>
        <w:t> </w:t>
      </w:r>
      <w:r>
        <w:rPr>
          <w:sz w:val="24"/>
        </w:rPr>
        <w:t>no</w:t>
      </w:r>
      <w:r>
        <w:rPr>
          <w:spacing w:val="-9"/>
          <w:sz w:val="24"/>
        </w:rPr>
        <w:t> </w:t>
      </w:r>
      <w:r>
        <w:rPr>
          <w:sz w:val="24"/>
        </w:rPr>
        <w:t>logró</w:t>
      </w:r>
      <w:r>
        <w:rPr>
          <w:spacing w:val="-9"/>
          <w:sz w:val="24"/>
        </w:rPr>
        <w:t> </w:t>
      </w:r>
      <w:r>
        <w:rPr>
          <w:sz w:val="24"/>
        </w:rPr>
        <w:t>disminuir</w:t>
      </w:r>
      <w:r>
        <w:rPr>
          <w:spacing w:val="-7"/>
          <w:sz w:val="24"/>
        </w:rPr>
        <w:t> </w:t>
      </w:r>
      <w:r>
        <w:rPr>
          <w:sz w:val="24"/>
        </w:rPr>
        <w:t>significativamente</w:t>
      </w:r>
      <w:r>
        <w:rPr>
          <w:spacing w:val="-9"/>
          <w:sz w:val="24"/>
        </w:rPr>
        <w:t> </w:t>
      </w:r>
      <w:r>
        <w:rPr>
          <w:sz w:val="24"/>
        </w:rPr>
        <w:t>el</w:t>
      </w:r>
      <w:r>
        <w:rPr>
          <w:spacing w:val="-8"/>
          <w:sz w:val="24"/>
        </w:rPr>
        <w:t> </w:t>
      </w:r>
      <w:r>
        <w:rPr>
          <w:sz w:val="24"/>
        </w:rPr>
        <w:t>número</w:t>
      </w:r>
      <w:r>
        <w:rPr>
          <w:spacing w:val="-9"/>
          <w:sz w:val="24"/>
        </w:rPr>
        <w:t> </w:t>
      </w:r>
      <w:r>
        <w:rPr>
          <w:sz w:val="24"/>
        </w:rPr>
        <w:t>de</w:t>
      </w:r>
      <w:r>
        <w:rPr>
          <w:spacing w:val="-9"/>
          <w:sz w:val="24"/>
        </w:rPr>
        <w:t> </w:t>
      </w:r>
      <w:r>
        <w:rPr>
          <w:sz w:val="24"/>
        </w:rPr>
        <w:t>observaciones recurrentes derivados de los actos de fiscalización de la ASF, debido a que</w:t>
      </w:r>
      <w:r>
        <w:rPr>
          <w:spacing w:val="-9"/>
          <w:sz w:val="24"/>
        </w:rPr>
        <w:t> </w:t>
      </w:r>
      <w:r>
        <w:rPr>
          <w:sz w:val="24"/>
        </w:rPr>
        <w:t>no</w:t>
      </w:r>
      <w:r>
        <w:rPr>
          <w:spacing w:val="-9"/>
          <w:sz w:val="24"/>
        </w:rPr>
        <w:t> </w:t>
      </w:r>
      <w:r>
        <w:rPr>
          <w:sz w:val="24"/>
        </w:rPr>
        <w:t>ha</w:t>
      </w:r>
      <w:r>
        <w:rPr>
          <w:spacing w:val="-9"/>
          <w:sz w:val="24"/>
        </w:rPr>
        <w:t> </w:t>
      </w:r>
      <w:r>
        <w:rPr>
          <w:sz w:val="24"/>
        </w:rPr>
        <w:t>determinado</w:t>
      </w:r>
      <w:r>
        <w:rPr>
          <w:spacing w:val="-9"/>
          <w:sz w:val="24"/>
        </w:rPr>
        <w:t> </w:t>
      </w:r>
      <w:r>
        <w:rPr>
          <w:sz w:val="24"/>
        </w:rPr>
        <w:t>todas</w:t>
      </w:r>
      <w:r>
        <w:rPr>
          <w:spacing w:val="-7"/>
          <w:sz w:val="24"/>
        </w:rPr>
        <w:t> </w:t>
      </w:r>
      <w:r>
        <w:rPr>
          <w:sz w:val="24"/>
        </w:rPr>
        <w:t>las</w:t>
      </w:r>
      <w:r>
        <w:rPr>
          <w:spacing w:val="-7"/>
          <w:sz w:val="24"/>
        </w:rPr>
        <w:t> </w:t>
      </w:r>
      <w:r>
        <w:rPr>
          <w:sz w:val="24"/>
        </w:rPr>
        <w:t>causas</w:t>
      </w:r>
      <w:r>
        <w:rPr>
          <w:spacing w:val="-7"/>
          <w:sz w:val="24"/>
        </w:rPr>
        <w:t> </w:t>
      </w:r>
      <w:r>
        <w:rPr>
          <w:sz w:val="24"/>
        </w:rPr>
        <w:t>reales</w:t>
      </w:r>
      <w:r>
        <w:rPr>
          <w:spacing w:val="-7"/>
          <w:sz w:val="24"/>
        </w:rPr>
        <w:t> </w:t>
      </w:r>
      <w:r>
        <w:rPr>
          <w:sz w:val="24"/>
        </w:rPr>
        <w:t>de</w:t>
      </w:r>
      <w:r>
        <w:rPr>
          <w:spacing w:val="-9"/>
          <w:sz w:val="24"/>
        </w:rPr>
        <w:t> </w:t>
      </w:r>
      <w:r>
        <w:rPr>
          <w:sz w:val="24"/>
        </w:rPr>
        <w:t>dichas</w:t>
      </w:r>
      <w:r>
        <w:rPr>
          <w:spacing w:val="-1"/>
          <w:sz w:val="24"/>
        </w:rPr>
        <w:t> </w:t>
      </w:r>
      <w:r>
        <w:rPr>
          <w:sz w:val="24"/>
        </w:rPr>
        <w:t>observaciones.</w:t>
      </w:r>
    </w:p>
    <w:p>
      <w:pPr>
        <w:pStyle w:val="BodyText"/>
        <w:spacing w:before="2"/>
      </w:pPr>
    </w:p>
    <w:p>
      <w:pPr>
        <w:pStyle w:val="ListParagraph"/>
        <w:numPr>
          <w:ilvl w:val="0"/>
          <w:numId w:val="81"/>
        </w:numPr>
        <w:tabs>
          <w:tab w:pos="821" w:val="left" w:leader="none"/>
        </w:tabs>
        <w:spacing w:line="360" w:lineRule="auto" w:before="0" w:after="0"/>
        <w:ind w:left="821" w:right="145" w:hanging="361"/>
        <w:jc w:val="both"/>
        <w:rPr>
          <w:sz w:val="24"/>
        </w:rPr>
      </w:pPr>
      <w:r>
        <w:rPr>
          <w:sz w:val="24"/>
        </w:rPr>
        <w:t>La SFP, durante el periodo 1983-2012, recuperó 48,737.3 millones de pesos por afectaciones al erario público detectadas con las auditorías practicadas.</w:t>
      </w:r>
    </w:p>
    <w:p>
      <w:pPr>
        <w:spacing w:after="0" w:line="360" w:lineRule="auto"/>
        <w:jc w:val="both"/>
        <w:rPr>
          <w:sz w:val="24"/>
        </w:rPr>
        <w:sectPr>
          <w:pgSz w:w="11910" w:h="16840"/>
          <w:pgMar w:header="0" w:footer="998" w:top="1400" w:bottom="1180" w:left="1600" w:right="1560"/>
        </w:sectPr>
      </w:pPr>
    </w:p>
    <w:p>
      <w:pPr>
        <w:pStyle w:val="ListParagraph"/>
        <w:numPr>
          <w:ilvl w:val="0"/>
          <w:numId w:val="81"/>
        </w:numPr>
        <w:tabs>
          <w:tab w:pos="781" w:val="left" w:leader="none"/>
        </w:tabs>
        <w:spacing w:line="360" w:lineRule="auto" w:before="39" w:after="0"/>
        <w:ind w:left="781" w:right="622" w:hanging="361"/>
        <w:jc w:val="both"/>
        <w:rPr>
          <w:sz w:val="24"/>
        </w:rPr>
      </w:pPr>
      <w:r>
        <w:rPr>
          <w:sz w:val="24"/>
        </w:rPr>
        <w:t>La declaración de situación patrimonial es un instrumento inefectivo para combatir la corrupción, </w:t>
      </w:r>
      <w:r>
        <w:rPr>
          <w:spacing w:val="-3"/>
          <w:sz w:val="24"/>
        </w:rPr>
        <w:t>ya </w:t>
      </w:r>
      <w:r>
        <w:rPr>
          <w:sz w:val="24"/>
        </w:rPr>
        <w:t>que sólo los servidores públicos de mando medio y superior (el 19.5% al 2012) están obligados a presentarla y fue hasta 2011 que se verifica la evolución</w:t>
      </w:r>
      <w:r>
        <w:rPr>
          <w:spacing w:val="-24"/>
          <w:sz w:val="24"/>
        </w:rPr>
        <w:t> </w:t>
      </w:r>
      <w:r>
        <w:rPr>
          <w:sz w:val="24"/>
        </w:rPr>
        <w:t>patrimonial.</w:t>
      </w:r>
    </w:p>
    <w:p>
      <w:pPr>
        <w:pStyle w:val="BodyText"/>
      </w:pPr>
    </w:p>
    <w:p>
      <w:pPr>
        <w:pStyle w:val="ListParagraph"/>
        <w:numPr>
          <w:ilvl w:val="0"/>
          <w:numId w:val="81"/>
        </w:numPr>
        <w:tabs>
          <w:tab w:pos="781" w:val="left" w:leader="none"/>
        </w:tabs>
        <w:spacing w:line="360" w:lineRule="auto" w:before="142" w:after="0"/>
        <w:ind w:left="781" w:right="625" w:hanging="361"/>
        <w:jc w:val="both"/>
        <w:rPr>
          <w:sz w:val="24"/>
        </w:rPr>
      </w:pPr>
      <w:r>
        <w:rPr>
          <w:sz w:val="24"/>
        </w:rPr>
        <w:t>El Sistema de Atención Telefónica para atender a la ciudadanía dejó de existir</w:t>
      </w:r>
      <w:r>
        <w:rPr>
          <w:spacing w:val="-3"/>
          <w:sz w:val="24"/>
        </w:rPr>
        <w:t> </w:t>
      </w:r>
      <w:r>
        <w:rPr>
          <w:sz w:val="24"/>
        </w:rPr>
        <w:t>en</w:t>
      </w:r>
      <w:r>
        <w:rPr>
          <w:spacing w:val="-5"/>
          <w:sz w:val="24"/>
        </w:rPr>
        <w:t> </w:t>
      </w:r>
      <w:r>
        <w:rPr>
          <w:sz w:val="24"/>
        </w:rPr>
        <w:t>2011</w:t>
      </w:r>
      <w:r>
        <w:rPr>
          <w:spacing w:val="-5"/>
          <w:sz w:val="24"/>
        </w:rPr>
        <w:t> </w:t>
      </w:r>
      <w:r>
        <w:rPr>
          <w:sz w:val="24"/>
        </w:rPr>
        <w:t>debido</w:t>
      </w:r>
      <w:r>
        <w:rPr>
          <w:spacing w:val="-5"/>
          <w:sz w:val="24"/>
        </w:rPr>
        <w:t> </w:t>
      </w:r>
      <w:r>
        <w:rPr>
          <w:sz w:val="24"/>
        </w:rPr>
        <w:t>a</w:t>
      </w:r>
      <w:r>
        <w:rPr>
          <w:spacing w:val="-5"/>
          <w:sz w:val="24"/>
        </w:rPr>
        <w:t> </w:t>
      </w:r>
      <w:r>
        <w:rPr>
          <w:sz w:val="24"/>
        </w:rPr>
        <w:t>la</w:t>
      </w:r>
      <w:r>
        <w:rPr>
          <w:spacing w:val="-5"/>
          <w:sz w:val="24"/>
        </w:rPr>
        <w:t> </w:t>
      </w:r>
      <w:r>
        <w:rPr>
          <w:sz w:val="24"/>
        </w:rPr>
        <w:t>cancelación</w:t>
      </w:r>
      <w:r>
        <w:rPr>
          <w:spacing w:val="-5"/>
          <w:sz w:val="24"/>
        </w:rPr>
        <w:t> </w:t>
      </w:r>
      <w:r>
        <w:rPr>
          <w:sz w:val="24"/>
        </w:rPr>
        <w:t>de</w:t>
      </w:r>
      <w:r>
        <w:rPr>
          <w:spacing w:val="-5"/>
          <w:sz w:val="24"/>
        </w:rPr>
        <w:t> </w:t>
      </w:r>
      <w:r>
        <w:rPr>
          <w:sz w:val="24"/>
        </w:rPr>
        <w:t>recursos,</w:t>
      </w:r>
      <w:r>
        <w:rPr>
          <w:spacing w:val="-3"/>
          <w:sz w:val="24"/>
        </w:rPr>
        <w:t> </w:t>
      </w:r>
      <w:r>
        <w:rPr>
          <w:sz w:val="24"/>
        </w:rPr>
        <w:t>y</w:t>
      </w:r>
      <w:r>
        <w:rPr>
          <w:spacing w:val="-8"/>
          <w:sz w:val="24"/>
        </w:rPr>
        <w:t> </w:t>
      </w:r>
      <w:r>
        <w:rPr>
          <w:sz w:val="24"/>
        </w:rPr>
        <w:t>con</w:t>
      </w:r>
      <w:r>
        <w:rPr>
          <w:spacing w:val="-5"/>
          <w:sz w:val="24"/>
        </w:rPr>
        <w:t> </w:t>
      </w:r>
      <w:r>
        <w:rPr>
          <w:sz w:val="24"/>
        </w:rPr>
        <w:t>las</w:t>
      </w:r>
      <w:r>
        <w:rPr>
          <w:spacing w:val="-3"/>
          <w:sz w:val="24"/>
        </w:rPr>
        <w:t> </w:t>
      </w:r>
      <w:r>
        <w:rPr>
          <w:sz w:val="24"/>
        </w:rPr>
        <w:t>reformas</w:t>
      </w:r>
      <w:r>
        <w:rPr>
          <w:spacing w:val="-3"/>
          <w:sz w:val="24"/>
        </w:rPr>
        <w:t> </w:t>
      </w:r>
      <w:r>
        <w:rPr>
          <w:sz w:val="24"/>
        </w:rPr>
        <w:t>al Reglamento Interior de la SFP, se extinguió la Unidad de Atención Ciudadana,</w:t>
      </w:r>
      <w:r>
        <w:rPr>
          <w:spacing w:val="-7"/>
          <w:sz w:val="24"/>
        </w:rPr>
        <w:t> </w:t>
      </w:r>
      <w:r>
        <w:rPr>
          <w:sz w:val="24"/>
        </w:rPr>
        <w:t>lo</w:t>
      </w:r>
      <w:r>
        <w:rPr>
          <w:spacing w:val="-10"/>
          <w:sz w:val="24"/>
        </w:rPr>
        <w:t> </w:t>
      </w:r>
      <w:r>
        <w:rPr>
          <w:sz w:val="24"/>
        </w:rPr>
        <w:t>cual</w:t>
      </w:r>
      <w:r>
        <w:rPr>
          <w:spacing w:val="-9"/>
          <w:sz w:val="24"/>
        </w:rPr>
        <w:t> </w:t>
      </w:r>
      <w:r>
        <w:rPr>
          <w:sz w:val="24"/>
        </w:rPr>
        <w:t>restringió</w:t>
      </w:r>
      <w:r>
        <w:rPr>
          <w:spacing w:val="-10"/>
          <w:sz w:val="24"/>
        </w:rPr>
        <w:t> </w:t>
      </w:r>
      <w:r>
        <w:rPr>
          <w:sz w:val="24"/>
        </w:rPr>
        <w:t>la</w:t>
      </w:r>
      <w:r>
        <w:rPr>
          <w:spacing w:val="-10"/>
          <w:sz w:val="24"/>
        </w:rPr>
        <w:t> </w:t>
      </w:r>
      <w:r>
        <w:rPr>
          <w:sz w:val="24"/>
        </w:rPr>
        <w:t>posibilidad</w:t>
      </w:r>
      <w:r>
        <w:rPr>
          <w:spacing w:val="-10"/>
          <w:sz w:val="24"/>
        </w:rPr>
        <w:t> </w:t>
      </w:r>
      <w:r>
        <w:rPr>
          <w:sz w:val="24"/>
        </w:rPr>
        <w:t>de</w:t>
      </w:r>
      <w:r>
        <w:rPr>
          <w:spacing w:val="-10"/>
          <w:sz w:val="24"/>
        </w:rPr>
        <w:t> </w:t>
      </w:r>
      <w:r>
        <w:rPr>
          <w:sz w:val="24"/>
        </w:rPr>
        <w:t>la</w:t>
      </w:r>
      <w:r>
        <w:rPr>
          <w:spacing w:val="-10"/>
          <w:sz w:val="24"/>
        </w:rPr>
        <w:t> </w:t>
      </w:r>
      <w:r>
        <w:rPr>
          <w:sz w:val="24"/>
        </w:rPr>
        <w:t>población</w:t>
      </w:r>
      <w:r>
        <w:rPr>
          <w:spacing w:val="-10"/>
          <w:sz w:val="24"/>
        </w:rPr>
        <w:t> </w:t>
      </w:r>
      <w:r>
        <w:rPr>
          <w:sz w:val="24"/>
        </w:rPr>
        <w:t>para</w:t>
      </w:r>
      <w:r>
        <w:rPr>
          <w:spacing w:val="-10"/>
          <w:sz w:val="24"/>
        </w:rPr>
        <w:t> </w:t>
      </w:r>
      <w:r>
        <w:rPr>
          <w:sz w:val="24"/>
        </w:rPr>
        <w:t>poner</w:t>
      </w:r>
      <w:r>
        <w:rPr>
          <w:spacing w:val="-8"/>
          <w:sz w:val="24"/>
        </w:rPr>
        <w:t> </w:t>
      </w:r>
      <w:r>
        <w:rPr>
          <w:sz w:val="24"/>
        </w:rPr>
        <w:t>sus quejas y formular sus</w:t>
      </w:r>
      <w:r>
        <w:rPr>
          <w:spacing w:val="-21"/>
          <w:sz w:val="24"/>
        </w:rPr>
        <w:t> </w:t>
      </w:r>
      <w:r>
        <w:rPr>
          <w:sz w:val="24"/>
        </w:rPr>
        <w:t>denuncias.</w:t>
      </w:r>
    </w:p>
    <w:p>
      <w:pPr>
        <w:pStyle w:val="BodyText"/>
        <w:spacing w:before="10"/>
        <w:rPr>
          <w:sz w:val="29"/>
        </w:rPr>
      </w:pPr>
    </w:p>
    <w:p>
      <w:pPr>
        <w:spacing w:before="0"/>
        <w:ind w:left="1561" w:right="0" w:firstLine="0"/>
        <w:jc w:val="left"/>
        <w:rPr>
          <w:sz w:val="20"/>
        </w:rPr>
      </w:pPr>
      <w:bookmarkStart w:name="_bookmark86" w:id="115"/>
      <w:bookmarkEnd w:id="115"/>
      <w:r>
        <w:rPr/>
      </w:r>
      <w:r>
        <w:rPr>
          <w:sz w:val="20"/>
        </w:rPr>
        <w:t>Cuadro 4. 7. Procesos de procuración e impartición de justicia</w:t>
      </w:r>
    </w:p>
    <w:p>
      <w:pPr>
        <w:pStyle w:val="BodyText"/>
        <w:spacing w:before="10"/>
        <w:rPr>
          <w:sz w:val="17"/>
        </w:r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60"/>
        <w:gridCol w:w="7591"/>
      </w:tblGrid>
      <w:tr>
        <w:trPr>
          <w:trHeight w:val="3921" w:hRule="exact"/>
        </w:trPr>
        <w:tc>
          <w:tcPr>
            <w:tcW w:w="1360"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4"/>
              <w:rPr>
                <w:sz w:val="19"/>
              </w:rPr>
            </w:pPr>
          </w:p>
          <w:p>
            <w:pPr>
              <w:pStyle w:val="TableParagraph"/>
              <w:ind w:left="116" w:right="111"/>
              <w:jc w:val="center"/>
              <w:rPr>
                <w:b/>
                <w:sz w:val="20"/>
              </w:rPr>
            </w:pPr>
            <w:r>
              <w:rPr>
                <w:b/>
                <w:sz w:val="20"/>
              </w:rPr>
              <w:t>Estado</w:t>
            </w:r>
          </w:p>
        </w:tc>
        <w:tc>
          <w:tcPr>
            <w:tcW w:w="7591" w:type="dxa"/>
          </w:tcPr>
          <w:p>
            <w:pPr>
              <w:pStyle w:val="TableParagraph"/>
              <w:ind w:left="68" w:right="67"/>
              <w:jc w:val="both"/>
              <w:rPr>
                <w:sz w:val="20"/>
              </w:rPr>
            </w:pPr>
            <w:r>
              <w:rPr>
                <w:sz w:val="20"/>
              </w:rPr>
              <w:t>El</w:t>
            </w:r>
            <w:r>
              <w:rPr>
                <w:spacing w:val="-12"/>
                <w:sz w:val="20"/>
              </w:rPr>
              <w:t> </w:t>
            </w:r>
            <w:r>
              <w:rPr>
                <w:sz w:val="20"/>
              </w:rPr>
              <w:t>marco</w:t>
            </w:r>
            <w:r>
              <w:rPr>
                <w:spacing w:val="-14"/>
                <w:sz w:val="20"/>
              </w:rPr>
              <w:t> </w:t>
            </w:r>
            <w:r>
              <w:rPr>
                <w:sz w:val="20"/>
              </w:rPr>
              <w:t>legal</w:t>
            </w:r>
            <w:r>
              <w:rPr>
                <w:spacing w:val="-12"/>
                <w:sz w:val="20"/>
              </w:rPr>
              <w:t> </w:t>
            </w:r>
            <w:r>
              <w:rPr>
                <w:sz w:val="20"/>
              </w:rPr>
              <w:t>considera</w:t>
            </w:r>
            <w:r>
              <w:rPr>
                <w:spacing w:val="-11"/>
                <w:sz w:val="20"/>
              </w:rPr>
              <w:t> </w:t>
            </w:r>
            <w:r>
              <w:rPr>
                <w:sz w:val="20"/>
              </w:rPr>
              <w:t>disposiciones</w:t>
            </w:r>
            <w:r>
              <w:rPr>
                <w:spacing w:val="-15"/>
                <w:sz w:val="20"/>
              </w:rPr>
              <w:t> </w:t>
            </w:r>
            <w:r>
              <w:rPr>
                <w:sz w:val="20"/>
              </w:rPr>
              <w:t>específicas</w:t>
            </w:r>
            <w:r>
              <w:rPr>
                <w:spacing w:val="-15"/>
                <w:sz w:val="20"/>
              </w:rPr>
              <w:t> </w:t>
            </w:r>
            <w:r>
              <w:rPr>
                <w:sz w:val="20"/>
              </w:rPr>
              <w:t>establecidas</w:t>
            </w:r>
            <w:r>
              <w:rPr>
                <w:spacing w:val="-15"/>
                <w:sz w:val="20"/>
              </w:rPr>
              <w:t> </w:t>
            </w:r>
            <w:r>
              <w:rPr>
                <w:sz w:val="20"/>
              </w:rPr>
              <w:t>en</w:t>
            </w:r>
            <w:r>
              <w:rPr>
                <w:spacing w:val="-14"/>
                <w:sz w:val="20"/>
              </w:rPr>
              <w:t> </w:t>
            </w:r>
            <w:r>
              <w:rPr>
                <w:sz w:val="20"/>
              </w:rPr>
              <w:t>las</w:t>
            </w:r>
            <w:r>
              <w:rPr>
                <w:spacing w:val="-15"/>
                <w:sz w:val="20"/>
              </w:rPr>
              <w:t> </w:t>
            </w:r>
            <w:r>
              <w:rPr>
                <w:sz w:val="20"/>
              </w:rPr>
              <w:t>convenciones internacionales anticorrupción y nacionales (CPEUM, LOAPF, LFRASP y Código Penal Federal), para recabar las evidencias que acreditan la probable responsabilidad de los servidores</w:t>
            </w:r>
            <w:r>
              <w:rPr>
                <w:spacing w:val="-10"/>
                <w:sz w:val="20"/>
              </w:rPr>
              <w:t> </w:t>
            </w:r>
            <w:r>
              <w:rPr>
                <w:sz w:val="20"/>
              </w:rPr>
              <w:t>públicos.</w:t>
            </w:r>
          </w:p>
          <w:p>
            <w:pPr>
              <w:pStyle w:val="TableParagraph"/>
              <w:rPr>
                <w:sz w:val="20"/>
              </w:rPr>
            </w:pPr>
          </w:p>
          <w:p>
            <w:pPr>
              <w:pStyle w:val="TableParagraph"/>
              <w:ind w:left="68" w:right="76"/>
              <w:jc w:val="both"/>
              <w:rPr>
                <w:sz w:val="20"/>
              </w:rPr>
            </w:pPr>
            <w:r>
              <w:rPr>
                <w:sz w:val="20"/>
              </w:rPr>
              <w:t>Las dependencias, entidades y órganos facultados para realizar acciones de procuración e impartición de justicia son:</w:t>
            </w:r>
          </w:p>
          <w:p>
            <w:pPr>
              <w:pStyle w:val="TableParagraph"/>
              <w:numPr>
                <w:ilvl w:val="0"/>
                <w:numId w:val="82"/>
              </w:numPr>
              <w:tabs>
                <w:tab w:pos="788" w:val="left" w:leader="none"/>
              </w:tabs>
              <w:spacing w:line="240" w:lineRule="auto" w:before="2" w:after="0"/>
              <w:ind w:left="788" w:right="70" w:hanging="360"/>
              <w:jc w:val="both"/>
              <w:rPr>
                <w:sz w:val="20"/>
              </w:rPr>
            </w:pPr>
            <w:r>
              <w:rPr>
                <w:sz w:val="20"/>
              </w:rPr>
              <w:t>En el ámbito administrativo: En el Poder Ejecutivo los OIC, así como las instituciones equivalentes de los poderes Legislativo y Judicial (contralorías internas y Visitaduría Judicial) y en los órganos constitucionalmente autónomos.</w:t>
            </w:r>
          </w:p>
          <w:p>
            <w:pPr>
              <w:pStyle w:val="TableParagraph"/>
              <w:numPr>
                <w:ilvl w:val="0"/>
                <w:numId w:val="82"/>
              </w:numPr>
              <w:tabs>
                <w:tab w:pos="788" w:val="left" w:leader="none"/>
              </w:tabs>
              <w:spacing w:line="240" w:lineRule="auto" w:before="2" w:after="0"/>
              <w:ind w:left="788" w:right="67" w:hanging="360"/>
              <w:jc w:val="both"/>
              <w:rPr>
                <w:sz w:val="20"/>
              </w:rPr>
            </w:pPr>
            <w:r>
              <w:rPr>
                <w:sz w:val="20"/>
              </w:rPr>
              <w:t>En el ámbito penal: Corresponde a la Procuraduría General de la República (PGR)</w:t>
            </w:r>
            <w:r>
              <w:rPr>
                <w:spacing w:val="-11"/>
                <w:sz w:val="20"/>
              </w:rPr>
              <w:t> </w:t>
            </w:r>
            <w:r>
              <w:rPr>
                <w:sz w:val="20"/>
              </w:rPr>
              <w:t>a</w:t>
            </w:r>
            <w:r>
              <w:rPr>
                <w:spacing w:val="-11"/>
                <w:sz w:val="20"/>
              </w:rPr>
              <w:t> </w:t>
            </w:r>
            <w:r>
              <w:rPr>
                <w:sz w:val="20"/>
              </w:rPr>
              <w:t>través</w:t>
            </w:r>
            <w:r>
              <w:rPr>
                <w:spacing w:val="-15"/>
                <w:sz w:val="20"/>
              </w:rPr>
              <w:t> </w:t>
            </w:r>
            <w:r>
              <w:rPr>
                <w:sz w:val="20"/>
              </w:rPr>
              <w:t>del</w:t>
            </w:r>
            <w:r>
              <w:rPr>
                <w:spacing w:val="-9"/>
                <w:sz w:val="20"/>
              </w:rPr>
              <w:t> </w:t>
            </w:r>
            <w:r>
              <w:rPr>
                <w:sz w:val="20"/>
              </w:rPr>
              <w:t>Ministerio</w:t>
            </w:r>
            <w:r>
              <w:rPr>
                <w:spacing w:val="-14"/>
                <w:sz w:val="20"/>
              </w:rPr>
              <w:t> </w:t>
            </w:r>
            <w:r>
              <w:rPr>
                <w:sz w:val="20"/>
              </w:rPr>
              <w:t>Público,</w:t>
            </w:r>
            <w:r>
              <w:rPr>
                <w:spacing w:val="-12"/>
                <w:sz w:val="20"/>
              </w:rPr>
              <w:t> </w:t>
            </w:r>
            <w:r>
              <w:rPr>
                <w:sz w:val="20"/>
              </w:rPr>
              <w:t>para</w:t>
            </w:r>
            <w:r>
              <w:rPr>
                <w:spacing w:val="-14"/>
                <w:sz w:val="20"/>
              </w:rPr>
              <w:t> </w:t>
            </w:r>
            <w:r>
              <w:rPr>
                <w:sz w:val="20"/>
              </w:rPr>
              <w:t>perseguir</w:t>
            </w:r>
            <w:r>
              <w:rPr>
                <w:spacing w:val="-11"/>
                <w:sz w:val="20"/>
              </w:rPr>
              <w:t> </w:t>
            </w:r>
            <w:r>
              <w:rPr>
                <w:sz w:val="20"/>
              </w:rPr>
              <w:t>delitos</w:t>
            </w:r>
            <w:r>
              <w:rPr>
                <w:spacing w:val="-12"/>
                <w:sz w:val="20"/>
              </w:rPr>
              <w:t> </w:t>
            </w:r>
            <w:r>
              <w:rPr>
                <w:sz w:val="20"/>
              </w:rPr>
              <w:t>de</w:t>
            </w:r>
            <w:r>
              <w:rPr>
                <w:spacing w:val="-14"/>
                <w:sz w:val="20"/>
              </w:rPr>
              <w:t> </w:t>
            </w:r>
            <w:r>
              <w:rPr>
                <w:sz w:val="20"/>
              </w:rPr>
              <w:t>orden</w:t>
            </w:r>
            <w:r>
              <w:rPr>
                <w:spacing w:val="-11"/>
                <w:sz w:val="20"/>
              </w:rPr>
              <w:t> </w:t>
            </w:r>
            <w:r>
              <w:rPr>
                <w:sz w:val="20"/>
              </w:rPr>
              <w:t>federal cometidos por servidores</w:t>
            </w:r>
            <w:r>
              <w:rPr>
                <w:spacing w:val="-5"/>
                <w:sz w:val="20"/>
              </w:rPr>
              <w:t> </w:t>
            </w:r>
            <w:r>
              <w:rPr>
                <w:sz w:val="20"/>
              </w:rPr>
              <w:t>públicos.</w:t>
            </w:r>
          </w:p>
          <w:p>
            <w:pPr>
              <w:pStyle w:val="TableParagraph"/>
              <w:ind w:left="780" w:right="64"/>
              <w:jc w:val="both"/>
              <w:rPr>
                <w:sz w:val="20"/>
              </w:rPr>
            </w:pPr>
            <w:r>
              <w:rPr>
                <w:sz w:val="20"/>
              </w:rPr>
              <w:t>SCJN, Tribunal Electoral del Poder Judicial de la Federación, Tribunales Unitarios</w:t>
            </w:r>
            <w:r>
              <w:rPr>
                <w:spacing w:val="-15"/>
                <w:sz w:val="20"/>
              </w:rPr>
              <w:t> </w:t>
            </w:r>
            <w:r>
              <w:rPr>
                <w:sz w:val="20"/>
              </w:rPr>
              <w:t>de</w:t>
            </w:r>
            <w:r>
              <w:rPr>
                <w:spacing w:val="-14"/>
                <w:sz w:val="20"/>
              </w:rPr>
              <w:t> </w:t>
            </w:r>
            <w:r>
              <w:rPr>
                <w:sz w:val="20"/>
              </w:rPr>
              <w:t>Circuito,</w:t>
            </w:r>
            <w:r>
              <w:rPr>
                <w:spacing w:val="-15"/>
                <w:sz w:val="20"/>
              </w:rPr>
              <w:t> </w:t>
            </w:r>
            <w:r>
              <w:rPr>
                <w:sz w:val="20"/>
              </w:rPr>
              <w:t>Tribunales</w:t>
            </w:r>
            <w:r>
              <w:rPr>
                <w:spacing w:val="-15"/>
                <w:sz w:val="20"/>
              </w:rPr>
              <w:t> </w:t>
            </w:r>
            <w:r>
              <w:rPr>
                <w:sz w:val="20"/>
              </w:rPr>
              <w:t>Colegiados</w:t>
            </w:r>
            <w:r>
              <w:rPr>
                <w:spacing w:val="-15"/>
                <w:sz w:val="20"/>
              </w:rPr>
              <w:t> </w:t>
            </w:r>
            <w:r>
              <w:rPr>
                <w:sz w:val="20"/>
              </w:rPr>
              <w:t>de</w:t>
            </w:r>
            <w:r>
              <w:rPr>
                <w:spacing w:val="-14"/>
                <w:sz w:val="20"/>
              </w:rPr>
              <w:t> </w:t>
            </w:r>
            <w:r>
              <w:rPr>
                <w:sz w:val="20"/>
              </w:rPr>
              <w:t>Circuito,</w:t>
            </w:r>
            <w:r>
              <w:rPr>
                <w:spacing w:val="-15"/>
                <w:sz w:val="20"/>
              </w:rPr>
              <w:t> </w:t>
            </w:r>
            <w:r>
              <w:rPr>
                <w:sz w:val="20"/>
              </w:rPr>
              <w:t>Juzgados</w:t>
            </w:r>
            <w:r>
              <w:rPr>
                <w:spacing w:val="-15"/>
                <w:sz w:val="20"/>
              </w:rPr>
              <w:t> </w:t>
            </w:r>
            <w:r>
              <w:rPr>
                <w:sz w:val="20"/>
              </w:rPr>
              <w:t>de</w:t>
            </w:r>
            <w:r>
              <w:rPr>
                <w:spacing w:val="-14"/>
                <w:sz w:val="20"/>
              </w:rPr>
              <w:t> </w:t>
            </w:r>
            <w:r>
              <w:rPr>
                <w:sz w:val="20"/>
              </w:rPr>
              <w:t>Distrito y el Consejo de la Judicatura</w:t>
            </w:r>
            <w:r>
              <w:rPr>
                <w:spacing w:val="-8"/>
                <w:sz w:val="20"/>
              </w:rPr>
              <w:t> </w:t>
            </w:r>
            <w:r>
              <w:rPr>
                <w:sz w:val="20"/>
              </w:rPr>
              <w:t>Federal.</w:t>
            </w:r>
          </w:p>
        </w:tc>
      </w:tr>
      <w:tr>
        <w:trPr>
          <w:trHeight w:val="264" w:hRule="exact"/>
        </w:trPr>
        <w:tc>
          <w:tcPr>
            <w:tcW w:w="1360" w:type="dxa"/>
            <w:tcBorders>
              <w:left w:val="nil"/>
              <w:right w:val="nil"/>
            </w:tcBorders>
          </w:tcPr>
          <w:p>
            <w:pPr/>
          </w:p>
        </w:tc>
        <w:tc>
          <w:tcPr>
            <w:tcW w:w="7591" w:type="dxa"/>
            <w:tcBorders>
              <w:left w:val="nil"/>
              <w:right w:val="nil"/>
            </w:tcBorders>
          </w:tcPr>
          <w:p>
            <w:pPr/>
          </w:p>
        </w:tc>
      </w:tr>
      <w:tr>
        <w:trPr>
          <w:trHeight w:val="268" w:hRule="exact"/>
        </w:trPr>
        <w:tc>
          <w:tcPr>
            <w:tcW w:w="1360" w:type="dxa"/>
            <w:tcBorders>
              <w:bottom w:val="nil"/>
            </w:tcBorders>
          </w:tcPr>
          <w:p>
            <w:pPr/>
          </w:p>
        </w:tc>
        <w:tc>
          <w:tcPr>
            <w:tcW w:w="7591" w:type="dxa"/>
            <w:tcBorders>
              <w:bottom w:val="nil"/>
            </w:tcBorders>
          </w:tcPr>
          <w:p>
            <w:pPr>
              <w:pStyle w:val="TableParagraph"/>
              <w:spacing w:before="12"/>
              <w:ind w:left="68"/>
              <w:rPr>
                <w:sz w:val="20"/>
              </w:rPr>
            </w:pPr>
            <w:r>
              <w:rPr>
                <w:sz w:val="20"/>
              </w:rPr>
              <w:t>Sanciones administrativas: Conforme al artículo 13 de la LFRASP.</w:t>
            </w:r>
          </w:p>
        </w:tc>
      </w:tr>
      <w:tr>
        <w:trPr>
          <w:trHeight w:val="616" w:hRule="exact"/>
        </w:trPr>
        <w:tc>
          <w:tcPr>
            <w:tcW w:w="1360" w:type="dxa"/>
            <w:tcBorders>
              <w:top w:val="nil"/>
            </w:tcBorders>
          </w:tcPr>
          <w:p>
            <w:pPr>
              <w:pStyle w:val="TableParagraph"/>
              <w:spacing w:before="52"/>
              <w:ind w:left="115" w:right="113"/>
              <w:jc w:val="center"/>
              <w:rPr>
                <w:b/>
                <w:sz w:val="20"/>
              </w:rPr>
            </w:pPr>
            <w:r>
              <w:rPr>
                <w:b/>
                <w:sz w:val="20"/>
              </w:rPr>
              <w:t>Política</w:t>
            </w:r>
          </w:p>
        </w:tc>
        <w:tc>
          <w:tcPr>
            <w:tcW w:w="7591" w:type="dxa"/>
            <w:tcBorders>
              <w:top w:val="nil"/>
            </w:tcBorders>
          </w:tcPr>
          <w:p>
            <w:pPr>
              <w:pStyle w:val="TableParagraph"/>
              <w:spacing w:line="276" w:lineRule="auto"/>
              <w:ind w:left="68"/>
              <w:rPr>
                <w:sz w:val="20"/>
              </w:rPr>
            </w:pPr>
            <w:r>
              <w:rPr>
                <w:sz w:val="20"/>
              </w:rPr>
              <w:t>Sanciones penales: Conforme al Título Décimo del Capítulo II del Código Penal Federal.</w:t>
            </w:r>
          </w:p>
        </w:tc>
      </w:tr>
      <w:tr>
        <w:trPr>
          <w:trHeight w:val="264" w:hRule="exact"/>
        </w:trPr>
        <w:tc>
          <w:tcPr>
            <w:tcW w:w="1360" w:type="dxa"/>
            <w:tcBorders>
              <w:left w:val="nil"/>
              <w:right w:val="nil"/>
            </w:tcBorders>
          </w:tcPr>
          <w:p>
            <w:pPr/>
          </w:p>
        </w:tc>
        <w:tc>
          <w:tcPr>
            <w:tcW w:w="7591" w:type="dxa"/>
            <w:tcBorders>
              <w:left w:val="nil"/>
              <w:right w:val="nil"/>
            </w:tcBorders>
          </w:tcPr>
          <w:p>
            <w:pPr/>
          </w:p>
        </w:tc>
      </w:tr>
      <w:tr>
        <w:trPr>
          <w:trHeight w:val="3693" w:hRule="exact"/>
        </w:trPr>
        <w:tc>
          <w:tcPr>
            <w:tcW w:w="1360"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7"/>
              <w:rPr>
                <w:sz w:val="29"/>
              </w:rPr>
            </w:pPr>
          </w:p>
          <w:p>
            <w:pPr>
              <w:pStyle w:val="TableParagraph"/>
              <w:ind w:left="116" w:right="113"/>
              <w:jc w:val="center"/>
              <w:rPr>
                <w:b/>
                <w:sz w:val="20"/>
              </w:rPr>
            </w:pPr>
            <w:r>
              <w:rPr>
                <w:b/>
                <w:sz w:val="20"/>
              </w:rPr>
              <w:t>Rendición de cuentas (Evaluación de la política)</w:t>
            </w:r>
          </w:p>
        </w:tc>
        <w:tc>
          <w:tcPr>
            <w:tcW w:w="7591" w:type="dxa"/>
          </w:tcPr>
          <w:p>
            <w:pPr>
              <w:pStyle w:val="TableParagraph"/>
              <w:spacing w:line="229" w:lineRule="exact"/>
              <w:ind w:left="68"/>
              <w:jc w:val="both"/>
              <w:rPr>
                <w:sz w:val="20"/>
              </w:rPr>
            </w:pPr>
            <w:r>
              <w:rPr>
                <w:sz w:val="20"/>
              </w:rPr>
              <w:t>Procuración:</w:t>
            </w:r>
          </w:p>
          <w:p>
            <w:pPr>
              <w:pStyle w:val="TableParagraph"/>
              <w:ind w:left="68" w:right="70"/>
              <w:jc w:val="both"/>
              <w:rPr>
                <w:sz w:val="20"/>
              </w:rPr>
            </w:pPr>
            <w:r>
              <w:rPr>
                <w:sz w:val="20"/>
              </w:rPr>
              <w:t>De 1983 a 1988 se presentaron normas y procedimientos tradicionales, inoperantes e</w:t>
            </w:r>
            <w:r>
              <w:rPr>
                <w:spacing w:val="-5"/>
                <w:sz w:val="20"/>
              </w:rPr>
              <w:t> </w:t>
            </w:r>
            <w:r>
              <w:rPr>
                <w:sz w:val="20"/>
              </w:rPr>
              <w:t>ineficientes,</w:t>
            </w:r>
            <w:r>
              <w:rPr>
                <w:spacing w:val="-6"/>
                <w:sz w:val="20"/>
              </w:rPr>
              <w:t> </w:t>
            </w:r>
            <w:r>
              <w:rPr>
                <w:sz w:val="20"/>
              </w:rPr>
              <w:t>sin</w:t>
            </w:r>
            <w:r>
              <w:rPr>
                <w:spacing w:val="-5"/>
                <w:sz w:val="20"/>
              </w:rPr>
              <w:t> </w:t>
            </w:r>
            <w:r>
              <w:rPr>
                <w:sz w:val="20"/>
              </w:rPr>
              <w:t>una</w:t>
            </w:r>
            <w:r>
              <w:rPr>
                <w:spacing w:val="-5"/>
                <w:sz w:val="20"/>
              </w:rPr>
              <w:t> </w:t>
            </w:r>
            <w:r>
              <w:rPr>
                <w:sz w:val="20"/>
              </w:rPr>
              <w:t>eficiencia</w:t>
            </w:r>
            <w:r>
              <w:rPr>
                <w:spacing w:val="-5"/>
                <w:sz w:val="20"/>
              </w:rPr>
              <w:t> </w:t>
            </w:r>
            <w:r>
              <w:rPr>
                <w:sz w:val="20"/>
              </w:rPr>
              <w:t>en</w:t>
            </w:r>
            <w:r>
              <w:rPr>
                <w:spacing w:val="-5"/>
                <w:sz w:val="20"/>
              </w:rPr>
              <w:t> </w:t>
            </w:r>
            <w:r>
              <w:rPr>
                <w:sz w:val="20"/>
              </w:rPr>
              <w:t>las</w:t>
            </w:r>
            <w:r>
              <w:rPr>
                <w:spacing w:val="-6"/>
                <w:sz w:val="20"/>
              </w:rPr>
              <w:t> </w:t>
            </w:r>
            <w:r>
              <w:rPr>
                <w:sz w:val="20"/>
              </w:rPr>
              <w:t>funciones</w:t>
            </w:r>
            <w:r>
              <w:rPr>
                <w:spacing w:val="-6"/>
                <w:sz w:val="20"/>
              </w:rPr>
              <w:t> </w:t>
            </w:r>
            <w:r>
              <w:rPr>
                <w:sz w:val="20"/>
              </w:rPr>
              <w:t>y</w:t>
            </w:r>
            <w:r>
              <w:rPr>
                <w:spacing w:val="-6"/>
                <w:sz w:val="20"/>
              </w:rPr>
              <w:t> </w:t>
            </w:r>
            <w:r>
              <w:rPr>
                <w:sz w:val="20"/>
              </w:rPr>
              <w:t>actividades</w:t>
            </w:r>
            <w:r>
              <w:rPr>
                <w:spacing w:val="-6"/>
                <w:sz w:val="20"/>
              </w:rPr>
              <w:t> </w:t>
            </w:r>
            <w:r>
              <w:rPr>
                <w:sz w:val="20"/>
              </w:rPr>
              <w:t>del</w:t>
            </w:r>
            <w:r>
              <w:rPr>
                <w:spacing w:val="-3"/>
                <w:sz w:val="20"/>
              </w:rPr>
              <w:t> </w:t>
            </w:r>
            <w:r>
              <w:rPr>
                <w:sz w:val="20"/>
              </w:rPr>
              <w:t>Ministerio</w:t>
            </w:r>
            <w:r>
              <w:rPr>
                <w:spacing w:val="-5"/>
                <w:sz w:val="20"/>
              </w:rPr>
              <w:t> </w:t>
            </w:r>
            <w:r>
              <w:rPr>
                <w:sz w:val="20"/>
              </w:rPr>
              <w:t>Público y de la Policía Judicial en la fase de averiguación previa que armonice con las necesidades de la defensa social y las debidas garantías de los</w:t>
            </w:r>
            <w:r>
              <w:rPr>
                <w:spacing w:val="-25"/>
                <w:sz w:val="20"/>
              </w:rPr>
              <w:t> </w:t>
            </w:r>
            <w:r>
              <w:rPr>
                <w:sz w:val="20"/>
              </w:rPr>
              <w:t>inculpados.</w:t>
            </w:r>
          </w:p>
          <w:p>
            <w:pPr>
              <w:pStyle w:val="TableParagraph"/>
              <w:ind w:left="68" w:right="71"/>
              <w:jc w:val="both"/>
              <w:rPr>
                <w:sz w:val="20"/>
              </w:rPr>
            </w:pPr>
            <w:r>
              <w:rPr>
                <w:sz w:val="20"/>
              </w:rPr>
              <w:t>De</w:t>
            </w:r>
            <w:r>
              <w:rPr>
                <w:spacing w:val="-10"/>
                <w:sz w:val="20"/>
              </w:rPr>
              <w:t> </w:t>
            </w:r>
            <w:r>
              <w:rPr>
                <w:sz w:val="20"/>
              </w:rPr>
              <w:t>1989</w:t>
            </w:r>
            <w:r>
              <w:rPr>
                <w:spacing w:val="-10"/>
                <w:sz w:val="20"/>
              </w:rPr>
              <w:t> </w:t>
            </w:r>
            <w:r>
              <w:rPr>
                <w:sz w:val="20"/>
              </w:rPr>
              <w:t>a</w:t>
            </w:r>
            <w:r>
              <w:rPr>
                <w:spacing w:val="-10"/>
                <w:sz w:val="20"/>
              </w:rPr>
              <w:t> </w:t>
            </w:r>
            <w:r>
              <w:rPr>
                <w:sz w:val="20"/>
              </w:rPr>
              <w:t>2012</w:t>
            </w:r>
            <w:r>
              <w:rPr>
                <w:spacing w:val="-10"/>
                <w:sz w:val="20"/>
              </w:rPr>
              <w:t> </w:t>
            </w:r>
            <w:r>
              <w:rPr>
                <w:sz w:val="20"/>
              </w:rPr>
              <w:t>no</w:t>
            </w:r>
            <w:r>
              <w:rPr>
                <w:spacing w:val="-10"/>
                <w:sz w:val="20"/>
              </w:rPr>
              <w:t> </w:t>
            </w:r>
            <w:r>
              <w:rPr>
                <w:sz w:val="20"/>
              </w:rPr>
              <w:t>se</w:t>
            </w:r>
            <w:r>
              <w:rPr>
                <w:spacing w:val="-13"/>
                <w:sz w:val="20"/>
              </w:rPr>
              <w:t> </w:t>
            </w:r>
            <w:r>
              <w:rPr>
                <w:sz w:val="20"/>
              </w:rPr>
              <w:t>especificó</w:t>
            </w:r>
            <w:r>
              <w:rPr>
                <w:spacing w:val="-13"/>
                <w:sz w:val="20"/>
              </w:rPr>
              <w:t> </w:t>
            </w:r>
            <w:r>
              <w:rPr>
                <w:sz w:val="20"/>
              </w:rPr>
              <w:t>la</w:t>
            </w:r>
            <w:r>
              <w:rPr>
                <w:spacing w:val="-10"/>
                <w:sz w:val="20"/>
              </w:rPr>
              <w:t> </w:t>
            </w:r>
            <w:r>
              <w:rPr>
                <w:sz w:val="20"/>
              </w:rPr>
              <w:t>problemática</w:t>
            </w:r>
            <w:r>
              <w:rPr>
                <w:spacing w:val="-10"/>
                <w:sz w:val="20"/>
              </w:rPr>
              <w:t> </w:t>
            </w:r>
            <w:r>
              <w:rPr>
                <w:sz w:val="20"/>
              </w:rPr>
              <w:t>sobre</w:t>
            </w:r>
            <w:r>
              <w:rPr>
                <w:spacing w:val="-13"/>
                <w:sz w:val="20"/>
              </w:rPr>
              <w:t> </w:t>
            </w:r>
            <w:r>
              <w:rPr>
                <w:sz w:val="20"/>
              </w:rPr>
              <w:t>las</w:t>
            </w:r>
            <w:r>
              <w:rPr>
                <w:spacing w:val="-10"/>
                <w:sz w:val="20"/>
              </w:rPr>
              <w:t> </w:t>
            </w:r>
            <w:r>
              <w:rPr>
                <w:sz w:val="20"/>
              </w:rPr>
              <w:t>sanciones</w:t>
            </w:r>
            <w:r>
              <w:rPr>
                <w:spacing w:val="-10"/>
                <w:sz w:val="20"/>
              </w:rPr>
              <w:t> </w:t>
            </w:r>
            <w:r>
              <w:rPr>
                <w:sz w:val="20"/>
              </w:rPr>
              <w:t>administrativas en la impartición de justicia, sobre delitos o actos de corrupción de servidores públicos.</w:t>
            </w:r>
          </w:p>
          <w:p>
            <w:pPr>
              <w:pStyle w:val="TableParagraph"/>
              <w:spacing w:before="2"/>
              <w:ind w:left="68" w:right="66"/>
              <w:jc w:val="both"/>
              <w:rPr>
                <w:sz w:val="20"/>
              </w:rPr>
            </w:pPr>
            <w:r>
              <w:rPr>
                <w:sz w:val="20"/>
              </w:rPr>
              <w:t>Los</w:t>
            </w:r>
            <w:r>
              <w:rPr>
                <w:spacing w:val="-10"/>
                <w:sz w:val="20"/>
              </w:rPr>
              <w:t> </w:t>
            </w:r>
            <w:r>
              <w:rPr>
                <w:sz w:val="20"/>
              </w:rPr>
              <w:t>informes</w:t>
            </w:r>
            <w:r>
              <w:rPr>
                <w:spacing w:val="-10"/>
                <w:sz w:val="20"/>
              </w:rPr>
              <w:t> </w:t>
            </w:r>
            <w:r>
              <w:rPr>
                <w:sz w:val="20"/>
              </w:rPr>
              <w:t>de</w:t>
            </w:r>
            <w:r>
              <w:rPr>
                <w:spacing w:val="-9"/>
                <w:sz w:val="20"/>
              </w:rPr>
              <w:t> </w:t>
            </w:r>
            <w:r>
              <w:rPr>
                <w:sz w:val="20"/>
              </w:rPr>
              <w:t>rendición</w:t>
            </w:r>
            <w:r>
              <w:rPr>
                <w:spacing w:val="-12"/>
                <w:sz w:val="20"/>
              </w:rPr>
              <w:t> </w:t>
            </w:r>
            <w:r>
              <w:rPr>
                <w:sz w:val="20"/>
              </w:rPr>
              <w:t>de</w:t>
            </w:r>
            <w:r>
              <w:rPr>
                <w:spacing w:val="-9"/>
                <w:sz w:val="20"/>
              </w:rPr>
              <w:t> </w:t>
            </w:r>
            <w:r>
              <w:rPr>
                <w:sz w:val="20"/>
              </w:rPr>
              <w:t>cuentas</w:t>
            </w:r>
            <w:r>
              <w:rPr>
                <w:spacing w:val="-10"/>
                <w:sz w:val="20"/>
              </w:rPr>
              <w:t> </w:t>
            </w:r>
            <w:r>
              <w:rPr>
                <w:sz w:val="20"/>
              </w:rPr>
              <w:t>se</w:t>
            </w:r>
            <w:r>
              <w:rPr>
                <w:spacing w:val="-12"/>
                <w:sz w:val="20"/>
              </w:rPr>
              <w:t> </w:t>
            </w:r>
            <w:r>
              <w:rPr>
                <w:sz w:val="20"/>
              </w:rPr>
              <w:t>remiten</w:t>
            </w:r>
            <w:r>
              <w:rPr>
                <w:spacing w:val="-9"/>
                <w:sz w:val="20"/>
              </w:rPr>
              <w:t> </w:t>
            </w:r>
            <w:r>
              <w:rPr>
                <w:sz w:val="20"/>
              </w:rPr>
              <w:t>a</w:t>
            </w:r>
            <w:r>
              <w:rPr>
                <w:spacing w:val="-12"/>
                <w:sz w:val="20"/>
              </w:rPr>
              <w:t> </w:t>
            </w:r>
            <w:r>
              <w:rPr>
                <w:sz w:val="20"/>
              </w:rPr>
              <w:t>la</w:t>
            </w:r>
            <w:r>
              <w:rPr>
                <w:spacing w:val="-9"/>
                <w:sz w:val="20"/>
              </w:rPr>
              <w:t> </w:t>
            </w:r>
            <w:r>
              <w:rPr>
                <w:sz w:val="20"/>
              </w:rPr>
              <w:t>formulación</w:t>
            </w:r>
            <w:r>
              <w:rPr>
                <w:spacing w:val="-12"/>
                <w:sz w:val="20"/>
              </w:rPr>
              <w:t> </w:t>
            </w:r>
            <w:r>
              <w:rPr>
                <w:sz w:val="20"/>
              </w:rPr>
              <w:t>de</w:t>
            </w:r>
            <w:r>
              <w:rPr>
                <w:spacing w:val="-12"/>
                <w:sz w:val="20"/>
              </w:rPr>
              <w:t> </w:t>
            </w:r>
            <w:r>
              <w:rPr>
                <w:sz w:val="20"/>
              </w:rPr>
              <w:t>los</w:t>
            </w:r>
            <w:r>
              <w:rPr>
                <w:spacing w:val="-13"/>
                <w:sz w:val="20"/>
              </w:rPr>
              <w:t> </w:t>
            </w:r>
            <w:r>
              <w:rPr>
                <w:sz w:val="20"/>
              </w:rPr>
              <w:t>lineamientos de los OIC (antes contralorías internas). Los reportes no hacen ninguna referencia sobre</w:t>
            </w:r>
            <w:r>
              <w:rPr>
                <w:spacing w:val="-5"/>
                <w:sz w:val="20"/>
              </w:rPr>
              <w:t> </w:t>
            </w:r>
            <w:r>
              <w:rPr>
                <w:sz w:val="20"/>
              </w:rPr>
              <w:t>el</w:t>
            </w:r>
            <w:r>
              <w:rPr>
                <w:spacing w:val="-3"/>
                <w:sz w:val="20"/>
              </w:rPr>
              <w:t> </w:t>
            </w:r>
            <w:r>
              <w:rPr>
                <w:sz w:val="20"/>
              </w:rPr>
              <w:t>estado</w:t>
            </w:r>
            <w:r>
              <w:rPr>
                <w:spacing w:val="-5"/>
                <w:sz w:val="20"/>
              </w:rPr>
              <w:t> </w:t>
            </w:r>
            <w:r>
              <w:rPr>
                <w:sz w:val="20"/>
              </w:rPr>
              <w:t>que</w:t>
            </w:r>
            <w:r>
              <w:rPr>
                <w:spacing w:val="-5"/>
                <w:sz w:val="20"/>
              </w:rPr>
              <w:t> </w:t>
            </w:r>
            <w:r>
              <w:rPr>
                <w:sz w:val="20"/>
              </w:rPr>
              <w:t>guarda</w:t>
            </w:r>
            <w:r>
              <w:rPr>
                <w:spacing w:val="-5"/>
                <w:sz w:val="20"/>
              </w:rPr>
              <w:t> </w:t>
            </w:r>
            <w:r>
              <w:rPr>
                <w:sz w:val="20"/>
              </w:rPr>
              <w:t>el</w:t>
            </w:r>
            <w:r>
              <w:rPr>
                <w:spacing w:val="1"/>
                <w:sz w:val="20"/>
              </w:rPr>
              <w:t> </w:t>
            </w:r>
            <w:r>
              <w:rPr>
                <w:sz w:val="20"/>
              </w:rPr>
              <w:t>control</w:t>
            </w:r>
            <w:r>
              <w:rPr>
                <w:spacing w:val="-7"/>
                <w:sz w:val="20"/>
              </w:rPr>
              <w:t> </w:t>
            </w:r>
            <w:r>
              <w:rPr>
                <w:sz w:val="20"/>
              </w:rPr>
              <w:t>interno</w:t>
            </w:r>
            <w:r>
              <w:rPr>
                <w:spacing w:val="-9"/>
                <w:sz w:val="20"/>
              </w:rPr>
              <w:t> </w:t>
            </w:r>
            <w:r>
              <w:rPr>
                <w:sz w:val="20"/>
              </w:rPr>
              <w:t>de</w:t>
            </w:r>
            <w:r>
              <w:rPr>
                <w:spacing w:val="-5"/>
                <w:sz w:val="20"/>
              </w:rPr>
              <w:t> </w:t>
            </w:r>
            <w:r>
              <w:rPr>
                <w:sz w:val="20"/>
              </w:rPr>
              <w:t>las</w:t>
            </w:r>
            <w:r>
              <w:rPr>
                <w:spacing w:val="-6"/>
                <w:sz w:val="20"/>
              </w:rPr>
              <w:t> </w:t>
            </w:r>
            <w:r>
              <w:rPr>
                <w:sz w:val="20"/>
              </w:rPr>
              <w:t>dependencias</w:t>
            </w:r>
            <w:r>
              <w:rPr>
                <w:spacing w:val="-6"/>
                <w:sz w:val="20"/>
              </w:rPr>
              <w:t> </w:t>
            </w:r>
            <w:r>
              <w:rPr>
                <w:sz w:val="20"/>
              </w:rPr>
              <w:t>y</w:t>
            </w:r>
            <w:r>
              <w:rPr>
                <w:spacing w:val="-6"/>
                <w:sz w:val="20"/>
              </w:rPr>
              <w:t> </w:t>
            </w:r>
            <w:r>
              <w:rPr>
                <w:sz w:val="20"/>
              </w:rPr>
              <w:t>entidades,</w:t>
            </w:r>
            <w:r>
              <w:rPr>
                <w:spacing w:val="-6"/>
                <w:sz w:val="20"/>
              </w:rPr>
              <w:t> </w:t>
            </w:r>
            <w:r>
              <w:rPr>
                <w:sz w:val="20"/>
              </w:rPr>
              <w:t>ni</w:t>
            </w:r>
            <w:r>
              <w:rPr>
                <w:spacing w:val="-3"/>
                <w:sz w:val="20"/>
              </w:rPr>
              <w:t> </w:t>
            </w:r>
            <w:r>
              <w:rPr>
                <w:sz w:val="20"/>
              </w:rPr>
              <w:t>de los OIC para identificar posibles riesgos que motiven actos de</w:t>
            </w:r>
            <w:r>
              <w:rPr>
                <w:spacing w:val="-24"/>
                <w:sz w:val="20"/>
              </w:rPr>
              <w:t> </w:t>
            </w:r>
            <w:r>
              <w:rPr>
                <w:sz w:val="20"/>
              </w:rPr>
              <w:t>corrupción.</w:t>
            </w:r>
          </w:p>
          <w:p>
            <w:pPr>
              <w:pStyle w:val="TableParagraph"/>
              <w:spacing w:before="2"/>
              <w:ind w:left="68" w:right="64"/>
              <w:jc w:val="both"/>
              <w:rPr>
                <w:sz w:val="20"/>
              </w:rPr>
            </w:pPr>
            <w:r>
              <w:rPr>
                <w:sz w:val="20"/>
              </w:rPr>
              <w:t>Los reportes de rendición de cuentas sobre la operación de los OIC no permiten evaluar la eficacia del combate a la corrupción, ya que con las visitas de inspección realizadas por la SFP en el periodo 2004-2011 se determinó que la principal problemática de los OIC se relaciona con los expedientes: fallas en su  integración,</w:t>
            </w:r>
          </w:p>
        </w:tc>
      </w:tr>
    </w:tbl>
    <w:p>
      <w:pPr>
        <w:spacing w:after="0"/>
        <w:jc w:val="both"/>
        <w:rPr>
          <w:sz w:val="20"/>
        </w:rPr>
        <w:sectPr>
          <w:pgSz w:w="11910" w:h="16840"/>
          <w:pgMar w:header="0" w:footer="998" w:top="1360" w:bottom="1180" w:left="1640" w:right="1080"/>
        </w:sectPr>
      </w:pPr>
    </w:p>
    <w:p>
      <w:pPr>
        <w:pStyle w:val="BodyText"/>
        <w:ind w:left="156"/>
        <w:rPr>
          <w:sz w:val="20"/>
        </w:rPr>
      </w:pPr>
      <w:r>
        <w:rPr>
          <w:sz w:val="20"/>
        </w:rPr>
        <w:pict>
          <v:group style="width:448pt;height:116.25pt;mso-position-horizontal-relative:char;mso-position-vertical-relative:line" coordorigin="0,0" coordsize="8960,2325">
            <v:line style="position:absolute" from="8,8" to="1361,8" stroked="true" strokeweight=".39999pt" strokecolor="#000000"/>
            <v:line style="position:absolute" from="1369,8" to="8951,8" stroked="true" strokeweight=".39999pt" strokecolor="#000000"/>
            <v:line style="position:absolute" from="4,4" to="4,2321" stroked="true" strokeweight=".39999pt" strokecolor="#000000"/>
            <v:line style="position:absolute" from="8,2317" to="1361,2317" stroked="true" strokeweight=".40001pt" strokecolor="#000000"/>
            <v:line style="position:absolute" from="1364,4" to="1364,2321" stroked="true" strokeweight=".39999pt" strokecolor="#000000"/>
            <v:line style="position:absolute" from="1369,2317" to="8951,2317" stroked="true" strokeweight=".40001pt" strokecolor="#000000"/>
            <v:line style="position:absolute" from="8955,4" to="8955,2321" stroked="true" strokeweight=".40002pt" strokecolor="#000000"/>
            <v:shape style="position:absolute;left:1437;top:38;width:7450;height:428" type="#_x0000_t202" filled="false" stroked="false">
              <v:textbox inset="0,0,0,0">
                <w:txbxContent>
                  <w:p>
                    <w:pPr>
                      <w:spacing w:line="203" w:lineRule="exact" w:before="0"/>
                      <w:ind w:left="0" w:right="0" w:firstLine="0"/>
                      <w:jc w:val="left"/>
                      <w:rPr>
                        <w:sz w:val="20"/>
                      </w:rPr>
                    </w:pPr>
                    <w:r>
                      <w:rPr>
                        <w:sz w:val="20"/>
                      </w:rPr>
                      <w:t>falta de congruencia de las acciones determinadas, fallas en las formalidades  para</w:t>
                    </w:r>
                  </w:p>
                  <w:p>
                    <w:pPr>
                      <w:spacing w:line="225" w:lineRule="exact" w:before="0"/>
                      <w:ind w:left="0" w:right="0" w:firstLine="0"/>
                      <w:jc w:val="left"/>
                      <w:rPr>
                        <w:sz w:val="20"/>
                      </w:rPr>
                    </w:pPr>
                    <w:r>
                      <w:rPr>
                        <w:sz w:val="20"/>
                      </w:rPr>
                      <w:t>la notificación y problemas con la ejecución de las sanciones.</w:t>
                    </w:r>
                  </w:p>
                </w:txbxContent>
              </v:textbox>
              <w10:wrap type="none"/>
            </v:shape>
            <v:shape style="position:absolute;left:1437;top:726;width:7454;height:1581" type="#_x0000_t202" filled="false" stroked="false">
              <v:textbox inset="0,0,0,0">
                <w:txbxContent>
                  <w:p>
                    <w:pPr>
                      <w:spacing w:line="204" w:lineRule="exact" w:before="0"/>
                      <w:ind w:left="0" w:right="0" w:firstLine="0"/>
                      <w:jc w:val="both"/>
                      <w:rPr>
                        <w:sz w:val="20"/>
                      </w:rPr>
                    </w:pPr>
                    <w:r>
                      <w:rPr>
                        <w:sz w:val="20"/>
                      </w:rPr>
                      <w:t>Impartición:</w:t>
                    </w:r>
                  </w:p>
                  <w:p>
                    <w:pPr>
                      <w:spacing w:line="240" w:lineRule="auto" w:before="2"/>
                      <w:ind w:left="0" w:right="0" w:firstLine="0"/>
                      <w:jc w:val="both"/>
                      <w:rPr>
                        <w:sz w:val="20"/>
                      </w:rPr>
                    </w:pPr>
                    <w:r>
                      <w:rPr>
                        <w:sz w:val="20"/>
                      </w:rPr>
                      <w:t>Se evidenció que sólo se propusieron acciones en el ámbito administrativo (atender las denuncias y sugerencias de los ciudadanos) y no penal, debido a la independencia del Poder Judicial.</w:t>
                    </w:r>
                  </w:p>
                  <w:p>
                    <w:pPr>
                      <w:spacing w:line="240" w:lineRule="auto" w:before="0"/>
                      <w:ind w:left="0" w:right="14" w:firstLine="0"/>
                      <w:jc w:val="both"/>
                      <w:rPr>
                        <w:sz w:val="20"/>
                      </w:rPr>
                    </w:pPr>
                    <w:r>
                      <w:rPr>
                        <w:sz w:val="20"/>
                      </w:rPr>
                      <w:t>En el ámbito penal se buscó abatir el rezago en las averiguaciones previas y elevar la calidad y eficacia en la integración de las averiguaciones previas e impulsar la investigación ministerial.</w:t>
                    </w:r>
                  </w:p>
                </w:txbxContent>
              </v:textbox>
              <w10:wrap type="none"/>
            </v:shape>
          </v:group>
        </w:pict>
      </w:r>
      <w:r>
        <w:rPr>
          <w:sz w:val="20"/>
        </w:rPr>
      </w:r>
    </w:p>
    <w:p>
      <w:pPr>
        <w:spacing w:line="137" w:lineRule="exact" w:before="104"/>
        <w:ind w:left="100" w:right="3359" w:firstLine="0"/>
        <w:jc w:val="left"/>
        <w:rPr>
          <w:sz w:val="12"/>
        </w:rPr>
      </w:pPr>
      <w:r>
        <w:rPr>
          <w:sz w:val="12"/>
        </w:rPr>
        <w:t>FUENTE: Elaboración propia con base en: ASF (2013: 1-213).</w:t>
      </w:r>
    </w:p>
    <w:p>
      <w:pPr>
        <w:spacing w:line="242" w:lineRule="auto" w:before="0"/>
        <w:ind w:left="668" w:right="3359" w:firstLine="0"/>
        <w:jc w:val="left"/>
        <w:rPr>
          <w:sz w:val="12"/>
        </w:rPr>
      </w:pPr>
      <w:r>
        <w:rPr>
          <w:sz w:val="12"/>
        </w:rPr>
        <w:t>Disponible en: </w:t>
      </w:r>
      <w:hyperlink r:id="rId209">
        <w:r>
          <w:rPr>
            <w:sz w:val="12"/>
          </w:rPr>
          <w:t>http://www.asf.gob.mx/Trans/Informes/IR2011i/Grupos/Gobierno/2011_0059_a.pdf</w:t>
        </w:r>
      </w:hyperlink>
      <w:r>
        <w:rPr>
          <w:sz w:val="12"/>
        </w:rPr>
        <w:t> [Fecha de consulta: 29 de septiembre, 2015]</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1"/>
        <w:rPr>
          <w:sz w:val="10"/>
        </w:rPr>
      </w:pPr>
    </w:p>
    <w:p>
      <w:pPr>
        <w:pStyle w:val="BodyText"/>
        <w:spacing w:before="1"/>
        <w:ind w:left="100"/>
      </w:pPr>
      <w:r>
        <w:rPr/>
        <w:t>Conclusiones de los procesos de procuración de justicia:</w:t>
      </w:r>
    </w:p>
    <w:p>
      <w:pPr>
        <w:pStyle w:val="ListParagraph"/>
        <w:numPr>
          <w:ilvl w:val="0"/>
          <w:numId w:val="83"/>
        </w:numPr>
        <w:tabs>
          <w:tab w:pos="821" w:val="left" w:leader="none"/>
        </w:tabs>
        <w:spacing w:line="360" w:lineRule="auto" w:before="136" w:after="0"/>
        <w:ind w:left="821" w:right="622" w:hanging="361"/>
        <w:jc w:val="both"/>
        <w:rPr>
          <w:sz w:val="24"/>
        </w:rPr>
      </w:pPr>
      <w:r>
        <w:rPr>
          <w:sz w:val="24"/>
        </w:rPr>
        <w:t>Procuración en el ámbito administrativo: La atención de las quejas y denuncias</w:t>
      </w:r>
      <w:r>
        <w:rPr>
          <w:spacing w:val="-11"/>
          <w:sz w:val="24"/>
        </w:rPr>
        <w:t> </w:t>
      </w:r>
      <w:r>
        <w:rPr>
          <w:sz w:val="24"/>
        </w:rPr>
        <w:t>de</w:t>
      </w:r>
      <w:r>
        <w:rPr>
          <w:spacing w:val="-13"/>
          <w:sz w:val="24"/>
        </w:rPr>
        <w:t> </w:t>
      </w:r>
      <w:r>
        <w:rPr>
          <w:sz w:val="24"/>
        </w:rPr>
        <w:t>la</w:t>
      </w:r>
      <w:r>
        <w:rPr>
          <w:spacing w:val="-13"/>
          <w:sz w:val="24"/>
        </w:rPr>
        <w:t> </w:t>
      </w:r>
      <w:r>
        <w:rPr>
          <w:sz w:val="24"/>
        </w:rPr>
        <w:t>ciudadanía</w:t>
      </w:r>
      <w:r>
        <w:rPr>
          <w:spacing w:val="-13"/>
          <w:sz w:val="24"/>
        </w:rPr>
        <w:t> </w:t>
      </w:r>
      <w:r>
        <w:rPr>
          <w:sz w:val="24"/>
        </w:rPr>
        <w:t>por</w:t>
      </w:r>
      <w:r>
        <w:rPr>
          <w:spacing w:val="-11"/>
          <w:sz w:val="24"/>
        </w:rPr>
        <w:t> </w:t>
      </w:r>
      <w:r>
        <w:rPr>
          <w:sz w:val="24"/>
        </w:rPr>
        <w:t>parte</w:t>
      </w:r>
      <w:r>
        <w:rPr>
          <w:spacing w:val="-13"/>
          <w:sz w:val="24"/>
        </w:rPr>
        <w:t> </w:t>
      </w:r>
      <w:r>
        <w:rPr>
          <w:sz w:val="24"/>
        </w:rPr>
        <w:t>de</w:t>
      </w:r>
      <w:r>
        <w:rPr>
          <w:spacing w:val="-13"/>
          <w:sz w:val="24"/>
        </w:rPr>
        <w:t> </w:t>
      </w:r>
      <w:r>
        <w:rPr>
          <w:sz w:val="24"/>
        </w:rPr>
        <w:t>la</w:t>
      </w:r>
      <w:r>
        <w:rPr>
          <w:spacing w:val="-13"/>
          <w:sz w:val="24"/>
        </w:rPr>
        <w:t> </w:t>
      </w:r>
      <w:r>
        <w:rPr>
          <w:sz w:val="24"/>
        </w:rPr>
        <w:t>SFP</w:t>
      </w:r>
      <w:r>
        <w:rPr>
          <w:spacing w:val="-15"/>
          <w:sz w:val="24"/>
        </w:rPr>
        <w:t> </w:t>
      </w:r>
      <w:r>
        <w:rPr>
          <w:sz w:val="24"/>
        </w:rPr>
        <w:t>y</w:t>
      </w:r>
      <w:r>
        <w:rPr>
          <w:spacing w:val="-15"/>
          <w:sz w:val="24"/>
        </w:rPr>
        <w:t> </w:t>
      </w:r>
      <w:r>
        <w:rPr>
          <w:sz w:val="24"/>
        </w:rPr>
        <w:t>de</w:t>
      </w:r>
      <w:r>
        <w:rPr>
          <w:spacing w:val="-13"/>
          <w:sz w:val="24"/>
        </w:rPr>
        <w:t> </w:t>
      </w:r>
      <w:r>
        <w:rPr>
          <w:sz w:val="24"/>
        </w:rPr>
        <w:t>su</w:t>
      </w:r>
      <w:r>
        <w:rPr>
          <w:spacing w:val="-13"/>
          <w:sz w:val="24"/>
        </w:rPr>
        <w:t> </w:t>
      </w:r>
      <w:r>
        <w:rPr>
          <w:sz w:val="24"/>
        </w:rPr>
        <w:t>contraloría</w:t>
      </w:r>
      <w:r>
        <w:rPr>
          <w:spacing w:val="-13"/>
          <w:sz w:val="24"/>
        </w:rPr>
        <w:t> </w:t>
      </w:r>
      <w:r>
        <w:rPr>
          <w:sz w:val="24"/>
        </w:rPr>
        <w:t>interna no ha consolidado una percepción de la confianza y credibilidad, ya que de las 213,936 quejas y denuncias recibidas de 2001 a 2012, el 59.8% fue concluido por falta de elementos y sólo el 14.8% se turnó al área de responsabilidades.</w:t>
      </w:r>
    </w:p>
    <w:p>
      <w:pPr>
        <w:pStyle w:val="BodyText"/>
      </w:pPr>
    </w:p>
    <w:p>
      <w:pPr>
        <w:pStyle w:val="ListParagraph"/>
        <w:numPr>
          <w:ilvl w:val="0"/>
          <w:numId w:val="83"/>
        </w:numPr>
        <w:tabs>
          <w:tab w:pos="821" w:val="left" w:leader="none"/>
        </w:tabs>
        <w:spacing w:line="360" w:lineRule="auto" w:before="142" w:after="0"/>
        <w:ind w:left="821" w:right="627" w:hanging="361"/>
        <w:jc w:val="both"/>
        <w:rPr>
          <w:sz w:val="24"/>
        </w:rPr>
      </w:pPr>
      <w:r>
        <w:rPr>
          <w:sz w:val="24"/>
        </w:rPr>
        <w:t>Procuración en el ámbito penal: La conclusión de las Averiguaciones Previas por parte de la PGR incrementa la percepción de impunidad, ya que, de las 16,190 averiguaciones iniciadas en contra de servidores públicos,</w:t>
      </w:r>
      <w:r>
        <w:rPr>
          <w:spacing w:val="-4"/>
          <w:sz w:val="24"/>
        </w:rPr>
        <w:t> </w:t>
      </w:r>
      <w:r>
        <w:rPr>
          <w:sz w:val="24"/>
        </w:rPr>
        <w:t>de</w:t>
      </w:r>
      <w:r>
        <w:rPr>
          <w:spacing w:val="-7"/>
          <w:sz w:val="24"/>
        </w:rPr>
        <w:t> </w:t>
      </w:r>
      <w:r>
        <w:rPr>
          <w:sz w:val="24"/>
        </w:rPr>
        <w:t>la</w:t>
      </w:r>
      <w:r>
        <w:rPr>
          <w:spacing w:val="-7"/>
          <w:sz w:val="24"/>
        </w:rPr>
        <w:t> </w:t>
      </w:r>
      <w:r>
        <w:rPr>
          <w:sz w:val="24"/>
        </w:rPr>
        <w:t>APF</w:t>
      </w:r>
      <w:r>
        <w:rPr>
          <w:spacing w:val="-4"/>
          <w:sz w:val="24"/>
        </w:rPr>
        <w:t> </w:t>
      </w:r>
      <w:r>
        <w:rPr>
          <w:sz w:val="24"/>
        </w:rPr>
        <w:t>y</w:t>
      </w:r>
      <w:r>
        <w:rPr>
          <w:spacing w:val="-6"/>
          <w:sz w:val="24"/>
        </w:rPr>
        <w:t> </w:t>
      </w:r>
      <w:r>
        <w:rPr>
          <w:sz w:val="24"/>
        </w:rPr>
        <w:t>de</w:t>
      </w:r>
      <w:r>
        <w:rPr>
          <w:spacing w:val="-7"/>
          <w:sz w:val="24"/>
        </w:rPr>
        <w:t> </w:t>
      </w:r>
      <w:r>
        <w:rPr>
          <w:sz w:val="24"/>
        </w:rPr>
        <w:t>la</w:t>
      </w:r>
      <w:r>
        <w:rPr>
          <w:spacing w:val="-7"/>
          <w:sz w:val="24"/>
        </w:rPr>
        <w:t> </w:t>
      </w:r>
      <w:r>
        <w:rPr>
          <w:sz w:val="24"/>
        </w:rPr>
        <w:t>PGR,</w:t>
      </w:r>
      <w:r>
        <w:rPr>
          <w:spacing w:val="-4"/>
          <w:sz w:val="24"/>
        </w:rPr>
        <w:t> </w:t>
      </w:r>
      <w:r>
        <w:rPr>
          <w:sz w:val="24"/>
        </w:rPr>
        <w:t>20.2%</w:t>
      </w:r>
      <w:r>
        <w:rPr>
          <w:spacing w:val="-7"/>
          <w:sz w:val="24"/>
        </w:rPr>
        <w:t> </w:t>
      </w:r>
      <w:r>
        <w:rPr>
          <w:sz w:val="24"/>
        </w:rPr>
        <w:t>fue</w:t>
      </w:r>
      <w:r>
        <w:rPr>
          <w:spacing w:val="-7"/>
          <w:sz w:val="24"/>
        </w:rPr>
        <w:t> </w:t>
      </w:r>
      <w:r>
        <w:rPr>
          <w:sz w:val="24"/>
        </w:rPr>
        <w:t>concluido</w:t>
      </w:r>
      <w:r>
        <w:rPr>
          <w:spacing w:val="-3"/>
          <w:sz w:val="24"/>
        </w:rPr>
        <w:t> </w:t>
      </w:r>
      <w:r>
        <w:rPr>
          <w:sz w:val="24"/>
        </w:rPr>
        <w:t>por</w:t>
      </w:r>
      <w:r>
        <w:rPr>
          <w:spacing w:val="-1"/>
          <w:sz w:val="24"/>
        </w:rPr>
        <w:t> </w:t>
      </w:r>
      <w:r>
        <w:rPr>
          <w:sz w:val="24"/>
        </w:rPr>
        <w:t>No</w:t>
      </w:r>
      <w:r>
        <w:rPr>
          <w:spacing w:val="-7"/>
          <w:sz w:val="24"/>
        </w:rPr>
        <w:t> </w:t>
      </w:r>
      <w:r>
        <w:rPr>
          <w:sz w:val="24"/>
        </w:rPr>
        <w:t>Ejercicio</w:t>
      </w:r>
      <w:r>
        <w:rPr>
          <w:spacing w:val="-7"/>
          <w:sz w:val="24"/>
        </w:rPr>
        <w:t> </w:t>
      </w:r>
      <w:r>
        <w:rPr>
          <w:sz w:val="24"/>
        </w:rPr>
        <w:t>de la Acción Penal y 10.7% fueron</w:t>
      </w:r>
      <w:r>
        <w:rPr>
          <w:spacing w:val="-24"/>
          <w:sz w:val="24"/>
        </w:rPr>
        <w:t> </w:t>
      </w:r>
      <w:r>
        <w:rPr>
          <w:sz w:val="24"/>
        </w:rPr>
        <w:t>consignados.</w:t>
      </w:r>
    </w:p>
    <w:p>
      <w:pPr>
        <w:pStyle w:val="BodyText"/>
      </w:pPr>
    </w:p>
    <w:p>
      <w:pPr>
        <w:pStyle w:val="BodyText"/>
        <w:spacing w:before="142"/>
        <w:ind w:left="100"/>
      </w:pPr>
      <w:r>
        <w:rPr/>
        <w:t>Conclusiones de los procesos de impartición de justicia:</w:t>
      </w:r>
    </w:p>
    <w:p>
      <w:pPr>
        <w:pStyle w:val="BodyText"/>
      </w:pPr>
    </w:p>
    <w:p>
      <w:pPr>
        <w:pStyle w:val="BodyText"/>
      </w:pPr>
    </w:p>
    <w:p>
      <w:pPr>
        <w:pStyle w:val="ListParagraph"/>
        <w:numPr>
          <w:ilvl w:val="0"/>
          <w:numId w:val="84"/>
        </w:numPr>
        <w:tabs>
          <w:tab w:pos="821" w:val="left" w:leader="none"/>
        </w:tabs>
        <w:spacing w:line="240" w:lineRule="auto" w:before="0" w:after="0"/>
        <w:ind w:left="821" w:right="0" w:hanging="361"/>
        <w:jc w:val="left"/>
        <w:rPr>
          <w:sz w:val="24"/>
        </w:rPr>
      </w:pPr>
      <w:r>
        <w:rPr>
          <w:sz w:val="24"/>
        </w:rPr>
        <w:t>Impartición en el ámbito</w:t>
      </w:r>
      <w:r>
        <w:rPr>
          <w:spacing w:val="-25"/>
          <w:sz w:val="24"/>
        </w:rPr>
        <w:t> </w:t>
      </w:r>
      <w:r>
        <w:rPr>
          <w:sz w:val="24"/>
        </w:rPr>
        <w:t>administrativo:</w:t>
      </w:r>
    </w:p>
    <w:p>
      <w:pPr>
        <w:pStyle w:val="BodyText"/>
        <w:spacing w:line="360" w:lineRule="auto" w:before="136"/>
        <w:ind w:left="821" w:right="628"/>
        <w:jc w:val="both"/>
      </w:pPr>
      <w:r>
        <w:rPr/>
        <w:t>De 1983 a 2012, la SFP y los OIC impusieron 158,352 sanciones administrativas a servidores públicos de la APF, de las cuales 87.8% fueron administrativas y 12.2% fueron económicas por 67,922.9 miles de pesos.</w:t>
      </w:r>
    </w:p>
    <w:p>
      <w:pPr>
        <w:spacing w:after="0" w:line="360" w:lineRule="auto"/>
        <w:jc w:val="both"/>
        <w:sectPr>
          <w:pgSz w:w="11910" w:h="16840"/>
          <w:pgMar w:header="0" w:footer="998" w:top="1400" w:bottom="1180" w:left="1600" w:right="1080"/>
        </w:sectPr>
      </w:pPr>
    </w:p>
    <w:p>
      <w:pPr>
        <w:pStyle w:val="BodyText"/>
        <w:spacing w:line="360" w:lineRule="auto" w:before="39"/>
        <w:ind w:left="729" w:right="107"/>
        <w:jc w:val="both"/>
      </w:pPr>
      <w:r>
        <w:rPr/>
        <w:t>Al 2011, el Servicio de Administración Tributaria contaba con 11,968 créditos fiscales de asuntos remitidos por la SFP, por un monto de 33,927.0</w:t>
      </w:r>
      <w:r>
        <w:rPr>
          <w:spacing w:val="-7"/>
        </w:rPr>
        <w:t> </w:t>
      </w:r>
      <w:r>
        <w:rPr/>
        <w:t>millones</w:t>
      </w:r>
      <w:r>
        <w:rPr>
          <w:spacing w:val="-9"/>
        </w:rPr>
        <w:t> </w:t>
      </w:r>
      <w:r>
        <w:rPr/>
        <w:t>de</w:t>
      </w:r>
      <w:r>
        <w:rPr>
          <w:spacing w:val="-11"/>
        </w:rPr>
        <w:t> </w:t>
      </w:r>
      <w:r>
        <w:rPr/>
        <w:t>pesos</w:t>
      </w:r>
      <w:r>
        <w:rPr>
          <w:spacing w:val="-9"/>
        </w:rPr>
        <w:t> </w:t>
      </w:r>
      <w:r>
        <w:rPr/>
        <w:t>de</w:t>
      </w:r>
      <w:r>
        <w:rPr>
          <w:spacing w:val="-11"/>
        </w:rPr>
        <w:t> </w:t>
      </w:r>
      <w:r>
        <w:rPr/>
        <w:t>ejercicios</w:t>
      </w:r>
      <w:r>
        <w:rPr>
          <w:spacing w:val="-9"/>
        </w:rPr>
        <w:t> </w:t>
      </w:r>
      <w:r>
        <w:rPr/>
        <w:t>previos,</w:t>
      </w:r>
      <w:r>
        <w:rPr>
          <w:spacing w:val="-5"/>
        </w:rPr>
        <w:t> </w:t>
      </w:r>
      <w:r>
        <w:rPr/>
        <w:t>y</w:t>
      </w:r>
      <w:r>
        <w:rPr>
          <w:spacing w:val="-13"/>
        </w:rPr>
        <w:t> </w:t>
      </w:r>
      <w:r>
        <w:rPr/>
        <w:t>en</w:t>
      </w:r>
      <w:r>
        <w:rPr>
          <w:spacing w:val="-11"/>
        </w:rPr>
        <w:t> </w:t>
      </w:r>
      <w:r>
        <w:rPr/>
        <w:t>ese</w:t>
      </w:r>
      <w:r>
        <w:rPr>
          <w:spacing w:val="-7"/>
        </w:rPr>
        <w:t> </w:t>
      </w:r>
      <w:r>
        <w:rPr/>
        <w:t>año</w:t>
      </w:r>
      <w:r>
        <w:rPr>
          <w:spacing w:val="-11"/>
        </w:rPr>
        <w:t> </w:t>
      </w:r>
      <w:r>
        <w:rPr/>
        <w:t>no</w:t>
      </w:r>
      <w:r>
        <w:rPr>
          <w:spacing w:val="-11"/>
        </w:rPr>
        <w:t> </w:t>
      </w:r>
      <w:r>
        <w:rPr/>
        <w:t>registró </w:t>
      </w:r>
      <w:r>
        <w:rPr>
          <w:spacing w:val="-2"/>
        </w:rPr>
        <w:t>más </w:t>
      </w:r>
      <w:r>
        <w:rPr/>
        <w:t>cobros.</w:t>
      </w:r>
    </w:p>
    <w:p>
      <w:pPr>
        <w:pStyle w:val="BodyText"/>
      </w:pPr>
    </w:p>
    <w:p>
      <w:pPr>
        <w:pStyle w:val="BodyText"/>
        <w:spacing w:line="360" w:lineRule="auto" w:before="142"/>
        <w:ind w:left="729" w:right="105"/>
        <w:jc w:val="both"/>
      </w:pPr>
      <w:r>
        <w:rPr/>
        <w:t>La SFP y los OIC determinaron que dos terceras partes de las sanciones administrativas que se impusieron de 1983 a 2012 fueron no graves y un tercio graves.</w:t>
      </w:r>
    </w:p>
    <w:p>
      <w:pPr>
        <w:pStyle w:val="BodyText"/>
      </w:pPr>
    </w:p>
    <w:p>
      <w:pPr>
        <w:pStyle w:val="BodyText"/>
        <w:spacing w:line="360" w:lineRule="auto" w:before="142"/>
        <w:ind w:left="729" w:right="98"/>
        <w:jc w:val="both"/>
      </w:pPr>
      <w:r>
        <w:rPr/>
        <w:t>En el periodo 1995-2012, la Secretaría Ejecutiva de Disciplina del Poder Judicial</w:t>
      </w:r>
      <w:r>
        <w:rPr>
          <w:spacing w:val="-8"/>
        </w:rPr>
        <w:t> </w:t>
      </w:r>
      <w:r>
        <w:rPr/>
        <w:t>de</w:t>
      </w:r>
      <w:r>
        <w:rPr>
          <w:spacing w:val="-9"/>
        </w:rPr>
        <w:t> </w:t>
      </w:r>
      <w:r>
        <w:rPr/>
        <w:t>la</w:t>
      </w:r>
      <w:r>
        <w:rPr>
          <w:spacing w:val="-9"/>
        </w:rPr>
        <w:t> </w:t>
      </w:r>
      <w:r>
        <w:rPr/>
        <w:t>Federación,</w:t>
      </w:r>
      <w:r>
        <w:rPr>
          <w:spacing w:val="-6"/>
        </w:rPr>
        <w:t> </w:t>
      </w:r>
      <w:r>
        <w:rPr/>
        <w:t>mediante</w:t>
      </w:r>
      <w:r>
        <w:rPr>
          <w:spacing w:val="-9"/>
        </w:rPr>
        <w:t> </w:t>
      </w:r>
      <w:r>
        <w:rPr/>
        <w:t>los</w:t>
      </w:r>
      <w:r>
        <w:rPr>
          <w:spacing w:val="-7"/>
        </w:rPr>
        <w:t> </w:t>
      </w:r>
      <w:r>
        <w:rPr/>
        <w:t>procedimientos</w:t>
      </w:r>
      <w:r>
        <w:rPr>
          <w:spacing w:val="-7"/>
        </w:rPr>
        <w:t> </w:t>
      </w:r>
      <w:r>
        <w:rPr/>
        <w:t>establecidos</w:t>
      </w:r>
      <w:r>
        <w:rPr>
          <w:spacing w:val="-7"/>
        </w:rPr>
        <w:t> </w:t>
      </w:r>
      <w:r>
        <w:rPr/>
        <w:t>en</w:t>
      </w:r>
      <w:r>
        <w:rPr>
          <w:spacing w:val="-4"/>
        </w:rPr>
        <w:t> </w:t>
      </w:r>
      <w:r>
        <w:rPr/>
        <w:t>la Ley, reglamentos y acuerdos que emite el Pleno en materia disciplinaria, impuso 1,053 sanciones (donde </w:t>
      </w:r>
      <w:r>
        <w:rPr>
          <w:spacing w:val="-2"/>
        </w:rPr>
        <w:t>más </w:t>
      </w:r>
      <w:r>
        <w:rPr/>
        <w:t>del 90% son graves), de las cuales 99.3%</w:t>
      </w:r>
      <w:r>
        <w:rPr>
          <w:spacing w:val="-18"/>
        </w:rPr>
        <w:t> </w:t>
      </w:r>
      <w:r>
        <w:rPr/>
        <w:t>fueron</w:t>
      </w:r>
      <w:r>
        <w:rPr>
          <w:spacing w:val="-18"/>
        </w:rPr>
        <w:t> </w:t>
      </w:r>
      <w:r>
        <w:rPr/>
        <w:t>administrativas,</w:t>
      </w:r>
      <w:r>
        <w:rPr>
          <w:spacing w:val="-15"/>
        </w:rPr>
        <w:t> </w:t>
      </w:r>
      <w:r>
        <w:rPr/>
        <w:t>y</w:t>
      </w:r>
      <w:r>
        <w:rPr>
          <w:spacing w:val="-20"/>
        </w:rPr>
        <w:t> </w:t>
      </w:r>
      <w:r>
        <w:rPr/>
        <w:t>0.7%</w:t>
      </w:r>
      <w:r>
        <w:rPr>
          <w:spacing w:val="-18"/>
        </w:rPr>
        <w:t> </w:t>
      </w:r>
      <w:r>
        <w:rPr/>
        <w:t>fueron</w:t>
      </w:r>
      <w:r>
        <w:rPr>
          <w:spacing w:val="-18"/>
        </w:rPr>
        <w:t> </w:t>
      </w:r>
      <w:r>
        <w:rPr/>
        <w:t>económicas;</w:t>
      </w:r>
      <w:r>
        <w:rPr>
          <w:spacing w:val="-15"/>
        </w:rPr>
        <w:t> </w:t>
      </w:r>
      <w:r>
        <w:rPr/>
        <w:t>sin</w:t>
      </w:r>
      <w:r>
        <w:rPr>
          <w:spacing w:val="-18"/>
        </w:rPr>
        <w:t> </w:t>
      </w:r>
      <w:r>
        <w:rPr/>
        <w:t>embargo,</w:t>
      </w:r>
      <w:r>
        <w:rPr>
          <w:spacing w:val="-15"/>
        </w:rPr>
        <w:t> </w:t>
      </w:r>
      <w:r>
        <w:rPr/>
        <w:t>no se reportó el monto de las</w:t>
      </w:r>
      <w:r>
        <w:rPr>
          <w:spacing w:val="-18"/>
        </w:rPr>
        <w:t> </w:t>
      </w:r>
      <w:r>
        <w:rPr/>
        <w:t>sanciones.</w:t>
      </w:r>
    </w:p>
    <w:p>
      <w:pPr>
        <w:pStyle w:val="BodyText"/>
      </w:pPr>
    </w:p>
    <w:p>
      <w:pPr>
        <w:pStyle w:val="BodyText"/>
        <w:spacing w:line="360" w:lineRule="auto" w:before="142"/>
        <w:ind w:left="729" w:right="108"/>
        <w:jc w:val="both"/>
      </w:pPr>
      <w:r>
        <w:rPr/>
        <w:t>Las Contralorías Internas del Poder Legislativo, el Poder Judicial y los Organismos Constitucionalmente Autónomos impusieron 1,234 sanciones, de las cuales 95.9% fueron administrativas, y 4.1% fueron económicas, aunque no reportaron los montos de las sanciones.</w:t>
      </w:r>
    </w:p>
    <w:p>
      <w:pPr>
        <w:pStyle w:val="BodyText"/>
      </w:pPr>
    </w:p>
    <w:p>
      <w:pPr>
        <w:pStyle w:val="BodyText"/>
        <w:spacing w:line="360" w:lineRule="auto" w:before="142"/>
        <w:ind w:left="729" w:right="101"/>
        <w:jc w:val="both"/>
      </w:pPr>
      <w:r>
        <w:rPr/>
        <w:t>La SFP tiene una efectividad en la imposición de sanciones administrativas superior al 98.0%, ya que es en esta proporción que las sentencias que dicta no son impugnadas o bien, aun siéndolo, la resolución de la autoridad competente mantiene firme la decisión de la dependencia.</w:t>
      </w:r>
    </w:p>
    <w:p>
      <w:pPr>
        <w:pStyle w:val="BodyText"/>
      </w:pPr>
    </w:p>
    <w:p>
      <w:pPr>
        <w:pStyle w:val="ListParagraph"/>
        <w:numPr>
          <w:ilvl w:val="0"/>
          <w:numId w:val="84"/>
        </w:numPr>
        <w:tabs>
          <w:tab w:pos="741" w:val="left" w:leader="none"/>
        </w:tabs>
        <w:spacing w:line="240" w:lineRule="auto" w:before="142" w:after="0"/>
        <w:ind w:left="741" w:right="0" w:hanging="361"/>
        <w:jc w:val="left"/>
        <w:rPr>
          <w:sz w:val="24"/>
        </w:rPr>
      </w:pPr>
      <w:r>
        <w:rPr>
          <w:sz w:val="24"/>
        </w:rPr>
        <w:t>Impartición en el ámbito</w:t>
      </w:r>
      <w:r>
        <w:rPr>
          <w:spacing w:val="-23"/>
          <w:sz w:val="24"/>
        </w:rPr>
        <w:t> </w:t>
      </w:r>
      <w:r>
        <w:rPr>
          <w:sz w:val="24"/>
        </w:rPr>
        <w:t>penal:</w:t>
      </w:r>
    </w:p>
    <w:p>
      <w:pPr>
        <w:pStyle w:val="BodyText"/>
        <w:spacing w:line="360" w:lineRule="auto" w:before="136"/>
        <w:ind w:left="741" w:right="103"/>
        <w:jc w:val="both"/>
      </w:pPr>
      <w:r>
        <w:rPr/>
        <w:t>En</w:t>
      </w:r>
      <w:r>
        <w:rPr>
          <w:spacing w:val="-6"/>
        </w:rPr>
        <w:t> </w:t>
      </w:r>
      <w:r>
        <w:rPr/>
        <w:t>el</w:t>
      </w:r>
      <w:r>
        <w:rPr>
          <w:spacing w:val="-6"/>
        </w:rPr>
        <w:t> </w:t>
      </w:r>
      <w:r>
        <w:rPr/>
        <w:t>periodo</w:t>
      </w:r>
      <w:r>
        <w:rPr>
          <w:spacing w:val="-6"/>
        </w:rPr>
        <w:t> </w:t>
      </w:r>
      <w:r>
        <w:rPr/>
        <w:t>2007-2011,</w:t>
      </w:r>
      <w:r>
        <w:rPr>
          <w:spacing w:val="-4"/>
        </w:rPr>
        <w:t> </w:t>
      </w:r>
      <w:r>
        <w:rPr/>
        <w:t>la</w:t>
      </w:r>
      <w:r>
        <w:rPr>
          <w:spacing w:val="-6"/>
        </w:rPr>
        <w:t> </w:t>
      </w:r>
      <w:r>
        <w:rPr/>
        <w:t>SFP</w:t>
      </w:r>
      <w:r>
        <w:rPr>
          <w:spacing w:val="-9"/>
        </w:rPr>
        <w:t> </w:t>
      </w:r>
      <w:r>
        <w:rPr/>
        <w:t>presentó</w:t>
      </w:r>
      <w:r>
        <w:rPr>
          <w:spacing w:val="-6"/>
        </w:rPr>
        <w:t> </w:t>
      </w:r>
      <w:r>
        <w:rPr/>
        <w:t>226</w:t>
      </w:r>
      <w:r>
        <w:rPr>
          <w:spacing w:val="-6"/>
        </w:rPr>
        <w:t> </w:t>
      </w:r>
      <w:r>
        <w:rPr/>
        <w:t>denuncias</w:t>
      </w:r>
      <w:r>
        <w:rPr>
          <w:spacing w:val="-4"/>
        </w:rPr>
        <w:t> </w:t>
      </w:r>
      <w:r>
        <w:rPr/>
        <w:t>penales</w:t>
      </w:r>
      <w:r>
        <w:rPr>
          <w:spacing w:val="-4"/>
        </w:rPr>
        <w:t> </w:t>
      </w:r>
      <w:r>
        <w:rPr/>
        <w:t>ante</w:t>
      </w:r>
      <w:r>
        <w:rPr>
          <w:spacing w:val="-6"/>
        </w:rPr>
        <w:t> </w:t>
      </w:r>
      <w:r>
        <w:rPr/>
        <w:t>la PGR. La dependencia careció de la información para difundir cuántos asuntos</w:t>
      </w:r>
      <w:r>
        <w:rPr>
          <w:spacing w:val="-9"/>
        </w:rPr>
        <w:t> </w:t>
      </w:r>
      <w:r>
        <w:rPr/>
        <w:t>investigados</w:t>
      </w:r>
      <w:r>
        <w:rPr>
          <w:spacing w:val="-9"/>
        </w:rPr>
        <w:t> </w:t>
      </w:r>
      <w:r>
        <w:rPr/>
        <w:t>por</w:t>
      </w:r>
      <w:r>
        <w:rPr>
          <w:spacing w:val="-9"/>
        </w:rPr>
        <w:t> </w:t>
      </w:r>
      <w:r>
        <w:rPr/>
        <w:t>la</w:t>
      </w:r>
      <w:r>
        <w:rPr>
          <w:spacing w:val="-11"/>
        </w:rPr>
        <w:t> </w:t>
      </w:r>
      <w:r>
        <w:rPr/>
        <w:t>procuraduría</w:t>
      </w:r>
      <w:r>
        <w:rPr>
          <w:spacing w:val="-11"/>
        </w:rPr>
        <w:t> </w:t>
      </w:r>
      <w:r>
        <w:rPr/>
        <w:t>fueron</w:t>
      </w:r>
      <w:r>
        <w:rPr>
          <w:spacing w:val="-11"/>
        </w:rPr>
        <w:t> </w:t>
      </w:r>
      <w:r>
        <w:rPr/>
        <w:t>sancionados</w:t>
      </w:r>
      <w:r>
        <w:rPr>
          <w:spacing w:val="-9"/>
        </w:rPr>
        <w:t> </w:t>
      </w:r>
      <w:r>
        <w:rPr/>
        <w:t>penalmente por actos de</w:t>
      </w:r>
      <w:r>
        <w:rPr>
          <w:spacing w:val="-15"/>
        </w:rPr>
        <w:t> </w:t>
      </w:r>
      <w:r>
        <w:rPr/>
        <w:t>corrupción.</w:t>
      </w:r>
    </w:p>
    <w:p>
      <w:pPr>
        <w:spacing w:after="0" w:line="360" w:lineRule="auto"/>
        <w:jc w:val="both"/>
        <w:sectPr>
          <w:pgSz w:w="11910" w:h="16840"/>
          <w:pgMar w:header="0" w:footer="998" w:top="1360" w:bottom="1180" w:left="1680" w:right="1600"/>
        </w:sectPr>
      </w:pPr>
    </w:p>
    <w:p>
      <w:pPr>
        <w:pStyle w:val="BodyText"/>
        <w:spacing w:line="360" w:lineRule="auto" w:before="39"/>
        <w:ind w:left="809" w:right="123"/>
        <w:jc w:val="both"/>
      </w:pPr>
      <w:r>
        <w:rPr/>
        <w:t>La SFP y la PGR desconocen la cantidad de servidores públicos que son sancionados penalmente, </w:t>
      </w:r>
      <w:r>
        <w:rPr>
          <w:spacing w:val="-3"/>
        </w:rPr>
        <w:t>ya </w:t>
      </w:r>
      <w:r>
        <w:rPr/>
        <w:t>que no dan seguimiento a las consignaciones</w:t>
      </w:r>
      <w:r>
        <w:rPr>
          <w:spacing w:val="-18"/>
        </w:rPr>
        <w:t> </w:t>
      </w:r>
      <w:r>
        <w:rPr/>
        <w:t>que</w:t>
      </w:r>
      <w:r>
        <w:rPr>
          <w:spacing w:val="-20"/>
        </w:rPr>
        <w:t> </w:t>
      </w:r>
      <w:r>
        <w:rPr/>
        <w:t>la</w:t>
      </w:r>
      <w:r>
        <w:rPr>
          <w:spacing w:val="-20"/>
        </w:rPr>
        <w:t> </w:t>
      </w:r>
      <w:r>
        <w:rPr/>
        <w:t>PGR</w:t>
      </w:r>
      <w:r>
        <w:rPr>
          <w:spacing w:val="-19"/>
        </w:rPr>
        <w:t> </w:t>
      </w:r>
      <w:r>
        <w:rPr/>
        <w:t>realiza</w:t>
      </w:r>
      <w:r>
        <w:rPr>
          <w:spacing w:val="-20"/>
        </w:rPr>
        <w:t> </w:t>
      </w:r>
      <w:r>
        <w:rPr/>
        <w:t>al</w:t>
      </w:r>
      <w:r>
        <w:rPr>
          <w:spacing w:val="-15"/>
        </w:rPr>
        <w:t> </w:t>
      </w:r>
      <w:r>
        <w:rPr/>
        <w:t>Poder</w:t>
      </w:r>
      <w:r>
        <w:rPr>
          <w:spacing w:val="-18"/>
        </w:rPr>
        <w:t> </w:t>
      </w:r>
      <w:r>
        <w:rPr/>
        <w:t>Judicial</w:t>
      </w:r>
      <w:r>
        <w:rPr>
          <w:spacing w:val="-19"/>
        </w:rPr>
        <w:t> </w:t>
      </w:r>
      <w:r>
        <w:rPr/>
        <w:t>de</w:t>
      </w:r>
      <w:r>
        <w:rPr>
          <w:spacing w:val="-20"/>
        </w:rPr>
        <w:t> </w:t>
      </w:r>
      <w:r>
        <w:rPr/>
        <w:t>la</w:t>
      </w:r>
      <w:r>
        <w:rPr>
          <w:spacing w:val="-20"/>
        </w:rPr>
        <w:t> </w:t>
      </w:r>
      <w:r>
        <w:rPr/>
        <w:t>Federación</w:t>
      </w:r>
      <w:r>
        <w:rPr>
          <w:spacing w:val="-20"/>
        </w:rPr>
        <w:t> </w:t>
      </w:r>
      <w:r>
        <w:rPr/>
        <w:t>para la</w:t>
      </w:r>
      <w:r>
        <w:rPr>
          <w:spacing w:val="-9"/>
        </w:rPr>
        <w:t> </w:t>
      </w:r>
      <w:r>
        <w:rPr/>
        <w:t>impartición</w:t>
      </w:r>
      <w:r>
        <w:rPr>
          <w:spacing w:val="-9"/>
        </w:rPr>
        <w:t> </w:t>
      </w:r>
      <w:r>
        <w:rPr/>
        <w:t>de</w:t>
      </w:r>
      <w:r>
        <w:rPr>
          <w:spacing w:val="-9"/>
        </w:rPr>
        <w:t> </w:t>
      </w:r>
      <w:r>
        <w:rPr/>
        <w:t>la</w:t>
      </w:r>
      <w:r>
        <w:rPr>
          <w:spacing w:val="-9"/>
        </w:rPr>
        <w:t> </w:t>
      </w:r>
      <w:r>
        <w:rPr/>
        <w:t>justicia</w:t>
      </w:r>
      <w:r>
        <w:rPr>
          <w:spacing w:val="-9"/>
        </w:rPr>
        <w:t> </w:t>
      </w:r>
      <w:r>
        <w:rPr/>
        <w:t>a</w:t>
      </w:r>
      <w:r>
        <w:rPr>
          <w:spacing w:val="-9"/>
        </w:rPr>
        <w:t> </w:t>
      </w:r>
      <w:r>
        <w:rPr/>
        <w:t>los</w:t>
      </w:r>
      <w:r>
        <w:rPr>
          <w:spacing w:val="-7"/>
        </w:rPr>
        <w:t> </w:t>
      </w:r>
      <w:r>
        <w:rPr/>
        <w:t>servidores</w:t>
      </w:r>
      <w:r>
        <w:rPr>
          <w:spacing w:val="-7"/>
        </w:rPr>
        <w:t> </w:t>
      </w:r>
      <w:r>
        <w:rPr/>
        <w:t>públicos,</w:t>
      </w:r>
      <w:r>
        <w:rPr>
          <w:spacing w:val="-6"/>
        </w:rPr>
        <w:t> </w:t>
      </w:r>
      <w:r>
        <w:rPr/>
        <w:t>a</w:t>
      </w:r>
      <w:r>
        <w:rPr>
          <w:spacing w:val="-9"/>
        </w:rPr>
        <w:t> </w:t>
      </w:r>
      <w:r>
        <w:rPr/>
        <w:t>los</w:t>
      </w:r>
      <w:r>
        <w:rPr>
          <w:spacing w:val="-7"/>
        </w:rPr>
        <w:t> </w:t>
      </w:r>
      <w:r>
        <w:rPr/>
        <w:t>que</w:t>
      </w:r>
      <w:r>
        <w:rPr>
          <w:spacing w:val="-9"/>
        </w:rPr>
        <w:t> </w:t>
      </w:r>
      <w:r>
        <w:rPr/>
        <w:t>durante</w:t>
      </w:r>
      <w:r>
        <w:rPr>
          <w:spacing w:val="-9"/>
        </w:rPr>
        <w:t> </w:t>
      </w:r>
      <w:r>
        <w:rPr/>
        <w:t>las averiguaciones previas se les comprobó la comisión de delitos que contravienen el Código Penal</w:t>
      </w:r>
      <w:r>
        <w:rPr>
          <w:spacing w:val="-24"/>
        </w:rPr>
        <w:t> </w:t>
      </w:r>
      <w:r>
        <w:rPr/>
        <w:t>Federal.</w:t>
      </w:r>
    </w:p>
    <w:p>
      <w:pPr>
        <w:pStyle w:val="BodyText"/>
      </w:pPr>
    </w:p>
    <w:p>
      <w:pPr>
        <w:pStyle w:val="BodyText"/>
        <w:spacing w:before="8"/>
        <w:rPr>
          <w:sz w:val="29"/>
        </w:rPr>
      </w:pPr>
    </w:p>
    <w:p>
      <w:pPr>
        <w:pStyle w:val="BodyText"/>
        <w:spacing w:line="360" w:lineRule="auto"/>
        <w:ind w:left="100" w:right="121" w:firstLine="708"/>
        <w:jc w:val="both"/>
      </w:pPr>
      <w:r>
        <w:rPr/>
        <w:t>La revisión de la política evidenció que existe una falta de vinculación del gasto con los objetivos de mediano plazo para afrontar el problema de corrupción. Se determinó que, aunque existen estrategias y líneas de acción en los planes nacionales de desarrollo y los programas sectoriales de mediano plazo, éstos no pudieron operarse por la falta de recursos.</w:t>
      </w:r>
    </w:p>
    <w:p>
      <w:pPr>
        <w:pStyle w:val="BodyText"/>
        <w:spacing w:line="360" w:lineRule="auto" w:before="201"/>
        <w:ind w:left="100" w:right="120" w:firstLine="708"/>
        <w:jc w:val="both"/>
      </w:pPr>
      <w:r>
        <w:rPr/>
        <w:t>Para cumplir con los objetivos de la política pública del PND 2007-2012, la SFP instrumentó el PNRCTCC 2008–2012, como un programa de carácter especial y</w:t>
      </w:r>
      <w:r>
        <w:rPr>
          <w:spacing w:val="-47"/>
        </w:rPr>
        <w:t> </w:t>
      </w:r>
      <w:r>
        <w:rPr/>
        <w:t>de observancia obligatoria para la APF, con el propósito de tener una cultura social de rendición de cuentas, combate a la corrupción y respeto a la legalidad. Aunque el PNRCTCC previó la elaboración de programas anuales para la integración del anteproyecto del presupuesto, en el periodo 2000-2011 no se identificó ningún programa presupuestario cuyos recursos estuvieran vinculados con el combate a la</w:t>
      </w:r>
      <w:r>
        <w:rPr>
          <w:spacing w:val="-25"/>
        </w:rPr>
        <w:t> </w:t>
      </w:r>
      <w:r>
        <w:rPr/>
        <w:t>corrupción.</w:t>
      </w:r>
    </w:p>
    <w:p>
      <w:pPr>
        <w:pStyle w:val="BodyText"/>
        <w:spacing w:line="360" w:lineRule="auto" w:before="2"/>
        <w:ind w:left="100" w:right="122" w:firstLine="427"/>
        <w:jc w:val="both"/>
      </w:pPr>
      <w:r>
        <w:rPr/>
        <w:t>La ASF consideró que en 30 años (1983-2013), la política de combate a la corrupción del gobierno federal no ha establecido acciones sistemáticas para enfrentarla</w:t>
      </w:r>
      <w:r>
        <w:rPr>
          <w:spacing w:val="-8"/>
        </w:rPr>
        <w:t> </w:t>
      </w:r>
      <w:r>
        <w:rPr/>
        <w:t>y</w:t>
      </w:r>
      <w:r>
        <w:rPr>
          <w:spacing w:val="-14"/>
        </w:rPr>
        <w:t> </w:t>
      </w:r>
      <w:r>
        <w:rPr/>
        <w:t>tampoco</w:t>
      </w:r>
      <w:r>
        <w:rPr>
          <w:spacing w:val="-12"/>
        </w:rPr>
        <w:t> </w:t>
      </w:r>
      <w:r>
        <w:rPr/>
        <w:t>ha</w:t>
      </w:r>
      <w:r>
        <w:rPr>
          <w:spacing w:val="-12"/>
        </w:rPr>
        <w:t> </w:t>
      </w:r>
      <w:r>
        <w:rPr/>
        <w:t>coadyuvado</w:t>
      </w:r>
      <w:r>
        <w:rPr>
          <w:spacing w:val="-8"/>
        </w:rPr>
        <w:t> </w:t>
      </w:r>
      <w:r>
        <w:rPr/>
        <w:t>en</w:t>
      </w:r>
      <w:r>
        <w:rPr>
          <w:spacing w:val="-12"/>
        </w:rPr>
        <w:t> </w:t>
      </w:r>
      <w:r>
        <w:rPr/>
        <w:t>el</w:t>
      </w:r>
      <w:r>
        <w:rPr>
          <w:spacing w:val="-11"/>
        </w:rPr>
        <w:t> </w:t>
      </w:r>
      <w:r>
        <w:rPr/>
        <w:t>diseño</w:t>
      </w:r>
      <w:r>
        <w:rPr>
          <w:spacing w:val="-12"/>
        </w:rPr>
        <w:t> </w:t>
      </w:r>
      <w:r>
        <w:rPr/>
        <w:t>de</w:t>
      </w:r>
      <w:r>
        <w:rPr>
          <w:spacing w:val="-12"/>
        </w:rPr>
        <w:t> </w:t>
      </w:r>
      <w:r>
        <w:rPr/>
        <w:t>una</w:t>
      </w:r>
      <w:r>
        <w:rPr>
          <w:spacing w:val="-12"/>
        </w:rPr>
        <w:t> </w:t>
      </w:r>
      <w:r>
        <w:rPr/>
        <w:t>política</w:t>
      </w:r>
      <w:r>
        <w:rPr>
          <w:spacing w:val="-12"/>
        </w:rPr>
        <w:t> </w:t>
      </w:r>
      <w:r>
        <w:rPr/>
        <w:t>de</w:t>
      </w:r>
      <w:r>
        <w:rPr>
          <w:spacing w:val="-12"/>
        </w:rPr>
        <w:t> </w:t>
      </w:r>
      <w:r>
        <w:rPr/>
        <w:t>Estado</w:t>
      </w:r>
      <w:r>
        <w:rPr>
          <w:spacing w:val="-12"/>
        </w:rPr>
        <w:t> </w:t>
      </w:r>
      <w:r>
        <w:rPr/>
        <w:t>con el mismo fin, lo que limitó el establecimiento de protocolos para prevenir, detectar, investigar y sancionar las prácticas indebidas en la</w:t>
      </w:r>
      <w:r>
        <w:rPr>
          <w:spacing w:val="-34"/>
        </w:rPr>
        <w:t> </w:t>
      </w:r>
      <w:r>
        <w:rPr/>
        <w:t>APF.</w:t>
      </w:r>
    </w:p>
    <w:p>
      <w:pPr>
        <w:pStyle w:val="BodyText"/>
        <w:spacing w:line="360" w:lineRule="auto" w:before="5"/>
        <w:ind w:left="100" w:right="125" w:firstLine="427"/>
        <w:jc w:val="both"/>
      </w:pPr>
      <w:r>
        <w:rPr/>
        <w:t>La revisión destacó que a los órganos de control les falta desarrollar las capacidades para consolidar sus objetivos anticorrupción, lo que, aunado a su dependencia con el Poder Ejecutivo, les impide garantizar el cumplimiento de metas y objetivos.</w:t>
      </w:r>
    </w:p>
    <w:p>
      <w:pPr>
        <w:pStyle w:val="BodyText"/>
        <w:spacing w:line="360" w:lineRule="auto" w:before="2"/>
        <w:ind w:left="100" w:right="117" w:firstLine="427"/>
        <w:jc w:val="both"/>
      </w:pPr>
      <w:r>
        <w:rPr/>
        <w:t>De acuerdo con la auditoría, la APF no ha logrado una participación ciudadana permanente y coordinada con los tres órdenes de gobierno y los tres poderes de la Unión.</w:t>
      </w:r>
    </w:p>
    <w:p>
      <w:pPr>
        <w:spacing w:after="0" w:line="360" w:lineRule="auto"/>
        <w:jc w:val="both"/>
        <w:sectPr>
          <w:pgSz w:w="11910" w:h="16840"/>
          <w:pgMar w:header="0" w:footer="998" w:top="1360" w:bottom="1180" w:left="1600" w:right="1580"/>
        </w:sectPr>
      </w:pPr>
    </w:p>
    <w:p>
      <w:pPr>
        <w:pStyle w:val="BodyText"/>
        <w:spacing w:line="360" w:lineRule="auto" w:before="39"/>
        <w:ind w:left="120" w:right="125" w:firstLine="427"/>
        <w:jc w:val="both"/>
      </w:pPr>
      <w:r>
        <w:rPr/>
        <w:t>Lo anterior implica que, en materia de revisión de cuentas, la política del Estado es insuficiente para reducir la corrupción y generar las bases fundacionales</w:t>
      </w:r>
      <w:r>
        <w:rPr>
          <w:spacing w:val="-3"/>
        </w:rPr>
        <w:t> </w:t>
      </w:r>
      <w:r>
        <w:rPr/>
        <w:t>de</w:t>
      </w:r>
      <w:r>
        <w:rPr>
          <w:spacing w:val="-9"/>
        </w:rPr>
        <w:t> </w:t>
      </w:r>
      <w:r>
        <w:rPr/>
        <w:t>una</w:t>
      </w:r>
      <w:r>
        <w:rPr>
          <w:spacing w:val="-9"/>
        </w:rPr>
        <w:t> </w:t>
      </w:r>
      <w:r>
        <w:rPr/>
        <w:t>gobernanza,</w:t>
      </w:r>
      <w:r>
        <w:rPr>
          <w:spacing w:val="-6"/>
        </w:rPr>
        <w:t> </w:t>
      </w:r>
      <w:r>
        <w:rPr/>
        <w:t>por</w:t>
      </w:r>
      <w:r>
        <w:rPr>
          <w:spacing w:val="-3"/>
        </w:rPr>
        <w:t> </w:t>
      </w:r>
      <w:r>
        <w:rPr/>
        <w:t>la</w:t>
      </w:r>
      <w:r>
        <w:rPr>
          <w:spacing w:val="-9"/>
        </w:rPr>
        <w:t> </w:t>
      </w:r>
      <w:r>
        <w:rPr/>
        <w:t>escasa</w:t>
      </w:r>
      <w:r>
        <w:rPr>
          <w:spacing w:val="-9"/>
        </w:rPr>
        <w:t> </w:t>
      </w:r>
      <w:r>
        <w:rPr/>
        <w:t>participación</w:t>
      </w:r>
      <w:r>
        <w:rPr>
          <w:spacing w:val="-9"/>
        </w:rPr>
        <w:t> </w:t>
      </w:r>
      <w:r>
        <w:rPr/>
        <w:t>de</w:t>
      </w:r>
      <w:r>
        <w:rPr>
          <w:spacing w:val="-9"/>
        </w:rPr>
        <w:t> </w:t>
      </w:r>
      <w:r>
        <w:rPr/>
        <w:t>la</w:t>
      </w:r>
      <w:r>
        <w:rPr>
          <w:spacing w:val="-9"/>
        </w:rPr>
        <w:t> </w:t>
      </w:r>
      <w:r>
        <w:rPr/>
        <w:t>sociedad</w:t>
      </w:r>
      <w:r>
        <w:rPr>
          <w:spacing w:val="-5"/>
        </w:rPr>
        <w:t> </w:t>
      </w:r>
      <w:r>
        <w:rPr/>
        <w:t>en la política, </w:t>
      </w:r>
      <w:r>
        <w:rPr>
          <w:spacing w:val="-3"/>
        </w:rPr>
        <w:t>ya </w:t>
      </w:r>
      <w:r>
        <w:rPr/>
        <w:t>que la implementación de la política de combate a la corrupción está</w:t>
      </w:r>
      <w:r>
        <w:rPr>
          <w:spacing w:val="-10"/>
        </w:rPr>
        <w:t> </w:t>
      </w:r>
      <w:r>
        <w:rPr/>
        <w:t>fragmentada.</w:t>
      </w:r>
      <w:r>
        <w:rPr>
          <w:spacing w:val="-7"/>
        </w:rPr>
        <w:t> </w:t>
      </w:r>
      <w:r>
        <w:rPr/>
        <w:t>Lo</w:t>
      </w:r>
      <w:r>
        <w:rPr>
          <w:spacing w:val="-10"/>
        </w:rPr>
        <w:t> </w:t>
      </w:r>
      <w:r>
        <w:rPr/>
        <w:t>anterior</w:t>
      </w:r>
      <w:r>
        <w:rPr>
          <w:spacing w:val="-8"/>
        </w:rPr>
        <w:t> </w:t>
      </w:r>
      <w:r>
        <w:rPr/>
        <w:t>debido</w:t>
      </w:r>
      <w:r>
        <w:rPr>
          <w:spacing w:val="-10"/>
        </w:rPr>
        <w:t> </w:t>
      </w:r>
      <w:r>
        <w:rPr/>
        <w:t>a</w:t>
      </w:r>
      <w:r>
        <w:rPr>
          <w:spacing w:val="-10"/>
        </w:rPr>
        <w:t> </w:t>
      </w:r>
      <w:r>
        <w:rPr/>
        <w:t>que</w:t>
      </w:r>
      <w:r>
        <w:rPr>
          <w:spacing w:val="-10"/>
        </w:rPr>
        <w:t> </w:t>
      </w:r>
      <w:r>
        <w:rPr/>
        <w:t>la</w:t>
      </w:r>
      <w:r>
        <w:rPr>
          <w:spacing w:val="-10"/>
        </w:rPr>
        <w:t> </w:t>
      </w:r>
      <w:r>
        <w:rPr/>
        <w:t>evaluación</w:t>
      </w:r>
      <w:r>
        <w:rPr>
          <w:spacing w:val="-10"/>
        </w:rPr>
        <w:t> </w:t>
      </w:r>
      <w:r>
        <w:rPr/>
        <w:t>de</w:t>
      </w:r>
      <w:r>
        <w:rPr>
          <w:spacing w:val="-10"/>
        </w:rPr>
        <w:t> </w:t>
      </w:r>
      <w:r>
        <w:rPr/>
        <w:t>la</w:t>
      </w:r>
      <w:r>
        <w:rPr>
          <w:spacing w:val="-6"/>
        </w:rPr>
        <w:t> </w:t>
      </w:r>
      <w:r>
        <w:rPr/>
        <w:t>misma</w:t>
      </w:r>
      <w:r>
        <w:rPr>
          <w:spacing w:val="-10"/>
        </w:rPr>
        <w:t> </w:t>
      </w:r>
      <w:r>
        <w:rPr/>
        <w:t>(mediante la fiscalización) indica que sigue pendiente para el Estado disminuir la corrupción, lograr mejores condiciones de vida, y aumentar su</w:t>
      </w:r>
      <w:r>
        <w:rPr>
          <w:spacing w:val="-43"/>
        </w:rPr>
        <w:t> </w:t>
      </w:r>
      <w:r>
        <w:rPr/>
        <w:t>legitimación.</w:t>
      </w:r>
    </w:p>
    <w:p>
      <w:pPr>
        <w:pStyle w:val="BodyText"/>
      </w:pPr>
    </w:p>
    <w:p>
      <w:pPr>
        <w:pStyle w:val="BodyText"/>
      </w:pPr>
    </w:p>
    <w:p>
      <w:pPr>
        <w:pStyle w:val="BodyText"/>
        <w:spacing w:before="10"/>
        <w:rPr>
          <w:sz w:val="23"/>
        </w:rPr>
      </w:pPr>
    </w:p>
    <w:p>
      <w:pPr>
        <w:pStyle w:val="Heading2"/>
        <w:numPr>
          <w:ilvl w:val="1"/>
          <w:numId w:val="69"/>
        </w:numPr>
        <w:tabs>
          <w:tab w:pos="553" w:val="left" w:leader="none"/>
        </w:tabs>
        <w:spacing w:line="240" w:lineRule="auto" w:before="0" w:after="0"/>
        <w:ind w:left="552" w:right="0" w:hanging="432"/>
        <w:jc w:val="both"/>
      </w:pPr>
      <w:bookmarkStart w:name="_bookmark87" w:id="116"/>
      <w:bookmarkEnd w:id="116"/>
      <w:r>
        <w:rPr>
          <w:b w:val="0"/>
        </w:rPr>
      </w:r>
      <w:bookmarkStart w:name="_bookmark87" w:id="117"/>
      <w:bookmarkEnd w:id="117"/>
      <w:r>
        <w:rPr/>
        <w:t>Fo</w:t>
      </w:r>
      <w:r>
        <w:rPr/>
        <w:t>rtalecimiento de la Administración</w:t>
      </w:r>
      <w:r>
        <w:rPr>
          <w:spacing w:val="-18"/>
        </w:rPr>
        <w:t> </w:t>
      </w:r>
      <w:r>
        <w:rPr/>
        <w:t>Pública</w:t>
      </w:r>
    </w:p>
    <w:p>
      <w:pPr>
        <w:pStyle w:val="BodyText"/>
        <w:rPr>
          <w:b/>
          <w:sz w:val="26"/>
        </w:rPr>
      </w:pPr>
    </w:p>
    <w:p>
      <w:pPr>
        <w:pStyle w:val="BodyText"/>
        <w:rPr>
          <w:b/>
          <w:sz w:val="26"/>
        </w:rPr>
      </w:pPr>
    </w:p>
    <w:p>
      <w:pPr>
        <w:pStyle w:val="BodyText"/>
        <w:rPr>
          <w:b/>
          <w:sz w:val="21"/>
        </w:rPr>
      </w:pPr>
    </w:p>
    <w:p>
      <w:pPr>
        <w:pStyle w:val="BodyText"/>
        <w:spacing w:line="360" w:lineRule="auto" w:before="1"/>
        <w:ind w:left="120" w:right="122"/>
        <w:jc w:val="both"/>
      </w:pPr>
      <w:r>
        <w:rPr/>
        <w:t>Todo gobierno que se considere democrático debe rendir cuentas a la sociedad y</w:t>
      </w:r>
      <w:r>
        <w:rPr>
          <w:spacing w:val="-11"/>
        </w:rPr>
        <w:t> </w:t>
      </w:r>
      <w:r>
        <w:rPr/>
        <w:t>sujetarse</w:t>
      </w:r>
      <w:r>
        <w:rPr>
          <w:spacing w:val="-9"/>
        </w:rPr>
        <w:t> </w:t>
      </w:r>
      <w:r>
        <w:rPr/>
        <w:t>al</w:t>
      </w:r>
      <w:r>
        <w:rPr>
          <w:spacing w:val="-6"/>
        </w:rPr>
        <w:t> </w:t>
      </w:r>
      <w:r>
        <w:rPr/>
        <w:t>escrutinio</w:t>
      </w:r>
      <w:r>
        <w:rPr>
          <w:spacing w:val="-6"/>
        </w:rPr>
        <w:t> </w:t>
      </w:r>
      <w:r>
        <w:rPr/>
        <w:t>público.</w:t>
      </w:r>
      <w:r>
        <w:rPr>
          <w:spacing w:val="-4"/>
        </w:rPr>
        <w:t> </w:t>
      </w:r>
      <w:r>
        <w:rPr/>
        <w:t>Las</w:t>
      </w:r>
      <w:r>
        <w:rPr>
          <w:spacing w:val="-4"/>
        </w:rPr>
        <w:t> </w:t>
      </w:r>
      <w:r>
        <w:rPr/>
        <w:t>instituciones</w:t>
      </w:r>
      <w:r>
        <w:rPr>
          <w:spacing w:val="-7"/>
        </w:rPr>
        <w:t> </w:t>
      </w:r>
      <w:r>
        <w:rPr/>
        <w:t>deben</w:t>
      </w:r>
      <w:r>
        <w:rPr>
          <w:spacing w:val="-9"/>
        </w:rPr>
        <w:t> </w:t>
      </w:r>
      <w:r>
        <w:rPr/>
        <w:t>aportar</w:t>
      </w:r>
      <w:r>
        <w:rPr>
          <w:spacing w:val="-4"/>
        </w:rPr>
        <w:t> </w:t>
      </w:r>
      <w:r>
        <w:rPr/>
        <w:t>elementos</w:t>
      </w:r>
      <w:r>
        <w:rPr>
          <w:spacing w:val="-4"/>
        </w:rPr>
        <w:t> </w:t>
      </w:r>
      <w:r>
        <w:rPr/>
        <w:t>para la democracia mediante atender las demandas ciudadanas; disminuir la corrupción; combatir la impunidad; desalentar el uso ineficaz, ineficiente o ilegal de los recursos públicos, e impulsar la participación social para investigar y castigar los ilícitos. Para lograr tales fines, es necesario fortalecer a las instituciones desde sus objetivos, misión, visión y quehacer</w:t>
      </w:r>
      <w:r>
        <w:rPr>
          <w:spacing w:val="-42"/>
        </w:rPr>
        <w:t> </w:t>
      </w:r>
      <w:r>
        <w:rPr/>
        <w:t>cotidiano.</w:t>
      </w:r>
    </w:p>
    <w:p>
      <w:pPr>
        <w:pStyle w:val="BodyText"/>
        <w:spacing w:line="360" w:lineRule="auto" w:before="1"/>
        <w:ind w:left="120" w:right="119" w:firstLine="427"/>
        <w:jc w:val="both"/>
        <w:rPr>
          <w:sz w:val="16"/>
        </w:rPr>
      </w:pPr>
      <w:r>
        <w:rPr/>
        <w:t>En</w:t>
      </w:r>
      <w:r>
        <w:rPr>
          <w:spacing w:val="-18"/>
        </w:rPr>
        <w:t> </w:t>
      </w:r>
      <w:r>
        <w:rPr/>
        <w:t>ese</w:t>
      </w:r>
      <w:r>
        <w:rPr>
          <w:spacing w:val="-18"/>
        </w:rPr>
        <w:t> </w:t>
      </w:r>
      <w:r>
        <w:rPr/>
        <w:t>sentido</w:t>
      </w:r>
      <w:r>
        <w:rPr>
          <w:spacing w:val="-17"/>
        </w:rPr>
        <w:t> </w:t>
      </w:r>
      <w:r>
        <w:rPr/>
        <w:t>el</w:t>
      </w:r>
      <w:r>
        <w:rPr>
          <w:spacing w:val="-17"/>
        </w:rPr>
        <w:t> </w:t>
      </w:r>
      <w:r>
        <w:rPr/>
        <w:t>Sistema</w:t>
      </w:r>
      <w:r>
        <w:rPr>
          <w:spacing w:val="-18"/>
        </w:rPr>
        <w:t> </w:t>
      </w:r>
      <w:r>
        <w:rPr/>
        <w:t>Nacional</w:t>
      </w:r>
      <w:r>
        <w:rPr>
          <w:spacing w:val="-17"/>
        </w:rPr>
        <w:t> </w:t>
      </w:r>
      <w:r>
        <w:rPr/>
        <w:t>de</w:t>
      </w:r>
      <w:r>
        <w:rPr>
          <w:spacing w:val="-14"/>
        </w:rPr>
        <w:t> </w:t>
      </w:r>
      <w:r>
        <w:rPr/>
        <w:t>Fiscalización</w:t>
      </w:r>
      <w:r>
        <w:rPr>
          <w:spacing w:val="-17"/>
        </w:rPr>
        <w:t> </w:t>
      </w:r>
      <w:r>
        <w:rPr/>
        <w:t>(SNF)</w:t>
      </w:r>
      <w:r>
        <w:rPr>
          <w:position w:val="8"/>
          <w:sz w:val="16"/>
        </w:rPr>
        <w:t>148</w:t>
      </w:r>
      <w:r>
        <w:rPr>
          <w:spacing w:val="5"/>
          <w:position w:val="8"/>
          <w:sz w:val="16"/>
        </w:rPr>
        <w:t> </w:t>
      </w:r>
      <w:r>
        <w:rPr/>
        <w:t>que</w:t>
      </w:r>
      <w:r>
        <w:rPr>
          <w:spacing w:val="-18"/>
        </w:rPr>
        <w:t> </w:t>
      </w:r>
      <w:r>
        <w:rPr/>
        <w:t>tiene</w:t>
      </w:r>
      <w:r>
        <w:rPr>
          <w:spacing w:val="-18"/>
        </w:rPr>
        <w:t> </w:t>
      </w:r>
      <w:r>
        <w:rPr/>
        <w:t>como propósito coadyuvar a consolidar una estrategia interinstitucional, mediante la articulación de la auditoría interna y la fiscalización superior, para ello es necesario incentivar la colaboración y corresponsabilidad en el diseño y aplicación de un modelo de mejores prácticas en la</w:t>
      </w:r>
      <w:r>
        <w:rPr>
          <w:spacing w:val="-25"/>
        </w:rPr>
        <w:t> </w:t>
      </w:r>
      <w:r>
        <w:rPr/>
        <w:t>materia.</w:t>
      </w:r>
      <w:r>
        <w:rPr>
          <w:position w:val="8"/>
          <w:sz w:val="16"/>
        </w:rPr>
        <w:t>149</w:t>
      </w:r>
    </w:p>
    <w:p>
      <w:pPr>
        <w:pStyle w:val="BodyText"/>
        <w:spacing w:line="360" w:lineRule="auto"/>
        <w:ind w:left="120" w:right="127" w:firstLine="427"/>
        <w:jc w:val="both"/>
      </w:pPr>
      <w:r>
        <w:rPr/>
        <w:t>El SNF busca establecer un ambiente de coordinación para garantizar a la ciudadanía que los recursos públicos se vigilarán ordenada, sistemática e integralmente.</w:t>
      </w:r>
    </w:p>
    <w:p>
      <w:pPr>
        <w:pStyle w:val="BodyText"/>
        <w:spacing w:line="357" w:lineRule="auto" w:before="6"/>
        <w:ind w:left="120" w:right="122" w:firstLine="427"/>
        <w:jc w:val="both"/>
      </w:pPr>
      <w:r>
        <w:rPr/>
        <w:t>La</w:t>
      </w:r>
      <w:r>
        <w:rPr>
          <w:spacing w:val="-20"/>
        </w:rPr>
        <w:t> </w:t>
      </w:r>
      <w:r>
        <w:rPr/>
        <w:t>auditoría</w:t>
      </w:r>
      <w:r>
        <w:rPr>
          <w:spacing w:val="-20"/>
        </w:rPr>
        <w:t> </w:t>
      </w:r>
      <w:r>
        <w:rPr/>
        <w:t>interna</w:t>
      </w:r>
      <w:r>
        <w:rPr>
          <w:spacing w:val="-20"/>
        </w:rPr>
        <w:t> </w:t>
      </w:r>
      <w:r>
        <w:rPr/>
        <w:t>realizada</w:t>
      </w:r>
      <w:r>
        <w:rPr>
          <w:spacing w:val="-20"/>
        </w:rPr>
        <w:t> </w:t>
      </w:r>
      <w:r>
        <w:rPr/>
        <w:t>por</w:t>
      </w:r>
      <w:r>
        <w:rPr>
          <w:spacing w:val="-19"/>
        </w:rPr>
        <w:t> </w:t>
      </w:r>
      <w:r>
        <w:rPr/>
        <w:t>el</w:t>
      </w:r>
      <w:r>
        <w:rPr>
          <w:spacing w:val="-20"/>
        </w:rPr>
        <w:t> </w:t>
      </w:r>
      <w:r>
        <w:rPr/>
        <w:t>Poder</w:t>
      </w:r>
      <w:r>
        <w:rPr>
          <w:spacing w:val="-19"/>
        </w:rPr>
        <w:t> </w:t>
      </w:r>
      <w:r>
        <w:rPr/>
        <w:t>Ejecutivo</w:t>
      </w:r>
      <w:r>
        <w:rPr>
          <w:spacing w:val="-20"/>
        </w:rPr>
        <w:t> </w:t>
      </w:r>
      <w:r>
        <w:rPr/>
        <w:t>(SFP)</w:t>
      </w:r>
      <w:r>
        <w:rPr>
          <w:spacing w:val="-14"/>
        </w:rPr>
        <w:t> </w:t>
      </w:r>
      <w:r>
        <w:rPr/>
        <w:t>puede</w:t>
      </w:r>
      <w:r>
        <w:rPr>
          <w:spacing w:val="-20"/>
        </w:rPr>
        <w:t> </w:t>
      </w:r>
      <w:r>
        <w:rPr/>
        <w:t>constituirse con un enfoque sistemático y disciplinado, para evaluar y mejorar la</w:t>
      </w:r>
      <w:r>
        <w:rPr>
          <w:spacing w:val="34"/>
        </w:rPr>
        <w:t> </w:t>
      </w:r>
      <w:r>
        <w:rPr/>
        <w:t>efectividad</w:t>
      </w:r>
    </w:p>
    <w:p>
      <w:pPr>
        <w:pStyle w:val="BodyText"/>
        <w:rPr>
          <w:sz w:val="20"/>
        </w:rPr>
      </w:pPr>
    </w:p>
    <w:p>
      <w:pPr>
        <w:pStyle w:val="BodyText"/>
        <w:spacing w:before="1"/>
        <w:rPr>
          <w:sz w:val="26"/>
        </w:rPr>
      </w:pPr>
      <w:r>
        <w:rPr/>
        <w:pict>
          <v:line style="position:absolute;mso-position-horizontal-relative:page;mso-position-vertical-relative:paragraph;z-index:10432;mso-wrap-distance-left:0;mso-wrap-distance-right:0" from="85.025002pt,17.388945pt" to="229.075002pt,17.388945pt" stroked="true" strokeweight=".79999pt" strokecolor="#000000">
            <w10:wrap type="topAndBottom"/>
          </v:line>
        </w:pict>
      </w:r>
    </w:p>
    <w:p>
      <w:pPr>
        <w:spacing w:line="247" w:lineRule="auto" w:before="59"/>
        <w:ind w:left="120" w:right="113" w:firstLine="0"/>
        <w:jc w:val="both"/>
        <w:rPr>
          <w:sz w:val="16"/>
        </w:rPr>
      </w:pPr>
      <w:r>
        <w:rPr>
          <w:rFonts w:ascii="Times New Roman" w:hAnsi="Times New Roman"/>
          <w:position w:val="7"/>
          <w:sz w:val="13"/>
        </w:rPr>
        <w:t>148</w:t>
      </w:r>
      <w:r>
        <w:rPr>
          <w:sz w:val="16"/>
        </w:rPr>
        <w:t>El objetivo del SNF es la articulación legal y operativa de todos los órganos encargados de la fiscalización de los recursos públicos de la nación. Este sistema requiere que los tres órdenes de gobierno tengan una visión, estándares, principios éticos y capacidades técnicas uniformes para combatir la impunidad y la corrupción.</w:t>
      </w:r>
    </w:p>
    <w:p>
      <w:pPr>
        <w:spacing w:line="244" w:lineRule="auto" w:before="17"/>
        <w:ind w:left="120" w:right="123" w:firstLine="0"/>
        <w:jc w:val="both"/>
        <w:rPr>
          <w:sz w:val="16"/>
        </w:rPr>
      </w:pPr>
      <w:r>
        <w:rPr>
          <w:rFonts w:ascii="Cambria" w:hAnsi="Cambria"/>
          <w:position w:val="6"/>
          <w:sz w:val="16"/>
        </w:rPr>
        <w:t>149</w:t>
      </w:r>
      <w:r>
        <w:rPr>
          <w:sz w:val="16"/>
        </w:rPr>
        <w:t>La ASF considera que el SNF tiene por objeto el que las instituciones fiscalizadoras internas y externas, independientemente del poder al que estén suscritas y de su esfera de gobierno, trabajen conjuntamente para lograr revisiones</w:t>
      </w:r>
      <w:r>
        <w:rPr>
          <w:spacing w:val="-6"/>
          <w:sz w:val="16"/>
        </w:rPr>
        <w:t> </w:t>
      </w:r>
      <w:r>
        <w:rPr>
          <w:sz w:val="16"/>
        </w:rPr>
        <w:t>coordinadas,</w:t>
      </w:r>
      <w:r>
        <w:rPr>
          <w:spacing w:val="-3"/>
          <w:sz w:val="16"/>
        </w:rPr>
        <w:t> </w:t>
      </w:r>
      <w:r>
        <w:rPr>
          <w:sz w:val="16"/>
        </w:rPr>
        <w:t>más</w:t>
      </w:r>
      <w:r>
        <w:rPr>
          <w:spacing w:val="-3"/>
          <w:sz w:val="16"/>
        </w:rPr>
        <w:t> </w:t>
      </w:r>
      <w:r>
        <w:rPr>
          <w:sz w:val="16"/>
        </w:rPr>
        <w:t>sistemáticas</w:t>
      </w:r>
      <w:r>
        <w:rPr>
          <w:spacing w:val="-3"/>
          <w:sz w:val="16"/>
        </w:rPr>
        <w:t> </w:t>
      </w:r>
      <w:r>
        <w:rPr>
          <w:sz w:val="16"/>
        </w:rPr>
        <w:t>y</w:t>
      </w:r>
      <w:r>
        <w:rPr>
          <w:spacing w:val="-6"/>
          <w:sz w:val="16"/>
        </w:rPr>
        <w:t> </w:t>
      </w:r>
      <w:r>
        <w:rPr>
          <w:sz w:val="16"/>
        </w:rPr>
        <w:t>de</w:t>
      </w:r>
      <w:r>
        <w:rPr>
          <w:spacing w:val="-3"/>
          <w:sz w:val="16"/>
        </w:rPr>
        <w:t> </w:t>
      </w:r>
      <w:r>
        <w:rPr>
          <w:sz w:val="16"/>
        </w:rPr>
        <w:t>mayor</w:t>
      </w:r>
      <w:r>
        <w:rPr>
          <w:spacing w:val="-4"/>
          <w:sz w:val="16"/>
        </w:rPr>
        <w:t> </w:t>
      </w:r>
      <w:r>
        <w:rPr>
          <w:sz w:val="16"/>
        </w:rPr>
        <w:t>cobertura,</w:t>
      </w:r>
      <w:r>
        <w:rPr>
          <w:spacing w:val="-3"/>
          <w:sz w:val="16"/>
        </w:rPr>
        <w:t> </w:t>
      </w:r>
      <w:r>
        <w:rPr>
          <w:sz w:val="16"/>
        </w:rPr>
        <w:t>lo</w:t>
      </w:r>
      <w:r>
        <w:rPr>
          <w:spacing w:val="-3"/>
          <w:sz w:val="16"/>
        </w:rPr>
        <w:t> </w:t>
      </w:r>
      <w:r>
        <w:rPr>
          <w:sz w:val="16"/>
        </w:rPr>
        <w:t>que</w:t>
      </w:r>
      <w:r>
        <w:rPr>
          <w:spacing w:val="-3"/>
          <w:sz w:val="16"/>
        </w:rPr>
        <w:t> </w:t>
      </w:r>
      <w:r>
        <w:rPr>
          <w:sz w:val="16"/>
        </w:rPr>
        <w:t>permitirá</w:t>
      </w:r>
      <w:r>
        <w:rPr>
          <w:spacing w:val="-3"/>
          <w:sz w:val="16"/>
        </w:rPr>
        <w:t> </w:t>
      </w:r>
      <w:r>
        <w:rPr>
          <w:sz w:val="16"/>
        </w:rPr>
        <w:t>aumentar</w:t>
      </w:r>
      <w:r>
        <w:rPr>
          <w:spacing w:val="-4"/>
          <w:sz w:val="16"/>
        </w:rPr>
        <w:t> </w:t>
      </w:r>
      <w:r>
        <w:rPr>
          <w:sz w:val="16"/>
        </w:rPr>
        <w:t>el</w:t>
      </w:r>
      <w:r>
        <w:rPr>
          <w:spacing w:val="-6"/>
          <w:sz w:val="16"/>
        </w:rPr>
        <w:t> </w:t>
      </w:r>
      <w:r>
        <w:rPr>
          <w:sz w:val="16"/>
        </w:rPr>
        <w:t>alcance</w:t>
      </w:r>
      <w:r>
        <w:rPr>
          <w:spacing w:val="-3"/>
          <w:sz w:val="16"/>
        </w:rPr>
        <w:t> </w:t>
      </w:r>
      <w:r>
        <w:rPr>
          <w:sz w:val="16"/>
        </w:rPr>
        <w:t>de</w:t>
      </w:r>
      <w:r>
        <w:rPr>
          <w:spacing w:val="-3"/>
          <w:sz w:val="16"/>
        </w:rPr>
        <w:t> </w:t>
      </w:r>
      <w:r>
        <w:rPr>
          <w:sz w:val="16"/>
        </w:rPr>
        <w:t>las</w:t>
      </w:r>
      <w:r>
        <w:rPr>
          <w:spacing w:val="-6"/>
          <w:sz w:val="16"/>
        </w:rPr>
        <w:t> </w:t>
      </w:r>
      <w:r>
        <w:rPr>
          <w:sz w:val="16"/>
        </w:rPr>
        <w:t>auditorías</w:t>
      </w:r>
      <w:r>
        <w:rPr>
          <w:spacing w:val="-3"/>
          <w:sz w:val="16"/>
        </w:rPr>
        <w:t> </w:t>
      </w:r>
      <w:r>
        <w:rPr>
          <w:sz w:val="16"/>
        </w:rPr>
        <w:t>y la duplicación u omisión de</w:t>
      </w:r>
      <w:r>
        <w:rPr>
          <w:spacing w:val="-15"/>
          <w:sz w:val="16"/>
        </w:rPr>
        <w:t> </w:t>
      </w:r>
      <w:r>
        <w:rPr>
          <w:sz w:val="16"/>
        </w:rPr>
        <w:t>funciones.</w:t>
      </w:r>
    </w:p>
    <w:p>
      <w:pPr>
        <w:spacing w:after="0" w:line="244" w:lineRule="auto"/>
        <w:jc w:val="both"/>
        <w:rPr>
          <w:sz w:val="16"/>
        </w:rPr>
        <w:sectPr>
          <w:pgSz w:w="11910" w:h="16840"/>
          <w:pgMar w:header="0" w:footer="998" w:top="1360" w:bottom="1180" w:left="1580" w:right="1580"/>
        </w:sectPr>
      </w:pPr>
    </w:p>
    <w:p>
      <w:pPr>
        <w:pStyle w:val="BodyText"/>
        <w:spacing w:line="360" w:lineRule="auto" w:before="39"/>
        <w:ind w:left="100" w:right="121"/>
        <w:jc w:val="both"/>
      </w:pPr>
      <w:r>
        <w:rPr/>
        <w:t>de la gestión del riesgo, del control y de las prácticas de buen gobierno. Por su parte, las Entidades de Fiscalización Superior del Poder Legislativo fiscalizan externamente los recursos que maneja el Estado.</w:t>
      </w:r>
    </w:p>
    <w:p>
      <w:pPr>
        <w:pStyle w:val="BodyText"/>
        <w:spacing w:line="360" w:lineRule="auto" w:before="6"/>
        <w:ind w:left="100" w:right="121" w:firstLine="427"/>
        <w:jc w:val="both"/>
      </w:pPr>
      <w:r>
        <w:rPr/>
        <w:t>El establecimiento de acciones de coordinación entre ambos Poderes es indispensable para la creación de un entorno preventivo sólido. Los niveles de supervisión en las tres órdenes de gobierno deben tener la capacidad y competencia necesaria para mantener una vigilancia suficiente sobre el desempeño de los entes públicos.</w:t>
      </w:r>
    </w:p>
    <w:p>
      <w:pPr>
        <w:pStyle w:val="BodyText"/>
        <w:spacing w:line="360" w:lineRule="auto" w:before="2"/>
        <w:ind w:left="100" w:right="117" w:firstLine="427"/>
        <w:jc w:val="right"/>
      </w:pPr>
      <w:r>
        <w:rPr/>
        <w:t>En el SNF se considera que al no existir coordinación debida ni</w:t>
      </w:r>
      <w:r>
        <w:rPr>
          <w:spacing w:val="51"/>
        </w:rPr>
        <w:t> </w:t>
      </w:r>
      <w:r>
        <w:rPr/>
        <w:t>contar</w:t>
      </w:r>
      <w:r>
        <w:rPr>
          <w:spacing w:val="10"/>
        </w:rPr>
        <w:t> </w:t>
      </w:r>
      <w:r>
        <w:rPr/>
        <w:t>con</w:t>
      </w:r>
      <w:r>
        <w:rPr>
          <w:w w:val="99"/>
        </w:rPr>
        <w:t> </w:t>
      </w:r>
      <w:r>
        <w:rPr/>
        <w:t>políticas comunes, las instituciones muestran limitaciones. La</w:t>
      </w:r>
      <w:r>
        <w:rPr>
          <w:spacing w:val="8"/>
        </w:rPr>
        <w:t> </w:t>
      </w:r>
      <w:r>
        <w:rPr/>
        <w:t>fragmentación</w:t>
      </w:r>
      <w:r>
        <w:rPr>
          <w:spacing w:val="-3"/>
        </w:rPr>
        <w:t> </w:t>
      </w:r>
      <w:r>
        <w:rPr/>
        <w:t>de</w:t>
      </w:r>
      <w:r>
        <w:rPr>
          <w:w w:val="99"/>
        </w:rPr>
        <w:t> </w:t>
      </w:r>
      <w:r>
        <w:rPr/>
        <w:t>los</w:t>
      </w:r>
      <w:r>
        <w:rPr>
          <w:spacing w:val="-7"/>
        </w:rPr>
        <w:t> </w:t>
      </w:r>
      <w:r>
        <w:rPr/>
        <w:t>esfuerzos</w:t>
      </w:r>
      <w:r>
        <w:rPr>
          <w:spacing w:val="-7"/>
        </w:rPr>
        <w:t> </w:t>
      </w:r>
      <w:r>
        <w:rPr/>
        <w:t>por</w:t>
      </w:r>
      <w:r>
        <w:rPr>
          <w:spacing w:val="-7"/>
        </w:rPr>
        <w:t> </w:t>
      </w:r>
      <w:r>
        <w:rPr/>
        <w:t>vigilar</w:t>
      </w:r>
      <w:r>
        <w:rPr>
          <w:spacing w:val="-7"/>
        </w:rPr>
        <w:t> </w:t>
      </w:r>
      <w:r>
        <w:rPr/>
        <w:t>el</w:t>
      </w:r>
      <w:r>
        <w:rPr>
          <w:spacing w:val="-8"/>
        </w:rPr>
        <w:t> </w:t>
      </w:r>
      <w:r>
        <w:rPr/>
        <w:t>uso</w:t>
      </w:r>
      <w:r>
        <w:rPr>
          <w:spacing w:val="-9"/>
        </w:rPr>
        <w:t> </w:t>
      </w:r>
      <w:r>
        <w:rPr/>
        <w:t>de</w:t>
      </w:r>
      <w:r>
        <w:rPr>
          <w:spacing w:val="-9"/>
        </w:rPr>
        <w:t> </w:t>
      </w:r>
      <w:r>
        <w:rPr/>
        <w:t>los</w:t>
      </w:r>
      <w:r>
        <w:rPr>
          <w:spacing w:val="-7"/>
        </w:rPr>
        <w:t> </w:t>
      </w:r>
      <w:r>
        <w:rPr/>
        <w:t>recursos</w:t>
      </w:r>
      <w:r>
        <w:rPr>
          <w:spacing w:val="-7"/>
        </w:rPr>
        <w:t> </w:t>
      </w:r>
      <w:r>
        <w:rPr/>
        <w:t>públicos</w:t>
      </w:r>
      <w:r>
        <w:rPr>
          <w:spacing w:val="-7"/>
        </w:rPr>
        <w:t> </w:t>
      </w:r>
      <w:r>
        <w:rPr/>
        <w:t>a</w:t>
      </w:r>
      <w:r>
        <w:rPr>
          <w:spacing w:val="-9"/>
        </w:rPr>
        <w:t> </w:t>
      </w:r>
      <w:r>
        <w:rPr/>
        <w:t>nivel</w:t>
      </w:r>
      <w:r>
        <w:rPr>
          <w:spacing w:val="-8"/>
        </w:rPr>
        <w:t> </w:t>
      </w:r>
      <w:r>
        <w:rPr/>
        <w:t>municipal,</w:t>
      </w:r>
      <w:r>
        <w:rPr>
          <w:spacing w:val="-6"/>
        </w:rPr>
        <w:t> </w:t>
      </w:r>
      <w:r>
        <w:rPr/>
        <w:t>estatal</w:t>
      </w:r>
      <w:r>
        <w:rPr>
          <w:w w:val="99"/>
        </w:rPr>
        <w:t> </w:t>
      </w:r>
      <w:r>
        <w:rPr/>
        <w:t>y</w:t>
      </w:r>
      <w:r>
        <w:rPr>
          <w:spacing w:val="-15"/>
        </w:rPr>
        <w:t> </w:t>
      </w:r>
      <w:r>
        <w:rPr/>
        <w:t>federal,</w:t>
      </w:r>
      <w:r>
        <w:rPr>
          <w:spacing w:val="-10"/>
        </w:rPr>
        <w:t> </w:t>
      </w:r>
      <w:r>
        <w:rPr/>
        <w:t>ha</w:t>
      </w:r>
      <w:r>
        <w:rPr>
          <w:spacing w:val="-13"/>
        </w:rPr>
        <w:t> </w:t>
      </w:r>
      <w:r>
        <w:rPr/>
        <w:t>dejado</w:t>
      </w:r>
      <w:r>
        <w:rPr>
          <w:spacing w:val="-13"/>
        </w:rPr>
        <w:t> </w:t>
      </w:r>
      <w:r>
        <w:rPr/>
        <w:t>espacios</w:t>
      </w:r>
      <w:r>
        <w:rPr>
          <w:spacing w:val="-11"/>
        </w:rPr>
        <w:t> </w:t>
      </w:r>
      <w:r>
        <w:rPr/>
        <w:t>a</w:t>
      </w:r>
      <w:r>
        <w:rPr>
          <w:spacing w:val="-13"/>
        </w:rPr>
        <w:t> </w:t>
      </w:r>
      <w:r>
        <w:rPr/>
        <w:t>la</w:t>
      </w:r>
      <w:r>
        <w:rPr>
          <w:spacing w:val="-13"/>
        </w:rPr>
        <w:t> </w:t>
      </w:r>
      <w:r>
        <w:rPr/>
        <w:t>opacidad,</w:t>
      </w:r>
      <w:r>
        <w:rPr>
          <w:spacing w:val="-10"/>
        </w:rPr>
        <w:t> </w:t>
      </w:r>
      <w:r>
        <w:rPr/>
        <w:t>a</w:t>
      </w:r>
      <w:r>
        <w:rPr>
          <w:spacing w:val="-13"/>
        </w:rPr>
        <w:t> </w:t>
      </w:r>
      <w:r>
        <w:rPr/>
        <w:t>la</w:t>
      </w:r>
      <w:r>
        <w:rPr>
          <w:spacing w:val="-13"/>
        </w:rPr>
        <w:t> </w:t>
      </w:r>
      <w:r>
        <w:rPr/>
        <w:t>discrecionalidad</w:t>
      </w:r>
      <w:r>
        <w:rPr>
          <w:spacing w:val="-13"/>
        </w:rPr>
        <w:t> </w:t>
      </w:r>
      <w:r>
        <w:rPr/>
        <w:t>y</w:t>
      </w:r>
      <w:r>
        <w:rPr>
          <w:spacing w:val="-15"/>
        </w:rPr>
        <w:t> </w:t>
      </w:r>
      <w:r>
        <w:rPr/>
        <w:t>la</w:t>
      </w:r>
      <w:r>
        <w:rPr>
          <w:spacing w:val="-13"/>
        </w:rPr>
        <w:t> </w:t>
      </w:r>
      <w:r>
        <w:rPr/>
        <w:t>corrupción.</w:t>
      </w:r>
      <w:r>
        <w:rPr>
          <w:w w:val="100"/>
        </w:rPr>
        <w:t> </w:t>
      </w:r>
      <w:r>
        <w:rPr/>
        <w:t>El SNF pretende formar un frente común, en los tres ámbitos de</w:t>
      </w:r>
      <w:r>
        <w:rPr>
          <w:spacing w:val="37"/>
        </w:rPr>
        <w:t> </w:t>
      </w:r>
      <w:r>
        <w:rPr/>
        <w:t>gobierno</w:t>
      </w:r>
      <w:r>
        <w:rPr>
          <w:spacing w:val="4"/>
        </w:rPr>
        <w:t> </w:t>
      </w:r>
      <w:r>
        <w:rPr/>
        <w:t>y desde todos los enfoques (académico e institucional), para examinar a</w:t>
      </w:r>
      <w:r>
        <w:rPr>
          <w:spacing w:val="30"/>
        </w:rPr>
        <w:t> </w:t>
      </w:r>
      <w:r>
        <w:rPr/>
        <w:t>fondo</w:t>
      </w:r>
      <w:r>
        <w:rPr>
          <w:spacing w:val="1"/>
        </w:rPr>
        <w:t> </w:t>
      </w:r>
      <w:r>
        <w:rPr/>
        <w:t>la</w:t>
      </w:r>
      <w:r>
        <w:rPr>
          <w:w w:val="99"/>
        </w:rPr>
        <w:t> </w:t>
      </w:r>
      <w:r>
        <w:rPr/>
        <w:t>gestión pública, con el fin de mejorar sustancialmente la rendición de  </w:t>
      </w:r>
      <w:r>
        <w:rPr>
          <w:spacing w:val="12"/>
        </w:rPr>
        <w:t> </w:t>
      </w:r>
      <w:r>
        <w:rPr/>
        <w:t>cuentas.</w:t>
      </w:r>
    </w:p>
    <w:p>
      <w:pPr>
        <w:pStyle w:val="BodyText"/>
        <w:spacing w:line="360" w:lineRule="auto" w:before="5"/>
        <w:ind w:left="100" w:right="127"/>
        <w:jc w:val="both"/>
      </w:pPr>
      <w:r>
        <w:rPr/>
        <w:t>La fragmentación tendería subsanarse a través de la implementación de esta medida de política coordinada.</w:t>
      </w:r>
    </w:p>
    <w:p>
      <w:pPr>
        <w:pStyle w:val="BodyText"/>
      </w:pPr>
    </w:p>
    <w:p>
      <w:pPr>
        <w:pStyle w:val="BodyText"/>
        <w:spacing w:before="142"/>
        <w:ind w:left="528" w:right="86"/>
      </w:pPr>
      <w:r>
        <w:rPr/>
        <w:t>El SNF sugiere las medidas siguientes:</w:t>
      </w:r>
    </w:p>
    <w:p>
      <w:pPr>
        <w:pStyle w:val="ListParagraph"/>
        <w:numPr>
          <w:ilvl w:val="0"/>
          <w:numId w:val="85"/>
        </w:numPr>
        <w:tabs>
          <w:tab w:pos="821" w:val="left" w:leader="none"/>
        </w:tabs>
        <w:spacing w:line="357" w:lineRule="auto" w:before="140" w:after="0"/>
        <w:ind w:left="821" w:right="129" w:hanging="361"/>
        <w:jc w:val="both"/>
        <w:rPr>
          <w:sz w:val="24"/>
        </w:rPr>
      </w:pPr>
      <w:r>
        <w:rPr>
          <w:sz w:val="24"/>
        </w:rPr>
        <w:t>Contar con una norma que establezca controles internos eficaces que se ajusten a los modelos internacionales </w:t>
      </w:r>
      <w:r>
        <w:rPr>
          <w:spacing w:val="-2"/>
          <w:sz w:val="24"/>
        </w:rPr>
        <w:t>más</w:t>
      </w:r>
      <w:r>
        <w:rPr>
          <w:spacing w:val="-24"/>
          <w:sz w:val="24"/>
        </w:rPr>
        <w:t> </w:t>
      </w:r>
      <w:r>
        <w:rPr>
          <w:sz w:val="24"/>
        </w:rPr>
        <w:t>reconocidos.</w:t>
      </w:r>
    </w:p>
    <w:p>
      <w:pPr>
        <w:pStyle w:val="ListParagraph"/>
        <w:numPr>
          <w:ilvl w:val="0"/>
          <w:numId w:val="85"/>
        </w:numPr>
        <w:tabs>
          <w:tab w:pos="821" w:val="left" w:leader="none"/>
        </w:tabs>
        <w:spacing w:line="240" w:lineRule="auto" w:before="9" w:after="0"/>
        <w:ind w:left="821" w:right="0" w:hanging="361"/>
        <w:jc w:val="left"/>
        <w:rPr>
          <w:sz w:val="24"/>
        </w:rPr>
      </w:pPr>
      <w:r>
        <w:rPr>
          <w:sz w:val="24"/>
        </w:rPr>
        <w:t>Los órganos de control internos deben realizar</w:t>
      </w:r>
      <w:r>
        <w:rPr>
          <w:spacing w:val="-36"/>
          <w:sz w:val="24"/>
        </w:rPr>
        <w:t> </w:t>
      </w:r>
      <w:r>
        <w:rPr>
          <w:sz w:val="24"/>
        </w:rPr>
        <w:t>autoevaluaciones.</w:t>
      </w:r>
    </w:p>
    <w:p>
      <w:pPr>
        <w:pStyle w:val="ListParagraph"/>
        <w:numPr>
          <w:ilvl w:val="0"/>
          <w:numId w:val="85"/>
        </w:numPr>
        <w:tabs>
          <w:tab w:pos="821" w:val="left" w:leader="none"/>
        </w:tabs>
        <w:spacing w:line="360" w:lineRule="auto" w:before="136" w:after="0"/>
        <w:ind w:left="821" w:right="126" w:hanging="361"/>
        <w:jc w:val="both"/>
        <w:rPr>
          <w:sz w:val="24"/>
        </w:rPr>
      </w:pPr>
      <w:r>
        <w:rPr>
          <w:sz w:val="24"/>
        </w:rPr>
        <w:t>Garantizar que las entidades fiscalizadoras superiores de las legislaturas locales realicen su trabajo de forma conjunta con los auditores internos y los controles</w:t>
      </w:r>
      <w:r>
        <w:rPr>
          <w:spacing w:val="-16"/>
          <w:sz w:val="24"/>
        </w:rPr>
        <w:t> </w:t>
      </w:r>
      <w:r>
        <w:rPr>
          <w:sz w:val="24"/>
        </w:rPr>
        <w:t>internos</w:t>
      </w:r>
    </w:p>
    <w:p>
      <w:pPr>
        <w:pStyle w:val="BodyText"/>
      </w:pPr>
    </w:p>
    <w:p>
      <w:pPr>
        <w:pStyle w:val="BodyText"/>
        <w:spacing w:line="360" w:lineRule="auto" w:before="142"/>
        <w:ind w:left="100" w:right="122" w:firstLine="427"/>
        <w:jc w:val="both"/>
      </w:pPr>
      <w:r>
        <w:rPr/>
        <w:t>El 22 de noviembre de 2012, las Comisiones Unidas de Gobernación y de Seguridad Pública, emitieron el dictamen con proyecto de decreto que reforma, adiciona y deroga diversas disposiciones de la LOAPF. En el documento se presentó la propuesta de reorganizar la estructura de la APF.</w:t>
      </w:r>
    </w:p>
    <w:p>
      <w:pPr>
        <w:pStyle w:val="BodyText"/>
      </w:pPr>
    </w:p>
    <w:p>
      <w:pPr>
        <w:pStyle w:val="BodyText"/>
        <w:spacing w:line="362" w:lineRule="auto" w:before="142"/>
        <w:ind w:left="100" w:right="126" w:firstLine="427"/>
        <w:jc w:val="both"/>
      </w:pPr>
      <w:r>
        <w:rPr/>
        <w:t>En la propuesta se consideró la creación de un nuevo régimen de control gubernamental, la eliminación de la SFP y distribuir sus facultades en  distintas</w:t>
      </w:r>
    </w:p>
    <w:p>
      <w:pPr>
        <w:spacing w:after="0" w:line="362" w:lineRule="auto"/>
        <w:jc w:val="both"/>
        <w:sectPr>
          <w:pgSz w:w="11910" w:h="16840"/>
          <w:pgMar w:header="0" w:footer="998" w:top="1360" w:bottom="1180" w:left="1600" w:right="1580"/>
        </w:sectPr>
      </w:pPr>
    </w:p>
    <w:p>
      <w:pPr>
        <w:pStyle w:val="BodyText"/>
        <w:spacing w:line="362" w:lineRule="auto" w:before="39"/>
        <w:ind w:left="120" w:right="18"/>
        <w:rPr>
          <w:sz w:val="14"/>
        </w:rPr>
      </w:pPr>
      <w:r>
        <w:rPr/>
        <w:t>dependencias y órganos (principalmente en la SHCP), consolidar las unidades de auditoría preventiva en la APF y crear un órgano con autonomía técnica.</w:t>
      </w:r>
      <w:r>
        <w:rPr>
          <w:position w:val="8"/>
          <w:sz w:val="14"/>
        </w:rPr>
        <w:t>150</w:t>
      </w:r>
    </w:p>
    <w:p>
      <w:pPr>
        <w:pStyle w:val="BodyText"/>
        <w:spacing w:line="360" w:lineRule="auto"/>
        <w:ind w:left="120" w:right="124" w:firstLine="427"/>
        <w:jc w:val="both"/>
      </w:pPr>
      <w:r>
        <w:rPr/>
        <w:t>En el dictamen se consideró que el diseño orgánico de la APF, desde la creación de la Secretaría de la Contraloría, en 1982, ha sido insatisfactorio. El documento consideró que el combate a la corrupción requiere la participación activa de la sociedad y de nuevas instituciones.</w:t>
      </w:r>
    </w:p>
    <w:p>
      <w:pPr>
        <w:pStyle w:val="BodyText"/>
        <w:spacing w:line="360" w:lineRule="auto" w:before="2"/>
        <w:ind w:left="120" w:right="118" w:firstLine="427"/>
        <w:jc w:val="both"/>
      </w:pPr>
      <w:r>
        <w:rPr/>
        <w:t>El</w:t>
      </w:r>
      <w:r>
        <w:rPr>
          <w:spacing w:val="-12"/>
        </w:rPr>
        <w:t> </w:t>
      </w:r>
      <w:r>
        <w:rPr/>
        <w:t>documento</w:t>
      </w:r>
      <w:r>
        <w:rPr>
          <w:spacing w:val="-12"/>
        </w:rPr>
        <w:t> </w:t>
      </w:r>
      <w:r>
        <w:rPr/>
        <w:t>prevé</w:t>
      </w:r>
      <w:r>
        <w:rPr>
          <w:spacing w:val="-12"/>
        </w:rPr>
        <w:t> </w:t>
      </w:r>
      <w:r>
        <w:rPr/>
        <w:t>que</w:t>
      </w:r>
      <w:r>
        <w:rPr>
          <w:spacing w:val="-12"/>
        </w:rPr>
        <w:t> </w:t>
      </w:r>
      <w:r>
        <w:rPr/>
        <w:t>cada</w:t>
      </w:r>
      <w:r>
        <w:rPr>
          <w:spacing w:val="-12"/>
        </w:rPr>
        <w:t> </w:t>
      </w:r>
      <w:r>
        <w:rPr/>
        <w:t>dependencia</w:t>
      </w:r>
      <w:r>
        <w:rPr>
          <w:spacing w:val="-8"/>
        </w:rPr>
        <w:t> </w:t>
      </w:r>
      <w:r>
        <w:rPr/>
        <w:t>y</w:t>
      </w:r>
      <w:r>
        <w:rPr>
          <w:spacing w:val="-14"/>
        </w:rPr>
        <w:t> </w:t>
      </w:r>
      <w:r>
        <w:rPr/>
        <w:t>entidad</w:t>
      </w:r>
      <w:r>
        <w:rPr>
          <w:spacing w:val="-12"/>
        </w:rPr>
        <w:t> </w:t>
      </w:r>
      <w:r>
        <w:rPr/>
        <w:t>cuente</w:t>
      </w:r>
      <w:r>
        <w:rPr>
          <w:spacing w:val="-12"/>
        </w:rPr>
        <w:t> </w:t>
      </w:r>
      <w:r>
        <w:rPr/>
        <w:t>con</w:t>
      </w:r>
      <w:r>
        <w:rPr>
          <w:spacing w:val="-12"/>
        </w:rPr>
        <w:t> </w:t>
      </w:r>
      <w:r>
        <w:rPr/>
        <w:t>una</w:t>
      </w:r>
      <w:r>
        <w:rPr>
          <w:spacing w:val="-12"/>
        </w:rPr>
        <w:t> </w:t>
      </w:r>
      <w:r>
        <w:rPr/>
        <w:t>unidad de auditoría preventiva, basado en las estructuras de los órganos internos de control, orientados a vigilar el cumplimiento del marco jurídico y normativo. Se propone que éstas formen parte del</w:t>
      </w:r>
      <w:r>
        <w:rPr>
          <w:spacing w:val="-20"/>
        </w:rPr>
        <w:t> </w:t>
      </w:r>
      <w:r>
        <w:rPr/>
        <w:t>SNF.</w:t>
      </w:r>
    </w:p>
    <w:p>
      <w:pPr>
        <w:pStyle w:val="BodyText"/>
        <w:spacing w:line="360" w:lineRule="auto" w:before="2"/>
        <w:ind w:left="120" w:right="124" w:firstLine="359"/>
        <w:jc w:val="both"/>
      </w:pPr>
      <w:r>
        <w:rPr/>
        <w:t>La</w:t>
      </w:r>
      <w:r>
        <w:rPr>
          <w:spacing w:val="-13"/>
        </w:rPr>
        <w:t> </w:t>
      </w:r>
      <w:r>
        <w:rPr/>
        <w:t>reforma</w:t>
      </w:r>
      <w:r>
        <w:rPr>
          <w:spacing w:val="-12"/>
        </w:rPr>
        <w:t> </w:t>
      </w:r>
      <w:r>
        <w:rPr/>
        <w:t>a</w:t>
      </w:r>
      <w:r>
        <w:rPr>
          <w:spacing w:val="-13"/>
        </w:rPr>
        <w:t> </w:t>
      </w:r>
      <w:r>
        <w:rPr/>
        <w:t>la</w:t>
      </w:r>
      <w:r>
        <w:rPr>
          <w:spacing w:val="-13"/>
        </w:rPr>
        <w:t> </w:t>
      </w:r>
      <w:r>
        <w:rPr/>
        <w:t>LOAPF</w:t>
      </w:r>
      <w:r>
        <w:rPr>
          <w:spacing w:val="-10"/>
        </w:rPr>
        <w:t> </w:t>
      </w:r>
      <w:r>
        <w:rPr/>
        <w:t>efectuada</w:t>
      </w:r>
      <w:r>
        <w:rPr>
          <w:spacing w:val="-13"/>
        </w:rPr>
        <w:t> </w:t>
      </w:r>
      <w:r>
        <w:rPr/>
        <w:t>el</w:t>
      </w:r>
      <w:r>
        <w:rPr>
          <w:spacing w:val="-12"/>
        </w:rPr>
        <w:t> </w:t>
      </w:r>
      <w:r>
        <w:rPr/>
        <w:t>2</w:t>
      </w:r>
      <w:r>
        <w:rPr>
          <w:spacing w:val="-13"/>
        </w:rPr>
        <w:t> </w:t>
      </w:r>
      <w:r>
        <w:rPr/>
        <w:t>de</w:t>
      </w:r>
      <w:r>
        <w:rPr>
          <w:spacing w:val="-13"/>
        </w:rPr>
        <w:t> </w:t>
      </w:r>
      <w:r>
        <w:rPr/>
        <w:t>enero</w:t>
      </w:r>
      <w:r>
        <w:rPr>
          <w:spacing w:val="-13"/>
        </w:rPr>
        <w:t> </w:t>
      </w:r>
      <w:r>
        <w:rPr/>
        <w:t>de</w:t>
      </w:r>
      <w:r>
        <w:rPr>
          <w:spacing w:val="-13"/>
        </w:rPr>
        <w:t> </w:t>
      </w:r>
      <w:r>
        <w:rPr/>
        <w:t>2013,</w:t>
      </w:r>
      <w:r>
        <w:rPr>
          <w:spacing w:val="-10"/>
        </w:rPr>
        <w:t> </w:t>
      </w:r>
      <w:r>
        <w:rPr/>
        <w:t>para</w:t>
      </w:r>
      <w:r>
        <w:rPr>
          <w:spacing w:val="-13"/>
        </w:rPr>
        <w:t> </w:t>
      </w:r>
      <w:r>
        <w:rPr/>
        <w:t>otorgar</w:t>
      </w:r>
      <w:r>
        <w:rPr>
          <w:spacing w:val="-11"/>
        </w:rPr>
        <w:t> </w:t>
      </w:r>
      <w:r>
        <w:rPr/>
        <w:t>nuevas atribuciones a la SHCP que anteriormente correspondían a la SFP sobre las actividades preventivas y de detección en la APF en los puntos</w:t>
      </w:r>
      <w:r>
        <w:rPr>
          <w:spacing w:val="-44"/>
        </w:rPr>
        <w:t> </w:t>
      </w:r>
      <w:r>
        <w:rPr/>
        <w:t>siguientes:</w:t>
      </w:r>
    </w:p>
    <w:p>
      <w:pPr>
        <w:pStyle w:val="BodyText"/>
      </w:pPr>
    </w:p>
    <w:p>
      <w:pPr>
        <w:pStyle w:val="ListParagraph"/>
        <w:numPr>
          <w:ilvl w:val="0"/>
          <w:numId w:val="86"/>
        </w:numPr>
        <w:tabs>
          <w:tab w:pos="841" w:val="left" w:leader="none"/>
        </w:tabs>
        <w:spacing w:line="240" w:lineRule="auto" w:before="142" w:after="0"/>
        <w:ind w:left="841" w:right="0" w:hanging="361"/>
        <w:jc w:val="left"/>
        <w:rPr>
          <w:sz w:val="24"/>
        </w:rPr>
      </w:pPr>
      <w:r>
        <w:rPr>
          <w:sz w:val="24"/>
        </w:rPr>
        <w:t>Coordinar y supervisar el control</w:t>
      </w:r>
      <w:r>
        <w:rPr>
          <w:spacing w:val="-26"/>
          <w:sz w:val="24"/>
        </w:rPr>
        <w:t> </w:t>
      </w:r>
      <w:r>
        <w:rPr>
          <w:sz w:val="24"/>
        </w:rPr>
        <w:t>gubernamental;</w:t>
      </w:r>
    </w:p>
    <w:p>
      <w:pPr>
        <w:pStyle w:val="ListParagraph"/>
        <w:numPr>
          <w:ilvl w:val="0"/>
          <w:numId w:val="86"/>
        </w:numPr>
        <w:tabs>
          <w:tab w:pos="841" w:val="left" w:leader="none"/>
        </w:tabs>
        <w:spacing w:line="360" w:lineRule="auto" w:before="140" w:after="0"/>
        <w:ind w:left="841" w:right="127" w:hanging="361"/>
        <w:jc w:val="both"/>
        <w:rPr>
          <w:sz w:val="24"/>
        </w:rPr>
      </w:pPr>
      <w:r>
        <w:rPr>
          <w:sz w:val="24"/>
        </w:rPr>
        <w:t>Emitir normas para que los recursos humanos y patrimoniales sean aplicados con criterios de eficiencia y simplificación</w:t>
      </w:r>
      <w:r>
        <w:rPr>
          <w:spacing w:val="-40"/>
          <w:sz w:val="24"/>
        </w:rPr>
        <w:t> </w:t>
      </w:r>
      <w:r>
        <w:rPr>
          <w:sz w:val="24"/>
        </w:rPr>
        <w:t>administrativa;</w:t>
      </w:r>
    </w:p>
    <w:p>
      <w:pPr>
        <w:pStyle w:val="ListParagraph"/>
        <w:numPr>
          <w:ilvl w:val="0"/>
          <w:numId w:val="86"/>
        </w:numPr>
        <w:tabs>
          <w:tab w:pos="841" w:val="left" w:leader="none"/>
        </w:tabs>
        <w:spacing w:line="240" w:lineRule="auto" w:before="6" w:after="0"/>
        <w:ind w:left="841" w:right="0" w:hanging="361"/>
        <w:jc w:val="left"/>
        <w:rPr>
          <w:sz w:val="24"/>
        </w:rPr>
      </w:pPr>
      <w:r>
        <w:rPr>
          <w:sz w:val="24"/>
        </w:rPr>
        <w:t>Coordinar el desarrollo administrativo integral en la</w:t>
      </w:r>
      <w:r>
        <w:rPr>
          <w:spacing w:val="-32"/>
          <w:sz w:val="24"/>
        </w:rPr>
        <w:t> </w:t>
      </w:r>
      <w:r>
        <w:rPr>
          <w:sz w:val="24"/>
        </w:rPr>
        <w:t>APF.</w:t>
      </w:r>
    </w:p>
    <w:p>
      <w:pPr>
        <w:pStyle w:val="ListParagraph"/>
        <w:numPr>
          <w:ilvl w:val="0"/>
          <w:numId w:val="86"/>
        </w:numPr>
        <w:tabs>
          <w:tab w:pos="841" w:val="left" w:leader="none"/>
        </w:tabs>
        <w:spacing w:line="362" w:lineRule="auto" w:before="136" w:after="0"/>
        <w:ind w:left="841" w:right="129" w:hanging="361"/>
        <w:jc w:val="both"/>
        <w:rPr>
          <w:sz w:val="24"/>
        </w:rPr>
      </w:pPr>
      <w:r>
        <w:rPr>
          <w:sz w:val="24"/>
        </w:rPr>
        <w:t>Expedir</w:t>
      </w:r>
      <w:r>
        <w:rPr>
          <w:spacing w:val="-4"/>
          <w:sz w:val="24"/>
        </w:rPr>
        <w:t> </w:t>
      </w:r>
      <w:r>
        <w:rPr>
          <w:sz w:val="24"/>
        </w:rPr>
        <w:t>las</w:t>
      </w:r>
      <w:r>
        <w:rPr>
          <w:spacing w:val="-4"/>
          <w:sz w:val="24"/>
        </w:rPr>
        <w:t> </w:t>
      </w:r>
      <w:r>
        <w:rPr>
          <w:sz w:val="24"/>
        </w:rPr>
        <w:t>normas</w:t>
      </w:r>
      <w:r>
        <w:rPr>
          <w:spacing w:val="-4"/>
          <w:sz w:val="24"/>
        </w:rPr>
        <w:t> </w:t>
      </w:r>
      <w:r>
        <w:rPr>
          <w:sz w:val="24"/>
        </w:rPr>
        <w:t>y</w:t>
      </w:r>
      <w:r>
        <w:rPr>
          <w:spacing w:val="-9"/>
          <w:sz w:val="24"/>
        </w:rPr>
        <w:t> </w:t>
      </w:r>
      <w:r>
        <w:rPr>
          <w:sz w:val="24"/>
        </w:rPr>
        <w:t>procedimientos</w:t>
      </w:r>
      <w:r>
        <w:rPr>
          <w:spacing w:val="-4"/>
          <w:sz w:val="24"/>
        </w:rPr>
        <w:t> </w:t>
      </w:r>
      <w:r>
        <w:rPr>
          <w:sz w:val="24"/>
        </w:rPr>
        <w:t>para</w:t>
      </w:r>
      <w:r>
        <w:rPr>
          <w:spacing w:val="-6"/>
          <w:sz w:val="24"/>
        </w:rPr>
        <w:t> </w:t>
      </w:r>
      <w:r>
        <w:rPr>
          <w:sz w:val="24"/>
        </w:rPr>
        <w:t>la</w:t>
      </w:r>
      <w:r>
        <w:rPr>
          <w:spacing w:val="-6"/>
          <w:sz w:val="24"/>
        </w:rPr>
        <w:t> </w:t>
      </w:r>
      <w:r>
        <w:rPr>
          <w:sz w:val="24"/>
        </w:rPr>
        <w:t>práctica</w:t>
      </w:r>
      <w:r>
        <w:rPr>
          <w:spacing w:val="-6"/>
          <w:sz w:val="24"/>
        </w:rPr>
        <w:t> </w:t>
      </w:r>
      <w:r>
        <w:rPr>
          <w:sz w:val="24"/>
        </w:rPr>
        <w:t>de</w:t>
      </w:r>
      <w:r>
        <w:rPr>
          <w:spacing w:val="-6"/>
          <w:sz w:val="24"/>
        </w:rPr>
        <w:t> </w:t>
      </w:r>
      <w:r>
        <w:rPr>
          <w:sz w:val="24"/>
        </w:rPr>
        <w:t>las</w:t>
      </w:r>
      <w:r>
        <w:rPr>
          <w:spacing w:val="-4"/>
          <w:sz w:val="24"/>
        </w:rPr>
        <w:t> </w:t>
      </w:r>
      <w:r>
        <w:rPr>
          <w:sz w:val="24"/>
        </w:rPr>
        <w:t>auditorías</w:t>
      </w:r>
      <w:r>
        <w:rPr>
          <w:spacing w:val="-4"/>
          <w:sz w:val="24"/>
        </w:rPr>
        <w:t> </w:t>
      </w:r>
      <w:r>
        <w:rPr>
          <w:sz w:val="24"/>
        </w:rPr>
        <w:t>en la APF y generar las bases generales para la realización de</w:t>
      </w:r>
      <w:r>
        <w:rPr>
          <w:spacing w:val="-37"/>
          <w:sz w:val="24"/>
        </w:rPr>
        <w:t> </w:t>
      </w:r>
      <w:r>
        <w:rPr>
          <w:sz w:val="24"/>
        </w:rPr>
        <w:t>auditorías.</w:t>
      </w:r>
    </w:p>
    <w:p>
      <w:pPr>
        <w:pStyle w:val="ListParagraph"/>
        <w:numPr>
          <w:ilvl w:val="0"/>
          <w:numId w:val="86"/>
        </w:numPr>
        <w:tabs>
          <w:tab w:pos="841" w:val="left" w:leader="none"/>
        </w:tabs>
        <w:spacing w:line="360" w:lineRule="auto" w:before="0" w:after="0"/>
        <w:ind w:left="841" w:right="120" w:hanging="361"/>
        <w:jc w:val="both"/>
        <w:rPr>
          <w:sz w:val="24"/>
        </w:rPr>
      </w:pPr>
      <w:r>
        <w:rPr>
          <w:sz w:val="24"/>
        </w:rPr>
        <w:t>Llevar y normar el registro de servidores públicos de la APF, sus declaraciones patrimoniales y su seguimiento, así como la información sobre las sanciones administrativas</w:t>
      </w:r>
      <w:r>
        <w:rPr>
          <w:spacing w:val="-26"/>
          <w:sz w:val="24"/>
        </w:rPr>
        <w:t> </w:t>
      </w:r>
      <w:r>
        <w:rPr>
          <w:sz w:val="24"/>
        </w:rPr>
        <w:t>impuestas.</w:t>
      </w:r>
    </w:p>
    <w:p>
      <w:pPr>
        <w:pStyle w:val="ListParagraph"/>
        <w:numPr>
          <w:ilvl w:val="0"/>
          <w:numId w:val="86"/>
        </w:numPr>
        <w:tabs>
          <w:tab w:pos="841" w:val="left" w:leader="none"/>
        </w:tabs>
        <w:spacing w:line="360" w:lineRule="auto" w:before="6" w:after="0"/>
        <w:ind w:left="841" w:right="120" w:hanging="361"/>
        <w:jc w:val="both"/>
        <w:rPr>
          <w:sz w:val="24"/>
        </w:rPr>
      </w:pPr>
      <w:r>
        <w:rPr>
          <w:sz w:val="24"/>
        </w:rPr>
        <w:t>Emitir políticas, normas, lineamientos y procedimientos en materia de patrimonio inmobiliario, las adquisiciones, arrendamientos, servicios y obras</w:t>
      </w:r>
      <w:r>
        <w:rPr>
          <w:spacing w:val="-10"/>
          <w:sz w:val="24"/>
        </w:rPr>
        <w:t> </w:t>
      </w:r>
      <w:r>
        <w:rPr>
          <w:sz w:val="24"/>
        </w:rPr>
        <w:t>públicas.</w:t>
      </w:r>
    </w:p>
    <w:p>
      <w:pPr>
        <w:pStyle w:val="ListParagraph"/>
        <w:numPr>
          <w:ilvl w:val="0"/>
          <w:numId w:val="86"/>
        </w:numPr>
        <w:tabs>
          <w:tab w:pos="841" w:val="left" w:leader="none"/>
        </w:tabs>
        <w:spacing w:line="360" w:lineRule="auto" w:before="2" w:after="0"/>
        <w:ind w:left="841" w:right="126" w:hanging="361"/>
        <w:jc w:val="both"/>
        <w:rPr>
          <w:sz w:val="24"/>
        </w:rPr>
      </w:pPr>
      <w:r>
        <w:rPr>
          <w:sz w:val="24"/>
        </w:rPr>
        <w:t>Conducir la política inmobiliaria de la Administración Pública Federal, administrar los inmuebles de propiedad federal y llevar el registro público de la propiedad inmobiliaria federal y el inventario</w:t>
      </w:r>
      <w:r>
        <w:rPr>
          <w:spacing w:val="-41"/>
          <w:sz w:val="24"/>
        </w:rPr>
        <w:t> </w:t>
      </w:r>
      <w:r>
        <w:rPr>
          <w:sz w:val="24"/>
        </w:rPr>
        <w:t>general.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10456;mso-wrap-distance-left:0;mso-wrap-distance-right:0" from="85.025002pt,9.757820pt" to="229.075002pt,9.757820pt" stroked="true" strokeweight=".79999pt" strokecolor="#000000">
            <w10:wrap type="topAndBottom"/>
          </v:line>
        </w:pict>
      </w:r>
    </w:p>
    <w:p>
      <w:pPr>
        <w:spacing w:line="242" w:lineRule="auto" w:before="60"/>
        <w:ind w:left="120" w:right="114" w:firstLine="0"/>
        <w:jc w:val="both"/>
        <w:rPr>
          <w:sz w:val="16"/>
        </w:rPr>
      </w:pPr>
      <w:r>
        <w:rPr>
          <w:rFonts w:ascii="Times New Roman" w:hAnsi="Times New Roman"/>
          <w:position w:val="7"/>
          <w:sz w:val="13"/>
        </w:rPr>
        <w:t>150</w:t>
      </w:r>
      <w:r>
        <w:rPr>
          <w:sz w:val="16"/>
        </w:rPr>
        <w:t>El</w:t>
      </w:r>
      <w:r>
        <w:rPr>
          <w:spacing w:val="-9"/>
          <w:sz w:val="16"/>
        </w:rPr>
        <w:t> </w:t>
      </w:r>
      <w:r>
        <w:rPr>
          <w:sz w:val="16"/>
        </w:rPr>
        <w:t>21</w:t>
      </w:r>
      <w:r>
        <w:rPr>
          <w:spacing w:val="-3"/>
          <w:sz w:val="16"/>
        </w:rPr>
        <w:t> </w:t>
      </w:r>
      <w:r>
        <w:rPr>
          <w:sz w:val="16"/>
        </w:rPr>
        <w:t>de</w:t>
      </w:r>
      <w:r>
        <w:rPr>
          <w:spacing w:val="-7"/>
          <w:sz w:val="16"/>
        </w:rPr>
        <w:t> </w:t>
      </w:r>
      <w:r>
        <w:rPr>
          <w:sz w:val="16"/>
        </w:rPr>
        <w:t>agosto</w:t>
      </w:r>
      <w:r>
        <w:rPr>
          <w:spacing w:val="-4"/>
          <w:sz w:val="16"/>
        </w:rPr>
        <w:t> </w:t>
      </w:r>
      <w:r>
        <w:rPr>
          <w:sz w:val="16"/>
        </w:rPr>
        <w:t>de</w:t>
      </w:r>
      <w:r>
        <w:rPr>
          <w:spacing w:val="-7"/>
          <w:sz w:val="16"/>
        </w:rPr>
        <w:t> </w:t>
      </w:r>
      <w:r>
        <w:rPr>
          <w:sz w:val="16"/>
        </w:rPr>
        <w:t>2012</w:t>
      </w:r>
      <w:r>
        <w:rPr>
          <w:spacing w:val="-1"/>
          <w:sz w:val="16"/>
        </w:rPr>
        <w:t> </w:t>
      </w:r>
      <w:r>
        <w:rPr>
          <w:sz w:val="16"/>
        </w:rPr>
        <w:t>el</w:t>
      </w:r>
      <w:r>
        <w:rPr>
          <w:spacing w:val="-9"/>
          <w:sz w:val="16"/>
        </w:rPr>
        <w:t> </w:t>
      </w:r>
      <w:r>
        <w:rPr>
          <w:sz w:val="16"/>
        </w:rPr>
        <w:t>Presidente</w:t>
      </w:r>
      <w:r>
        <w:rPr>
          <w:spacing w:val="-7"/>
          <w:sz w:val="16"/>
        </w:rPr>
        <w:t> </w:t>
      </w:r>
      <w:r>
        <w:rPr>
          <w:sz w:val="16"/>
        </w:rPr>
        <w:t>Electo</w:t>
      </w:r>
      <w:r>
        <w:rPr>
          <w:spacing w:val="-1"/>
          <w:sz w:val="16"/>
        </w:rPr>
        <w:t> </w:t>
      </w:r>
      <w:r>
        <w:rPr>
          <w:sz w:val="16"/>
        </w:rPr>
        <w:t>dio</w:t>
      </w:r>
      <w:r>
        <w:rPr>
          <w:spacing w:val="-7"/>
          <w:sz w:val="16"/>
        </w:rPr>
        <w:t> </w:t>
      </w:r>
      <w:r>
        <w:rPr>
          <w:sz w:val="16"/>
        </w:rPr>
        <w:t>a</w:t>
      </w:r>
      <w:r>
        <w:rPr>
          <w:spacing w:val="-3"/>
          <w:sz w:val="16"/>
        </w:rPr>
        <w:t> </w:t>
      </w:r>
      <w:r>
        <w:rPr>
          <w:sz w:val="16"/>
        </w:rPr>
        <w:t>conocer</w:t>
      </w:r>
      <w:r>
        <w:rPr>
          <w:spacing w:val="-3"/>
          <w:sz w:val="16"/>
        </w:rPr>
        <w:t> </w:t>
      </w:r>
      <w:r>
        <w:rPr>
          <w:sz w:val="16"/>
        </w:rPr>
        <w:t>su</w:t>
      </w:r>
      <w:r>
        <w:rPr>
          <w:spacing w:val="-6"/>
          <w:sz w:val="16"/>
        </w:rPr>
        <w:t> </w:t>
      </w:r>
      <w:r>
        <w:rPr>
          <w:sz w:val="16"/>
        </w:rPr>
        <w:t>intención</w:t>
      </w:r>
      <w:r>
        <w:rPr>
          <w:spacing w:val="-7"/>
          <w:sz w:val="16"/>
        </w:rPr>
        <w:t> </w:t>
      </w:r>
      <w:r>
        <w:rPr>
          <w:sz w:val="16"/>
        </w:rPr>
        <w:t>de</w:t>
      </w:r>
      <w:r>
        <w:rPr>
          <w:spacing w:val="-7"/>
          <w:sz w:val="16"/>
        </w:rPr>
        <w:t> </w:t>
      </w:r>
      <w:r>
        <w:rPr>
          <w:sz w:val="16"/>
        </w:rPr>
        <w:t>crear un</w:t>
      </w:r>
      <w:r>
        <w:rPr>
          <w:spacing w:val="-6"/>
          <w:sz w:val="16"/>
        </w:rPr>
        <w:t> </w:t>
      </w:r>
      <w:r>
        <w:rPr>
          <w:sz w:val="16"/>
        </w:rPr>
        <w:t>proyecto</w:t>
      </w:r>
      <w:r>
        <w:rPr>
          <w:spacing w:val="-7"/>
          <w:sz w:val="16"/>
        </w:rPr>
        <w:t> </w:t>
      </w:r>
      <w:r>
        <w:rPr>
          <w:sz w:val="16"/>
        </w:rPr>
        <w:t>de</w:t>
      </w:r>
      <w:r>
        <w:rPr>
          <w:spacing w:val="-7"/>
          <w:sz w:val="16"/>
        </w:rPr>
        <w:t> </w:t>
      </w:r>
      <w:r>
        <w:rPr>
          <w:sz w:val="16"/>
        </w:rPr>
        <w:t>Ley</w:t>
      </w:r>
      <w:r>
        <w:rPr>
          <w:spacing w:val="-5"/>
          <w:sz w:val="16"/>
        </w:rPr>
        <w:t> </w:t>
      </w:r>
      <w:r>
        <w:rPr>
          <w:sz w:val="16"/>
        </w:rPr>
        <w:t>para la</w:t>
      </w:r>
      <w:r>
        <w:rPr>
          <w:spacing w:val="-3"/>
          <w:sz w:val="16"/>
        </w:rPr>
        <w:t> </w:t>
      </w:r>
      <w:r>
        <w:rPr>
          <w:sz w:val="16"/>
        </w:rPr>
        <w:t>Comisión Nacional Anticorrupción, a través de una iniciativa por parte del PRI al H. Congreso de la Unión para eliminar la SFP y con ello crear un sistema de contrapesos y atender aquellos casos de corrupción que se encuentran al margen de la justicia.</w:t>
      </w:r>
    </w:p>
    <w:p>
      <w:pPr>
        <w:spacing w:after="0" w:line="242" w:lineRule="auto"/>
        <w:jc w:val="both"/>
        <w:rPr>
          <w:sz w:val="16"/>
        </w:rPr>
        <w:sectPr>
          <w:pgSz w:w="11910" w:h="16840"/>
          <w:pgMar w:header="0" w:footer="998" w:top="1360" w:bottom="1180" w:left="1580" w:right="1580"/>
        </w:sectPr>
      </w:pPr>
    </w:p>
    <w:p>
      <w:pPr>
        <w:pStyle w:val="Heading2"/>
        <w:numPr>
          <w:ilvl w:val="1"/>
          <w:numId w:val="69"/>
        </w:numPr>
        <w:tabs>
          <w:tab w:pos="533" w:val="left" w:leader="none"/>
        </w:tabs>
        <w:spacing w:line="240" w:lineRule="auto" w:before="52" w:after="0"/>
        <w:ind w:left="532" w:right="0" w:hanging="432"/>
        <w:jc w:val="both"/>
      </w:pPr>
      <w:bookmarkStart w:name="_bookmark88" w:id="118"/>
      <w:bookmarkEnd w:id="118"/>
      <w:r>
        <w:rPr>
          <w:b w:val="0"/>
        </w:rPr>
      </w:r>
      <w:bookmarkStart w:name="_bookmark88" w:id="119"/>
      <w:bookmarkEnd w:id="119"/>
      <w:r>
        <w:rPr/>
        <w:t>Ha</w:t>
      </w:r>
      <w:r>
        <w:rPr/>
        <w:t>cia la gobernanza y el buen</w:t>
      </w:r>
      <w:r>
        <w:rPr>
          <w:spacing w:val="-12"/>
        </w:rPr>
        <w:t> </w:t>
      </w:r>
      <w:r>
        <w:rPr/>
        <w:t>gobierno</w:t>
      </w:r>
    </w:p>
    <w:p>
      <w:pPr>
        <w:pStyle w:val="BodyText"/>
        <w:rPr>
          <w:b/>
          <w:sz w:val="26"/>
        </w:rPr>
      </w:pPr>
    </w:p>
    <w:p>
      <w:pPr>
        <w:pStyle w:val="BodyText"/>
        <w:rPr>
          <w:b/>
          <w:sz w:val="26"/>
        </w:rPr>
      </w:pPr>
    </w:p>
    <w:p>
      <w:pPr>
        <w:pStyle w:val="BodyText"/>
        <w:spacing w:before="5"/>
        <w:rPr>
          <w:b/>
          <w:sz w:val="23"/>
        </w:rPr>
      </w:pPr>
    </w:p>
    <w:p>
      <w:pPr>
        <w:pStyle w:val="BodyText"/>
        <w:spacing w:line="360" w:lineRule="auto"/>
        <w:ind w:left="100" w:right="101"/>
        <w:jc w:val="both"/>
      </w:pPr>
      <w:r>
        <w:rPr/>
        <w:t>La gobernanza, considerada como una forma de participación coordinada entre los sectores social, privado y gubernamental, ha realizado importantes aportaciones</w:t>
      </w:r>
      <w:r>
        <w:rPr>
          <w:spacing w:val="-10"/>
        </w:rPr>
        <w:t> </w:t>
      </w:r>
      <w:r>
        <w:rPr/>
        <w:t>a</w:t>
      </w:r>
      <w:r>
        <w:rPr>
          <w:spacing w:val="-12"/>
        </w:rPr>
        <w:t> </w:t>
      </w:r>
      <w:r>
        <w:rPr/>
        <w:t>la</w:t>
      </w:r>
      <w:r>
        <w:rPr>
          <w:spacing w:val="-12"/>
        </w:rPr>
        <w:t> </w:t>
      </w:r>
      <w:r>
        <w:rPr/>
        <w:t>rendición</w:t>
      </w:r>
      <w:r>
        <w:rPr>
          <w:spacing w:val="-12"/>
        </w:rPr>
        <w:t> </w:t>
      </w:r>
      <w:r>
        <w:rPr/>
        <w:t>de</w:t>
      </w:r>
      <w:r>
        <w:rPr>
          <w:spacing w:val="-12"/>
        </w:rPr>
        <w:t> </w:t>
      </w:r>
      <w:r>
        <w:rPr/>
        <w:t>cuentas</w:t>
      </w:r>
      <w:r>
        <w:rPr>
          <w:spacing w:val="-7"/>
        </w:rPr>
        <w:t> </w:t>
      </w:r>
      <w:r>
        <w:rPr/>
        <w:t>en</w:t>
      </w:r>
      <w:r>
        <w:rPr>
          <w:spacing w:val="-12"/>
        </w:rPr>
        <w:t> </w:t>
      </w:r>
      <w:r>
        <w:rPr/>
        <w:t>el</w:t>
      </w:r>
      <w:r>
        <w:rPr>
          <w:spacing w:val="-11"/>
        </w:rPr>
        <w:t> </w:t>
      </w:r>
      <w:r>
        <w:rPr/>
        <w:t>mundo.</w:t>
      </w:r>
      <w:r>
        <w:rPr>
          <w:spacing w:val="-9"/>
        </w:rPr>
        <w:t> </w:t>
      </w:r>
      <w:r>
        <w:rPr/>
        <w:t>El</w:t>
      </w:r>
      <w:r>
        <w:rPr>
          <w:spacing w:val="-12"/>
        </w:rPr>
        <w:t> </w:t>
      </w:r>
      <w:r>
        <w:rPr/>
        <w:t>Banco</w:t>
      </w:r>
      <w:r>
        <w:rPr>
          <w:spacing w:val="-12"/>
        </w:rPr>
        <w:t> </w:t>
      </w:r>
      <w:r>
        <w:rPr/>
        <w:t>Mundial</w:t>
      </w:r>
      <w:r>
        <w:rPr>
          <w:spacing w:val="-11"/>
        </w:rPr>
        <w:t> </w:t>
      </w:r>
      <w:r>
        <w:rPr/>
        <w:t>considera que una buena gobernanza es imprescindible para un adecuado manejo macroeconómico, el crecimiento y la</w:t>
      </w:r>
      <w:r>
        <w:rPr>
          <w:spacing w:val="-31"/>
        </w:rPr>
        <w:t> </w:t>
      </w:r>
      <w:r>
        <w:rPr/>
        <w:t>competitividad.</w:t>
      </w:r>
    </w:p>
    <w:p>
      <w:pPr>
        <w:pStyle w:val="BodyText"/>
        <w:spacing w:line="360" w:lineRule="auto" w:before="2"/>
        <w:ind w:left="100" w:right="98" w:firstLine="427"/>
        <w:jc w:val="both"/>
      </w:pPr>
      <w:r>
        <w:rPr/>
        <w:t>Las 43 organizaciones de la Red por la Rendición de Cuentas (RRC) han analizado las causas por las que México carece de una auténtica rendición de cuentas. A pesar de que reconocen avances, tanto académicos como las organizaciones sociales e instituciones gubernamentales coinciden en destacar que todavía no se cuenta un sistema articulado de rendición de cuentas, pero</w:t>
      </w:r>
      <w:r>
        <w:rPr>
          <w:spacing w:val="-38"/>
        </w:rPr>
        <w:t> </w:t>
      </w:r>
      <w:r>
        <w:rPr/>
        <w:t>sí con</w:t>
      </w:r>
      <w:r>
        <w:rPr>
          <w:spacing w:val="-6"/>
        </w:rPr>
        <w:t> </w:t>
      </w:r>
      <w:r>
        <w:rPr/>
        <w:t>múltiples</w:t>
      </w:r>
      <w:r>
        <w:rPr>
          <w:spacing w:val="-4"/>
        </w:rPr>
        <w:t> </w:t>
      </w:r>
      <w:r>
        <w:rPr/>
        <w:t>ejemplos</w:t>
      </w:r>
      <w:r>
        <w:rPr>
          <w:spacing w:val="-4"/>
        </w:rPr>
        <w:t> </w:t>
      </w:r>
      <w:r>
        <w:rPr/>
        <w:t>de</w:t>
      </w:r>
      <w:r>
        <w:rPr>
          <w:spacing w:val="-9"/>
        </w:rPr>
        <w:t> </w:t>
      </w:r>
      <w:r>
        <w:rPr/>
        <w:t>simulación,</w:t>
      </w:r>
      <w:r>
        <w:rPr>
          <w:spacing w:val="-4"/>
        </w:rPr>
        <w:t> </w:t>
      </w:r>
      <w:r>
        <w:rPr/>
        <w:t>impunidad</w:t>
      </w:r>
      <w:r>
        <w:rPr>
          <w:spacing w:val="-6"/>
        </w:rPr>
        <w:t> </w:t>
      </w:r>
      <w:r>
        <w:rPr/>
        <w:t>y</w:t>
      </w:r>
      <w:r>
        <w:rPr>
          <w:spacing w:val="-11"/>
        </w:rPr>
        <w:t> </w:t>
      </w:r>
      <w:r>
        <w:rPr/>
        <w:t>retrocesos</w:t>
      </w:r>
      <w:r>
        <w:rPr>
          <w:spacing w:val="-7"/>
        </w:rPr>
        <w:t> </w:t>
      </w:r>
      <w:r>
        <w:rPr/>
        <w:t>a</w:t>
      </w:r>
      <w:r>
        <w:rPr>
          <w:spacing w:val="-9"/>
        </w:rPr>
        <w:t> </w:t>
      </w:r>
      <w:r>
        <w:rPr/>
        <w:t>lo</w:t>
      </w:r>
      <w:r>
        <w:rPr>
          <w:spacing w:val="-9"/>
        </w:rPr>
        <w:t> </w:t>
      </w:r>
      <w:r>
        <w:rPr/>
        <w:t>avanzado.</w:t>
      </w:r>
      <w:r>
        <w:rPr>
          <w:spacing w:val="-2"/>
        </w:rPr>
        <w:t> </w:t>
      </w:r>
      <w:r>
        <w:rPr/>
        <w:t>La propuesta</w:t>
      </w:r>
      <w:r>
        <w:rPr>
          <w:spacing w:val="-18"/>
        </w:rPr>
        <w:t> </w:t>
      </w:r>
      <w:r>
        <w:rPr/>
        <w:t>de</w:t>
      </w:r>
      <w:r>
        <w:rPr>
          <w:spacing w:val="-18"/>
        </w:rPr>
        <w:t> </w:t>
      </w:r>
      <w:r>
        <w:rPr/>
        <w:t>la</w:t>
      </w:r>
      <w:r>
        <w:rPr>
          <w:spacing w:val="-18"/>
        </w:rPr>
        <w:t> </w:t>
      </w:r>
      <w:r>
        <w:rPr/>
        <w:t>RRC</w:t>
      </w:r>
      <w:r>
        <w:rPr>
          <w:spacing w:val="-17"/>
        </w:rPr>
        <w:t> </w:t>
      </w:r>
      <w:r>
        <w:rPr/>
        <w:t>consiste</w:t>
      </w:r>
      <w:r>
        <w:rPr>
          <w:spacing w:val="-18"/>
        </w:rPr>
        <w:t> </w:t>
      </w:r>
      <w:r>
        <w:rPr/>
        <w:t>en</w:t>
      </w:r>
      <w:r>
        <w:rPr>
          <w:spacing w:val="-18"/>
        </w:rPr>
        <w:t> </w:t>
      </w:r>
      <w:r>
        <w:rPr/>
        <w:t>una</w:t>
      </w:r>
      <w:r>
        <w:rPr>
          <w:spacing w:val="-18"/>
        </w:rPr>
        <w:t> </w:t>
      </w:r>
      <w:r>
        <w:rPr/>
        <w:t>serie</w:t>
      </w:r>
      <w:r>
        <w:rPr>
          <w:spacing w:val="-18"/>
        </w:rPr>
        <w:t> </w:t>
      </w:r>
      <w:r>
        <w:rPr/>
        <w:t>de</w:t>
      </w:r>
      <w:r>
        <w:rPr>
          <w:spacing w:val="-18"/>
        </w:rPr>
        <w:t> </w:t>
      </w:r>
      <w:r>
        <w:rPr/>
        <w:t>acciones</w:t>
      </w:r>
      <w:r>
        <w:rPr>
          <w:spacing w:val="-16"/>
        </w:rPr>
        <w:t> </w:t>
      </w:r>
      <w:r>
        <w:rPr/>
        <w:t>propositivas</w:t>
      </w:r>
      <w:r>
        <w:rPr>
          <w:spacing w:val="-16"/>
        </w:rPr>
        <w:t> </w:t>
      </w:r>
      <w:r>
        <w:rPr/>
        <w:t>que</w:t>
      </w:r>
      <w:r>
        <w:rPr>
          <w:spacing w:val="-18"/>
        </w:rPr>
        <w:t> </w:t>
      </w:r>
      <w:r>
        <w:rPr/>
        <w:t>orientan a los aspectos</w:t>
      </w:r>
      <w:r>
        <w:rPr>
          <w:spacing w:val="-18"/>
        </w:rPr>
        <w:t> </w:t>
      </w:r>
      <w:r>
        <w:rPr/>
        <w:t>siguientes:</w:t>
      </w:r>
    </w:p>
    <w:p>
      <w:pPr>
        <w:pStyle w:val="ListParagraph"/>
        <w:numPr>
          <w:ilvl w:val="0"/>
          <w:numId w:val="87"/>
        </w:numPr>
        <w:tabs>
          <w:tab w:pos="821" w:val="left" w:leader="none"/>
        </w:tabs>
        <w:spacing w:line="357" w:lineRule="auto" w:before="206" w:after="0"/>
        <w:ind w:left="821" w:right="108" w:hanging="361"/>
        <w:jc w:val="both"/>
        <w:rPr>
          <w:sz w:val="24"/>
        </w:rPr>
      </w:pPr>
      <w:r>
        <w:rPr>
          <w:sz w:val="24"/>
        </w:rPr>
        <w:t>Determinar los contenidos mínimos que debería cumplir una reforma constitucional y legal para garantizar la rendición de cuentas en el</w:t>
      </w:r>
      <w:r>
        <w:rPr>
          <w:spacing w:val="-40"/>
          <w:sz w:val="24"/>
        </w:rPr>
        <w:t> </w:t>
      </w:r>
      <w:r>
        <w:rPr>
          <w:sz w:val="24"/>
        </w:rPr>
        <w:t>país.</w:t>
      </w:r>
    </w:p>
    <w:p>
      <w:pPr>
        <w:pStyle w:val="ListParagraph"/>
        <w:numPr>
          <w:ilvl w:val="0"/>
          <w:numId w:val="87"/>
        </w:numPr>
        <w:tabs>
          <w:tab w:pos="821" w:val="left" w:leader="none"/>
        </w:tabs>
        <w:spacing w:line="360" w:lineRule="auto" w:before="8" w:after="0"/>
        <w:ind w:left="821" w:right="101" w:hanging="361"/>
        <w:jc w:val="both"/>
        <w:rPr>
          <w:sz w:val="24"/>
        </w:rPr>
      </w:pPr>
      <w:r>
        <w:rPr>
          <w:sz w:val="24"/>
        </w:rPr>
        <w:t>Diseñar el sentido y los contenidos de las instituciones que deben establecerse para conseguir que las entidades federativas y los municipios no se rezaguen ni se contrapongan al establecimiento de </w:t>
      </w:r>
      <w:r>
        <w:rPr>
          <w:spacing w:val="2"/>
          <w:sz w:val="24"/>
        </w:rPr>
        <w:t>una </w:t>
      </w:r>
      <w:r>
        <w:rPr>
          <w:sz w:val="24"/>
        </w:rPr>
        <w:t>política nacional para rendir</w:t>
      </w:r>
      <w:r>
        <w:rPr>
          <w:spacing w:val="-23"/>
          <w:sz w:val="24"/>
        </w:rPr>
        <w:t> </w:t>
      </w:r>
      <w:r>
        <w:rPr>
          <w:sz w:val="24"/>
        </w:rPr>
        <w:t>cuentas.</w:t>
      </w:r>
    </w:p>
    <w:p>
      <w:pPr>
        <w:pStyle w:val="ListParagraph"/>
        <w:numPr>
          <w:ilvl w:val="0"/>
          <w:numId w:val="87"/>
        </w:numPr>
        <w:tabs>
          <w:tab w:pos="821" w:val="left" w:leader="none"/>
        </w:tabs>
        <w:spacing w:line="360" w:lineRule="auto" w:before="6" w:after="0"/>
        <w:ind w:left="821" w:right="105" w:hanging="361"/>
        <w:jc w:val="both"/>
        <w:rPr>
          <w:sz w:val="24"/>
        </w:rPr>
      </w:pPr>
      <w:r>
        <w:rPr>
          <w:sz w:val="24"/>
        </w:rPr>
        <w:t>Identificar</w:t>
      </w:r>
      <w:r>
        <w:rPr>
          <w:spacing w:val="-10"/>
          <w:sz w:val="24"/>
        </w:rPr>
        <w:t> </w:t>
      </w:r>
      <w:r>
        <w:rPr>
          <w:sz w:val="24"/>
        </w:rPr>
        <w:t>los</w:t>
      </w:r>
      <w:r>
        <w:rPr>
          <w:spacing w:val="-10"/>
          <w:sz w:val="24"/>
        </w:rPr>
        <w:t> </w:t>
      </w:r>
      <w:r>
        <w:rPr>
          <w:sz w:val="24"/>
        </w:rPr>
        <w:t>mecanismos</w:t>
      </w:r>
      <w:r>
        <w:rPr>
          <w:spacing w:val="-10"/>
          <w:sz w:val="24"/>
        </w:rPr>
        <w:t> </w:t>
      </w:r>
      <w:r>
        <w:rPr>
          <w:sz w:val="24"/>
        </w:rPr>
        <w:t>organizacionales</w:t>
      </w:r>
      <w:r>
        <w:rPr>
          <w:spacing w:val="-10"/>
          <w:sz w:val="24"/>
        </w:rPr>
        <w:t> </w:t>
      </w:r>
      <w:r>
        <w:rPr>
          <w:sz w:val="24"/>
        </w:rPr>
        <w:t>y</w:t>
      </w:r>
      <w:r>
        <w:rPr>
          <w:spacing w:val="-13"/>
          <w:sz w:val="24"/>
        </w:rPr>
        <w:t> </w:t>
      </w:r>
      <w:r>
        <w:rPr>
          <w:sz w:val="24"/>
        </w:rPr>
        <w:t>de</w:t>
      </w:r>
      <w:r>
        <w:rPr>
          <w:spacing w:val="-11"/>
          <w:sz w:val="24"/>
        </w:rPr>
        <w:t> </w:t>
      </w:r>
      <w:r>
        <w:rPr>
          <w:sz w:val="24"/>
        </w:rPr>
        <w:t>gestión</w:t>
      </w:r>
      <w:r>
        <w:rPr>
          <w:spacing w:val="-11"/>
          <w:sz w:val="24"/>
        </w:rPr>
        <w:t> </w:t>
      </w:r>
      <w:r>
        <w:rPr>
          <w:sz w:val="24"/>
        </w:rPr>
        <w:t>necesarios</w:t>
      </w:r>
      <w:r>
        <w:rPr>
          <w:spacing w:val="-10"/>
          <w:sz w:val="24"/>
        </w:rPr>
        <w:t> </w:t>
      </w:r>
      <w:r>
        <w:rPr>
          <w:sz w:val="24"/>
        </w:rPr>
        <w:t>para que pueda operar una verdadera política de rendición de cuentas en los tres órdenes de gobierno, en los poderes públicos y en los organismos autónomos.</w:t>
      </w:r>
    </w:p>
    <w:p>
      <w:pPr>
        <w:pStyle w:val="ListParagraph"/>
        <w:numPr>
          <w:ilvl w:val="0"/>
          <w:numId w:val="87"/>
        </w:numPr>
        <w:tabs>
          <w:tab w:pos="821" w:val="left" w:leader="none"/>
        </w:tabs>
        <w:spacing w:line="360" w:lineRule="auto" w:before="6" w:after="0"/>
        <w:ind w:left="821" w:right="106" w:hanging="361"/>
        <w:jc w:val="both"/>
        <w:rPr>
          <w:sz w:val="24"/>
        </w:rPr>
      </w:pPr>
      <w:r>
        <w:rPr>
          <w:sz w:val="24"/>
        </w:rPr>
        <w:t>Mejorar sustantivamente los mecanismos de gestión y responsabilidad pública (objetiva, administrativa, política y penal) para garantizar un sistema de responsabilidades que vincule la evaluación del desempeño institucional y el ejercicio de recursos públicos con sus consecuencias sancionatorias mediante la rendición de</w:t>
      </w:r>
      <w:r>
        <w:rPr>
          <w:spacing w:val="-25"/>
          <w:sz w:val="24"/>
        </w:rPr>
        <w:t> </w:t>
      </w:r>
      <w:r>
        <w:rPr>
          <w:sz w:val="24"/>
        </w:rPr>
        <w:t>cuentas.</w:t>
      </w:r>
    </w:p>
    <w:p>
      <w:pPr>
        <w:spacing w:after="0" w:line="360" w:lineRule="auto"/>
        <w:jc w:val="both"/>
        <w:rPr>
          <w:sz w:val="24"/>
        </w:rPr>
        <w:sectPr>
          <w:footerReference w:type="default" r:id="rId211"/>
          <w:pgSz w:w="11910" w:h="16840"/>
          <w:pgMar w:footer="998" w:header="0" w:top="1340" w:bottom="1180" w:left="1600" w:right="1600"/>
        </w:sectPr>
      </w:pPr>
    </w:p>
    <w:p>
      <w:pPr>
        <w:pStyle w:val="ListParagraph"/>
        <w:numPr>
          <w:ilvl w:val="0"/>
          <w:numId w:val="87"/>
        </w:numPr>
        <w:tabs>
          <w:tab w:pos="821" w:val="left" w:leader="none"/>
        </w:tabs>
        <w:spacing w:line="360" w:lineRule="auto" w:before="39" w:after="0"/>
        <w:ind w:left="821" w:right="208" w:hanging="361"/>
        <w:jc w:val="both"/>
        <w:rPr>
          <w:sz w:val="24"/>
        </w:rPr>
      </w:pPr>
      <w:r>
        <w:rPr>
          <w:sz w:val="24"/>
        </w:rPr>
        <w:t>Incorporar a las organizaciones de la sociedad como actores institucionales permanentes y activos de la rendición de cuentas en el país.</w:t>
      </w:r>
    </w:p>
    <w:p>
      <w:pPr>
        <w:pStyle w:val="ListParagraph"/>
        <w:numPr>
          <w:ilvl w:val="0"/>
          <w:numId w:val="87"/>
        </w:numPr>
        <w:tabs>
          <w:tab w:pos="821" w:val="left" w:leader="none"/>
        </w:tabs>
        <w:spacing w:line="360" w:lineRule="auto" w:before="6" w:after="0"/>
        <w:ind w:left="821" w:right="206" w:hanging="361"/>
        <w:jc w:val="both"/>
        <w:rPr>
          <w:sz w:val="24"/>
        </w:rPr>
      </w:pPr>
      <w:r>
        <w:rPr>
          <w:sz w:val="24"/>
        </w:rPr>
        <w:t>Comprometer a todos a los partidos políticos a incorporar en sus valores y programas de gobierno la rendición de cuentas como un compromiso verificable y exigible por parte de los</w:t>
      </w:r>
      <w:r>
        <w:rPr>
          <w:spacing w:val="-29"/>
          <w:sz w:val="24"/>
        </w:rPr>
        <w:t> </w:t>
      </w:r>
      <w:r>
        <w:rPr>
          <w:sz w:val="24"/>
        </w:rPr>
        <w:t>ciudadanos.</w:t>
      </w:r>
    </w:p>
    <w:p>
      <w:pPr>
        <w:pStyle w:val="ListParagraph"/>
        <w:numPr>
          <w:ilvl w:val="0"/>
          <w:numId w:val="87"/>
        </w:numPr>
        <w:tabs>
          <w:tab w:pos="821" w:val="left" w:leader="none"/>
        </w:tabs>
        <w:spacing w:line="360" w:lineRule="auto" w:before="2" w:after="0"/>
        <w:ind w:left="821" w:right="208" w:hanging="361"/>
        <w:jc w:val="both"/>
        <w:rPr>
          <w:sz w:val="24"/>
        </w:rPr>
      </w:pPr>
      <w:r>
        <w:rPr>
          <w:sz w:val="24"/>
        </w:rPr>
        <w:t>Afirmar la rendición de cuentas en el debate público para consolidar el régimen democrático y garantizar la plena vigencia y efectividad de los derechos fundamentales, para conseguir una gestión pública en los tres órdenes de</w:t>
      </w:r>
      <w:r>
        <w:rPr>
          <w:spacing w:val="-15"/>
          <w:sz w:val="24"/>
        </w:rPr>
        <w:t> </w:t>
      </w:r>
      <w:r>
        <w:rPr>
          <w:sz w:val="24"/>
        </w:rPr>
        <w:t>gobierno.</w:t>
      </w:r>
    </w:p>
    <w:p>
      <w:pPr>
        <w:pStyle w:val="BodyText"/>
      </w:pPr>
    </w:p>
    <w:p>
      <w:pPr>
        <w:pStyle w:val="BodyText"/>
      </w:pPr>
    </w:p>
    <w:p>
      <w:pPr>
        <w:pStyle w:val="BodyText"/>
        <w:spacing w:before="2"/>
      </w:pPr>
    </w:p>
    <w:p>
      <w:pPr>
        <w:pStyle w:val="BodyText"/>
        <w:ind w:left="528" w:right="19"/>
      </w:pPr>
      <w:r>
        <w:rPr/>
        <w:t>Otras propuestas (Michel, 2008) señalan lo siguiente:</w:t>
      </w:r>
    </w:p>
    <w:p>
      <w:pPr>
        <w:pStyle w:val="BodyText"/>
      </w:pPr>
    </w:p>
    <w:p>
      <w:pPr>
        <w:pStyle w:val="BodyText"/>
      </w:pPr>
    </w:p>
    <w:p>
      <w:pPr>
        <w:pStyle w:val="ListParagraph"/>
        <w:numPr>
          <w:ilvl w:val="0"/>
          <w:numId w:val="88"/>
        </w:numPr>
        <w:tabs>
          <w:tab w:pos="821" w:val="left" w:leader="none"/>
        </w:tabs>
        <w:spacing w:line="362" w:lineRule="auto" w:before="0" w:after="0"/>
        <w:ind w:left="821" w:right="110" w:hanging="361"/>
        <w:jc w:val="both"/>
        <w:rPr>
          <w:sz w:val="24"/>
        </w:rPr>
      </w:pPr>
      <w:r>
        <w:rPr>
          <w:sz w:val="24"/>
        </w:rPr>
        <w:t>Avanzar hacia un modelo de fiscalización </w:t>
      </w:r>
      <w:r>
        <w:rPr>
          <w:spacing w:val="-2"/>
          <w:sz w:val="24"/>
        </w:rPr>
        <w:t>más </w:t>
      </w:r>
      <w:r>
        <w:rPr>
          <w:sz w:val="24"/>
        </w:rPr>
        <w:t>integral que permita mayores revisiones al</w:t>
      </w:r>
      <w:r>
        <w:rPr>
          <w:spacing w:val="-19"/>
          <w:sz w:val="24"/>
        </w:rPr>
        <w:t> </w:t>
      </w:r>
      <w:r>
        <w:rPr>
          <w:sz w:val="24"/>
        </w:rPr>
        <w:t>desempeño.</w:t>
      </w:r>
    </w:p>
    <w:p>
      <w:pPr>
        <w:pStyle w:val="ListParagraph"/>
        <w:numPr>
          <w:ilvl w:val="0"/>
          <w:numId w:val="88"/>
        </w:numPr>
        <w:tabs>
          <w:tab w:pos="821" w:val="left" w:leader="none"/>
        </w:tabs>
        <w:spacing w:line="362" w:lineRule="auto" w:before="0" w:after="0"/>
        <w:ind w:left="821" w:right="116" w:hanging="361"/>
        <w:jc w:val="both"/>
        <w:rPr>
          <w:sz w:val="24"/>
        </w:rPr>
      </w:pPr>
      <w:r>
        <w:rPr>
          <w:sz w:val="24"/>
        </w:rPr>
        <w:t>Utilizar la información derivada de la fiscalización para programar la asignación</w:t>
      </w:r>
      <w:r>
        <w:rPr>
          <w:spacing w:val="-17"/>
          <w:sz w:val="24"/>
        </w:rPr>
        <w:t> </w:t>
      </w:r>
      <w:r>
        <w:rPr>
          <w:sz w:val="24"/>
        </w:rPr>
        <w:t>presupuestal.</w:t>
      </w:r>
    </w:p>
    <w:p>
      <w:pPr>
        <w:pStyle w:val="ListParagraph"/>
        <w:numPr>
          <w:ilvl w:val="0"/>
          <w:numId w:val="88"/>
        </w:numPr>
        <w:tabs>
          <w:tab w:pos="821" w:val="left" w:leader="none"/>
        </w:tabs>
        <w:spacing w:line="275" w:lineRule="exact" w:before="0" w:after="0"/>
        <w:ind w:left="821" w:right="0" w:hanging="361"/>
        <w:jc w:val="left"/>
        <w:rPr>
          <w:sz w:val="24"/>
        </w:rPr>
      </w:pPr>
      <w:r>
        <w:rPr>
          <w:sz w:val="24"/>
        </w:rPr>
        <w:t>Mejorar la calidad de la información</w:t>
      </w:r>
      <w:r>
        <w:rPr>
          <w:spacing w:val="-30"/>
          <w:sz w:val="24"/>
        </w:rPr>
        <w:t> </w:t>
      </w:r>
      <w:r>
        <w:rPr>
          <w:sz w:val="24"/>
        </w:rPr>
        <w:t>auditable.</w:t>
      </w:r>
    </w:p>
    <w:p>
      <w:pPr>
        <w:pStyle w:val="ListParagraph"/>
        <w:numPr>
          <w:ilvl w:val="0"/>
          <w:numId w:val="88"/>
        </w:numPr>
        <w:tabs>
          <w:tab w:pos="821" w:val="left" w:leader="none"/>
        </w:tabs>
        <w:spacing w:line="357" w:lineRule="auto" w:before="140" w:after="0"/>
        <w:ind w:left="821" w:right="105" w:hanging="361"/>
        <w:jc w:val="left"/>
        <w:rPr>
          <w:sz w:val="24"/>
        </w:rPr>
      </w:pPr>
      <w:r>
        <w:rPr>
          <w:sz w:val="24"/>
        </w:rPr>
        <w:t>Canalizar el marco jurídico de actuación de la rendición de cuentas hacia una fiscalización de alto</w:t>
      </w:r>
      <w:r>
        <w:rPr>
          <w:spacing w:val="-23"/>
          <w:sz w:val="24"/>
        </w:rPr>
        <w:t> </w:t>
      </w:r>
      <w:r>
        <w:rPr>
          <w:sz w:val="24"/>
        </w:rPr>
        <w:t>impacto.</w:t>
      </w:r>
    </w:p>
    <w:p>
      <w:pPr>
        <w:pStyle w:val="ListParagraph"/>
        <w:numPr>
          <w:ilvl w:val="0"/>
          <w:numId w:val="88"/>
        </w:numPr>
        <w:tabs>
          <w:tab w:pos="821" w:val="left" w:leader="none"/>
        </w:tabs>
        <w:spacing w:line="240" w:lineRule="auto" w:before="9" w:after="0"/>
        <w:ind w:left="821" w:right="0" w:hanging="361"/>
        <w:jc w:val="left"/>
        <w:rPr>
          <w:sz w:val="24"/>
        </w:rPr>
      </w:pPr>
      <w:r>
        <w:rPr>
          <w:sz w:val="24"/>
        </w:rPr>
        <w:t>Impulsar la participación de la sociedad</w:t>
      </w:r>
      <w:r>
        <w:rPr>
          <w:spacing w:val="-23"/>
          <w:sz w:val="24"/>
        </w:rPr>
        <w:t> </w:t>
      </w:r>
      <w:r>
        <w:rPr>
          <w:sz w:val="24"/>
        </w:rPr>
        <w:t>civil.</w:t>
      </w:r>
    </w:p>
    <w:p>
      <w:pPr>
        <w:pStyle w:val="ListParagraph"/>
        <w:numPr>
          <w:ilvl w:val="0"/>
          <w:numId w:val="88"/>
        </w:numPr>
        <w:tabs>
          <w:tab w:pos="820" w:val="left" w:leader="none"/>
          <w:tab w:pos="821" w:val="left" w:leader="none"/>
        </w:tabs>
        <w:spacing w:line="240" w:lineRule="auto" w:before="136" w:after="0"/>
        <w:ind w:left="821" w:right="0" w:hanging="361"/>
        <w:jc w:val="left"/>
        <w:rPr>
          <w:sz w:val="24"/>
        </w:rPr>
      </w:pPr>
      <w:r>
        <w:rPr>
          <w:sz w:val="24"/>
        </w:rPr>
        <w:t>Aprovechar las tecnologías de la</w:t>
      </w:r>
      <w:r>
        <w:rPr>
          <w:spacing w:val="-29"/>
          <w:sz w:val="24"/>
        </w:rPr>
        <w:t> </w:t>
      </w:r>
      <w:r>
        <w:rPr>
          <w:sz w:val="24"/>
        </w:rPr>
        <w:t>información.</w:t>
      </w:r>
    </w:p>
    <w:p>
      <w:pPr>
        <w:pStyle w:val="BodyText"/>
      </w:pPr>
    </w:p>
    <w:p>
      <w:pPr>
        <w:pStyle w:val="BodyText"/>
        <w:spacing w:before="7"/>
        <w:rPr>
          <w:sz w:val="23"/>
        </w:rPr>
      </w:pPr>
    </w:p>
    <w:p>
      <w:pPr>
        <w:pStyle w:val="BodyText"/>
        <w:spacing w:line="360" w:lineRule="auto"/>
        <w:ind w:left="100" w:right="201" w:firstLine="427"/>
        <w:jc w:val="both"/>
      </w:pPr>
      <w:r>
        <w:rPr/>
        <w:t>La OCDE en el documento </w:t>
      </w:r>
      <w:r>
        <w:rPr>
          <w:i/>
        </w:rPr>
        <w:t>OCDE (2011), Hacia una gestión pública </w:t>
      </w:r>
      <w:r>
        <w:rPr>
          <w:i/>
          <w:spacing w:val="-2"/>
        </w:rPr>
        <w:t>más </w:t>
      </w:r>
      <w:r>
        <w:rPr>
          <w:i/>
        </w:rPr>
        <w:t>efectiva y dinámica en México</w:t>
      </w:r>
      <w:r>
        <w:rPr/>
        <w:t>, publicado en 2011, presentó el estudio de la gobernanza</w:t>
      </w:r>
      <w:r>
        <w:rPr>
          <w:spacing w:val="-18"/>
        </w:rPr>
        <w:t> </w:t>
      </w:r>
      <w:r>
        <w:rPr/>
        <w:t>pública</w:t>
      </w:r>
      <w:r>
        <w:rPr>
          <w:spacing w:val="-18"/>
        </w:rPr>
        <w:t> </w:t>
      </w:r>
      <w:r>
        <w:rPr/>
        <w:t>de</w:t>
      </w:r>
      <w:r>
        <w:rPr>
          <w:spacing w:val="-18"/>
        </w:rPr>
        <w:t> </w:t>
      </w:r>
      <w:r>
        <w:rPr/>
        <w:t>México</w:t>
      </w:r>
      <w:r>
        <w:rPr>
          <w:spacing w:val="-14"/>
        </w:rPr>
        <w:t> </w:t>
      </w:r>
      <w:r>
        <w:rPr/>
        <w:t>mediante</w:t>
      </w:r>
      <w:r>
        <w:rPr>
          <w:spacing w:val="-18"/>
        </w:rPr>
        <w:t> </w:t>
      </w:r>
      <w:r>
        <w:rPr/>
        <w:t>el</w:t>
      </w:r>
      <w:r>
        <w:rPr>
          <w:spacing w:val="-17"/>
        </w:rPr>
        <w:t> </w:t>
      </w:r>
      <w:r>
        <w:rPr/>
        <w:t>análisis</w:t>
      </w:r>
      <w:r>
        <w:rPr>
          <w:spacing w:val="-16"/>
        </w:rPr>
        <w:t> </w:t>
      </w:r>
      <w:r>
        <w:rPr/>
        <w:t>de</w:t>
      </w:r>
      <w:r>
        <w:rPr>
          <w:spacing w:val="-18"/>
        </w:rPr>
        <w:t> </w:t>
      </w:r>
      <w:r>
        <w:rPr/>
        <w:t>tres</w:t>
      </w:r>
      <w:r>
        <w:rPr>
          <w:spacing w:val="-16"/>
        </w:rPr>
        <w:t> </w:t>
      </w:r>
      <w:r>
        <w:rPr/>
        <w:t>elementos:</w:t>
      </w:r>
      <w:r>
        <w:rPr>
          <w:spacing w:val="-15"/>
        </w:rPr>
        <w:t> </w:t>
      </w:r>
      <w:r>
        <w:rPr/>
        <w:t>el</w:t>
      </w:r>
      <w:r>
        <w:rPr>
          <w:spacing w:val="-17"/>
        </w:rPr>
        <w:t> </w:t>
      </w:r>
      <w:r>
        <w:rPr/>
        <w:t>proceso de racionalización de las regulaciones del gobierno (disminución del tamaño del Estado), el impacto de las políticas de gobierno electrónico y la operación del servicio civil mexicano (los dos últimos a cargo de la</w:t>
      </w:r>
      <w:r>
        <w:rPr>
          <w:spacing w:val="-26"/>
        </w:rPr>
        <w:t> </w:t>
      </w:r>
      <w:r>
        <w:rPr/>
        <w:t>SFP).</w:t>
      </w:r>
    </w:p>
    <w:p>
      <w:pPr>
        <w:pStyle w:val="BodyText"/>
      </w:pPr>
    </w:p>
    <w:p>
      <w:pPr>
        <w:pStyle w:val="BodyText"/>
        <w:spacing w:line="360" w:lineRule="auto" w:before="142"/>
        <w:ind w:left="100" w:right="205" w:firstLine="427"/>
        <w:jc w:val="both"/>
      </w:pPr>
      <w:r>
        <w:rPr/>
        <w:t>La organización consideró que, a pesar de las limitaciones, estas reformas han significado importantes contribuciones a la buena gobernanza y deberían continuar implementándose para garantizar un impacto positivo duradero.</w:t>
      </w:r>
    </w:p>
    <w:p>
      <w:pPr>
        <w:spacing w:after="0" w:line="360" w:lineRule="auto"/>
        <w:jc w:val="both"/>
        <w:sectPr>
          <w:footerReference w:type="default" r:id="rId212"/>
          <w:pgSz w:w="11910" w:h="16840"/>
          <w:pgMar w:footer="998" w:header="0" w:top="1360" w:bottom="1180" w:left="1600" w:right="1500"/>
          <w:pgNumType w:start="151"/>
        </w:sectPr>
      </w:pPr>
    </w:p>
    <w:p>
      <w:pPr>
        <w:pStyle w:val="BodyText"/>
        <w:spacing w:line="360" w:lineRule="auto" w:before="39"/>
        <w:ind w:left="100" w:right="197" w:firstLine="427"/>
        <w:jc w:val="both"/>
      </w:pPr>
      <w:r>
        <w:rPr/>
        <w:t>La OCDE comentó que estas reformas son congruentes con la agenda establecida</w:t>
      </w:r>
      <w:r>
        <w:rPr>
          <w:spacing w:val="-6"/>
        </w:rPr>
        <w:t> </w:t>
      </w:r>
      <w:r>
        <w:rPr/>
        <w:t>por</w:t>
      </w:r>
      <w:r>
        <w:rPr>
          <w:spacing w:val="-4"/>
        </w:rPr>
        <w:t> </w:t>
      </w:r>
      <w:r>
        <w:rPr/>
        <w:t>los</w:t>
      </w:r>
      <w:r>
        <w:rPr>
          <w:spacing w:val="-4"/>
        </w:rPr>
        <w:t> </w:t>
      </w:r>
      <w:r>
        <w:rPr/>
        <w:t>países</w:t>
      </w:r>
      <w:r>
        <w:rPr>
          <w:spacing w:val="-4"/>
        </w:rPr>
        <w:t> </w:t>
      </w:r>
      <w:r>
        <w:rPr/>
        <w:t>miembros</w:t>
      </w:r>
      <w:r>
        <w:rPr>
          <w:spacing w:val="-4"/>
        </w:rPr>
        <w:t> </w:t>
      </w:r>
      <w:r>
        <w:rPr/>
        <w:t>de</w:t>
      </w:r>
      <w:r>
        <w:rPr>
          <w:spacing w:val="-6"/>
        </w:rPr>
        <w:t> </w:t>
      </w:r>
      <w:r>
        <w:rPr/>
        <w:t>la</w:t>
      </w:r>
      <w:r>
        <w:rPr>
          <w:spacing w:val="-6"/>
        </w:rPr>
        <w:t> </w:t>
      </w:r>
      <w:r>
        <w:rPr/>
        <w:t>organización</w:t>
      </w:r>
      <w:r>
        <w:rPr>
          <w:spacing w:val="-6"/>
        </w:rPr>
        <w:t> </w:t>
      </w:r>
      <w:r>
        <w:rPr/>
        <w:t>en</w:t>
      </w:r>
      <w:r>
        <w:rPr>
          <w:spacing w:val="-6"/>
        </w:rPr>
        <w:t> </w:t>
      </w:r>
      <w:r>
        <w:rPr/>
        <w:t>la</w:t>
      </w:r>
      <w:r>
        <w:rPr>
          <w:spacing w:val="-1"/>
        </w:rPr>
        <w:t> </w:t>
      </w:r>
      <w:r>
        <w:rPr>
          <w:i/>
        </w:rPr>
        <w:t>Conferencia</w:t>
      </w:r>
      <w:r>
        <w:rPr>
          <w:i/>
          <w:spacing w:val="-6"/>
        </w:rPr>
        <w:t> </w:t>
      </w:r>
      <w:r>
        <w:rPr>
          <w:i/>
        </w:rPr>
        <w:t>sobre </w:t>
      </w:r>
      <w:r>
        <w:rPr>
          <w:i/>
        </w:rPr>
        <w:t>Política</w:t>
      </w:r>
      <w:r>
        <w:rPr>
          <w:i/>
          <w:spacing w:val="-7"/>
        </w:rPr>
        <w:t> </w:t>
      </w:r>
      <w:r>
        <w:rPr>
          <w:i/>
        </w:rPr>
        <w:t>Regulatoria</w:t>
      </w:r>
      <w:r>
        <w:rPr>
          <w:i/>
          <w:spacing w:val="-5"/>
        </w:rPr>
        <w:t> </w:t>
      </w:r>
      <w:r>
        <w:rPr/>
        <w:t>que</w:t>
      </w:r>
      <w:r>
        <w:rPr>
          <w:spacing w:val="-7"/>
        </w:rPr>
        <w:t> </w:t>
      </w:r>
      <w:r>
        <w:rPr/>
        <w:t>se</w:t>
      </w:r>
      <w:r>
        <w:rPr>
          <w:spacing w:val="-7"/>
        </w:rPr>
        <w:t> </w:t>
      </w:r>
      <w:r>
        <w:rPr/>
        <w:t>realizó</w:t>
      </w:r>
      <w:r>
        <w:rPr>
          <w:spacing w:val="-7"/>
        </w:rPr>
        <w:t> </w:t>
      </w:r>
      <w:r>
        <w:rPr/>
        <w:t>en</w:t>
      </w:r>
      <w:r>
        <w:rPr>
          <w:spacing w:val="-3"/>
        </w:rPr>
        <w:t> </w:t>
      </w:r>
      <w:r>
        <w:rPr/>
        <w:t>octubre</w:t>
      </w:r>
      <w:r>
        <w:rPr>
          <w:spacing w:val="-7"/>
        </w:rPr>
        <w:t> </w:t>
      </w:r>
      <w:r>
        <w:rPr/>
        <w:t>de</w:t>
      </w:r>
      <w:r>
        <w:rPr>
          <w:spacing w:val="-7"/>
        </w:rPr>
        <w:t> </w:t>
      </w:r>
      <w:r>
        <w:rPr/>
        <w:t>2010.</w:t>
      </w:r>
      <w:r>
        <w:rPr>
          <w:spacing w:val="-4"/>
        </w:rPr>
        <w:t> </w:t>
      </w:r>
      <w:r>
        <w:rPr/>
        <w:t>En</w:t>
      </w:r>
      <w:r>
        <w:rPr>
          <w:spacing w:val="-7"/>
        </w:rPr>
        <w:t> </w:t>
      </w:r>
      <w:r>
        <w:rPr/>
        <w:t>la</w:t>
      </w:r>
      <w:r>
        <w:rPr>
          <w:spacing w:val="-7"/>
        </w:rPr>
        <w:t> </w:t>
      </w:r>
      <w:r>
        <w:rPr/>
        <w:t>reunión</w:t>
      </w:r>
      <w:r>
        <w:rPr>
          <w:spacing w:val="-7"/>
        </w:rPr>
        <w:t> </w:t>
      </w:r>
      <w:r>
        <w:rPr/>
        <w:t>se</w:t>
      </w:r>
      <w:r>
        <w:rPr>
          <w:spacing w:val="-7"/>
        </w:rPr>
        <w:t> </w:t>
      </w:r>
      <w:r>
        <w:rPr/>
        <w:t>destacó la</w:t>
      </w:r>
      <w:r>
        <w:rPr>
          <w:spacing w:val="-5"/>
        </w:rPr>
        <w:t> </w:t>
      </w:r>
      <w:r>
        <w:rPr/>
        <w:t>importancia</w:t>
      </w:r>
      <w:r>
        <w:rPr>
          <w:spacing w:val="-5"/>
        </w:rPr>
        <w:t> </w:t>
      </w:r>
      <w:r>
        <w:rPr/>
        <w:t>de</w:t>
      </w:r>
      <w:r>
        <w:rPr>
          <w:spacing w:val="-5"/>
        </w:rPr>
        <w:t> </w:t>
      </w:r>
      <w:r>
        <w:rPr/>
        <w:t>la</w:t>
      </w:r>
      <w:r>
        <w:rPr>
          <w:spacing w:val="-5"/>
        </w:rPr>
        <w:t> </w:t>
      </w:r>
      <w:r>
        <w:rPr/>
        <w:t>gestión</w:t>
      </w:r>
      <w:r>
        <w:rPr>
          <w:spacing w:val="-5"/>
        </w:rPr>
        <w:t> </w:t>
      </w:r>
      <w:r>
        <w:rPr/>
        <w:t>y</w:t>
      </w:r>
      <w:r>
        <w:rPr>
          <w:spacing w:val="-8"/>
        </w:rPr>
        <w:t> </w:t>
      </w:r>
      <w:r>
        <w:rPr/>
        <w:t>la</w:t>
      </w:r>
      <w:r>
        <w:rPr>
          <w:spacing w:val="-5"/>
        </w:rPr>
        <w:t> </w:t>
      </w:r>
      <w:r>
        <w:rPr/>
        <w:t>gobernanza</w:t>
      </w:r>
      <w:r>
        <w:rPr>
          <w:spacing w:val="-5"/>
        </w:rPr>
        <w:t> </w:t>
      </w:r>
      <w:r>
        <w:rPr/>
        <w:t>en</w:t>
      </w:r>
      <w:r>
        <w:rPr>
          <w:spacing w:val="-5"/>
        </w:rPr>
        <w:t> </w:t>
      </w:r>
      <w:r>
        <w:rPr/>
        <w:t>la</w:t>
      </w:r>
      <w:r>
        <w:rPr>
          <w:spacing w:val="-5"/>
        </w:rPr>
        <w:t> </w:t>
      </w:r>
      <w:r>
        <w:rPr/>
        <w:t>regulación</w:t>
      </w:r>
      <w:r>
        <w:rPr>
          <w:spacing w:val="-5"/>
        </w:rPr>
        <w:t> </w:t>
      </w:r>
      <w:r>
        <w:rPr/>
        <w:t>por</w:t>
      </w:r>
      <w:r>
        <w:rPr>
          <w:spacing w:val="-3"/>
        </w:rPr>
        <w:t> </w:t>
      </w:r>
      <w:r>
        <w:rPr/>
        <w:t>medio</w:t>
      </w:r>
      <w:r>
        <w:rPr>
          <w:spacing w:val="-5"/>
        </w:rPr>
        <w:t> </w:t>
      </w:r>
      <w:r>
        <w:rPr/>
        <w:t>del</w:t>
      </w:r>
      <w:r>
        <w:rPr>
          <w:spacing w:val="-5"/>
        </w:rPr>
        <w:t> </w:t>
      </w:r>
      <w:r>
        <w:rPr/>
        <w:t>ciclo de políticas públicas, que consiste en las etapas de diseño, ejecución, seguimiento y evaluación del desempeño. El estudio sobre regulaciones en el gobierno para México analiza todo el ciclo, asegurando la relevancia y la justificación de las normas que regulan a la administración pública federal y generando medidas para evitar una sobrerregulación, además de establecer normas estrictas para la emisión de nuevas</w:t>
      </w:r>
      <w:r>
        <w:rPr>
          <w:spacing w:val="-25"/>
        </w:rPr>
        <w:t> </w:t>
      </w:r>
      <w:r>
        <w:rPr/>
        <w:t>disposiciones.</w:t>
      </w:r>
    </w:p>
    <w:p>
      <w:pPr>
        <w:pStyle w:val="BodyText"/>
        <w:spacing w:line="362" w:lineRule="auto" w:before="2"/>
        <w:ind w:left="100" w:right="108" w:firstLine="427"/>
        <w:jc w:val="both"/>
      </w:pPr>
      <w:r>
        <w:rPr/>
        <w:t>Las recomendaciones más destacadas de la OCDE para orientar a México hacia la gobernanza son las siguientes:</w:t>
      </w:r>
    </w:p>
    <w:p>
      <w:pPr>
        <w:pStyle w:val="BodyText"/>
      </w:pPr>
    </w:p>
    <w:p>
      <w:pPr>
        <w:pStyle w:val="ListParagraph"/>
        <w:numPr>
          <w:ilvl w:val="0"/>
          <w:numId w:val="89"/>
        </w:numPr>
        <w:tabs>
          <w:tab w:pos="821" w:val="left" w:leader="none"/>
        </w:tabs>
        <w:spacing w:line="360" w:lineRule="auto" w:before="139" w:after="0"/>
        <w:ind w:left="821" w:right="111" w:hanging="361"/>
        <w:jc w:val="both"/>
        <w:rPr>
          <w:sz w:val="24"/>
        </w:rPr>
      </w:pPr>
      <w:r>
        <w:rPr>
          <w:sz w:val="24"/>
        </w:rPr>
        <w:t>Debido</w:t>
      </w:r>
      <w:r>
        <w:rPr>
          <w:spacing w:val="-4"/>
          <w:sz w:val="24"/>
        </w:rPr>
        <w:t> </w:t>
      </w:r>
      <w:r>
        <w:rPr>
          <w:sz w:val="24"/>
        </w:rPr>
        <w:t>a</w:t>
      </w:r>
      <w:r>
        <w:rPr>
          <w:spacing w:val="-7"/>
          <w:sz w:val="24"/>
        </w:rPr>
        <w:t> </w:t>
      </w:r>
      <w:r>
        <w:rPr>
          <w:sz w:val="24"/>
        </w:rPr>
        <w:t>la</w:t>
      </w:r>
      <w:r>
        <w:rPr>
          <w:spacing w:val="-4"/>
          <w:sz w:val="24"/>
        </w:rPr>
        <w:t> </w:t>
      </w:r>
      <w:r>
        <w:rPr>
          <w:sz w:val="24"/>
        </w:rPr>
        <w:t>disminución</w:t>
      </w:r>
      <w:r>
        <w:rPr>
          <w:spacing w:val="-7"/>
          <w:sz w:val="24"/>
        </w:rPr>
        <w:t> </w:t>
      </w:r>
      <w:r>
        <w:rPr>
          <w:sz w:val="24"/>
        </w:rPr>
        <w:t>de</w:t>
      </w:r>
      <w:r>
        <w:rPr>
          <w:spacing w:val="-7"/>
          <w:sz w:val="24"/>
        </w:rPr>
        <w:t> </w:t>
      </w:r>
      <w:r>
        <w:rPr>
          <w:sz w:val="24"/>
        </w:rPr>
        <w:t>la</w:t>
      </w:r>
      <w:r>
        <w:rPr>
          <w:spacing w:val="-4"/>
          <w:sz w:val="24"/>
        </w:rPr>
        <w:t> </w:t>
      </w:r>
      <w:r>
        <w:rPr>
          <w:sz w:val="24"/>
        </w:rPr>
        <w:t>producción</w:t>
      </w:r>
      <w:r>
        <w:rPr>
          <w:spacing w:val="-7"/>
          <w:sz w:val="24"/>
        </w:rPr>
        <w:t> </w:t>
      </w:r>
      <w:r>
        <w:rPr>
          <w:sz w:val="24"/>
        </w:rPr>
        <w:t>petrolera</w:t>
      </w:r>
      <w:r>
        <w:rPr>
          <w:spacing w:val="-7"/>
          <w:sz w:val="24"/>
        </w:rPr>
        <w:t> </w:t>
      </w:r>
      <w:r>
        <w:rPr>
          <w:sz w:val="24"/>
        </w:rPr>
        <w:t>en</w:t>
      </w:r>
      <w:r>
        <w:rPr>
          <w:spacing w:val="-4"/>
          <w:sz w:val="24"/>
        </w:rPr>
        <w:t> </w:t>
      </w:r>
      <w:r>
        <w:rPr>
          <w:sz w:val="24"/>
        </w:rPr>
        <w:t>20%</w:t>
      </w:r>
      <w:r>
        <w:rPr>
          <w:spacing w:val="-4"/>
          <w:sz w:val="24"/>
        </w:rPr>
        <w:t> </w:t>
      </w:r>
      <w:r>
        <w:rPr>
          <w:sz w:val="24"/>
        </w:rPr>
        <w:t>y</w:t>
      </w:r>
      <w:r>
        <w:rPr>
          <w:spacing w:val="-9"/>
          <w:sz w:val="24"/>
        </w:rPr>
        <w:t> </w:t>
      </w:r>
      <w:r>
        <w:rPr>
          <w:sz w:val="24"/>
        </w:rPr>
        <w:t>su</w:t>
      </w:r>
      <w:r>
        <w:rPr>
          <w:spacing w:val="-7"/>
          <w:sz w:val="24"/>
        </w:rPr>
        <w:t> </w:t>
      </w:r>
      <w:r>
        <w:rPr>
          <w:sz w:val="24"/>
        </w:rPr>
        <w:t>gran</w:t>
      </w:r>
      <w:r>
        <w:rPr>
          <w:spacing w:val="-7"/>
          <w:sz w:val="24"/>
        </w:rPr>
        <w:t> </w:t>
      </w:r>
      <w:r>
        <w:rPr>
          <w:sz w:val="24"/>
        </w:rPr>
        <w:t>peso en</w:t>
      </w:r>
      <w:r>
        <w:rPr>
          <w:spacing w:val="-13"/>
          <w:sz w:val="24"/>
        </w:rPr>
        <w:t> </w:t>
      </w:r>
      <w:r>
        <w:rPr>
          <w:sz w:val="24"/>
        </w:rPr>
        <w:t>los</w:t>
      </w:r>
      <w:r>
        <w:rPr>
          <w:spacing w:val="-11"/>
          <w:sz w:val="24"/>
        </w:rPr>
        <w:t> </w:t>
      </w:r>
      <w:r>
        <w:rPr>
          <w:sz w:val="24"/>
        </w:rPr>
        <w:t>ingresos</w:t>
      </w:r>
      <w:r>
        <w:rPr>
          <w:spacing w:val="-11"/>
          <w:sz w:val="24"/>
        </w:rPr>
        <w:t> </w:t>
      </w:r>
      <w:r>
        <w:rPr>
          <w:sz w:val="24"/>
        </w:rPr>
        <w:t>del</w:t>
      </w:r>
      <w:r>
        <w:rPr>
          <w:spacing w:val="-12"/>
          <w:sz w:val="24"/>
        </w:rPr>
        <w:t> </w:t>
      </w:r>
      <w:r>
        <w:rPr>
          <w:sz w:val="24"/>
        </w:rPr>
        <w:t>gobierno,</w:t>
      </w:r>
      <w:r>
        <w:rPr>
          <w:spacing w:val="-10"/>
          <w:sz w:val="24"/>
        </w:rPr>
        <w:t> </w:t>
      </w:r>
      <w:r>
        <w:rPr>
          <w:sz w:val="24"/>
        </w:rPr>
        <w:t>se</w:t>
      </w:r>
      <w:r>
        <w:rPr>
          <w:spacing w:val="-13"/>
          <w:sz w:val="24"/>
        </w:rPr>
        <w:t> </w:t>
      </w:r>
      <w:r>
        <w:rPr>
          <w:sz w:val="24"/>
        </w:rPr>
        <w:t>debe</w:t>
      </w:r>
      <w:r>
        <w:rPr>
          <w:spacing w:val="-9"/>
          <w:sz w:val="24"/>
        </w:rPr>
        <w:t> </w:t>
      </w:r>
      <w:r>
        <w:rPr>
          <w:sz w:val="24"/>
        </w:rPr>
        <w:t>mejorar</w:t>
      </w:r>
      <w:r>
        <w:rPr>
          <w:spacing w:val="-7"/>
          <w:sz w:val="24"/>
        </w:rPr>
        <w:t> </w:t>
      </w:r>
      <w:r>
        <w:rPr>
          <w:sz w:val="24"/>
        </w:rPr>
        <w:t>la</w:t>
      </w:r>
      <w:r>
        <w:rPr>
          <w:spacing w:val="-13"/>
          <w:sz w:val="24"/>
        </w:rPr>
        <w:t> </w:t>
      </w:r>
      <w:r>
        <w:rPr>
          <w:sz w:val="24"/>
        </w:rPr>
        <w:t>capacidad</w:t>
      </w:r>
      <w:r>
        <w:rPr>
          <w:spacing w:val="-10"/>
          <w:sz w:val="24"/>
        </w:rPr>
        <w:t> </w:t>
      </w:r>
      <w:r>
        <w:rPr>
          <w:sz w:val="24"/>
        </w:rPr>
        <w:t>gubernamental para garantizar el uso eficiente de los recursos públicos</w:t>
      </w:r>
      <w:r>
        <w:rPr>
          <w:spacing w:val="-37"/>
          <w:sz w:val="24"/>
        </w:rPr>
        <w:t> </w:t>
      </w:r>
      <w:r>
        <w:rPr>
          <w:sz w:val="24"/>
        </w:rPr>
        <w:t>(economía).</w:t>
      </w:r>
    </w:p>
    <w:p>
      <w:pPr>
        <w:pStyle w:val="ListParagraph"/>
        <w:numPr>
          <w:ilvl w:val="0"/>
          <w:numId w:val="89"/>
        </w:numPr>
        <w:tabs>
          <w:tab w:pos="821" w:val="left" w:leader="none"/>
        </w:tabs>
        <w:spacing w:line="360" w:lineRule="auto" w:before="2" w:after="0"/>
        <w:ind w:left="821" w:right="204" w:hanging="361"/>
        <w:jc w:val="both"/>
        <w:rPr>
          <w:sz w:val="24"/>
        </w:rPr>
      </w:pPr>
      <w:r>
        <w:rPr>
          <w:sz w:val="24"/>
        </w:rPr>
        <w:t>Facilitar la implementación de políticas públicas para atender los problemas sociales y económicos, como la pobreza y el acceso a los servicios básicos de calidad (en salud y educación, por ejemplo), la economía informal y la infraestructura (eficacia y</w:t>
      </w:r>
      <w:r>
        <w:rPr>
          <w:spacing w:val="-41"/>
          <w:sz w:val="24"/>
        </w:rPr>
        <w:t> </w:t>
      </w:r>
      <w:r>
        <w:rPr>
          <w:sz w:val="24"/>
        </w:rPr>
        <w:t>eficiencia).</w:t>
      </w:r>
    </w:p>
    <w:p>
      <w:pPr>
        <w:pStyle w:val="BodyText"/>
      </w:pPr>
    </w:p>
    <w:p>
      <w:pPr>
        <w:pStyle w:val="BodyText"/>
        <w:spacing w:line="360" w:lineRule="auto" w:before="142"/>
        <w:ind w:left="100" w:right="198" w:firstLine="427"/>
        <w:jc w:val="both"/>
      </w:pPr>
      <w:r>
        <w:rPr/>
        <w:t>Un</w:t>
      </w:r>
      <w:r>
        <w:rPr>
          <w:spacing w:val="-17"/>
        </w:rPr>
        <w:t> </w:t>
      </w:r>
      <w:r>
        <w:rPr/>
        <w:t>elemento</w:t>
      </w:r>
      <w:r>
        <w:rPr>
          <w:spacing w:val="-17"/>
        </w:rPr>
        <w:t> </w:t>
      </w:r>
      <w:r>
        <w:rPr/>
        <w:t>clave</w:t>
      </w:r>
      <w:r>
        <w:rPr>
          <w:spacing w:val="-17"/>
        </w:rPr>
        <w:t> </w:t>
      </w:r>
      <w:r>
        <w:rPr/>
        <w:t>de</w:t>
      </w:r>
      <w:r>
        <w:rPr>
          <w:spacing w:val="-17"/>
        </w:rPr>
        <w:t> </w:t>
      </w:r>
      <w:r>
        <w:rPr/>
        <w:t>la</w:t>
      </w:r>
      <w:r>
        <w:rPr>
          <w:spacing w:val="-17"/>
        </w:rPr>
        <w:t> </w:t>
      </w:r>
      <w:r>
        <w:rPr/>
        <w:t>buena</w:t>
      </w:r>
      <w:r>
        <w:rPr>
          <w:spacing w:val="-17"/>
        </w:rPr>
        <w:t> </w:t>
      </w:r>
      <w:r>
        <w:rPr/>
        <w:t>gobernanza,</w:t>
      </w:r>
      <w:r>
        <w:rPr>
          <w:spacing w:val="-14"/>
        </w:rPr>
        <w:t> </w:t>
      </w:r>
      <w:r>
        <w:rPr/>
        <w:t>de</w:t>
      </w:r>
      <w:r>
        <w:rPr>
          <w:spacing w:val="-17"/>
        </w:rPr>
        <w:t> </w:t>
      </w:r>
      <w:r>
        <w:rPr/>
        <w:t>acuerdo</w:t>
      </w:r>
      <w:r>
        <w:rPr>
          <w:spacing w:val="-17"/>
        </w:rPr>
        <w:t> </w:t>
      </w:r>
      <w:r>
        <w:rPr/>
        <w:t>con</w:t>
      </w:r>
      <w:r>
        <w:rPr>
          <w:spacing w:val="-17"/>
        </w:rPr>
        <w:t> </w:t>
      </w:r>
      <w:r>
        <w:rPr/>
        <w:t>la</w:t>
      </w:r>
      <w:r>
        <w:rPr>
          <w:spacing w:val="-17"/>
        </w:rPr>
        <w:t> </w:t>
      </w:r>
      <w:r>
        <w:rPr/>
        <w:t>OCDE,</w:t>
      </w:r>
      <w:r>
        <w:rPr>
          <w:spacing w:val="-14"/>
        </w:rPr>
        <w:t> </w:t>
      </w:r>
      <w:r>
        <w:rPr/>
        <w:t>reside en</w:t>
      </w:r>
      <w:r>
        <w:rPr>
          <w:spacing w:val="-15"/>
        </w:rPr>
        <w:t> </w:t>
      </w:r>
      <w:r>
        <w:rPr/>
        <w:t>contar</w:t>
      </w:r>
      <w:r>
        <w:rPr>
          <w:spacing w:val="-13"/>
        </w:rPr>
        <w:t> </w:t>
      </w:r>
      <w:r>
        <w:rPr/>
        <w:t>con</w:t>
      </w:r>
      <w:r>
        <w:rPr>
          <w:spacing w:val="-15"/>
        </w:rPr>
        <w:t> </w:t>
      </w:r>
      <w:r>
        <w:rPr/>
        <w:t>un</w:t>
      </w:r>
      <w:r>
        <w:rPr>
          <w:spacing w:val="-15"/>
        </w:rPr>
        <w:t> </w:t>
      </w:r>
      <w:r>
        <w:rPr/>
        <w:t>gobierno</w:t>
      </w:r>
      <w:r>
        <w:rPr>
          <w:spacing w:val="-15"/>
        </w:rPr>
        <w:t> </w:t>
      </w:r>
      <w:r>
        <w:rPr/>
        <w:t>que</w:t>
      </w:r>
      <w:r>
        <w:rPr>
          <w:spacing w:val="-15"/>
        </w:rPr>
        <w:t> </w:t>
      </w:r>
      <w:r>
        <w:rPr/>
        <w:t>sea</w:t>
      </w:r>
      <w:r>
        <w:rPr>
          <w:spacing w:val="-15"/>
        </w:rPr>
        <w:t> </w:t>
      </w:r>
      <w:r>
        <w:rPr/>
        <w:t>eficiente</w:t>
      </w:r>
      <w:r>
        <w:rPr>
          <w:spacing w:val="-11"/>
        </w:rPr>
        <w:t> </w:t>
      </w:r>
      <w:r>
        <w:rPr/>
        <w:t>y</w:t>
      </w:r>
      <w:r>
        <w:rPr>
          <w:spacing w:val="-17"/>
        </w:rPr>
        <w:t> </w:t>
      </w:r>
      <w:r>
        <w:rPr/>
        <w:t>eficaz.</w:t>
      </w:r>
      <w:r>
        <w:rPr>
          <w:spacing w:val="-12"/>
        </w:rPr>
        <w:t> </w:t>
      </w:r>
      <w:r>
        <w:rPr/>
        <w:t>Un</w:t>
      </w:r>
      <w:r>
        <w:rPr>
          <w:spacing w:val="-15"/>
        </w:rPr>
        <w:t> </w:t>
      </w:r>
      <w:r>
        <w:rPr/>
        <w:t>gobierno</w:t>
      </w:r>
      <w:r>
        <w:rPr>
          <w:spacing w:val="-11"/>
        </w:rPr>
        <w:t> </w:t>
      </w:r>
      <w:r>
        <w:rPr/>
        <w:t>eficaz</w:t>
      </w:r>
      <w:r>
        <w:rPr>
          <w:spacing w:val="-17"/>
        </w:rPr>
        <w:t> </w:t>
      </w:r>
      <w:r>
        <w:rPr/>
        <w:t>es</w:t>
      </w:r>
      <w:r>
        <w:rPr>
          <w:spacing w:val="-10"/>
        </w:rPr>
        <w:t> </w:t>
      </w:r>
      <w:r>
        <w:rPr/>
        <w:t>aquel cuyos resultados de políticas públicas cumplen con sus objetivos. Al mismo tiempo, un gobierno eficiente es aquel que genera los mayores resultados al menor</w:t>
      </w:r>
      <w:r>
        <w:rPr>
          <w:spacing w:val="-9"/>
        </w:rPr>
        <w:t> </w:t>
      </w:r>
      <w:r>
        <w:rPr/>
        <w:t>costo.</w:t>
      </w:r>
    </w:p>
    <w:p>
      <w:pPr>
        <w:pStyle w:val="BodyText"/>
        <w:spacing w:line="360" w:lineRule="auto" w:before="2"/>
        <w:ind w:left="100" w:right="200" w:firstLine="427"/>
        <w:jc w:val="both"/>
      </w:pPr>
      <w:r>
        <w:rPr/>
        <w:t>Para que un gobierno sea eficaz y eficiente, la OCDE considera que debe trabajar dentro de un marco de lineamientos y reglas. Una aportación muy relevante de la organización, es que, a diferencia del sistema de rendición de cuentas (la cual incluye sanciones por el incumplimiento de una obligación), la OCDE</w:t>
      </w:r>
      <w:r>
        <w:rPr>
          <w:spacing w:val="-12"/>
        </w:rPr>
        <w:t> </w:t>
      </w:r>
      <w:r>
        <w:rPr/>
        <w:t>sugirió</w:t>
      </w:r>
      <w:r>
        <w:rPr>
          <w:spacing w:val="-14"/>
        </w:rPr>
        <w:t> </w:t>
      </w:r>
      <w:r>
        <w:rPr/>
        <w:t>que</w:t>
      </w:r>
      <w:r>
        <w:rPr>
          <w:spacing w:val="-14"/>
        </w:rPr>
        <w:t> </w:t>
      </w:r>
      <w:r>
        <w:rPr/>
        <w:t>el</w:t>
      </w:r>
      <w:r>
        <w:rPr>
          <w:spacing w:val="-13"/>
        </w:rPr>
        <w:t> </w:t>
      </w:r>
      <w:r>
        <w:rPr/>
        <w:t>gobierno</w:t>
      </w:r>
      <w:r>
        <w:rPr>
          <w:spacing w:val="-13"/>
        </w:rPr>
        <w:t> </w:t>
      </w:r>
      <w:r>
        <w:rPr/>
        <w:t>ofrezca</w:t>
      </w:r>
      <w:r>
        <w:rPr>
          <w:spacing w:val="-13"/>
        </w:rPr>
        <w:t> </w:t>
      </w:r>
      <w:r>
        <w:rPr/>
        <w:t>incentivos</w:t>
      </w:r>
      <w:r>
        <w:rPr>
          <w:spacing w:val="-12"/>
        </w:rPr>
        <w:t> </w:t>
      </w:r>
      <w:r>
        <w:rPr/>
        <w:t>a</w:t>
      </w:r>
      <w:r>
        <w:rPr>
          <w:spacing w:val="-13"/>
        </w:rPr>
        <w:t> </w:t>
      </w:r>
      <w:r>
        <w:rPr/>
        <w:t>los</w:t>
      </w:r>
      <w:r>
        <w:rPr>
          <w:spacing w:val="-12"/>
        </w:rPr>
        <w:t> </w:t>
      </w:r>
      <w:r>
        <w:rPr/>
        <w:t>funcionarios</w:t>
      </w:r>
      <w:r>
        <w:rPr>
          <w:spacing w:val="-12"/>
        </w:rPr>
        <w:t> </w:t>
      </w:r>
      <w:r>
        <w:rPr/>
        <w:t>públicos</w:t>
      </w:r>
      <w:r>
        <w:rPr>
          <w:spacing w:val="-12"/>
        </w:rPr>
        <w:t> </w:t>
      </w:r>
      <w:r>
        <w:rPr/>
        <w:t>para que se apeguen a los objetivos establecidos por las políticas públicas, y así garantizar que los resultados estén alineados con las expectativas de la sociedad.</w:t>
      </w:r>
    </w:p>
    <w:p>
      <w:pPr>
        <w:spacing w:after="0" w:line="360" w:lineRule="auto"/>
        <w:jc w:val="both"/>
        <w:sectPr>
          <w:pgSz w:w="11910" w:h="16840"/>
          <w:pgMar w:header="0" w:footer="998" w:top="1360" w:bottom="1180" w:left="1600" w:right="1500"/>
        </w:sectPr>
      </w:pPr>
    </w:p>
    <w:p>
      <w:pPr>
        <w:pStyle w:val="BodyText"/>
        <w:spacing w:line="360" w:lineRule="auto" w:before="39"/>
        <w:ind w:left="100" w:right="202" w:firstLine="427"/>
        <w:jc w:val="both"/>
      </w:pPr>
      <w:r>
        <w:rPr/>
        <w:t>La</w:t>
      </w:r>
      <w:r>
        <w:rPr>
          <w:spacing w:val="-12"/>
        </w:rPr>
        <w:t> </w:t>
      </w:r>
      <w:r>
        <w:rPr/>
        <w:t>organización</w:t>
      </w:r>
      <w:r>
        <w:rPr>
          <w:spacing w:val="-10"/>
        </w:rPr>
        <w:t> </w:t>
      </w:r>
      <w:r>
        <w:rPr/>
        <w:t>también</w:t>
      </w:r>
      <w:r>
        <w:rPr>
          <w:spacing w:val="-12"/>
        </w:rPr>
        <w:t> </w:t>
      </w:r>
      <w:r>
        <w:rPr/>
        <w:t>consideró</w:t>
      </w:r>
      <w:r>
        <w:rPr>
          <w:spacing w:val="-10"/>
        </w:rPr>
        <w:t> </w:t>
      </w:r>
      <w:r>
        <w:rPr/>
        <w:t>que</w:t>
      </w:r>
      <w:r>
        <w:rPr>
          <w:spacing w:val="-12"/>
        </w:rPr>
        <w:t> </w:t>
      </w:r>
      <w:r>
        <w:rPr/>
        <w:t>el</w:t>
      </w:r>
      <w:r>
        <w:rPr>
          <w:spacing w:val="-11"/>
        </w:rPr>
        <w:t> </w:t>
      </w:r>
      <w:r>
        <w:rPr/>
        <w:t>reto</w:t>
      </w:r>
      <w:r>
        <w:rPr>
          <w:spacing w:val="-12"/>
        </w:rPr>
        <w:t> </w:t>
      </w:r>
      <w:r>
        <w:rPr/>
        <w:t>que</w:t>
      </w:r>
      <w:r>
        <w:rPr>
          <w:spacing w:val="-12"/>
        </w:rPr>
        <w:t> </w:t>
      </w:r>
      <w:r>
        <w:rPr/>
        <w:t>México</w:t>
      </w:r>
      <w:r>
        <w:rPr>
          <w:spacing w:val="-12"/>
        </w:rPr>
        <w:t> </w:t>
      </w:r>
      <w:r>
        <w:rPr/>
        <w:t>enfrenta</w:t>
      </w:r>
      <w:r>
        <w:rPr>
          <w:spacing w:val="-12"/>
        </w:rPr>
        <w:t> </w:t>
      </w:r>
      <w:r>
        <w:rPr/>
        <w:t>ahora</w:t>
      </w:r>
      <w:r>
        <w:rPr>
          <w:spacing w:val="-12"/>
        </w:rPr>
        <w:t> </w:t>
      </w:r>
      <w:r>
        <w:rPr/>
        <w:t>es garantizar que los manuales se conviertan en las herramientas que efectivamente orienten y determinen el marco regulatorio interno del gobierno y se conviertan en un pilar de la buena gobernanza. Advirtió que, aunque el gobierno federal ha adoptado sus recomendaciones, la agenda de largo plazo deberá trascender los cambios presidenciales, por lo que los estudios regulatorios</w:t>
      </w:r>
      <w:r>
        <w:rPr>
          <w:spacing w:val="-12"/>
        </w:rPr>
        <w:t> </w:t>
      </w:r>
      <w:r>
        <w:rPr/>
        <w:t>no</w:t>
      </w:r>
      <w:r>
        <w:rPr>
          <w:spacing w:val="-14"/>
        </w:rPr>
        <w:t> </w:t>
      </w:r>
      <w:r>
        <w:rPr/>
        <w:t>deben</w:t>
      </w:r>
      <w:r>
        <w:rPr>
          <w:spacing w:val="-14"/>
        </w:rPr>
        <w:t> </w:t>
      </w:r>
      <w:r>
        <w:rPr/>
        <w:t>ser</w:t>
      </w:r>
      <w:r>
        <w:rPr>
          <w:spacing w:val="-12"/>
        </w:rPr>
        <w:t> </w:t>
      </w:r>
      <w:r>
        <w:rPr/>
        <w:t>realizados</w:t>
      </w:r>
      <w:r>
        <w:rPr>
          <w:spacing w:val="-12"/>
        </w:rPr>
        <w:t> </w:t>
      </w:r>
      <w:r>
        <w:rPr/>
        <w:t>una</w:t>
      </w:r>
      <w:r>
        <w:rPr>
          <w:spacing w:val="-14"/>
        </w:rPr>
        <w:t> </w:t>
      </w:r>
      <w:r>
        <w:rPr/>
        <w:t>sola</w:t>
      </w:r>
      <w:r>
        <w:rPr>
          <w:spacing w:val="-14"/>
        </w:rPr>
        <w:t> </w:t>
      </w:r>
      <w:r>
        <w:rPr/>
        <w:t>vez,</w:t>
      </w:r>
      <w:r>
        <w:rPr>
          <w:spacing w:val="-11"/>
        </w:rPr>
        <w:t> </w:t>
      </w:r>
      <w:r>
        <w:rPr/>
        <w:t>sino</w:t>
      </w:r>
      <w:r>
        <w:rPr>
          <w:spacing w:val="-14"/>
        </w:rPr>
        <w:t> </w:t>
      </w:r>
      <w:r>
        <w:rPr/>
        <w:t>un</w:t>
      </w:r>
      <w:r>
        <w:rPr>
          <w:spacing w:val="-14"/>
        </w:rPr>
        <w:t> </w:t>
      </w:r>
      <w:r>
        <w:rPr/>
        <w:t>elemento</w:t>
      </w:r>
      <w:r>
        <w:rPr>
          <w:spacing w:val="-14"/>
        </w:rPr>
        <w:t> </w:t>
      </w:r>
      <w:r>
        <w:rPr/>
        <w:t>permanente de la gobernanza pública</w:t>
      </w:r>
      <w:r>
        <w:rPr>
          <w:spacing w:val="-20"/>
        </w:rPr>
        <w:t> </w:t>
      </w:r>
      <w:r>
        <w:rPr/>
        <w:t>adecuada.</w:t>
      </w:r>
    </w:p>
    <w:p>
      <w:pPr>
        <w:pStyle w:val="BodyText"/>
        <w:spacing w:line="360" w:lineRule="auto" w:before="2"/>
        <w:ind w:left="100" w:right="199" w:firstLine="427"/>
        <w:jc w:val="both"/>
      </w:pPr>
      <w:r>
        <w:rPr/>
        <w:t>La</w:t>
      </w:r>
      <w:r>
        <w:rPr>
          <w:spacing w:val="-5"/>
        </w:rPr>
        <w:t> </w:t>
      </w:r>
      <w:r>
        <w:rPr/>
        <w:t>OCDE</w:t>
      </w:r>
      <w:r>
        <w:rPr>
          <w:spacing w:val="-3"/>
        </w:rPr>
        <w:t> </w:t>
      </w:r>
      <w:r>
        <w:rPr/>
        <w:t>mencionó</w:t>
      </w:r>
      <w:r>
        <w:rPr>
          <w:spacing w:val="-4"/>
        </w:rPr>
        <w:t> </w:t>
      </w:r>
      <w:r>
        <w:rPr/>
        <w:t>que</w:t>
      </w:r>
      <w:r>
        <w:rPr>
          <w:spacing w:val="-5"/>
        </w:rPr>
        <w:t> </w:t>
      </w:r>
      <w:r>
        <w:rPr/>
        <w:t>la</w:t>
      </w:r>
      <w:r>
        <w:rPr>
          <w:spacing w:val="-4"/>
        </w:rPr>
        <w:t> </w:t>
      </w:r>
      <w:r>
        <w:rPr/>
        <w:t>gobernanza</w:t>
      </w:r>
      <w:r>
        <w:rPr>
          <w:spacing w:val="-5"/>
        </w:rPr>
        <w:t> </w:t>
      </w:r>
      <w:r>
        <w:rPr/>
        <w:t>requiere</w:t>
      </w:r>
      <w:r>
        <w:rPr>
          <w:spacing w:val="-5"/>
        </w:rPr>
        <w:t> </w:t>
      </w:r>
      <w:r>
        <w:rPr/>
        <w:t>de</w:t>
      </w:r>
      <w:r>
        <w:rPr>
          <w:spacing w:val="-5"/>
        </w:rPr>
        <w:t> </w:t>
      </w:r>
      <w:r>
        <w:rPr/>
        <w:t>una</w:t>
      </w:r>
      <w:r>
        <w:rPr>
          <w:spacing w:val="-5"/>
        </w:rPr>
        <w:t> </w:t>
      </w:r>
      <w:r>
        <w:rPr/>
        <w:t>visión</w:t>
      </w:r>
      <w:r>
        <w:rPr>
          <w:spacing w:val="-5"/>
        </w:rPr>
        <w:t> </w:t>
      </w:r>
      <w:r>
        <w:rPr/>
        <w:t>prospectiva</w:t>
      </w:r>
      <w:r>
        <w:rPr>
          <w:spacing w:val="-5"/>
        </w:rPr>
        <w:t> </w:t>
      </w:r>
      <w:r>
        <w:rPr/>
        <w:t>y una visión estratégica clara, en la cual el SPC debe responder a la orientación futura del gobierno y sus prioridades. También consideró que el Servicio de Carrera contribuirá a fortalecer la rendición de cuentas, </w:t>
      </w:r>
      <w:r>
        <w:rPr>
          <w:spacing w:val="-3"/>
        </w:rPr>
        <w:t>ya </w:t>
      </w:r>
      <w:r>
        <w:rPr/>
        <w:t>que se orienta a la administración eficiente del gobierno y, sobre todo presentar</w:t>
      </w:r>
      <w:r>
        <w:rPr>
          <w:spacing w:val="-32"/>
        </w:rPr>
        <w:t> </w:t>
      </w:r>
      <w:r>
        <w:rPr/>
        <w:t>resultados.</w:t>
      </w:r>
    </w:p>
    <w:p>
      <w:pPr>
        <w:pStyle w:val="BodyText"/>
        <w:spacing w:line="360" w:lineRule="auto" w:before="2"/>
        <w:ind w:left="100" w:right="198" w:firstLine="427"/>
        <w:jc w:val="right"/>
      </w:pPr>
      <w:r>
        <w:rPr/>
        <w:t>La</w:t>
      </w:r>
      <w:r>
        <w:rPr>
          <w:spacing w:val="50"/>
        </w:rPr>
        <w:t> </w:t>
      </w:r>
      <w:r>
        <w:rPr/>
        <w:t>OCDE</w:t>
      </w:r>
      <w:r>
        <w:rPr>
          <w:spacing w:val="51"/>
        </w:rPr>
        <w:t> </w:t>
      </w:r>
      <w:r>
        <w:rPr/>
        <w:t>(2012)</w:t>
      </w:r>
      <w:r>
        <w:rPr>
          <w:spacing w:val="51"/>
        </w:rPr>
        <w:t> </w:t>
      </w:r>
      <w:r>
        <w:rPr/>
        <w:t>publicó</w:t>
      </w:r>
      <w:r>
        <w:rPr>
          <w:spacing w:val="50"/>
        </w:rPr>
        <w:t> </w:t>
      </w:r>
      <w:r>
        <w:rPr/>
        <w:t>en</w:t>
      </w:r>
      <w:r>
        <w:rPr>
          <w:spacing w:val="50"/>
        </w:rPr>
        <w:t> </w:t>
      </w:r>
      <w:r>
        <w:rPr/>
        <w:t>septiembre</w:t>
      </w:r>
      <w:r>
        <w:rPr>
          <w:spacing w:val="50"/>
        </w:rPr>
        <w:t> </w:t>
      </w:r>
      <w:r>
        <w:rPr/>
        <w:t>de</w:t>
      </w:r>
      <w:r>
        <w:rPr>
          <w:spacing w:val="50"/>
        </w:rPr>
        <w:t> </w:t>
      </w:r>
      <w:r>
        <w:rPr/>
        <w:t>2012</w:t>
      </w:r>
      <w:r>
        <w:rPr>
          <w:spacing w:val="50"/>
        </w:rPr>
        <w:t> </w:t>
      </w:r>
      <w:r>
        <w:rPr/>
        <w:t>el</w:t>
      </w:r>
      <w:r>
        <w:rPr>
          <w:spacing w:val="50"/>
        </w:rPr>
        <w:t> </w:t>
      </w:r>
      <w:r>
        <w:rPr/>
        <w:t>documento</w:t>
      </w:r>
      <w:r>
        <w:rPr>
          <w:spacing w:val="55"/>
        </w:rPr>
        <w:t> </w:t>
      </w:r>
      <w:r>
        <w:rPr>
          <w:i/>
        </w:rPr>
        <w:t>México,</w:t>
      </w:r>
      <w:r>
        <w:rPr>
          <w:i/>
          <w:w w:val="100"/>
        </w:rPr>
        <w:t> </w:t>
      </w:r>
      <w:r>
        <w:rPr>
          <w:i/>
        </w:rPr>
        <w:t>mejores</w:t>
      </w:r>
      <w:r>
        <w:rPr>
          <w:i/>
          <w:spacing w:val="22"/>
        </w:rPr>
        <w:t> </w:t>
      </w:r>
      <w:r>
        <w:rPr>
          <w:i/>
        </w:rPr>
        <w:t>políticas</w:t>
      </w:r>
      <w:r>
        <w:rPr>
          <w:i/>
          <w:spacing w:val="22"/>
        </w:rPr>
        <w:t> </w:t>
      </w:r>
      <w:r>
        <w:rPr>
          <w:i/>
        </w:rPr>
        <w:t>para</w:t>
      </w:r>
      <w:r>
        <w:rPr>
          <w:i/>
          <w:spacing w:val="20"/>
        </w:rPr>
        <w:t> </w:t>
      </w:r>
      <w:r>
        <w:rPr>
          <w:i/>
        </w:rPr>
        <w:t>un</w:t>
      </w:r>
      <w:r>
        <w:rPr>
          <w:i/>
          <w:spacing w:val="20"/>
        </w:rPr>
        <w:t> </w:t>
      </w:r>
      <w:r>
        <w:rPr>
          <w:i/>
        </w:rPr>
        <w:t>desarrollo</w:t>
      </w:r>
      <w:r>
        <w:rPr>
          <w:i/>
          <w:spacing w:val="20"/>
        </w:rPr>
        <w:t> </w:t>
      </w:r>
      <w:r>
        <w:rPr>
          <w:i/>
        </w:rPr>
        <w:t>incluyente</w:t>
      </w:r>
      <w:r>
        <w:rPr/>
        <w:t>,</w:t>
      </w:r>
      <w:r>
        <w:rPr>
          <w:spacing w:val="22"/>
        </w:rPr>
        <w:t> </w:t>
      </w:r>
      <w:r>
        <w:rPr/>
        <w:t>en</w:t>
      </w:r>
      <w:r>
        <w:rPr>
          <w:spacing w:val="20"/>
        </w:rPr>
        <w:t> </w:t>
      </w:r>
      <w:r>
        <w:rPr/>
        <w:t>el</w:t>
      </w:r>
      <w:r>
        <w:rPr>
          <w:spacing w:val="20"/>
        </w:rPr>
        <w:t> </w:t>
      </w:r>
      <w:r>
        <w:rPr/>
        <w:t>cual</w:t>
      </w:r>
      <w:r>
        <w:rPr>
          <w:spacing w:val="20"/>
        </w:rPr>
        <w:t> </w:t>
      </w:r>
      <w:r>
        <w:rPr/>
        <w:t>reconoce</w:t>
      </w:r>
      <w:r>
        <w:rPr>
          <w:spacing w:val="20"/>
        </w:rPr>
        <w:t> </w:t>
      </w:r>
      <w:r>
        <w:rPr/>
        <w:t>que</w:t>
      </w:r>
      <w:r>
        <w:rPr>
          <w:spacing w:val="20"/>
        </w:rPr>
        <w:t> </w:t>
      </w:r>
      <w:r>
        <w:rPr/>
        <w:t>en</w:t>
      </w:r>
      <w:r>
        <w:rPr>
          <w:spacing w:val="20"/>
        </w:rPr>
        <w:t> </w:t>
      </w:r>
      <w:r>
        <w:rPr/>
        <w:t>el</w:t>
      </w:r>
      <w:r>
        <w:rPr>
          <w:w w:val="99"/>
        </w:rPr>
        <w:t> </w:t>
      </w:r>
      <w:r>
        <w:rPr/>
        <w:t>país se han realizado reformas para eficientar la administración</w:t>
      </w:r>
      <w:r>
        <w:rPr>
          <w:spacing w:val="27"/>
        </w:rPr>
        <w:t> </w:t>
      </w:r>
      <w:r>
        <w:rPr/>
        <w:t>pública</w:t>
      </w:r>
      <w:r>
        <w:rPr>
          <w:spacing w:val="6"/>
        </w:rPr>
        <w:t> </w:t>
      </w:r>
      <w:r>
        <w:rPr/>
        <w:t>y aumentar el impacto de las políticas públicas, entre ellas, se</w:t>
      </w:r>
      <w:r>
        <w:rPr>
          <w:spacing w:val="18"/>
        </w:rPr>
        <w:t> </w:t>
      </w:r>
      <w:r>
        <w:rPr/>
        <w:t>han</w:t>
      </w:r>
      <w:r>
        <w:rPr>
          <w:spacing w:val="-1"/>
        </w:rPr>
        <w:t> </w:t>
      </w:r>
      <w:r>
        <w:rPr/>
        <w:t>implementado</w:t>
      </w:r>
      <w:r>
        <w:rPr>
          <w:w w:val="99"/>
        </w:rPr>
        <w:t> </w:t>
      </w:r>
      <w:r>
        <w:rPr/>
        <w:t>medidas para evitar la corrupción. El documento afirmó que se requiere</w:t>
      </w:r>
      <w:r>
        <w:rPr>
          <w:spacing w:val="40"/>
        </w:rPr>
        <w:t> </w:t>
      </w:r>
      <w:r>
        <w:rPr/>
        <w:t>de</w:t>
      </w:r>
      <w:r>
        <w:rPr>
          <w:spacing w:val="19"/>
        </w:rPr>
        <w:t> </w:t>
      </w:r>
      <w:r>
        <w:rPr/>
        <w:t>un</w:t>
      </w:r>
      <w:r>
        <w:rPr>
          <w:w w:val="99"/>
        </w:rPr>
        <w:t> </w:t>
      </w:r>
      <w:r>
        <w:rPr/>
        <w:t>respaldo</w:t>
      </w:r>
      <w:r>
        <w:rPr>
          <w:spacing w:val="-21"/>
        </w:rPr>
        <w:t> </w:t>
      </w:r>
      <w:r>
        <w:rPr/>
        <w:t>político</w:t>
      </w:r>
      <w:r>
        <w:rPr>
          <w:spacing w:val="-21"/>
        </w:rPr>
        <w:t> </w:t>
      </w:r>
      <w:r>
        <w:rPr/>
        <w:t>fuerte</w:t>
      </w:r>
      <w:r>
        <w:rPr>
          <w:spacing w:val="-17"/>
        </w:rPr>
        <w:t> </w:t>
      </w:r>
      <w:r>
        <w:rPr/>
        <w:t>y</w:t>
      </w:r>
      <w:r>
        <w:rPr>
          <w:spacing w:val="-23"/>
        </w:rPr>
        <w:t> </w:t>
      </w:r>
      <w:r>
        <w:rPr/>
        <w:t>congruente</w:t>
      </w:r>
      <w:r>
        <w:rPr>
          <w:spacing w:val="-21"/>
        </w:rPr>
        <w:t> </w:t>
      </w:r>
      <w:r>
        <w:rPr/>
        <w:t>para</w:t>
      </w:r>
      <w:r>
        <w:rPr>
          <w:spacing w:val="-21"/>
        </w:rPr>
        <w:t> </w:t>
      </w:r>
      <w:r>
        <w:rPr/>
        <w:t>que</w:t>
      </w:r>
      <w:r>
        <w:rPr>
          <w:spacing w:val="-21"/>
        </w:rPr>
        <w:t> </w:t>
      </w:r>
      <w:r>
        <w:rPr/>
        <w:t>la</w:t>
      </w:r>
      <w:r>
        <w:rPr>
          <w:spacing w:val="-21"/>
        </w:rPr>
        <w:t> </w:t>
      </w:r>
      <w:r>
        <w:rPr/>
        <w:t>legislación</w:t>
      </w:r>
      <w:r>
        <w:rPr>
          <w:spacing w:val="-21"/>
        </w:rPr>
        <w:t> </w:t>
      </w:r>
      <w:r>
        <w:rPr/>
        <w:t>se</w:t>
      </w:r>
      <w:r>
        <w:rPr>
          <w:spacing w:val="-21"/>
        </w:rPr>
        <w:t> </w:t>
      </w:r>
      <w:r>
        <w:rPr/>
        <w:t>ponga</w:t>
      </w:r>
      <w:r>
        <w:rPr>
          <w:spacing w:val="-21"/>
        </w:rPr>
        <w:t> </w:t>
      </w:r>
      <w:r>
        <w:rPr/>
        <w:t>en</w:t>
      </w:r>
      <w:r>
        <w:rPr>
          <w:spacing w:val="-21"/>
        </w:rPr>
        <w:t> </w:t>
      </w:r>
      <w:r>
        <w:rPr/>
        <w:t>práctica.</w:t>
      </w:r>
    </w:p>
    <w:p>
      <w:pPr>
        <w:pStyle w:val="BodyText"/>
      </w:pPr>
    </w:p>
    <w:p>
      <w:pPr>
        <w:pStyle w:val="BodyText"/>
        <w:spacing w:line="360" w:lineRule="auto" w:before="142"/>
        <w:ind w:left="100" w:right="204" w:firstLine="427"/>
        <w:jc w:val="both"/>
      </w:pPr>
      <w:r>
        <w:rPr/>
        <w:t>Entre las sugerencias más destacadas de la OCDE en este tema se encuentra el fortalecer la eficiencia y efectividad de la rendición de cuentas en las entidades federativas.</w:t>
      </w:r>
    </w:p>
    <w:p>
      <w:pPr>
        <w:pStyle w:val="BodyText"/>
        <w:spacing w:line="360" w:lineRule="auto" w:before="6"/>
        <w:ind w:left="100" w:right="205" w:firstLine="427"/>
        <w:jc w:val="both"/>
      </w:pPr>
      <w:r>
        <w:rPr/>
        <w:t>Nuevamente la OCDE destacó la importancia de profesionalizar el servicio público, ya que consideró que éste fomenta el diseño e implementación de políticas públicas adecuadas, la rendición de cuentas y la transparencia. Afirmó que el buen gobierno requiere administraciones proactivas con una visión estratégica clara.</w:t>
      </w:r>
    </w:p>
    <w:p>
      <w:pPr>
        <w:pStyle w:val="BodyText"/>
        <w:spacing w:line="360" w:lineRule="auto" w:before="2"/>
        <w:ind w:left="100" w:right="208" w:firstLine="427"/>
        <w:jc w:val="both"/>
      </w:pPr>
      <w:r>
        <w:rPr/>
        <w:t>La OCDE mencionó que la gestión de riesgos destaca los beneficios de la coordinación</w:t>
      </w:r>
      <w:r>
        <w:rPr>
          <w:spacing w:val="-6"/>
        </w:rPr>
        <w:t> </w:t>
      </w:r>
      <w:r>
        <w:rPr/>
        <w:t>de</w:t>
      </w:r>
      <w:r>
        <w:rPr>
          <w:spacing w:val="-10"/>
        </w:rPr>
        <w:t> </w:t>
      </w:r>
      <w:r>
        <w:rPr/>
        <w:t>las</w:t>
      </w:r>
      <w:r>
        <w:rPr>
          <w:spacing w:val="-8"/>
        </w:rPr>
        <w:t> </w:t>
      </w:r>
      <w:r>
        <w:rPr/>
        <w:t>políticas</w:t>
      </w:r>
      <w:r>
        <w:rPr>
          <w:spacing w:val="-8"/>
        </w:rPr>
        <w:t> </w:t>
      </w:r>
      <w:r>
        <w:rPr/>
        <w:t>públicas.</w:t>
      </w:r>
      <w:r>
        <w:rPr>
          <w:spacing w:val="-4"/>
        </w:rPr>
        <w:t> </w:t>
      </w:r>
      <w:r>
        <w:rPr/>
        <w:t>Consideró</w:t>
      </w:r>
      <w:r>
        <w:rPr>
          <w:spacing w:val="-6"/>
        </w:rPr>
        <w:t> </w:t>
      </w:r>
      <w:r>
        <w:rPr/>
        <w:t>necesario</w:t>
      </w:r>
      <w:r>
        <w:rPr>
          <w:spacing w:val="-10"/>
        </w:rPr>
        <w:t> </w:t>
      </w:r>
      <w:r>
        <w:rPr/>
        <w:t>que</w:t>
      </w:r>
      <w:r>
        <w:rPr>
          <w:spacing w:val="-10"/>
        </w:rPr>
        <w:t> </w:t>
      </w:r>
      <w:r>
        <w:rPr/>
        <w:t>las</w:t>
      </w:r>
      <w:r>
        <w:rPr>
          <w:spacing w:val="-8"/>
        </w:rPr>
        <w:t> </w:t>
      </w:r>
      <w:r>
        <w:rPr/>
        <w:t>instituciones realicen acciones congruentes entre sí, como un centro fuerte y una buena coordinación entre los distintos niveles de</w:t>
      </w:r>
      <w:r>
        <w:rPr>
          <w:spacing w:val="-30"/>
        </w:rPr>
        <w:t> </w:t>
      </w:r>
      <w:r>
        <w:rPr/>
        <w:t>gobierno.</w:t>
      </w:r>
    </w:p>
    <w:p>
      <w:pPr>
        <w:pStyle w:val="BodyText"/>
        <w:spacing w:line="357" w:lineRule="auto" w:before="6"/>
        <w:ind w:left="100" w:right="113" w:firstLine="427"/>
        <w:jc w:val="both"/>
      </w:pPr>
      <w:r>
        <w:rPr/>
        <w:t>El fin último de la rendición de cuentas para el Estado es el lograr su legitimidad</w:t>
      </w:r>
      <w:r>
        <w:rPr>
          <w:spacing w:val="-5"/>
        </w:rPr>
        <w:t> </w:t>
      </w:r>
      <w:r>
        <w:rPr/>
        <w:t>y</w:t>
      </w:r>
      <w:r>
        <w:rPr>
          <w:spacing w:val="-11"/>
        </w:rPr>
        <w:t> </w:t>
      </w:r>
      <w:r>
        <w:rPr/>
        <w:t>avanzar</w:t>
      </w:r>
      <w:r>
        <w:rPr>
          <w:spacing w:val="-7"/>
        </w:rPr>
        <w:t> </w:t>
      </w:r>
      <w:r>
        <w:rPr/>
        <w:t>hacia</w:t>
      </w:r>
      <w:r>
        <w:rPr>
          <w:spacing w:val="-5"/>
        </w:rPr>
        <w:t> </w:t>
      </w:r>
      <w:r>
        <w:rPr/>
        <w:t>la</w:t>
      </w:r>
      <w:r>
        <w:rPr>
          <w:spacing w:val="-9"/>
        </w:rPr>
        <w:t> </w:t>
      </w:r>
      <w:r>
        <w:rPr/>
        <w:t>democracia</w:t>
      </w:r>
      <w:r>
        <w:rPr>
          <w:spacing w:val="-9"/>
        </w:rPr>
        <w:t> </w:t>
      </w:r>
      <w:r>
        <w:rPr/>
        <w:t>(mediante</w:t>
      </w:r>
      <w:r>
        <w:rPr>
          <w:spacing w:val="-9"/>
        </w:rPr>
        <w:t> </w:t>
      </w:r>
      <w:r>
        <w:rPr/>
        <w:t>atender</w:t>
      </w:r>
      <w:r>
        <w:rPr>
          <w:spacing w:val="-7"/>
        </w:rPr>
        <w:t> </w:t>
      </w:r>
      <w:r>
        <w:rPr/>
        <w:t>de</w:t>
      </w:r>
      <w:r>
        <w:rPr>
          <w:spacing w:val="-9"/>
        </w:rPr>
        <w:t> </w:t>
      </w:r>
      <w:r>
        <w:rPr/>
        <w:t>forma</w:t>
      </w:r>
      <w:r>
        <w:rPr>
          <w:spacing w:val="-9"/>
        </w:rPr>
        <w:t> </w:t>
      </w:r>
      <w:r>
        <w:rPr/>
        <w:t>eficiente</w:t>
      </w:r>
      <w:r>
        <w:rPr>
          <w:spacing w:val="-9"/>
        </w:rPr>
        <w:t> </w:t>
      </w:r>
      <w:r>
        <w:rPr/>
        <w:t>y</w:t>
      </w:r>
    </w:p>
    <w:p>
      <w:pPr>
        <w:spacing w:after="0" w:line="357" w:lineRule="auto"/>
        <w:jc w:val="both"/>
        <w:sectPr>
          <w:pgSz w:w="11910" w:h="16840"/>
          <w:pgMar w:header="0" w:footer="998" w:top="1360" w:bottom="1180" w:left="1600" w:right="1500"/>
        </w:sectPr>
      </w:pPr>
    </w:p>
    <w:p>
      <w:pPr>
        <w:pStyle w:val="BodyText"/>
        <w:spacing w:line="360" w:lineRule="auto" w:before="39"/>
        <w:ind w:left="120" w:right="111"/>
        <w:jc w:val="both"/>
      </w:pPr>
      <w:r>
        <w:rPr/>
        <w:t>eficaz las necesidades de la población), mientras que para la sociedad es el avanzar hacia un desarrollo humano integral. Para ambos fines (estatales y sociales), es necesario que la fiscalización se oriente evaluar los impactos estructurales de las políticas públicas y con ello eliminar la fragmentación de su implementación.</w:t>
      </w:r>
    </w:p>
    <w:p>
      <w:pPr>
        <w:pStyle w:val="BodyText"/>
        <w:spacing w:line="360" w:lineRule="auto" w:before="6"/>
        <w:ind w:left="120" w:right="298" w:firstLine="427"/>
        <w:jc w:val="both"/>
      </w:pPr>
      <w:r>
        <w:rPr/>
        <w:t>Si</w:t>
      </w:r>
      <w:r>
        <w:rPr>
          <w:spacing w:val="-17"/>
        </w:rPr>
        <w:t> </w:t>
      </w:r>
      <w:r>
        <w:rPr/>
        <w:t>se</w:t>
      </w:r>
      <w:r>
        <w:rPr>
          <w:spacing w:val="-17"/>
        </w:rPr>
        <w:t> </w:t>
      </w:r>
      <w:r>
        <w:rPr/>
        <w:t>tiene</w:t>
      </w:r>
      <w:r>
        <w:rPr>
          <w:spacing w:val="-17"/>
        </w:rPr>
        <w:t> </w:t>
      </w:r>
      <w:r>
        <w:rPr/>
        <w:t>en</w:t>
      </w:r>
      <w:r>
        <w:rPr>
          <w:spacing w:val="-17"/>
        </w:rPr>
        <w:t> </w:t>
      </w:r>
      <w:r>
        <w:rPr/>
        <w:t>cuenta</w:t>
      </w:r>
      <w:r>
        <w:rPr>
          <w:spacing w:val="-17"/>
        </w:rPr>
        <w:t> </w:t>
      </w:r>
      <w:r>
        <w:rPr/>
        <w:t>que</w:t>
      </w:r>
      <w:r>
        <w:rPr>
          <w:spacing w:val="-17"/>
        </w:rPr>
        <w:t> </w:t>
      </w:r>
      <w:r>
        <w:rPr/>
        <w:t>cada</w:t>
      </w:r>
      <w:r>
        <w:rPr>
          <w:spacing w:val="-17"/>
        </w:rPr>
        <w:t> </w:t>
      </w:r>
      <w:r>
        <w:rPr/>
        <w:t>habitante</w:t>
      </w:r>
      <w:r>
        <w:rPr>
          <w:spacing w:val="-17"/>
        </w:rPr>
        <w:t> </w:t>
      </w:r>
      <w:r>
        <w:rPr/>
        <w:t>de</w:t>
      </w:r>
      <w:r>
        <w:rPr>
          <w:spacing w:val="-17"/>
        </w:rPr>
        <w:t> </w:t>
      </w:r>
      <w:r>
        <w:rPr/>
        <w:t>México</w:t>
      </w:r>
      <w:r>
        <w:rPr>
          <w:spacing w:val="-17"/>
        </w:rPr>
        <w:t> </w:t>
      </w:r>
      <w:r>
        <w:rPr/>
        <w:t>pertenece</w:t>
      </w:r>
      <w:r>
        <w:rPr>
          <w:spacing w:val="-17"/>
        </w:rPr>
        <w:t> </w:t>
      </w:r>
      <w:r>
        <w:rPr/>
        <w:t>a</w:t>
      </w:r>
      <w:r>
        <w:rPr>
          <w:spacing w:val="-17"/>
        </w:rPr>
        <w:t> </w:t>
      </w:r>
      <w:r>
        <w:rPr/>
        <w:t>una</w:t>
      </w:r>
      <w:r>
        <w:rPr>
          <w:spacing w:val="-17"/>
        </w:rPr>
        <w:t> </w:t>
      </w:r>
      <w:r>
        <w:rPr/>
        <w:t>entidad federativa</w:t>
      </w:r>
      <w:r>
        <w:rPr>
          <w:spacing w:val="-11"/>
        </w:rPr>
        <w:t> </w:t>
      </w:r>
      <w:r>
        <w:rPr/>
        <w:t>(y</w:t>
      </w:r>
      <w:r>
        <w:rPr>
          <w:spacing w:val="-13"/>
        </w:rPr>
        <w:t> </w:t>
      </w:r>
      <w:r>
        <w:rPr/>
        <w:t>el</w:t>
      </w:r>
      <w:r>
        <w:rPr>
          <w:spacing w:val="-7"/>
        </w:rPr>
        <w:t> </w:t>
      </w:r>
      <w:r>
        <w:rPr/>
        <w:t>D.F.)</w:t>
      </w:r>
      <w:r>
        <w:rPr>
          <w:spacing w:val="-9"/>
        </w:rPr>
        <w:t> </w:t>
      </w:r>
      <w:r>
        <w:rPr/>
        <w:t>y</w:t>
      </w:r>
      <w:r>
        <w:rPr>
          <w:spacing w:val="-13"/>
        </w:rPr>
        <w:t> </w:t>
      </w:r>
      <w:r>
        <w:rPr/>
        <w:t>a</w:t>
      </w:r>
      <w:r>
        <w:rPr>
          <w:spacing w:val="-11"/>
        </w:rPr>
        <w:t> </w:t>
      </w:r>
      <w:r>
        <w:rPr/>
        <w:t>un</w:t>
      </w:r>
      <w:r>
        <w:rPr>
          <w:spacing w:val="-8"/>
        </w:rPr>
        <w:t> </w:t>
      </w:r>
      <w:r>
        <w:rPr/>
        <w:t>municipio</w:t>
      </w:r>
      <w:r>
        <w:rPr>
          <w:spacing w:val="-11"/>
        </w:rPr>
        <w:t> </w:t>
      </w:r>
      <w:r>
        <w:rPr/>
        <w:t>(o</w:t>
      </w:r>
      <w:r>
        <w:rPr>
          <w:spacing w:val="-11"/>
        </w:rPr>
        <w:t> </w:t>
      </w:r>
      <w:r>
        <w:rPr/>
        <w:t>demarcación</w:t>
      </w:r>
      <w:r>
        <w:rPr>
          <w:spacing w:val="-11"/>
        </w:rPr>
        <w:t> </w:t>
      </w:r>
      <w:r>
        <w:rPr/>
        <w:t>territorial),</w:t>
      </w:r>
      <w:r>
        <w:rPr>
          <w:spacing w:val="-9"/>
        </w:rPr>
        <w:t> </w:t>
      </w:r>
      <w:r>
        <w:rPr/>
        <w:t>el</w:t>
      </w:r>
      <w:r>
        <w:rPr>
          <w:spacing w:val="-10"/>
        </w:rPr>
        <w:t> </w:t>
      </w:r>
      <w:r>
        <w:rPr/>
        <w:t>problema</w:t>
      </w:r>
      <w:r>
        <w:rPr>
          <w:spacing w:val="-8"/>
        </w:rPr>
        <w:t> </w:t>
      </w:r>
      <w:r>
        <w:rPr/>
        <w:t>de tener una rendición de cuentas laxa implica que la implementación de las políticas públicas está desatendiendo las necesidades de la población, lo que repercute en una baja calidad de vida de la</w:t>
      </w:r>
      <w:r>
        <w:rPr>
          <w:spacing w:val="-32"/>
        </w:rPr>
        <w:t> </w:t>
      </w:r>
      <w:r>
        <w:rPr/>
        <w:t>sociedad.</w:t>
      </w:r>
    </w:p>
    <w:p>
      <w:pPr>
        <w:pStyle w:val="BodyText"/>
        <w:spacing w:line="357" w:lineRule="auto" w:before="2"/>
        <w:ind w:left="120" w:right="297" w:firstLine="427"/>
        <w:jc w:val="both"/>
      </w:pPr>
      <w:r>
        <w:rPr/>
        <w:t>La persistencia de la corrupción, aumento de la pobreza e índices de desarrollo humano bajos, es un reflejo de la inefectividad de la política de rendición de cuentas</w:t>
      </w:r>
      <w:r>
        <w:rPr>
          <w:position w:val="8"/>
          <w:sz w:val="16"/>
        </w:rPr>
        <w:t>151   </w:t>
      </w:r>
      <w:r>
        <w:rPr/>
        <w:t>que debe obligar al Estado a ser más eficiente.</w:t>
      </w:r>
    </w:p>
    <w:p>
      <w:pPr>
        <w:pStyle w:val="BodyText"/>
        <w:spacing w:line="360" w:lineRule="auto" w:before="5"/>
        <w:ind w:left="120" w:right="103" w:firstLine="427"/>
        <w:jc w:val="right"/>
      </w:pPr>
      <w:r>
        <w:rPr/>
        <w:t>Aunque</w:t>
      </w:r>
      <w:r>
        <w:rPr>
          <w:spacing w:val="-10"/>
        </w:rPr>
        <w:t> </w:t>
      </w:r>
      <w:r>
        <w:rPr/>
        <w:t>no</w:t>
      </w:r>
      <w:r>
        <w:rPr>
          <w:spacing w:val="-10"/>
        </w:rPr>
        <w:t> </w:t>
      </w:r>
      <w:r>
        <w:rPr/>
        <w:t>existe</w:t>
      </w:r>
      <w:r>
        <w:rPr>
          <w:spacing w:val="-10"/>
        </w:rPr>
        <w:t> </w:t>
      </w:r>
      <w:r>
        <w:rPr/>
        <w:t>un</w:t>
      </w:r>
      <w:r>
        <w:rPr>
          <w:spacing w:val="-10"/>
        </w:rPr>
        <w:t> </w:t>
      </w:r>
      <w:r>
        <w:rPr/>
        <w:t>acuerdo</w:t>
      </w:r>
      <w:r>
        <w:rPr>
          <w:spacing w:val="-10"/>
        </w:rPr>
        <w:t> </w:t>
      </w:r>
      <w:r>
        <w:rPr/>
        <w:t>académico</w:t>
      </w:r>
      <w:r>
        <w:rPr>
          <w:spacing w:val="-10"/>
        </w:rPr>
        <w:t> </w:t>
      </w:r>
      <w:r>
        <w:rPr/>
        <w:t>sobre</w:t>
      </w:r>
      <w:r>
        <w:rPr>
          <w:spacing w:val="-10"/>
        </w:rPr>
        <w:t> </w:t>
      </w:r>
      <w:r>
        <w:rPr/>
        <w:t>el</w:t>
      </w:r>
      <w:r>
        <w:rPr>
          <w:spacing w:val="-9"/>
        </w:rPr>
        <w:t> </w:t>
      </w:r>
      <w:r>
        <w:rPr/>
        <w:t>significado</w:t>
      </w:r>
      <w:r>
        <w:rPr>
          <w:spacing w:val="-10"/>
        </w:rPr>
        <w:t> </w:t>
      </w:r>
      <w:r>
        <w:rPr/>
        <w:t>de</w:t>
      </w:r>
      <w:r>
        <w:rPr>
          <w:spacing w:val="-10"/>
        </w:rPr>
        <w:t> </w:t>
      </w:r>
      <w:r>
        <w:rPr/>
        <w:t>gobernar,</w:t>
      </w:r>
      <w:r>
        <w:rPr>
          <w:spacing w:val="-7"/>
        </w:rPr>
        <w:t> </w:t>
      </w:r>
      <w:r>
        <w:rPr/>
        <w:t>un</w:t>
      </w:r>
      <w:r>
        <w:rPr>
          <w:w w:val="99"/>
        </w:rPr>
        <w:t> </w:t>
      </w:r>
      <w:r>
        <w:rPr/>
        <w:t>concepto</w:t>
      </w:r>
      <w:r>
        <w:rPr>
          <w:spacing w:val="24"/>
        </w:rPr>
        <w:t> </w:t>
      </w:r>
      <w:r>
        <w:rPr/>
        <w:t>sencillo</w:t>
      </w:r>
      <w:r>
        <w:rPr>
          <w:spacing w:val="24"/>
        </w:rPr>
        <w:t> </w:t>
      </w:r>
      <w:r>
        <w:rPr/>
        <w:t>es</w:t>
      </w:r>
      <w:r>
        <w:rPr>
          <w:spacing w:val="26"/>
        </w:rPr>
        <w:t> </w:t>
      </w:r>
      <w:r>
        <w:rPr/>
        <w:t>identificar</w:t>
      </w:r>
      <w:r>
        <w:rPr>
          <w:spacing w:val="26"/>
        </w:rPr>
        <w:t> </w:t>
      </w:r>
      <w:r>
        <w:rPr/>
        <w:t>el</w:t>
      </w:r>
      <w:r>
        <w:rPr>
          <w:spacing w:val="24"/>
        </w:rPr>
        <w:t> </w:t>
      </w:r>
      <w:r>
        <w:rPr/>
        <w:t>problema</w:t>
      </w:r>
      <w:r>
        <w:rPr>
          <w:spacing w:val="28"/>
        </w:rPr>
        <w:t> </w:t>
      </w:r>
      <w:r>
        <w:rPr/>
        <w:t>que</w:t>
      </w:r>
      <w:r>
        <w:rPr>
          <w:spacing w:val="24"/>
        </w:rPr>
        <w:t> </w:t>
      </w:r>
      <w:r>
        <w:rPr/>
        <w:t>se</w:t>
      </w:r>
      <w:r>
        <w:rPr>
          <w:spacing w:val="24"/>
        </w:rPr>
        <w:t> </w:t>
      </w:r>
      <w:r>
        <w:rPr/>
        <w:t>debe</w:t>
      </w:r>
      <w:r>
        <w:rPr>
          <w:spacing w:val="24"/>
        </w:rPr>
        <w:t> </w:t>
      </w:r>
      <w:r>
        <w:rPr/>
        <w:t>atender,</w:t>
      </w:r>
      <w:r>
        <w:rPr>
          <w:spacing w:val="27"/>
        </w:rPr>
        <w:t> </w:t>
      </w:r>
      <w:r>
        <w:rPr/>
        <w:t>buscando</w:t>
      </w:r>
      <w:r>
        <w:rPr>
          <w:spacing w:val="24"/>
        </w:rPr>
        <w:t> </w:t>
      </w:r>
      <w:r>
        <w:rPr/>
        <w:t>el</w:t>
      </w:r>
      <w:r>
        <w:rPr>
          <w:w w:val="99"/>
        </w:rPr>
        <w:t> </w:t>
      </w:r>
      <w:r>
        <w:rPr/>
        <w:t>máximo beneficio al mínimo costo (principio político y económico).</w:t>
      </w:r>
      <w:r>
        <w:rPr>
          <w:spacing w:val="21"/>
        </w:rPr>
        <w:t> </w:t>
      </w:r>
      <w:r>
        <w:rPr/>
        <w:t>La</w:t>
      </w:r>
      <w:r>
        <w:rPr>
          <w:spacing w:val="-1"/>
        </w:rPr>
        <w:t> </w:t>
      </w:r>
      <w:r>
        <w:rPr/>
        <w:t>capacidad</w:t>
      </w:r>
      <w:r>
        <w:rPr>
          <w:w w:val="99"/>
        </w:rPr>
        <w:t> </w:t>
      </w:r>
      <w:r>
        <w:rPr/>
        <w:t>del Estado para formular e implementar políticas públicas radica</w:t>
      </w:r>
      <w:r>
        <w:rPr>
          <w:spacing w:val="29"/>
        </w:rPr>
        <w:t> </w:t>
      </w:r>
      <w:r>
        <w:rPr/>
        <w:t>en</w:t>
      </w:r>
      <w:r>
        <w:rPr>
          <w:spacing w:val="28"/>
        </w:rPr>
        <w:t> </w:t>
      </w:r>
      <w:r>
        <w:rPr/>
        <w:t>una</w:t>
      </w:r>
      <w:r>
        <w:rPr>
          <w:w w:val="99"/>
        </w:rPr>
        <w:t> </w:t>
      </w:r>
      <w:r>
        <w:rPr/>
        <w:t>identificación</w:t>
      </w:r>
      <w:r>
        <w:rPr>
          <w:spacing w:val="-13"/>
        </w:rPr>
        <w:t> </w:t>
      </w:r>
      <w:r>
        <w:rPr/>
        <w:t>y</w:t>
      </w:r>
      <w:r>
        <w:rPr>
          <w:spacing w:val="-19"/>
        </w:rPr>
        <w:t> </w:t>
      </w:r>
      <w:r>
        <w:rPr/>
        <w:t>atención</w:t>
      </w:r>
      <w:r>
        <w:rPr>
          <w:spacing w:val="-17"/>
        </w:rPr>
        <w:t> </w:t>
      </w:r>
      <w:r>
        <w:rPr/>
        <w:t>oportuna</w:t>
      </w:r>
      <w:r>
        <w:rPr>
          <w:spacing w:val="-17"/>
        </w:rPr>
        <w:t> </w:t>
      </w:r>
      <w:r>
        <w:rPr/>
        <w:t>al</w:t>
      </w:r>
      <w:r>
        <w:rPr>
          <w:spacing w:val="-16"/>
        </w:rPr>
        <w:t> </w:t>
      </w:r>
      <w:r>
        <w:rPr/>
        <w:t>problema</w:t>
      </w:r>
      <w:r>
        <w:rPr>
          <w:spacing w:val="-17"/>
        </w:rPr>
        <w:t> </w:t>
      </w:r>
      <w:r>
        <w:rPr/>
        <w:t>que</w:t>
      </w:r>
      <w:r>
        <w:rPr>
          <w:spacing w:val="-17"/>
        </w:rPr>
        <w:t> </w:t>
      </w:r>
      <w:r>
        <w:rPr/>
        <w:t>hizo</w:t>
      </w:r>
      <w:r>
        <w:rPr>
          <w:spacing w:val="-17"/>
        </w:rPr>
        <w:t> </w:t>
      </w:r>
      <w:r>
        <w:rPr/>
        <w:t>surgir</w:t>
      </w:r>
      <w:r>
        <w:rPr>
          <w:spacing w:val="-11"/>
        </w:rPr>
        <w:t> </w:t>
      </w:r>
      <w:r>
        <w:rPr/>
        <w:t>una</w:t>
      </w:r>
      <w:r>
        <w:rPr>
          <w:spacing w:val="-13"/>
        </w:rPr>
        <w:t> </w:t>
      </w:r>
      <w:r>
        <w:rPr/>
        <w:t>política</w:t>
      </w:r>
      <w:r>
        <w:rPr>
          <w:spacing w:val="-13"/>
        </w:rPr>
        <w:t> </w:t>
      </w:r>
      <w:r>
        <w:rPr/>
        <w:t>pública.</w:t>
      </w:r>
    </w:p>
    <w:p>
      <w:pPr>
        <w:pStyle w:val="BodyText"/>
        <w:spacing w:line="362" w:lineRule="auto" w:before="2"/>
        <w:ind w:left="120" w:right="103" w:firstLine="427"/>
        <w:jc w:val="both"/>
      </w:pPr>
      <w:r>
        <w:rPr/>
        <w:t>Es posible lograrla gobernabilidad mediante la gobernanza, cuando se atienden las demandas sociales mediante las políticas públicas.</w:t>
      </w:r>
    </w:p>
    <w:p>
      <w:pPr>
        <w:pStyle w:val="BodyText"/>
        <w:spacing w:line="360" w:lineRule="auto"/>
        <w:ind w:left="120" w:right="111" w:firstLine="427"/>
        <w:jc w:val="both"/>
      </w:pPr>
      <w:r>
        <w:rPr/>
        <w:t>La evaluación de las políticas públicas mediante la rendición de cuentas consiste en revisar la coherencia de las políticas consigo mismas, eficientar el servicio público y anticipar nuevos problemas, no solo el aumentar los resarcimientos al Estado, sancionar a más funcionarios e informar a la sociedad.</w:t>
      </w:r>
    </w:p>
    <w:p>
      <w:pPr>
        <w:pStyle w:val="BodyText"/>
        <w:spacing w:line="360" w:lineRule="auto" w:before="1"/>
        <w:ind w:left="120" w:right="202" w:firstLine="427"/>
        <w:jc w:val="both"/>
      </w:pPr>
      <w:r>
        <w:rPr/>
        <w:t>El</w:t>
      </w:r>
      <w:r>
        <w:rPr>
          <w:spacing w:val="-13"/>
        </w:rPr>
        <w:t> </w:t>
      </w:r>
      <w:r>
        <w:rPr/>
        <w:t>problema</w:t>
      </w:r>
      <w:r>
        <w:rPr>
          <w:spacing w:val="-13"/>
        </w:rPr>
        <w:t> </w:t>
      </w:r>
      <w:r>
        <w:rPr/>
        <w:t>de</w:t>
      </w:r>
      <w:r>
        <w:rPr>
          <w:spacing w:val="-13"/>
        </w:rPr>
        <w:t> </w:t>
      </w:r>
      <w:r>
        <w:rPr/>
        <w:t>la</w:t>
      </w:r>
      <w:r>
        <w:rPr>
          <w:spacing w:val="-13"/>
        </w:rPr>
        <w:t> </w:t>
      </w:r>
      <w:r>
        <w:rPr/>
        <w:t>credibilidad</w:t>
      </w:r>
      <w:r>
        <w:rPr>
          <w:spacing w:val="-13"/>
        </w:rPr>
        <w:t> </w:t>
      </w:r>
      <w:r>
        <w:rPr/>
        <w:t>de</w:t>
      </w:r>
      <w:r>
        <w:rPr>
          <w:spacing w:val="-13"/>
        </w:rPr>
        <w:t> </w:t>
      </w:r>
      <w:r>
        <w:rPr/>
        <w:t>las</w:t>
      </w:r>
      <w:r>
        <w:rPr>
          <w:spacing w:val="-12"/>
        </w:rPr>
        <w:t> </w:t>
      </w:r>
      <w:r>
        <w:rPr/>
        <w:t>instituciones</w:t>
      </w:r>
      <w:r>
        <w:rPr>
          <w:spacing w:val="-12"/>
        </w:rPr>
        <w:t> </w:t>
      </w:r>
      <w:r>
        <w:rPr/>
        <w:t>de</w:t>
      </w:r>
      <w:r>
        <w:rPr>
          <w:spacing w:val="-13"/>
        </w:rPr>
        <w:t> </w:t>
      </w:r>
      <w:r>
        <w:rPr/>
        <w:t>rendición</w:t>
      </w:r>
      <w:r>
        <w:rPr>
          <w:spacing w:val="-13"/>
        </w:rPr>
        <w:t> </w:t>
      </w:r>
      <w:r>
        <w:rPr/>
        <w:t>de</w:t>
      </w:r>
      <w:r>
        <w:rPr>
          <w:spacing w:val="-13"/>
        </w:rPr>
        <w:t> </w:t>
      </w:r>
      <w:r>
        <w:rPr/>
        <w:t>cuentas</w:t>
      </w:r>
      <w:r>
        <w:rPr>
          <w:spacing w:val="-12"/>
        </w:rPr>
        <w:t> </w:t>
      </w:r>
      <w:r>
        <w:rPr/>
        <w:t>en México radica en su efectividad del combate a la corrupción y la atención a los problemas sociales. </w:t>
      </w:r>
      <w:r>
        <w:rPr>
          <w:i/>
        </w:rPr>
        <w:t>Transparencia International </w:t>
      </w:r>
      <w:r>
        <w:rPr/>
        <w:t>consideró que la corrupción requiere</w:t>
      </w:r>
      <w:r>
        <w:rPr>
          <w:spacing w:val="-13"/>
        </w:rPr>
        <w:t> </w:t>
      </w:r>
      <w:r>
        <w:rPr/>
        <w:t>un</w:t>
      </w:r>
      <w:r>
        <w:rPr>
          <w:spacing w:val="-17"/>
        </w:rPr>
        <w:t> </w:t>
      </w:r>
      <w:r>
        <w:rPr/>
        <w:t>riguroso</w:t>
      </w:r>
      <w:r>
        <w:rPr>
          <w:spacing w:val="-17"/>
        </w:rPr>
        <w:t> </w:t>
      </w:r>
      <w:r>
        <w:rPr/>
        <w:t>control</w:t>
      </w:r>
      <w:r>
        <w:rPr>
          <w:spacing w:val="-12"/>
        </w:rPr>
        <w:t> </w:t>
      </w:r>
      <w:r>
        <w:rPr/>
        <w:t>mediante</w:t>
      </w:r>
      <w:r>
        <w:rPr>
          <w:spacing w:val="-13"/>
        </w:rPr>
        <w:t> </w:t>
      </w:r>
      <w:r>
        <w:rPr/>
        <w:t>el</w:t>
      </w:r>
      <w:r>
        <w:rPr>
          <w:spacing w:val="-16"/>
        </w:rPr>
        <w:t> </w:t>
      </w:r>
      <w:r>
        <w:rPr/>
        <w:t>Poder</w:t>
      </w:r>
      <w:r>
        <w:rPr>
          <w:spacing w:val="-15"/>
        </w:rPr>
        <w:t> </w:t>
      </w:r>
      <w:r>
        <w:rPr/>
        <w:t>Legislativo,</w:t>
      </w:r>
      <w:r>
        <w:rPr>
          <w:spacing w:val="-14"/>
        </w:rPr>
        <w:t> </w:t>
      </w:r>
      <w:r>
        <w:rPr/>
        <w:t>el</w:t>
      </w:r>
      <w:r>
        <w:rPr>
          <w:spacing w:val="-16"/>
        </w:rPr>
        <w:t> </w:t>
      </w:r>
      <w:r>
        <w:rPr/>
        <w:t>Judicial,</w:t>
      </w:r>
      <w:r>
        <w:rPr>
          <w:spacing w:val="-14"/>
        </w:rPr>
        <w:t> </w:t>
      </w:r>
      <w:r>
        <w:rPr/>
        <w:t>los</w:t>
      </w:r>
      <w:r>
        <w:rPr>
          <w:spacing w:val="-11"/>
        </w:rPr>
        <w:t> </w:t>
      </w:r>
      <w:r>
        <w:rPr/>
        <w:t>medios de comunicación  y una sociedad civil participativa.  Si estas  instituciones  </w:t>
      </w:r>
      <w:r>
        <w:rPr>
          <w:spacing w:val="7"/>
        </w:rPr>
        <w:t> </w:t>
      </w:r>
      <w:r>
        <w:rPr/>
        <w:t>son</w:t>
      </w:r>
    </w:p>
    <w:p>
      <w:pPr>
        <w:pStyle w:val="BodyText"/>
        <w:rPr>
          <w:sz w:val="20"/>
        </w:rPr>
      </w:pPr>
    </w:p>
    <w:p>
      <w:pPr>
        <w:pStyle w:val="BodyText"/>
        <w:spacing w:before="10"/>
      </w:pPr>
      <w:r>
        <w:rPr/>
        <w:pict>
          <v:line style="position:absolute;mso-position-horizontal-relative:page;mso-position-vertical-relative:paragraph;z-index:10480;mso-wrap-distance-left:0;mso-wrap-distance-right:0" from="85.025002pt,16.654890pt" to="229.075002pt,16.654890pt" stroked="true" strokeweight=".79999pt" strokecolor="#000000">
            <w10:wrap type="topAndBottom"/>
          </v:line>
        </w:pict>
      </w:r>
    </w:p>
    <w:p>
      <w:pPr>
        <w:spacing w:before="59"/>
        <w:ind w:left="120" w:right="196" w:firstLine="0"/>
        <w:jc w:val="both"/>
        <w:rPr>
          <w:i/>
          <w:sz w:val="16"/>
        </w:rPr>
      </w:pPr>
      <w:r>
        <w:rPr>
          <w:rFonts w:ascii="Times New Roman" w:hAnsi="Times New Roman"/>
          <w:position w:val="7"/>
          <w:sz w:val="13"/>
        </w:rPr>
        <w:t>151</w:t>
      </w:r>
      <w:r>
        <w:rPr>
          <w:rFonts w:ascii="Times New Roman" w:hAnsi="Times New Roman"/>
          <w:spacing w:val="10"/>
          <w:position w:val="7"/>
          <w:sz w:val="13"/>
        </w:rPr>
        <w:t> </w:t>
      </w:r>
      <w:r>
        <w:rPr>
          <w:rFonts w:ascii="Times New Roman" w:hAnsi="Times New Roman"/>
          <w:sz w:val="20"/>
        </w:rPr>
        <w:t>“</w:t>
      </w:r>
      <w:r>
        <w:rPr>
          <w:sz w:val="16"/>
        </w:rPr>
        <w:t>La</w:t>
      </w:r>
      <w:r>
        <w:rPr>
          <w:spacing w:val="-12"/>
          <w:sz w:val="16"/>
        </w:rPr>
        <w:t> </w:t>
      </w:r>
      <w:r>
        <w:rPr>
          <w:sz w:val="16"/>
        </w:rPr>
        <w:t>política</w:t>
      </w:r>
      <w:r>
        <w:rPr>
          <w:spacing w:val="-12"/>
          <w:sz w:val="16"/>
        </w:rPr>
        <w:t> </w:t>
      </w:r>
      <w:r>
        <w:rPr>
          <w:sz w:val="16"/>
        </w:rPr>
        <w:t>de</w:t>
      </w:r>
      <w:r>
        <w:rPr>
          <w:spacing w:val="-8"/>
          <w:sz w:val="16"/>
        </w:rPr>
        <w:t> </w:t>
      </w:r>
      <w:r>
        <w:rPr>
          <w:sz w:val="16"/>
        </w:rPr>
        <w:t>rendición</w:t>
      </w:r>
      <w:r>
        <w:rPr>
          <w:spacing w:val="-16"/>
          <w:sz w:val="16"/>
        </w:rPr>
        <w:t> </w:t>
      </w:r>
      <w:r>
        <w:rPr>
          <w:sz w:val="16"/>
        </w:rPr>
        <w:t>de</w:t>
      </w:r>
      <w:r>
        <w:rPr>
          <w:spacing w:val="-8"/>
          <w:sz w:val="16"/>
        </w:rPr>
        <w:t> </w:t>
      </w:r>
      <w:r>
        <w:rPr>
          <w:sz w:val="16"/>
        </w:rPr>
        <w:t>cuentas</w:t>
      </w:r>
      <w:r>
        <w:rPr>
          <w:spacing w:val="-12"/>
          <w:sz w:val="16"/>
        </w:rPr>
        <w:t> </w:t>
      </w:r>
      <w:r>
        <w:rPr>
          <w:sz w:val="16"/>
        </w:rPr>
        <w:t>puede</w:t>
      </w:r>
      <w:r>
        <w:rPr>
          <w:spacing w:val="-8"/>
          <w:sz w:val="16"/>
        </w:rPr>
        <w:t> </w:t>
      </w:r>
      <w:r>
        <w:rPr>
          <w:sz w:val="16"/>
        </w:rPr>
        <w:t>ser</w:t>
      </w:r>
      <w:r>
        <w:rPr>
          <w:spacing w:val="-12"/>
          <w:sz w:val="16"/>
        </w:rPr>
        <w:t> </w:t>
      </w:r>
      <w:r>
        <w:rPr>
          <w:sz w:val="16"/>
        </w:rPr>
        <w:t>entendida</w:t>
      </w:r>
      <w:r>
        <w:rPr>
          <w:spacing w:val="-5"/>
          <w:sz w:val="16"/>
        </w:rPr>
        <w:t> </w:t>
      </w:r>
      <w:r>
        <w:rPr>
          <w:sz w:val="16"/>
        </w:rPr>
        <w:t>como</w:t>
      </w:r>
      <w:r>
        <w:rPr>
          <w:spacing w:val="-12"/>
          <w:sz w:val="16"/>
        </w:rPr>
        <w:t> </w:t>
      </w:r>
      <w:r>
        <w:rPr>
          <w:sz w:val="16"/>
        </w:rPr>
        <w:t>un</w:t>
      </w:r>
      <w:r>
        <w:rPr>
          <w:spacing w:val="-12"/>
          <w:sz w:val="16"/>
        </w:rPr>
        <w:t> </w:t>
      </w:r>
      <w:r>
        <w:rPr>
          <w:sz w:val="16"/>
        </w:rPr>
        <w:t>conjunto</w:t>
      </w:r>
      <w:r>
        <w:rPr>
          <w:spacing w:val="-12"/>
          <w:sz w:val="16"/>
        </w:rPr>
        <w:t> </w:t>
      </w:r>
      <w:r>
        <w:rPr>
          <w:sz w:val="16"/>
        </w:rPr>
        <w:t>de</w:t>
      </w:r>
      <w:r>
        <w:rPr>
          <w:spacing w:val="-8"/>
          <w:sz w:val="16"/>
        </w:rPr>
        <w:t> </w:t>
      </w:r>
      <w:r>
        <w:rPr>
          <w:sz w:val="16"/>
        </w:rPr>
        <w:t>instituciones,</w:t>
      </w:r>
      <w:r>
        <w:rPr>
          <w:spacing w:val="-7"/>
          <w:sz w:val="16"/>
        </w:rPr>
        <w:t> </w:t>
      </w:r>
      <w:r>
        <w:rPr>
          <w:sz w:val="16"/>
        </w:rPr>
        <w:t>normas</w:t>
      </w:r>
      <w:r>
        <w:rPr>
          <w:spacing w:val="-11"/>
          <w:sz w:val="16"/>
        </w:rPr>
        <w:t> </w:t>
      </w:r>
      <w:r>
        <w:rPr>
          <w:sz w:val="16"/>
        </w:rPr>
        <w:t>y</w:t>
      </w:r>
      <w:r>
        <w:rPr>
          <w:spacing w:val="-11"/>
          <w:sz w:val="16"/>
        </w:rPr>
        <w:t> </w:t>
      </w:r>
      <w:r>
        <w:rPr>
          <w:sz w:val="16"/>
        </w:rPr>
        <w:t>procedimientos que tienen como propósito fortalecer la legalidad y el sentimiento democrático de las responsabilidades públicas y sancionar a los actores que las asumen […] debe ser diseñada y practicada como una política transitiva y subsidiaria orientada a fortalecer la responsabilidad del ejercicio de la función pública. </w:t>
      </w:r>
      <w:hyperlink r:id="rId213">
        <w:r>
          <w:rPr>
            <w:sz w:val="16"/>
          </w:rPr>
          <w:t>”La rendición de cuentas en México:</w:t>
        </w:r>
      </w:hyperlink>
      <w:r>
        <w:rPr>
          <w:sz w:val="16"/>
        </w:rPr>
        <w:t> </w:t>
      </w:r>
      <w:hyperlink r:id="rId213">
        <w:r>
          <w:rPr>
            <w:sz w:val="16"/>
          </w:rPr>
          <w:t>perspectivas y retos</w:t>
        </w:r>
      </w:hyperlink>
      <w:r>
        <w:rPr>
          <w:sz w:val="16"/>
        </w:rPr>
        <w:t> (</w:t>
      </w:r>
      <w:r>
        <w:rPr>
          <w:i/>
          <w:sz w:val="16"/>
        </w:rPr>
        <w:t>López Ayllón, Sergio/Merino,</w:t>
      </w:r>
      <w:r>
        <w:rPr>
          <w:i/>
          <w:spacing w:val="-17"/>
          <w:sz w:val="16"/>
        </w:rPr>
        <w:t> </w:t>
      </w:r>
      <w:r>
        <w:rPr>
          <w:i/>
          <w:sz w:val="16"/>
        </w:rPr>
        <w:t>Mauricio)</w:t>
      </w:r>
    </w:p>
    <w:p>
      <w:pPr>
        <w:spacing w:before="0"/>
        <w:ind w:left="120" w:right="4309" w:firstLine="0"/>
        <w:jc w:val="left"/>
        <w:rPr>
          <w:sz w:val="16"/>
        </w:rPr>
      </w:pPr>
      <w:r>
        <w:rPr>
          <w:sz w:val="16"/>
        </w:rPr>
        <w:t>Disponible en: </w:t>
      </w:r>
      <w:hyperlink r:id="rId214">
        <w:r>
          <w:rPr>
            <w:sz w:val="16"/>
          </w:rPr>
          <w:t>http://www.rendiciondecuentas.cide.edu/</w:t>
        </w:r>
      </w:hyperlink>
      <w:r>
        <w:rPr>
          <w:sz w:val="16"/>
        </w:rPr>
        <w:t> [Fecha de consulta: 30 de diciembre, 2015]</w:t>
      </w:r>
    </w:p>
    <w:p>
      <w:pPr>
        <w:spacing w:after="0"/>
        <w:jc w:val="left"/>
        <w:rPr>
          <w:sz w:val="16"/>
        </w:rPr>
        <w:sectPr>
          <w:pgSz w:w="11910" w:h="16840"/>
          <w:pgMar w:header="0" w:footer="998" w:top="1360" w:bottom="1180" w:left="1580" w:right="1500"/>
        </w:sectPr>
      </w:pPr>
    </w:p>
    <w:p>
      <w:pPr>
        <w:pStyle w:val="BodyText"/>
        <w:spacing w:line="360" w:lineRule="auto" w:before="39"/>
        <w:ind w:left="100" w:right="286"/>
        <w:jc w:val="both"/>
      </w:pPr>
      <w:r>
        <w:rPr/>
        <w:pict>
          <v:group style="position:absolute;margin-left:300.028931pt;margin-top:633.073486pt;width:218.5pt;height:11.6pt;mso-position-horizontal-relative:page;mso-position-vertical-relative:page;z-index:-347248" coordorigin="6001,12661" coordsize="4370,232">
            <v:line style="position:absolute" from="6350,12667" to="10360,12667" stroked="true" strokeweight=".536348pt" strokecolor="#000000"/>
            <v:line style="position:absolute" from="6345,12667" to="10365,12667" stroked="true" strokeweight=".536354pt" strokecolor="#000000"/>
            <v:line style="position:absolute" from="6350,12882" to="10360,12882" stroked="true" strokeweight=".536348pt" strokecolor="#000000"/>
            <v:line style="position:absolute" from="6345,12882" to="10365,12882" stroked="true" strokeweight=".536354pt" strokecolor="#000000"/>
            <v:line style="position:absolute" from="10360,12678" to="10360,12882" stroked="true" strokeweight=".536821pt" strokecolor="#000000"/>
            <v:line style="position:absolute" from="10360,12672" to="10360,12887" stroked="true" strokeweight=".536821pt" strokecolor="#000000"/>
            <v:shape style="position:absolute;left:6339;top:12662;width:4031;height:231" type="#_x0000_t202" filled="false" stroked="false">
              <v:textbox inset="0,0,0,0">
                <w:txbxContent>
                  <w:p>
                    <w:pPr>
                      <w:spacing w:before="51"/>
                      <w:ind w:left="26" w:right="0" w:firstLine="0"/>
                      <w:jc w:val="left"/>
                      <w:rPr>
                        <w:sz w:val="14"/>
                      </w:rPr>
                    </w:pPr>
                    <w:r>
                      <w:rPr>
                        <w:sz w:val="14"/>
                      </w:rPr>
                      <w:t>Índice de Confianza en las Instituciones, 2012</w:t>
                    </w:r>
                  </w:p>
                </w:txbxContent>
              </v:textbox>
              <w10:wrap type="none"/>
            </v:shape>
            <v:shape style="position:absolute;left:6001;top:12662;width:345;height:226" type="#_x0000_t202" filled="true" fillcolor="#000000" stroked="false">
              <v:textbox inset="0,0,0,0">
                <w:txbxContent>
                  <w:p>
                    <w:pPr>
                      <w:spacing w:before="40"/>
                      <w:ind w:left="75" w:right="0" w:firstLine="0"/>
                      <w:jc w:val="left"/>
                      <w:rPr>
                        <w:sz w:val="9"/>
                      </w:rPr>
                    </w:pPr>
                    <w:r>
                      <w:rPr>
                        <w:color w:val="FFFFFF"/>
                        <w:w w:val="105"/>
                        <w:sz w:val="14"/>
                      </w:rPr>
                      <w:t>CI</w:t>
                    </w:r>
                    <w:r>
                      <w:rPr>
                        <w:color w:val="FFFFFF"/>
                        <w:w w:val="105"/>
                        <w:position w:val="-1"/>
                        <w:sz w:val="9"/>
                      </w:rPr>
                      <w:t>+</w:t>
                    </w:r>
                  </w:p>
                </w:txbxContent>
              </v:textbox>
              <v:fill type="solid"/>
              <w10:wrap type="none"/>
            </v:shape>
            <w10:wrap type="none"/>
          </v:group>
        </w:pict>
      </w:r>
      <w:r>
        <w:rPr/>
        <w:pict>
          <v:group style="position:absolute;margin-left:316.967987pt;margin-top:662.108521pt;width:201.6pt;height:12.1pt;mso-position-horizontal-relative:page;mso-position-vertical-relative:page;z-index:-347224" coordorigin="6339,13242" coordsize="4032,242">
            <v:line style="position:absolute" from="6350,13248" to="10360,13248" stroked="true" strokeweight=".536348pt" strokecolor="#000000"/>
            <v:line style="position:absolute" from="6345,13248" to="10365,13248" stroked="true" strokeweight=".536354pt" strokecolor="#000000"/>
            <v:line style="position:absolute" from="6350,13473" to="10360,13473" stroked="true" strokeweight=".536348pt" strokecolor="#000000"/>
            <v:line style="position:absolute" from="6345,13473" to="10365,13473" stroked="true" strokeweight=".536354pt" strokecolor="#000000"/>
            <v:line style="position:absolute" from="10360,13258" to="10360,13473" stroked="true" strokeweight=".536821pt" strokecolor="#000000"/>
            <v:line style="position:absolute" from="10360,13253" to="10360,13479" stroked="true" strokeweight=".536821pt" strokecolor="#000000"/>
            <w10:wrap type="none"/>
          </v:group>
        </w:pict>
      </w:r>
      <w:r>
        <w:rPr/>
        <w:t>débiles, entonces la corrupción crece sin control. De lo anterior se infiere que la alta corrupción en México refleja la debilidad de las instituciones y de la escasa participación de la sociedad en requerir cuentas al Estado.</w:t>
      </w:r>
    </w:p>
    <w:p>
      <w:pPr>
        <w:pStyle w:val="BodyText"/>
        <w:spacing w:line="360" w:lineRule="auto" w:before="6"/>
        <w:ind w:left="100" w:right="187" w:firstLine="427"/>
        <w:jc w:val="both"/>
      </w:pPr>
      <w:r>
        <w:rPr/>
        <w:t>El que las instituciones de rendición de cuentas se apeguen a parámetros internacionales, códigos, reformas legales, tengan mayor número y alcance en sus auditorías, apliquen sanciones ejemplares y diseñen indicadores de desempeño, son imprescindibles, pero insuficientes. Es necesario analizar la pertinencia y factibilidad de la adopción de las técnicas internacionales al ámbito nacional. Sin una actuación basada en los principios de la ciencia política, los beneficios sólo serán marginales.</w:t>
      </w:r>
    </w:p>
    <w:p>
      <w:pPr>
        <w:pStyle w:val="BodyText"/>
        <w:spacing w:line="360" w:lineRule="auto" w:before="2"/>
        <w:ind w:left="100" w:right="188" w:firstLine="427"/>
        <w:jc w:val="both"/>
      </w:pPr>
      <w:r>
        <w:rPr/>
        <w:t>En la medida que se logren adoptar las metodologías y estándares internacionales</w:t>
      </w:r>
      <w:r>
        <w:rPr>
          <w:spacing w:val="-7"/>
        </w:rPr>
        <w:t> </w:t>
      </w:r>
      <w:r>
        <w:rPr/>
        <w:t>de</w:t>
      </w:r>
      <w:r>
        <w:rPr>
          <w:spacing w:val="-9"/>
        </w:rPr>
        <w:t> </w:t>
      </w:r>
      <w:r>
        <w:rPr/>
        <w:t>fiscalización</w:t>
      </w:r>
      <w:r>
        <w:rPr>
          <w:spacing w:val="-9"/>
        </w:rPr>
        <w:t> </w:t>
      </w:r>
      <w:r>
        <w:rPr/>
        <w:t>superior</w:t>
      </w:r>
      <w:r>
        <w:rPr>
          <w:spacing w:val="-7"/>
        </w:rPr>
        <w:t> </w:t>
      </w:r>
      <w:r>
        <w:rPr/>
        <w:t>a</w:t>
      </w:r>
      <w:r>
        <w:rPr>
          <w:spacing w:val="-9"/>
        </w:rPr>
        <w:t> </w:t>
      </w:r>
      <w:r>
        <w:rPr/>
        <w:t>la</w:t>
      </w:r>
      <w:r>
        <w:rPr>
          <w:spacing w:val="-9"/>
        </w:rPr>
        <w:t> </w:t>
      </w:r>
      <w:r>
        <w:rPr/>
        <w:t>cultura</w:t>
      </w:r>
      <w:r>
        <w:rPr>
          <w:spacing w:val="-5"/>
        </w:rPr>
        <w:t> </w:t>
      </w:r>
      <w:r>
        <w:rPr/>
        <w:t>política</w:t>
      </w:r>
      <w:r>
        <w:rPr>
          <w:spacing w:val="-5"/>
        </w:rPr>
        <w:t> </w:t>
      </w:r>
      <w:r>
        <w:rPr/>
        <w:t>de</w:t>
      </w:r>
      <w:r>
        <w:rPr>
          <w:spacing w:val="-5"/>
        </w:rPr>
        <w:t> </w:t>
      </w:r>
      <w:r>
        <w:rPr/>
        <w:t>México</w:t>
      </w:r>
      <w:r>
        <w:rPr>
          <w:spacing w:val="1"/>
        </w:rPr>
        <w:t> </w:t>
      </w:r>
      <w:r>
        <w:rPr/>
        <w:t>y</w:t>
      </w:r>
      <w:r>
        <w:rPr>
          <w:spacing w:val="-11"/>
        </w:rPr>
        <w:t> </w:t>
      </w:r>
      <w:r>
        <w:rPr/>
        <w:t>se</w:t>
      </w:r>
      <w:r>
        <w:rPr>
          <w:spacing w:val="-5"/>
        </w:rPr>
        <w:t> </w:t>
      </w:r>
      <w:r>
        <w:rPr/>
        <w:t>actúe con principios, la política de rendición de cuentas podrá aumentar la legitimidad del Estado y el buen</w:t>
      </w:r>
      <w:r>
        <w:rPr>
          <w:spacing w:val="-20"/>
        </w:rPr>
        <w:t> </w:t>
      </w:r>
      <w:r>
        <w:rPr/>
        <w:t>gobierno.</w:t>
      </w:r>
    </w:p>
    <w:p>
      <w:pPr>
        <w:pStyle w:val="BodyText"/>
      </w:pPr>
    </w:p>
    <w:p>
      <w:pPr>
        <w:pStyle w:val="BodyText"/>
        <w:spacing w:before="9"/>
        <w:rPr>
          <w:sz w:val="35"/>
        </w:rPr>
      </w:pPr>
    </w:p>
    <w:p>
      <w:pPr>
        <w:pStyle w:val="Heading2"/>
        <w:numPr>
          <w:ilvl w:val="1"/>
          <w:numId w:val="69"/>
        </w:numPr>
        <w:tabs>
          <w:tab w:pos="533" w:val="left" w:leader="none"/>
        </w:tabs>
        <w:spacing w:line="240" w:lineRule="auto" w:before="0" w:after="0"/>
        <w:ind w:left="532" w:right="0" w:hanging="432"/>
        <w:jc w:val="both"/>
      </w:pPr>
      <w:bookmarkStart w:name="_bookmark89" w:id="120"/>
      <w:bookmarkEnd w:id="120"/>
      <w:r>
        <w:rPr>
          <w:b w:val="0"/>
        </w:rPr>
      </w:r>
      <w:bookmarkStart w:name="_bookmark89" w:id="121"/>
      <w:bookmarkEnd w:id="121"/>
      <w:r>
        <w:rPr/>
        <w:t>Ind</w:t>
      </w:r>
      <w:r>
        <w:rPr/>
        <w:t>icadores de</w:t>
      </w:r>
      <w:r>
        <w:rPr>
          <w:spacing w:val="-4"/>
        </w:rPr>
        <w:t> </w:t>
      </w:r>
      <w:r>
        <w:rPr/>
        <w:t>desempeño</w:t>
      </w:r>
    </w:p>
    <w:p>
      <w:pPr>
        <w:pStyle w:val="BodyText"/>
        <w:spacing w:before="8"/>
        <w:rPr>
          <w:b/>
          <w:sz w:val="30"/>
        </w:rPr>
      </w:pPr>
    </w:p>
    <w:p>
      <w:pPr>
        <w:spacing w:before="0"/>
        <w:ind w:left="4042" w:right="0" w:hanging="3806"/>
        <w:jc w:val="left"/>
        <w:rPr>
          <w:sz w:val="20"/>
        </w:rPr>
      </w:pPr>
      <w:r>
        <w:rPr/>
        <w:pict>
          <v:group style="position:absolute;margin-left:300.028931pt;margin-top:79.779793pt;width:218.5pt;height:20.2pt;mso-position-horizontal-relative:page;mso-position-vertical-relative:paragraph;z-index:-347392" coordorigin="6001,1596" coordsize="4370,404">
            <v:line style="position:absolute" from="6350,1601" to="10360,1601" stroked="true" strokeweight=".536348pt" strokecolor="#000000"/>
            <v:line style="position:absolute" from="6345,1601" to="10365,1601" stroked="true" strokeweight=".536354pt" strokecolor="#000000"/>
            <v:line style="position:absolute" from="6350,1988" to="10360,1988" stroked="true" strokeweight=".536348pt" strokecolor="#000000"/>
            <v:line style="position:absolute" from="6345,1988" to="10365,1988" stroked="true" strokeweight=".536354pt" strokecolor="#000000"/>
            <v:line style="position:absolute" from="10360,1612" to="10360,1988" stroked="true" strokeweight=".536821pt" strokecolor="#000000"/>
            <v:line style="position:absolute" from="10360,1607" to="10360,1993" stroked="true" strokeweight=".536822pt" strokecolor="#000000"/>
            <v:shape style="position:absolute;left:6339;top:1596;width:4031;height:404" type="#_x0000_t202" filled="false" stroked="false">
              <v:textbox inset="0,0,0,0">
                <w:txbxContent>
                  <w:p>
                    <w:pPr>
                      <w:spacing w:line="273" w:lineRule="auto" w:before="40"/>
                      <w:ind w:left="26" w:right="0" w:firstLine="0"/>
                      <w:jc w:val="left"/>
                      <w:rPr>
                        <w:sz w:val="14"/>
                      </w:rPr>
                    </w:pPr>
                    <w:r>
                      <w:rPr>
                        <w:sz w:val="14"/>
                      </w:rPr>
                      <w:t>Índice Nacional de Corrupción y Buen Gobierno, Resultados Nacionales por Trámite, 2010</w:t>
                    </w:r>
                  </w:p>
                </w:txbxContent>
              </v:textbox>
              <w10:wrap type="none"/>
            </v:shape>
            <v:shape style="position:absolute;left:6001;top:1596;width:345;height:398" type="#_x0000_t202" filled="true" fillcolor="#000000" stroked="false">
              <v:textbox inset="0,0,0,0">
                <w:txbxContent>
                  <w:p>
                    <w:pPr>
                      <w:spacing w:before="115"/>
                      <w:ind w:left="107" w:right="0" w:firstLine="0"/>
                      <w:jc w:val="left"/>
                      <w:rPr>
                        <w:b/>
                        <w:sz w:val="9"/>
                      </w:rPr>
                    </w:pPr>
                    <w:r>
                      <w:rPr>
                        <w:b/>
                        <w:color w:val="FFFFFF"/>
                        <w:w w:val="105"/>
                        <w:sz w:val="14"/>
                      </w:rPr>
                      <w:t>C</w:t>
                    </w:r>
                    <w:r>
                      <w:rPr>
                        <w:b/>
                        <w:color w:val="FFFFFF"/>
                        <w:w w:val="105"/>
                        <w:position w:val="-1"/>
                        <w:sz w:val="9"/>
                      </w:rPr>
                      <w:t>-</w:t>
                    </w:r>
                  </w:p>
                </w:txbxContent>
              </v:textbox>
              <v:fill type="solid"/>
              <w10:wrap type="none"/>
            </v:shape>
            <w10:wrap type="none"/>
          </v:group>
        </w:pict>
      </w:r>
      <w:r>
        <w:rPr/>
        <w:pict>
          <v:group style="position:absolute;margin-left:300.028931pt;margin-top:119.022583pt;width:218.5pt;height:30.4pt;mso-position-horizontal-relative:page;mso-position-vertical-relative:paragraph;z-index:-347320" coordorigin="6001,2380" coordsize="4370,608">
            <v:line style="position:absolute" from="6350,2386" to="10360,2386" stroked="true" strokeweight=".536348pt" strokecolor="#000000"/>
            <v:line style="position:absolute" from="6345,2386" to="10365,2386" stroked="true" strokeweight=".536354pt" strokecolor="#000000"/>
            <v:line style="position:absolute" from="6350,2622" to="10360,2622" stroked="true" strokeweight=".536348pt" strokecolor="#000000"/>
            <v:line style="position:absolute" from="6345,2622" to="10365,2622" stroked="true" strokeweight=".536354pt" strokecolor="#000000"/>
            <v:line style="position:absolute" from="6350,2977" to="10360,2977" stroked="true" strokeweight=".536348pt" strokecolor="#000000"/>
            <v:line style="position:absolute" from="6345,2977" to="10365,2977" stroked="true" strokeweight=".536354pt" strokecolor="#000000"/>
            <v:line style="position:absolute" from="10360,2397" to="10360,2977" stroked="true" strokeweight=".536821pt" strokecolor="#000000"/>
            <v:line style="position:absolute" from="10360,2391" to="10360,2982" stroked="true" strokeweight=".536822pt" strokecolor="#000000"/>
            <v:shape style="position:absolute;left:6339;top:2381;width:4031;height:608" type="#_x0000_t202" filled="false" stroked="false">
              <v:textbox inset="0,0,0,0">
                <w:txbxContent>
                  <w:p>
                    <w:pPr>
                      <w:spacing w:line="264" w:lineRule="auto" w:before="73"/>
                      <w:ind w:left="26" w:right="0" w:firstLine="0"/>
                      <w:jc w:val="left"/>
                      <w:rPr>
                        <w:sz w:val="14"/>
                      </w:rPr>
                    </w:pPr>
                    <w:r>
                      <w:rPr>
                        <w:sz w:val="14"/>
                      </w:rPr>
                      <w:t>Índice Latinoamericano de Transparencia Presupuestaria, 2011 Índice de Transparencia de la Disponibilidad de la Información Fiscal de las Entidades Federativas 2013</w:t>
                    </w:r>
                  </w:p>
                </w:txbxContent>
              </v:textbox>
              <w10:wrap type="none"/>
            </v:shape>
            <v:shape style="position:absolute;left:6001;top:2381;width:345;height:602" type="#_x0000_t202" filled="true" fillcolor="#000000" stroked="false">
              <v:textbox inset="0,0,0,0">
                <w:txbxContent>
                  <w:p>
                    <w:pPr>
                      <w:spacing w:line="240" w:lineRule="auto" w:before="5"/>
                      <w:rPr>
                        <w:i/>
                        <w:sz w:val="18"/>
                      </w:rPr>
                    </w:pPr>
                  </w:p>
                  <w:p>
                    <w:pPr>
                      <w:spacing w:before="0"/>
                      <w:ind w:left="97" w:right="0" w:firstLine="0"/>
                      <w:jc w:val="left"/>
                      <w:rPr>
                        <w:b/>
                        <w:sz w:val="9"/>
                      </w:rPr>
                    </w:pPr>
                    <w:r>
                      <w:rPr>
                        <w:b/>
                        <w:color w:val="FFFFFF"/>
                        <w:w w:val="105"/>
                        <w:sz w:val="14"/>
                      </w:rPr>
                      <w:t>T</w:t>
                    </w:r>
                    <w:r>
                      <w:rPr>
                        <w:b/>
                        <w:color w:val="FFFFFF"/>
                        <w:w w:val="105"/>
                        <w:position w:val="-1"/>
                        <w:sz w:val="9"/>
                      </w:rPr>
                      <w:t>+</w:t>
                    </w:r>
                  </w:p>
                </w:txbxContent>
              </v:textbox>
              <v:fill type="solid"/>
              <w10:wrap type="none"/>
            </v:shape>
            <w10:wrap type="none"/>
          </v:group>
        </w:pict>
      </w:r>
      <w:bookmarkStart w:name="_bookmark90" w:id="122"/>
      <w:bookmarkEnd w:id="122"/>
      <w:r>
        <w:rPr/>
      </w:r>
      <w:r>
        <w:rPr>
          <w:sz w:val="20"/>
        </w:rPr>
        <w:t>Esquema 4. 4. Relación de índices e indicadores regionales y nacionales del desempeño del Estado</w:t>
      </w:r>
    </w:p>
    <w:p>
      <w:pPr>
        <w:pStyle w:val="BodyText"/>
        <w:rPr>
          <w:sz w:val="20"/>
        </w:rPr>
      </w:pPr>
    </w:p>
    <w:p>
      <w:pPr>
        <w:pStyle w:val="BodyText"/>
        <w:rPr>
          <w:sz w:val="10"/>
        </w:rPr>
      </w:pPr>
      <w:r>
        <w:rPr/>
        <w:pict>
          <v:shape style="position:absolute;margin-left:95.267487pt;margin-top:8.291185pt;width:422.45pt;height:17.2pt;mso-position-horizontal-relative:page;mso-position-vertical-relative:paragraph;z-index:10504;mso-wrap-distance-left:0;mso-wrap-distance-right:0" type="#_x0000_t202" filled="false" stroked="true" strokeweight="1.073643pt" strokecolor="#000000">
            <v:textbox inset="0,0,0,0">
              <w:txbxContent>
                <w:p>
                  <w:pPr>
                    <w:spacing w:before="84"/>
                    <w:ind w:left="3101" w:right="3078" w:firstLine="0"/>
                    <w:jc w:val="center"/>
                    <w:rPr>
                      <w:b/>
                      <w:sz w:val="9"/>
                    </w:rPr>
                  </w:pPr>
                  <w:r>
                    <w:rPr>
                      <w:b/>
                      <w:color w:val="C00000"/>
                      <w:sz w:val="14"/>
                    </w:rPr>
                    <w:t>DE</w:t>
                  </w:r>
                  <w:r>
                    <w:rPr>
                      <w:b/>
                      <w:sz w:val="14"/>
                    </w:rPr>
                    <w:t>: C</w:t>
                  </w:r>
                  <w:r>
                    <w:rPr>
                      <w:b/>
                      <w:position w:val="-1"/>
                      <w:sz w:val="9"/>
                    </w:rPr>
                    <w:t>-  </w:t>
                  </w:r>
                  <w:r>
                    <w:rPr>
                      <w:b/>
                      <w:sz w:val="14"/>
                    </w:rPr>
                    <w:t>+ T</w:t>
                  </w:r>
                  <w:r>
                    <w:rPr>
                      <w:b/>
                      <w:position w:val="-1"/>
                      <w:sz w:val="9"/>
                    </w:rPr>
                    <w:t>+ </w:t>
                  </w:r>
                  <w:r>
                    <w:rPr>
                      <w:b/>
                      <w:sz w:val="14"/>
                    </w:rPr>
                    <w:t>+ F</w:t>
                  </w:r>
                  <w:r>
                    <w:rPr>
                      <w:b/>
                      <w:position w:val="-1"/>
                      <w:sz w:val="9"/>
                    </w:rPr>
                    <w:t>+ </w:t>
                  </w:r>
                  <w:r>
                    <w:rPr>
                      <w:b/>
                      <w:sz w:val="14"/>
                    </w:rPr>
                    <w:t>+ CI</w:t>
                  </w:r>
                  <w:r>
                    <w:rPr>
                      <w:b/>
                      <w:position w:val="-1"/>
                      <w:sz w:val="9"/>
                    </w:rPr>
                    <w:t>+ </w:t>
                  </w:r>
                  <w:r>
                    <w:rPr>
                      <w:b/>
                      <w:sz w:val="14"/>
                    </w:rPr>
                    <w:t>+ </w:t>
                  </w:r>
                  <w:r>
                    <w:rPr>
                      <w:b/>
                      <w:color w:val="C00000"/>
                      <w:sz w:val="14"/>
                    </w:rPr>
                    <w:t>BG</w:t>
                  </w:r>
                  <w:r>
                    <w:rPr>
                      <w:b/>
                      <w:color w:val="C00000"/>
                      <w:position w:val="-1"/>
                      <w:sz w:val="9"/>
                    </w:rPr>
                    <w:t>+ </w:t>
                  </w:r>
                  <w:r>
                    <w:rPr>
                      <w:b/>
                      <w:sz w:val="14"/>
                    </w:rPr>
                    <w:t>+   RC</w:t>
                  </w:r>
                  <w:r>
                    <w:rPr>
                      <w:b/>
                      <w:position w:val="-1"/>
                      <w:sz w:val="9"/>
                    </w:rPr>
                    <w:t>+</w:t>
                  </w:r>
                </w:p>
              </w:txbxContent>
            </v:textbox>
            <w10:wrap type="topAndBottom"/>
          </v:shape>
        </w:pict>
      </w:r>
      <w:r>
        <w:rPr/>
        <w:pict>
          <v:group style="position:absolute;margin-left:95.260902pt;margin-top:38.11869pt;width:423.3pt;height:178.3pt;mso-position-horizontal-relative:page;mso-position-vertical-relative:paragraph;z-index:10768;mso-wrap-distance-left:0;mso-wrap-distance-right:0" coordorigin="1905,762" coordsize="8466,3566">
            <v:rect style="position:absolute;left:1905;top:2714;width:322;height:355" filled="true" fillcolor="#000000" stroked="false">
              <v:fill type="solid"/>
            </v:rect>
            <v:line style="position:absolute" from="1921,2719" to="5694,2719" stroked="true" strokeweight=".536348pt" strokecolor="#000000"/>
            <v:line style="position:absolute" from="1916,2719" to="5700,2719" stroked="true" strokeweight=".536354pt" strokecolor="#000000"/>
            <v:line style="position:absolute" from="1911,2719" to="1911,3063" stroked="true" strokeweight=".536821pt" strokecolor="#000000"/>
            <v:line style="position:absolute" from="1911,2714" to="1911,3069" stroked="true" strokeweight=".536822pt" strokecolor="#000000"/>
            <v:line style="position:absolute" from="2222,2730" to="2222,3063" stroked="true" strokeweight=".536821pt" strokecolor="#000000"/>
            <v:line style="position:absolute" from="2222,2725" to="2222,3069" stroked="true" strokeweight=".536821pt" strokecolor="#000000"/>
            <v:line style="position:absolute" from="2233,3063" to="5694,3063" stroked="true" strokeweight=".536348pt" strokecolor="#000000"/>
            <v:line style="position:absolute" from="2228,3063" to="5700,3063" stroked="true" strokeweight=".536353pt" strokecolor="#000000"/>
            <v:line style="position:absolute" from="5694,2730" to="5694,3063" stroked="true" strokeweight=".536821pt" strokecolor="#000000"/>
            <v:line style="position:absolute" from="5694,2725" to="5694,3069" stroked="true" strokeweight=".536821pt" strokecolor="#000000"/>
            <v:rect style="position:absolute;left:6001;top:2714;width:344;height:355" filled="true" fillcolor="#000000" stroked="false">
              <v:fill type="solid"/>
            </v:rect>
            <v:line style="position:absolute" from="6017,2719" to="10360,2719" stroked="true" strokeweight=".536348pt" strokecolor="#000000"/>
            <v:line style="position:absolute" from="6011,2719" to="10365,2719" stroked="true" strokeweight=".536355pt" strokecolor="#000000"/>
            <v:line style="position:absolute" from="6006,2719" to="6006,3063" stroked="true" strokeweight=".536821pt" strokecolor="#000000"/>
            <v:line style="position:absolute" from="6006,2714" to="6006,3069" stroked="true" strokeweight=".536822pt" strokecolor="#000000"/>
            <v:line style="position:absolute" from="6339,2730" to="6339,3063" stroked="true" strokeweight=".536821pt" strokecolor="#000000"/>
            <v:line style="position:absolute" from="6339,2725" to="6339,3069" stroked="true" strokeweight=".536821pt" strokecolor="#000000"/>
            <v:line style="position:absolute" from="6017,3063" to="10360,3063" stroked="true" strokeweight=".536348pt" strokecolor="#000000"/>
            <v:line style="position:absolute" from="6011,3063" to="10365,3063" stroked="true" strokeweight=".536355pt" strokecolor="#000000"/>
            <v:line style="position:absolute" from="10360,2730" to="10360,3063" stroked="true" strokeweight=".536821pt" strokecolor="#000000"/>
            <v:line style="position:absolute" from="10360,2725" to="10360,3069" stroked="true" strokeweight=".536821pt" strokecolor="#000000"/>
            <v:shape style="position:absolute;left:5700;top:804;width:247;height:3497" coordorigin="5700,804" coordsize="247,3497" path="m5947,4301l5860,4295,5824,2573,5814,2565,5788,2558,5748,2554,5700,2552,5748,2551,5788,2546,5814,2540,5824,2532,5824,824,5833,816,5860,810,5899,805,5947,804e" filled="false" stroked="true" strokeweight="2.684093pt" strokecolor="#000000">
              <v:path arrowok="t"/>
            </v:shape>
            <v:shape style="position:absolute;left:1905;top:2719;width:323;height:344" type="#_x0000_t202" filled="false" stroked="false">
              <v:textbox inset="0,0,0,0">
                <w:txbxContent>
                  <w:p>
                    <w:pPr>
                      <w:spacing w:before="89"/>
                      <w:ind w:left="75" w:right="-10" w:firstLine="0"/>
                      <w:jc w:val="left"/>
                      <w:rPr>
                        <w:b/>
                        <w:sz w:val="14"/>
                      </w:rPr>
                    </w:pPr>
                    <w:r>
                      <w:rPr>
                        <w:b/>
                        <w:color w:val="FFFFFF"/>
                        <w:sz w:val="14"/>
                      </w:rPr>
                      <w:t>DE</w:t>
                    </w:r>
                  </w:p>
                </w:txbxContent>
              </v:textbox>
              <w10:wrap type="none"/>
            </v:shape>
            <v:shape style="position:absolute;left:6001;top:2719;width:345;height:344" type="#_x0000_t202" filled="false" stroked="false">
              <v:textbox inset="0,0,0,0">
                <w:txbxContent>
                  <w:p>
                    <w:pPr>
                      <w:spacing w:before="89"/>
                      <w:ind w:left="97" w:right="0" w:firstLine="0"/>
                      <w:jc w:val="left"/>
                      <w:rPr>
                        <w:sz w:val="9"/>
                      </w:rPr>
                    </w:pPr>
                    <w:r>
                      <w:rPr>
                        <w:color w:val="FFFFFF"/>
                        <w:w w:val="105"/>
                        <w:sz w:val="14"/>
                      </w:rPr>
                      <w:t>F</w:t>
                    </w:r>
                    <w:r>
                      <w:rPr>
                        <w:color w:val="FFFFFF"/>
                        <w:w w:val="105"/>
                        <w:position w:val="-1"/>
                        <w:sz w:val="9"/>
                      </w:rPr>
                      <w:t>+</w:t>
                    </w:r>
                  </w:p>
                </w:txbxContent>
              </v:textbox>
              <w10:wrap type="none"/>
            </v:shape>
            <v:shape style="position:absolute;left:6345;top:2719;width:4015;height:344" type="#_x0000_t202" filled="false" stroked="false">
              <v:textbox inset="0,0,0,0">
                <w:txbxContent>
                  <w:p>
                    <w:pPr>
                      <w:spacing w:line="271" w:lineRule="auto" w:before="0"/>
                      <w:ind w:left="21" w:right="0" w:firstLine="0"/>
                      <w:jc w:val="left"/>
                      <w:rPr>
                        <w:sz w:val="14"/>
                      </w:rPr>
                    </w:pPr>
                    <w:r>
                      <w:rPr>
                        <w:sz w:val="14"/>
                      </w:rPr>
                      <w:t>Evaluación de la Legislación en Materia de Fiscalización Superior en México, 2009</w:t>
                    </w:r>
                  </w:p>
                </w:txbxContent>
              </v:textbox>
              <w10:wrap type="none"/>
            </v:shape>
            <v:shape style="position:absolute;left:7807;top:762;width:751;height:140" type="#_x0000_t202" filled="false" stroked="false">
              <v:textbox inset="0,0,0,0">
                <w:txbxContent>
                  <w:p>
                    <w:pPr>
                      <w:spacing w:line="140" w:lineRule="exact" w:before="0"/>
                      <w:ind w:left="0" w:right="-14" w:firstLine="0"/>
                      <w:jc w:val="left"/>
                      <w:rPr>
                        <w:b/>
                        <w:sz w:val="14"/>
                      </w:rPr>
                    </w:pPr>
                    <w:r>
                      <w:rPr>
                        <w:b/>
                        <w:spacing w:val="-1"/>
                        <w:sz w:val="14"/>
                      </w:rPr>
                      <w:t>Corrupción</w:t>
                    </w:r>
                  </w:p>
                </w:txbxContent>
              </v:textbox>
              <w10:wrap type="none"/>
            </v:shape>
            <v:shape style="position:absolute;left:7699;top:1547;width:969;height:140" type="#_x0000_t202" filled="false" stroked="false">
              <v:textbox inset="0,0,0,0">
                <w:txbxContent>
                  <w:p>
                    <w:pPr>
                      <w:spacing w:line="140" w:lineRule="exact" w:before="0"/>
                      <w:ind w:left="0" w:right="-9" w:firstLine="0"/>
                      <w:jc w:val="left"/>
                      <w:rPr>
                        <w:b/>
                        <w:sz w:val="14"/>
                      </w:rPr>
                    </w:pPr>
                    <w:r>
                      <w:rPr>
                        <w:b/>
                        <w:sz w:val="14"/>
                      </w:rPr>
                      <w:t>Transparencia</w:t>
                    </w:r>
                  </w:p>
                </w:txbxContent>
              </v:textbox>
              <w10:wrap type="none"/>
            </v:shape>
            <v:shape style="position:absolute;left:3002;top:2353;width:1555;height:140" type="#_x0000_t202" filled="false" stroked="false">
              <v:textbox inset="0,0,0,0">
                <w:txbxContent>
                  <w:p>
                    <w:pPr>
                      <w:spacing w:line="140" w:lineRule="exact" w:before="0"/>
                      <w:ind w:left="0" w:right="-6" w:firstLine="0"/>
                      <w:jc w:val="left"/>
                      <w:rPr>
                        <w:b/>
                        <w:sz w:val="14"/>
                      </w:rPr>
                    </w:pPr>
                    <w:r>
                      <w:rPr>
                        <w:b/>
                        <w:sz w:val="14"/>
                      </w:rPr>
                      <w:t>Desempeño del Estado</w:t>
                    </w:r>
                  </w:p>
                </w:txbxContent>
              </v:textbox>
              <w10:wrap type="none"/>
            </v:shape>
            <v:shape style="position:absolute;left:7742;top:2568;width:890;height:140" type="#_x0000_t202" filled="false" stroked="false">
              <v:textbox inset="0,0,0,0">
                <w:txbxContent>
                  <w:p>
                    <w:pPr>
                      <w:spacing w:line="140" w:lineRule="exact" w:before="0"/>
                      <w:ind w:left="0" w:right="-2" w:firstLine="0"/>
                      <w:jc w:val="left"/>
                      <w:rPr>
                        <w:b/>
                        <w:sz w:val="14"/>
                      </w:rPr>
                    </w:pPr>
                    <w:r>
                      <w:rPr>
                        <w:b/>
                        <w:sz w:val="14"/>
                      </w:rPr>
                      <w:t>Fiscalización</w:t>
                    </w:r>
                  </w:p>
                </w:txbxContent>
              </v:textbox>
              <w10:wrap type="none"/>
            </v:shape>
            <v:shape style="position:absolute;left:7484;top:3278;width:1391;height:140" type="#_x0000_t202" filled="false" stroked="false">
              <v:textbox inset="0,0,0,0">
                <w:txbxContent>
                  <w:p>
                    <w:pPr>
                      <w:spacing w:line="140" w:lineRule="exact" w:before="0"/>
                      <w:ind w:left="0" w:right="0" w:firstLine="0"/>
                      <w:jc w:val="left"/>
                      <w:rPr>
                        <w:b/>
                        <w:sz w:val="14"/>
                      </w:rPr>
                    </w:pPr>
                    <w:r>
                      <w:rPr>
                        <w:b/>
                        <w:sz w:val="14"/>
                      </w:rPr>
                      <w:t>Calidad Institucional</w:t>
                    </w:r>
                  </w:p>
                </w:txbxContent>
              </v:textbox>
              <w10:wrap type="none"/>
            </v:shape>
            <v:shape style="position:absolute;left:7667;top:3858;width:1030;height:140" type="#_x0000_t202" filled="false" stroked="false">
              <v:textbox inset="0,0,0,0">
                <w:txbxContent>
                  <w:p>
                    <w:pPr>
                      <w:spacing w:line="140" w:lineRule="exact" w:before="0"/>
                      <w:ind w:left="0" w:right="-2" w:firstLine="0"/>
                      <w:jc w:val="left"/>
                      <w:rPr>
                        <w:b/>
                        <w:sz w:val="14"/>
                      </w:rPr>
                    </w:pPr>
                    <w:r>
                      <w:rPr>
                        <w:b/>
                        <w:sz w:val="14"/>
                      </w:rPr>
                      <w:t>Buen Gobierno</w:t>
                    </w:r>
                  </w:p>
                </w:txbxContent>
              </v:textbox>
              <w10:wrap type="none"/>
            </v:shape>
            <v:shape style="position:absolute;left:6001;top:4063;width:304;height:154" type="#_x0000_t202" filled="false" stroked="false">
              <v:textbox inset="0,0,0,0">
                <w:txbxContent>
                  <w:p>
                    <w:pPr>
                      <w:spacing w:line="152" w:lineRule="exact" w:before="0"/>
                      <w:ind w:left="0" w:right="-10" w:firstLine="0"/>
                      <w:jc w:val="left"/>
                      <w:rPr>
                        <w:sz w:val="9"/>
                      </w:rPr>
                    </w:pPr>
                    <w:r>
                      <w:rPr>
                        <w:color w:val="FFFFFF"/>
                        <w:w w:val="100"/>
                        <w:sz w:val="14"/>
                        <w:shd w:fill="000000" w:color="auto" w:val="clear"/>
                      </w:rPr>
                      <w:t> </w:t>
                    </w:r>
                    <w:r>
                      <w:rPr>
                        <w:color w:val="FFFFFF"/>
                        <w:sz w:val="14"/>
                        <w:shd w:fill="000000" w:color="auto" w:val="clear"/>
                      </w:rPr>
                      <w:t>BG</w:t>
                    </w:r>
                    <w:r>
                      <w:rPr>
                        <w:color w:val="FFFFFF"/>
                        <w:position w:val="-1"/>
                        <w:sz w:val="9"/>
                      </w:rPr>
                      <w:t>+</w:t>
                    </w:r>
                  </w:p>
                </w:txbxContent>
              </v:textbox>
              <w10:wrap type="none"/>
            </v:shape>
            <w10:wrap type="topAndBottom"/>
          </v:group>
        </w:pict>
      </w:r>
    </w:p>
    <w:p>
      <w:pPr>
        <w:pStyle w:val="BodyText"/>
        <w:spacing w:before="1"/>
        <w:rPr>
          <w:sz w:val="15"/>
        </w:rPr>
      </w:pPr>
    </w:p>
    <w:p>
      <w:pPr>
        <w:spacing w:line="161" w:lineRule="exact" w:before="0" w:after="2"/>
        <w:ind w:left="5840" w:right="0" w:firstLine="0"/>
        <w:jc w:val="left"/>
        <w:rPr>
          <w:b/>
          <w:sz w:val="14"/>
        </w:rPr>
      </w:pPr>
      <w:r>
        <w:rPr>
          <w:b/>
          <w:sz w:val="14"/>
        </w:rPr>
        <w:t>Rendición de Cuentas</w:t>
      </w:r>
    </w:p>
    <w:p>
      <w:pPr>
        <w:pStyle w:val="BodyText"/>
        <w:spacing w:line="220" w:lineRule="exact"/>
        <w:ind w:left="4400"/>
        <w:rPr>
          <w:sz w:val="20"/>
        </w:rPr>
      </w:pPr>
      <w:r>
        <w:rPr>
          <w:position w:val="-3"/>
          <w:sz w:val="20"/>
        </w:rPr>
        <w:pict>
          <v:group style="width:218.5pt;height:11.05pt;mso-position-horizontal-relative:char;mso-position-vertical-relative:line" coordorigin="0,0" coordsize="4370,221">
            <v:line style="position:absolute" from="350,6" to="4359,6" stroked="true" strokeweight=".536348pt" strokecolor="#000000"/>
            <v:line style="position:absolute" from="344,6" to="4364,6" stroked="true" strokeweight=".536354pt" strokecolor="#000000"/>
            <v:line style="position:absolute" from="350,210" to="4359,210" stroked="true" strokeweight=".536348pt" strokecolor="#000000"/>
            <v:line style="position:absolute" from="344,210" to="4364,210" stroked="true" strokeweight=".536354pt" strokecolor="#000000"/>
            <v:line style="position:absolute" from="4359,16" to="4359,210" stroked="true" strokeweight=".536821pt" strokecolor="#000000"/>
            <v:line style="position:absolute" from="4359,11" to="4359,215" stroked="true" strokeweight=".536821pt" strokecolor="#000000"/>
            <v:shape style="position:absolute;left:339;top:0;width:4031;height:221" type="#_x0000_t202" filled="false" stroked="false">
              <v:textbox inset="0,0,0,0">
                <w:txbxContent>
                  <w:p>
                    <w:pPr>
                      <w:spacing w:before="30"/>
                      <w:ind w:left="26" w:right="0" w:firstLine="0"/>
                      <w:jc w:val="left"/>
                      <w:rPr>
                        <w:sz w:val="14"/>
                      </w:rPr>
                    </w:pPr>
                    <w:r>
                      <w:rPr>
                        <w:color w:val="938953"/>
                        <w:sz w:val="14"/>
                      </w:rPr>
                      <w:t>Índice Latinoamericano de Transparencia Presupuestaria, 2011</w:t>
                    </w:r>
                  </w:p>
                </w:txbxContent>
              </v:textbox>
              <w10:wrap type="none"/>
            </v:shape>
            <v:shape style="position:absolute;left:0;top:0;width:345;height:215" type="#_x0000_t202" filled="true" fillcolor="#000000" stroked="false">
              <v:textbox inset="0,0,0,0">
                <w:txbxContent>
                  <w:p>
                    <w:pPr>
                      <w:spacing w:before="30"/>
                      <w:ind w:left="32" w:right="0" w:firstLine="0"/>
                      <w:jc w:val="left"/>
                      <w:rPr>
                        <w:b/>
                        <w:sz w:val="9"/>
                      </w:rPr>
                    </w:pPr>
                    <w:r>
                      <w:rPr>
                        <w:b/>
                        <w:color w:val="FFFFFF"/>
                        <w:w w:val="105"/>
                        <w:sz w:val="14"/>
                      </w:rPr>
                      <w:t>RC</w:t>
                    </w:r>
                    <w:r>
                      <w:rPr>
                        <w:b/>
                        <w:color w:val="FFFFFF"/>
                        <w:w w:val="105"/>
                        <w:position w:val="-1"/>
                        <w:sz w:val="9"/>
                      </w:rPr>
                      <w:t>+</w:t>
                    </w:r>
                  </w:p>
                </w:txbxContent>
              </v:textbox>
              <v:fill type="solid"/>
              <w10:wrap type="none"/>
            </v:shape>
          </v:group>
        </w:pict>
      </w:r>
      <w:r>
        <w:rPr>
          <w:position w:val="-3"/>
          <w:sz w:val="20"/>
        </w:rPr>
      </w:r>
    </w:p>
    <w:p>
      <w:pPr>
        <w:pStyle w:val="BodyText"/>
        <w:rPr>
          <w:b/>
          <w:sz w:val="20"/>
        </w:rPr>
      </w:pPr>
    </w:p>
    <w:p>
      <w:pPr>
        <w:pStyle w:val="BodyText"/>
        <w:rPr>
          <w:b/>
          <w:sz w:val="20"/>
        </w:rPr>
      </w:pPr>
    </w:p>
    <w:p>
      <w:pPr>
        <w:pStyle w:val="BodyText"/>
        <w:spacing w:before="3"/>
        <w:rPr>
          <w:b/>
          <w:sz w:val="17"/>
        </w:rPr>
      </w:pPr>
    </w:p>
    <w:p>
      <w:pPr>
        <w:spacing w:before="70"/>
        <w:ind w:left="100" w:right="0" w:firstLine="0"/>
        <w:jc w:val="left"/>
        <w:rPr>
          <w:i/>
          <w:sz w:val="24"/>
        </w:rPr>
      </w:pPr>
      <w:r>
        <w:rPr>
          <w:i/>
          <w:sz w:val="24"/>
        </w:rPr>
        <w:t>Corrupción</w:t>
      </w:r>
    </w:p>
    <w:p>
      <w:pPr>
        <w:spacing w:after="0"/>
        <w:jc w:val="left"/>
        <w:rPr>
          <w:sz w:val="24"/>
        </w:rPr>
        <w:sectPr>
          <w:pgSz w:w="11910" w:h="16840"/>
          <w:pgMar w:header="0" w:footer="998" w:top="1360" w:bottom="1180" w:left="1600" w:right="1420"/>
        </w:sectPr>
      </w:pPr>
    </w:p>
    <w:p>
      <w:pPr>
        <w:spacing w:line="362" w:lineRule="auto" w:before="55"/>
        <w:ind w:left="100" w:right="106" w:firstLine="0"/>
        <w:jc w:val="both"/>
        <w:rPr>
          <w:i/>
          <w:sz w:val="24"/>
        </w:rPr>
      </w:pPr>
      <w:r>
        <w:rPr>
          <w:i/>
          <w:sz w:val="24"/>
        </w:rPr>
        <w:t>Índice Nacional de Corrupción y Buen Gobierno, Resultados Nacionales por </w:t>
      </w:r>
      <w:r>
        <w:rPr>
          <w:i/>
          <w:sz w:val="24"/>
        </w:rPr>
        <w:t>Trámite, 2010</w:t>
      </w:r>
    </w:p>
    <w:p>
      <w:pPr>
        <w:pStyle w:val="BodyText"/>
        <w:rPr>
          <w:i/>
        </w:rPr>
      </w:pPr>
    </w:p>
    <w:p>
      <w:pPr>
        <w:pStyle w:val="BodyText"/>
        <w:spacing w:line="360" w:lineRule="auto" w:before="143"/>
        <w:ind w:left="100" w:right="99"/>
        <w:jc w:val="both"/>
      </w:pPr>
      <w:r>
        <w:rPr/>
        <w:t>Transparencia mexicana publicó en mayo de 2011 el “Índice Nacional de Corrupción</w:t>
      </w:r>
      <w:r>
        <w:rPr>
          <w:spacing w:val="-14"/>
        </w:rPr>
        <w:t> </w:t>
      </w:r>
      <w:r>
        <w:rPr/>
        <w:t>y</w:t>
      </w:r>
      <w:r>
        <w:rPr>
          <w:spacing w:val="-20"/>
        </w:rPr>
        <w:t> </w:t>
      </w:r>
      <w:r>
        <w:rPr/>
        <w:t>Buen</w:t>
      </w:r>
      <w:r>
        <w:rPr>
          <w:spacing w:val="-18"/>
        </w:rPr>
        <w:t> </w:t>
      </w:r>
      <w:r>
        <w:rPr/>
        <w:t>Gobierno,</w:t>
      </w:r>
      <w:r>
        <w:rPr>
          <w:spacing w:val="-15"/>
        </w:rPr>
        <w:t> </w:t>
      </w:r>
      <w:r>
        <w:rPr/>
        <w:t>Resultados</w:t>
      </w:r>
      <w:r>
        <w:rPr>
          <w:spacing w:val="-16"/>
        </w:rPr>
        <w:t> </w:t>
      </w:r>
      <w:r>
        <w:rPr/>
        <w:t>nacionales</w:t>
      </w:r>
      <w:r>
        <w:rPr>
          <w:spacing w:val="-16"/>
        </w:rPr>
        <w:t> </w:t>
      </w:r>
      <w:r>
        <w:rPr/>
        <w:t>por</w:t>
      </w:r>
      <w:r>
        <w:rPr>
          <w:spacing w:val="-16"/>
        </w:rPr>
        <w:t> </w:t>
      </w:r>
      <w:r>
        <w:rPr/>
        <w:t>trámite,</w:t>
      </w:r>
      <w:r>
        <w:rPr>
          <w:spacing w:val="-15"/>
        </w:rPr>
        <w:t> </w:t>
      </w:r>
      <w:r>
        <w:rPr/>
        <w:t>2010”</w:t>
      </w:r>
      <w:r>
        <w:rPr>
          <w:spacing w:val="-16"/>
        </w:rPr>
        <w:t> </w:t>
      </w:r>
      <w:r>
        <w:rPr/>
        <w:t>en</w:t>
      </w:r>
      <w:r>
        <w:rPr>
          <w:spacing w:val="-18"/>
        </w:rPr>
        <w:t> </w:t>
      </w:r>
      <w:r>
        <w:rPr/>
        <w:t>el</w:t>
      </w:r>
      <w:r>
        <w:rPr>
          <w:spacing w:val="-17"/>
        </w:rPr>
        <w:t> </w:t>
      </w:r>
      <w:r>
        <w:rPr/>
        <w:t>cual presentó los resultados de la muestra estadística de la aplicación de 15,356 cuestionarios en hogares de la república mexicana de 2001 a</w:t>
      </w:r>
      <w:r>
        <w:rPr>
          <w:spacing w:val="-29"/>
        </w:rPr>
        <w:t> </w:t>
      </w:r>
      <w:r>
        <w:rPr/>
        <w:t>2010.</w:t>
      </w:r>
    </w:p>
    <w:p>
      <w:pPr>
        <w:pStyle w:val="BodyText"/>
        <w:spacing w:line="360" w:lineRule="auto" w:before="6"/>
        <w:ind w:left="100" w:right="101" w:firstLine="708"/>
        <w:jc w:val="both"/>
      </w:pPr>
      <w:r>
        <w:rPr/>
        <w:t>El índice midió la frecuencia de los sobornos, tanto por tipo de servicio como</w:t>
      </w:r>
      <w:r>
        <w:rPr>
          <w:spacing w:val="-17"/>
        </w:rPr>
        <w:t> </w:t>
      </w:r>
      <w:r>
        <w:rPr/>
        <w:t>su</w:t>
      </w:r>
      <w:r>
        <w:rPr>
          <w:spacing w:val="-17"/>
        </w:rPr>
        <w:t> </w:t>
      </w:r>
      <w:r>
        <w:rPr/>
        <w:t>agregado</w:t>
      </w:r>
      <w:r>
        <w:rPr>
          <w:spacing w:val="-17"/>
        </w:rPr>
        <w:t> </w:t>
      </w:r>
      <w:r>
        <w:rPr/>
        <w:t>por</w:t>
      </w:r>
      <w:r>
        <w:rPr>
          <w:spacing w:val="-15"/>
        </w:rPr>
        <w:t> </w:t>
      </w:r>
      <w:r>
        <w:rPr/>
        <w:t>entidad</w:t>
      </w:r>
      <w:r>
        <w:rPr>
          <w:spacing w:val="-17"/>
        </w:rPr>
        <w:t> </w:t>
      </w:r>
      <w:r>
        <w:rPr/>
        <w:t>federativa.</w:t>
      </w:r>
      <w:r>
        <w:rPr>
          <w:spacing w:val="-14"/>
        </w:rPr>
        <w:t> </w:t>
      </w:r>
      <w:r>
        <w:rPr/>
        <w:t>De</w:t>
      </w:r>
      <w:r>
        <w:rPr>
          <w:spacing w:val="-17"/>
        </w:rPr>
        <w:t> </w:t>
      </w:r>
      <w:r>
        <w:rPr/>
        <w:t>los</w:t>
      </w:r>
      <w:r>
        <w:rPr>
          <w:spacing w:val="-15"/>
        </w:rPr>
        <w:t> </w:t>
      </w:r>
      <w:r>
        <w:rPr/>
        <w:t>35</w:t>
      </w:r>
      <w:r>
        <w:rPr>
          <w:spacing w:val="-17"/>
        </w:rPr>
        <w:t> </w:t>
      </w:r>
      <w:r>
        <w:rPr/>
        <w:t>servicios</w:t>
      </w:r>
      <w:r>
        <w:rPr>
          <w:spacing w:val="-15"/>
        </w:rPr>
        <w:t> </w:t>
      </w:r>
      <w:r>
        <w:rPr/>
        <w:t>analizados,</w:t>
      </w:r>
      <w:r>
        <w:rPr>
          <w:spacing w:val="-14"/>
        </w:rPr>
        <w:t> </w:t>
      </w:r>
      <w:r>
        <w:rPr/>
        <w:t>los</w:t>
      </w:r>
      <w:r>
        <w:rPr>
          <w:spacing w:val="-11"/>
        </w:rPr>
        <w:t> </w:t>
      </w:r>
      <w:r>
        <w:rPr/>
        <w:t>que presentan mayor frecuencia de sobornos son los relacionados con servicios de tránsito (infracciones, estacionamiento en lugares prohibidos e impedir que el auto sea llevado al corralón), mientras que los sobornos son menos frecuentes en el pago del predial, en adquirir una beca educativa y </w:t>
      </w:r>
      <w:r>
        <w:rPr>
          <w:spacing w:val="3"/>
        </w:rPr>
        <w:t>en </w:t>
      </w:r>
      <w:r>
        <w:rPr/>
        <w:t>recibir correspondencia.</w:t>
      </w:r>
    </w:p>
    <w:p>
      <w:pPr>
        <w:pStyle w:val="BodyText"/>
        <w:spacing w:line="360" w:lineRule="auto" w:before="2"/>
        <w:ind w:left="100" w:right="106" w:firstLine="708"/>
        <w:jc w:val="both"/>
      </w:pPr>
      <w:r>
        <w:rPr/>
        <w:t>El estudio indicó que en 2010 los sobornos ascendieron a más de 32 mil millones de pesos, que las familias destinaron el 14% de su ingreso a este acto de corrupción, y que en promedio el soborno costó 165 pesos por hogar. La escala de medición indica que valores cercanos a 1, la entidad federativa se encuentra menos afectada por el soborno, mientras que valores cercanos a 20, una mayor frecuencia de corrupción mediante el soborno.</w:t>
      </w:r>
    </w:p>
    <w:p>
      <w:pPr>
        <w:pStyle w:val="BodyText"/>
      </w:pPr>
    </w:p>
    <w:p>
      <w:pPr>
        <w:pStyle w:val="BodyText"/>
      </w:pPr>
    </w:p>
    <w:p>
      <w:pPr>
        <w:pStyle w:val="BodyText"/>
      </w:pPr>
    </w:p>
    <w:p>
      <w:pPr>
        <w:spacing w:before="0"/>
        <w:ind w:left="1301" w:right="385" w:firstLine="0"/>
        <w:jc w:val="left"/>
        <w:rPr>
          <w:sz w:val="20"/>
        </w:rPr>
      </w:pPr>
      <w:bookmarkStart w:name="_bookmark91" w:id="123"/>
      <w:bookmarkEnd w:id="123"/>
      <w:r>
        <w:rPr/>
      </w:r>
      <w:r>
        <w:rPr>
          <w:sz w:val="20"/>
        </w:rPr>
        <w:t>Cuadro 4. 8. Índice de corrupción por Entidad Federativa, 2005-2010</w:t>
      </w:r>
    </w:p>
    <w:p>
      <w:pPr>
        <w:pStyle w:val="BodyText"/>
        <w:spacing w:before="10"/>
        <w:rPr>
          <w:sz w:val="17"/>
        </w:rPr>
      </w:pPr>
    </w:p>
    <w:tbl>
      <w:tblPr>
        <w:tblW w:w="0" w:type="auto"/>
        <w:jc w:val="left"/>
        <w:tblInd w:w="134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85"/>
        <w:gridCol w:w="938"/>
        <w:gridCol w:w="960"/>
        <w:gridCol w:w="922"/>
        <w:gridCol w:w="1000"/>
      </w:tblGrid>
      <w:tr>
        <w:trPr>
          <w:trHeight w:val="216" w:hRule="exact"/>
        </w:trPr>
        <w:tc>
          <w:tcPr>
            <w:tcW w:w="2185" w:type="dxa"/>
            <w:vMerge w:val="restart"/>
          </w:tcPr>
          <w:p>
            <w:pPr>
              <w:pStyle w:val="TableParagraph"/>
              <w:spacing w:before="119"/>
              <w:ind w:left="787" w:right="789"/>
              <w:jc w:val="center"/>
              <w:rPr>
                <w:sz w:val="18"/>
              </w:rPr>
            </w:pPr>
            <w:r>
              <w:rPr>
                <w:sz w:val="18"/>
              </w:rPr>
              <w:t>Estado</w:t>
            </w:r>
          </w:p>
        </w:tc>
        <w:tc>
          <w:tcPr>
            <w:tcW w:w="938" w:type="dxa"/>
            <w:tcBorders>
              <w:right w:val="nil"/>
            </w:tcBorders>
          </w:tcPr>
          <w:p>
            <w:pPr/>
          </w:p>
        </w:tc>
        <w:tc>
          <w:tcPr>
            <w:tcW w:w="960" w:type="dxa"/>
            <w:tcBorders>
              <w:left w:val="nil"/>
              <w:right w:val="nil"/>
            </w:tcBorders>
          </w:tcPr>
          <w:p>
            <w:pPr>
              <w:pStyle w:val="TableParagraph"/>
              <w:spacing w:line="202" w:lineRule="exact"/>
              <w:ind w:right="244"/>
              <w:jc w:val="right"/>
              <w:rPr>
                <w:sz w:val="18"/>
              </w:rPr>
            </w:pPr>
            <w:r>
              <w:rPr>
                <w:sz w:val="18"/>
              </w:rPr>
              <w:t>Índice</w:t>
            </w:r>
          </w:p>
        </w:tc>
        <w:tc>
          <w:tcPr>
            <w:tcW w:w="922" w:type="dxa"/>
            <w:tcBorders>
              <w:left w:val="nil"/>
            </w:tcBorders>
          </w:tcPr>
          <w:p>
            <w:pPr/>
          </w:p>
        </w:tc>
        <w:tc>
          <w:tcPr>
            <w:tcW w:w="1000" w:type="dxa"/>
          </w:tcPr>
          <w:p>
            <w:pPr>
              <w:pStyle w:val="TableParagraph"/>
              <w:spacing w:line="202" w:lineRule="exact"/>
              <w:ind w:right="242"/>
              <w:jc w:val="right"/>
              <w:rPr>
                <w:sz w:val="18"/>
              </w:rPr>
            </w:pPr>
            <w:r>
              <w:rPr>
                <w:sz w:val="18"/>
              </w:rPr>
              <w:t>Posición</w:t>
            </w:r>
          </w:p>
        </w:tc>
      </w:tr>
      <w:tr>
        <w:trPr>
          <w:trHeight w:val="248" w:hRule="exact"/>
        </w:trPr>
        <w:tc>
          <w:tcPr>
            <w:tcW w:w="2185" w:type="dxa"/>
            <w:vMerge/>
          </w:tcPr>
          <w:p>
            <w:pPr/>
          </w:p>
        </w:tc>
        <w:tc>
          <w:tcPr>
            <w:tcW w:w="938" w:type="dxa"/>
            <w:tcBorders>
              <w:right w:val="nil"/>
            </w:tcBorders>
          </w:tcPr>
          <w:p>
            <w:pPr>
              <w:pStyle w:val="TableParagraph"/>
              <w:spacing w:before="11"/>
              <w:ind w:left="244" w:right="248"/>
              <w:jc w:val="center"/>
              <w:rPr>
                <w:sz w:val="18"/>
              </w:rPr>
            </w:pPr>
            <w:r>
              <w:rPr>
                <w:sz w:val="18"/>
              </w:rPr>
              <w:t>2005</w:t>
            </w:r>
          </w:p>
        </w:tc>
        <w:tc>
          <w:tcPr>
            <w:tcW w:w="960" w:type="dxa"/>
            <w:tcBorders>
              <w:left w:val="nil"/>
              <w:right w:val="nil"/>
            </w:tcBorders>
          </w:tcPr>
          <w:p>
            <w:pPr>
              <w:pStyle w:val="TableParagraph"/>
              <w:spacing w:before="11"/>
              <w:ind w:right="288"/>
              <w:jc w:val="right"/>
              <w:rPr>
                <w:sz w:val="18"/>
              </w:rPr>
            </w:pPr>
            <w:r>
              <w:rPr>
                <w:sz w:val="18"/>
              </w:rPr>
              <w:t>2007</w:t>
            </w:r>
          </w:p>
        </w:tc>
        <w:tc>
          <w:tcPr>
            <w:tcW w:w="922" w:type="dxa"/>
            <w:tcBorders>
              <w:left w:val="nil"/>
            </w:tcBorders>
          </w:tcPr>
          <w:p>
            <w:pPr>
              <w:pStyle w:val="TableParagraph"/>
              <w:spacing w:before="11"/>
              <w:ind w:left="227" w:right="250"/>
              <w:jc w:val="center"/>
              <w:rPr>
                <w:sz w:val="18"/>
              </w:rPr>
            </w:pPr>
            <w:r>
              <w:rPr>
                <w:sz w:val="18"/>
              </w:rPr>
              <w:t>2010</w:t>
            </w:r>
          </w:p>
        </w:tc>
        <w:tc>
          <w:tcPr>
            <w:tcW w:w="1000" w:type="dxa"/>
          </w:tcPr>
          <w:p>
            <w:pPr>
              <w:pStyle w:val="TableParagraph"/>
              <w:spacing w:before="11"/>
              <w:ind w:right="298"/>
              <w:jc w:val="right"/>
              <w:rPr>
                <w:sz w:val="18"/>
              </w:rPr>
            </w:pPr>
            <w:r>
              <w:rPr>
                <w:sz w:val="18"/>
              </w:rPr>
              <w:t>2010</w:t>
            </w:r>
          </w:p>
        </w:tc>
      </w:tr>
      <w:tr>
        <w:trPr>
          <w:trHeight w:val="256" w:hRule="exact"/>
        </w:trPr>
        <w:tc>
          <w:tcPr>
            <w:tcW w:w="2185" w:type="dxa"/>
            <w:tcBorders>
              <w:left w:val="nil"/>
              <w:bottom w:val="nil"/>
              <w:right w:val="nil"/>
            </w:tcBorders>
          </w:tcPr>
          <w:p>
            <w:pPr>
              <w:pStyle w:val="TableParagraph"/>
              <w:spacing w:before="23"/>
              <w:ind w:left="67"/>
              <w:rPr>
                <w:sz w:val="18"/>
              </w:rPr>
            </w:pPr>
            <w:r>
              <w:rPr>
                <w:sz w:val="18"/>
              </w:rPr>
              <w:t>Baja California Sur</w:t>
            </w:r>
          </w:p>
        </w:tc>
        <w:tc>
          <w:tcPr>
            <w:tcW w:w="938" w:type="dxa"/>
            <w:tcBorders>
              <w:left w:val="nil"/>
              <w:bottom w:val="nil"/>
              <w:right w:val="nil"/>
            </w:tcBorders>
          </w:tcPr>
          <w:p>
            <w:pPr>
              <w:pStyle w:val="TableParagraph"/>
              <w:spacing w:before="23"/>
              <w:ind w:left="273" w:right="272"/>
              <w:jc w:val="center"/>
              <w:rPr>
                <w:sz w:val="18"/>
              </w:rPr>
            </w:pPr>
            <w:r>
              <w:rPr>
                <w:sz w:val="18"/>
              </w:rPr>
              <w:t>4.8</w:t>
            </w:r>
          </w:p>
        </w:tc>
        <w:tc>
          <w:tcPr>
            <w:tcW w:w="960" w:type="dxa"/>
            <w:tcBorders>
              <w:left w:val="nil"/>
              <w:bottom w:val="nil"/>
              <w:right w:val="nil"/>
            </w:tcBorders>
          </w:tcPr>
          <w:p>
            <w:pPr>
              <w:pStyle w:val="TableParagraph"/>
              <w:spacing w:before="23"/>
              <w:ind w:left="324" w:right="346"/>
              <w:jc w:val="center"/>
              <w:rPr>
                <w:sz w:val="18"/>
              </w:rPr>
            </w:pPr>
            <w:r>
              <w:rPr>
                <w:sz w:val="18"/>
              </w:rPr>
              <w:t>7.3</w:t>
            </w:r>
          </w:p>
        </w:tc>
        <w:tc>
          <w:tcPr>
            <w:tcW w:w="922" w:type="dxa"/>
            <w:tcBorders>
              <w:left w:val="nil"/>
              <w:bottom w:val="nil"/>
              <w:right w:val="nil"/>
            </w:tcBorders>
          </w:tcPr>
          <w:p>
            <w:pPr>
              <w:pStyle w:val="TableParagraph"/>
              <w:spacing w:before="23"/>
              <w:ind w:left="304" w:right="328"/>
              <w:jc w:val="center"/>
              <w:rPr>
                <w:sz w:val="18"/>
              </w:rPr>
            </w:pPr>
            <w:r>
              <w:rPr>
                <w:sz w:val="18"/>
              </w:rPr>
              <w:t>1.8</w:t>
            </w:r>
          </w:p>
        </w:tc>
        <w:tc>
          <w:tcPr>
            <w:tcW w:w="1000" w:type="dxa"/>
            <w:tcBorders>
              <w:left w:val="nil"/>
              <w:bottom w:val="nil"/>
              <w:right w:val="nil"/>
            </w:tcBorders>
          </w:tcPr>
          <w:p>
            <w:pPr>
              <w:pStyle w:val="TableParagraph"/>
              <w:spacing w:before="23"/>
              <w:ind w:right="2"/>
              <w:jc w:val="center"/>
              <w:rPr>
                <w:sz w:val="18"/>
              </w:rPr>
            </w:pPr>
            <w:r>
              <w:rPr>
                <w:w w:val="99"/>
                <w:sz w:val="18"/>
              </w:rPr>
              <w:t>1</w:t>
            </w:r>
          </w:p>
        </w:tc>
      </w:tr>
      <w:tr>
        <w:trPr>
          <w:trHeight w:val="220" w:hRule="exact"/>
        </w:trPr>
        <w:tc>
          <w:tcPr>
            <w:tcW w:w="2185" w:type="dxa"/>
            <w:tcBorders>
              <w:top w:val="nil"/>
              <w:left w:val="nil"/>
              <w:bottom w:val="nil"/>
              <w:right w:val="nil"/>
            </w:tcBorders>
          </w:tcPr>
          <w:p>
            <w:pPr>
              <w:pStyle w:val="TableParagraph"/>
              <w:spacing w:before="3"/>
              <w:ind w:left="67"/>
              <w:rPr>
                <w:sz w:val="18"/>
              </w:rPr>
            </w:pPr>
            <w:r>
              <w:rPr>
                <w:sz w:val="18"/>
              </w:rPr>
              <w:t>Durango</w:t>
            </w:r>
          </w:p>
        </w:tc>
        <w:tc>
          <w:tcPr>
            <w:tcW w:w="938" w:type="dxa"/>
            <w:tcBorders>
              <w:top w:val="nil"/>
              <w:left w:val="nil"/>
              <w:bottom w:val="nil"/>
              <w:right w:val="nil"/>
            </w:tcBorders>
          </w:tcPr>
          <w:p>
            <w:pPr>
              <w:pStyle w:val="TableParagraph"/>
              <w:spacing w:before="3"/>
              <w:ind w:left="273" w:right="273"/>
              <w:jc w:val="center"/>
              <w:rPr>
                <w:sz w:val="18"/>
              </w:rPr>
            </w:pPr>
            <w:r>
              <w:rPr>
                <w:sz w:val="18"/>
              </w:rPr>
              <w:t>11.1</w:t>
            </w:r>
          </w:p>
        </w:tc>
        <w:tc>
          <w:tcPr>
            <w:tcW w:w="960" w:type="dxa"/>
            <w:tcBorders>
              <w:top w:val="nil"/>
              <w:left w:val="nil"/>
              <w:bottom w:val="nil"/>
              <w:right w:val="nil"/>
            </w:tcBorders>
          </w:tcPr>
          <w:p>
            <w:pPr>
              <w:pStyle w:val="TableParagraph"/>
              <w:spacing w:before="3"/>
              <w:ind w:left="324" w:right="346"/>
              <w:jc w:val="center"/>
              <w:rPr>
                <w:sz w:val="18"/>
              </w:rPr>
            </w:pPr>
            <w:r>
              <w:rPr>
                <w:sz w:val="18"/>
              </w:rPr>
              <w:t>6.5</w:t>
            </w:r>
          </w:p>
        </w:tc>
        <w:tc>
          <w:tcPr>
            <w:tcW w:w="922" w:type="dxa"/>
            <w:tcBorders>
              <w:top w:val="nil"/>
              <w:left w:val="nil"/>
              <w:bottom w:val="nil"/>
              <w:right w:val="nil"/>
            </w:tcBorders>
          </w:tcPr>
          <w:p>
            <w:pPr>
              <w:pStyle w:val="TableParagraph"/>
              <w:spacing w:before="3"/>
              <w:ind w:left="304" w:right="328"/>
              <w:jc w:val="center"/>
              <w:rPr>
                <w:sz w:val="18"/>
              </w:rPr>
            </w:pPr>
            <w:r>
              <w:rPr>
                <w:sz w:val="18"/>
              </w:rPr>
              <w:t>3.9</w:t>
            </w:r>
          </w:p>
        </w:tc>
        <w:tc>
          <w:tcPr>
            <w:tcW w:w="1000" w:type="dxa"/>
            <w:tcBorders>
              <w:top w:val="nil"/>
              <w:left w:val="nil"/>
              <w:bottom w:val="nil"/>
              <w:right w:val="nil"/>
            </w:tcBorders>
          </w:tcPr>
          <w:p>
            <w:pPr>
              <w:pStyle w:val="TableParagraph"/>
              <w:spacing w:before="3"/>
              <w:ind w:right="2"/>
              <w:jc w:val="center"/>
              <w:rPr>
                <w:sz w:val="18"/>
              </w:rPr>
            </w:pPr>
            <w:r>
              <w:rPr>
                <w:w w:val="99"/>
                <w:sz w:val="18"/>
              </w:rPr>
              <w:t>2</w:t>
            </w:r>
          </w:p>
        </w:tc>
      </w:tr>
      <w:tr>
        <w:trPr>
          <w:trHeight w:val="208" w:hRule="exact"/>
        </w:trPr>
        <w:tc>
          <w:tcPr>
            <w:tcW w:w="2185" w:type="dxa"/>
            <w:tcBorders>
              <w:top w:val="nil"/>
              <w:left w:val="nil"/>
              <w:bottom w:val="nil"/>
              <w:right w:val="nil"/>
            </w:tcBorders>
          </w:tcPr>
          <w:p>
            <w:pPr>
              <w:pStyle w:val="TableParagraph"/>
              <w:spacing w:line="198" w:lineRule="exact"/>
              <w:ind w:left="67"/>
              <w:rPr>
                <w:sz w:val="18"/>
              </w:rPr>
            </w:pPr>
            <w:r>
              <w:rPr>
                <w:sz w:val="18"/>
              </w:rPr>
              <w:t>Nayarit</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5.7</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5.2</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4.4</w:t>
            </w:r>
          </w:p>
        </w:tc>
        <w:tc>
          <w:tcPr>
            <w:tcW w:w="1000" w:type="dxa"/>
            <w:tcBorders>
              <w:top w:val="nil"/>
              <w:left w:val="nil"/>
              <w:bottom w:val="nil"/>
              <w:right w:val="nil"/>
            </w:tcBorders>
          </w:tcPr>
          <w:p>
            <w:pPr>
              <w:pStyle w:val="TableParagraph"/>
              <w:spacing w:line="198" w:lineRule="exact"/>
              <w:ind w:right="2"/>
              <w:jc w:val="center"/>
              <w:rPr>
                <w:sz w:val="18"/>
              </w:rPr>
            </w:pPr>
            <w:r>
              <w:rPr>
                <w:w w:val="99"/>
                <w:sz w:val="18"/>
              </w:rPr>
              <w:t>3</w:t>
            </w:r>
          </w:p>
        </w:tc>
      </w:tr>
      <w:tr>
        <w:trPr>
          <w:trHeight w:val="208" w:hRule="exact"/>
        </w:trPr>
        <w:tc>
          <w:tcPr>
            <w:tcW w:w="2185" w:type="dxa"/>
            <w:tcBorders>
              <w:top w:val="nil"/>
              <w:left w:val="nil"/>
              <w:bottom w:val="nil"/>
              <w:right w:val="nil"/>
            </w:tcBorders>
          </w:tcPr>
          <w:p>
            <w:pPr>
              <w:pStyle w:val="TableParagraph"/>
              <w:spacing w:line="198" w:lineRule="exact"/>
              <w:ind w:left="67"/>
              <w:rPr>
                <w:sz w:val="18"/>
              </w:rPr>
            </w:pPr>
            <w:r>
              <w:rPr>
                <w:sz w:val="18"/>
              </w:rPr>
              <w:t>Aguascalientes</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6.2</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4.7</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4.7</w:t>
            </w:r>
          </w:p>
        </w:tc>
        <w:tc>
          <w:tcPr>
            <w:tcW w:w="1000" w:type="dxa"/>
            <w:tcBorders>
              <w:top w:val="nil"/>
              <w:left w:val="nil"/>
              <w:bottom w:val="nil"/>
              <w:right w:val="nil"/>
            </w:tcBorders>
          </w:tcPr>
          <w:p>
            <w:pPr>
              <w:pStyle w:val="TableParagraph"/>
              <w:spacing w:line="198" w:lineRule="exact"/>
              <w:ind w:right="2"/>
              <w:jc w:val="center"/>
              <w:rPr>
                <w:sz w:val="18"/>
              </w:rPr>
            </w:pPr>
            <w:r>
              <w:rPr>
                <w:w w:val="99"/>
                <w:sz w:val="18"/>
              </w:rPr>
              <w:t>4</w:t>
            </w:r>
          </w:p>
        </w:tc>
      </w:tr>
      <w:tr>
        <w:trPr>
          <w:trHeight w:val="206" w:hRule="exact"/>
        </w:trPr>
        <w:tc>
          <w:tcPr>
            <w:tcW w:w="2185" w:type="dxa"/>
            <w:tcBorders>
              <w:top w:val="nil"/>
              <w:left w:val="nil"/>
              <w:bottom w:val="nil"/>
              <w:right w:val="nil"/>
            </w:tcBorders>
          </w:tcPr>
          <w:p>
            <w:pPr>
              <w:pStyle w:val="TableParagraph"/>
              <w:spacing w:line="198" w:lineRule="exact"/>
              <w:ind w:left="67"/>
              <w:rPr>
                <w:sz w:val="18"/>
              </w:rPr>
            </w:pPr>
            <w:r>
              <w:rPr>
                <w:sz w:val="18"/>
              </w:rPr>
              <w:t>Yucatán</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6.7</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8.9</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5.0</w:t>
            </w:r>
          </w:p>
        </w:tc>
        <w:tc>
          <w:tcPr>
            <w:tcW w:w="1000" w:type="dxa"/>
            <w:tcBorders>
              <w:top w:val="nil"/>
              <w:left w:val="nil"/>
              <w:bottom w:val="nil"/>
              <w:right w:val="nil"/>
            </w:tcBorders>
          </w:tcPr>
          <w:p>
            <w:pPr>
              <w:pStyle w:val="TableParagraph"/>
              <w:spacing w:line="198" w:lineRule="exact"/>
              <w:ind w:right="2"/>
              <w:jc w:val="center"/>
              <w:rPr>
                <w:sz w:val="18"/>
              </w:rPr>
            </w:pPr>
            <w:r>
              <w:rPr>
                <w:w w:val="99"/>
                <w:sz w:val="18"/>
              </w:rPr>
              <w:t>5</w:t>
            </w:r>
          </w:p>
        </w:tc>
      </w:tr>
      <w:tr>
        <w:trPr>
          <w:trHeight w:val="206" w:hRule="exact"/>
        </w:trPr>
        <w:tc>
          <w:tcPr>
            <w:tcW w:w="2185" w:type="dxa"/>
            <w:tcBorders>
              <w:top w:val="nil"/>
              <w:left w:val="nil"/>
              <w:bottom w:val="nil"/>
              <w:right w:val="nil"/>
            </w:tcBorders>
          </w:tcPr>
          <w:p>
            <w:pPr>
              <w:pStyle w:val="TableParagraph"/>
              <w:spacing w:line="196" w:lineRule="exact"/>
              <w:ind w:left="67"/>
              <w:rPr>
                <w:sz w:val="18"/>
              </w:rPr>
            </w:pPr>
            <w:r>
              <w:rPr>
                <w:sz w:val="18"/>
              </w:rPr>
              <w:t>San Luis Potosí</w:t>
            </w:r>
          </w:p>
        </w:tc>
        <w:tc>
          <w:tcPr>
            <w:tcW w:w="938" w:type="dxa"/>
            <w:tcBorders>
              <w:top w:val="nil"/>
              <w:left w:val="nil"/>
              <w:bottom w:val="nil"/>
              <w:right w:val="nil"/>
            </w:tcBorders>
          </w:tcPr>
          <w:p>
            <w:pPr>
              <w:pStyle w:val="TableParagraph"/>
              <w:spacing w:line="196" w:lineRule="exact"/>
              <w:ind w:left="273" w:right="272"/>
              <w:jc w:val="center"/>
              <w:rPr>
                <w:sz w:val="18"/>
              </w:rPr>
            </w:pPr>
            <w:r>
              <w:rPr>
                <w:sz w:val="18"/>
              </w:rPr>
              <w:t>6.6</w:t>
            </w:r>
          </w:p>
        </w:tc>
        <w:tc>
          <w:tcPr>
            <w:tcW w:w="960" w:type="dxa"/>
            <w:tcBorders>
              <w:top w:val="nil"/>
              <w:left w:val="nil"/>
              <w:bottom w:val="nil"/>
              <w:right w:val="nil"/>
            </w:tcBorders>
          </w:tcPr>
          <w:p>
            <w:pPr>
              <w:pStyle w:val="TableParagraph"/>
              <w:spacing w:line="196" w:lineRule="exact"/>
              <w:ind w:left="324" w:right="346"/>
              <w:jc w:val="center"/>
              <w:rPr>
                <w:sz w:val="18"/>
              </w:rPr>
            </w:pPr>
            <w:r>
              <w:rPr>
                <w:sz w:val="18"/>
              </w:rPr>
              <w:t>6.8</w:t>
            </w:r>
          </w:p>
        </w:tc>
        <w:tc>
          <w:tcPr>
            <w:tcW w:w="922" w:type="dxa"/>
            <w:tcBorders>
              <w:top w:val="nil"/>
              <w:left w:val="nil"/>
              <w:bottom w:val="nil"/>
              <w:right w:val="nil"/>
            </w:tcBorders>
          </w:tcPr>
          <w:p>
            <w:pPr>
              <w:pStyle w:val="TableParagraph"/>
              <w:spacing w:line="196" w:lineRule="exact"/>
              <w:ind w:left="304" w:right="328"/>
              <w:jc w:val="center"/>
              <w:rPr>
                <w:sz w:val="18"/>
              </w:rPr>
            </w:pPr>
            <w:r>
              <w:rPr>
                <w:sz w:val="18"/>
              </w:rPr>
              <w:t>5.6</w:t>
            </w:r>
          </w:p>
        </w:tc>
        <w:tc>
          <w:tcPr>
            <w:tcW w:w="1000" w:type="dxa"/>
            <w:tcBorders>
              <w:top w:val="nil"/>
              <w:left w:val="nil"/>
              <w:bottom w:val="nil"/>
              <w:right w:val="nil"/>
            </w:tcBorders>
          </w:tcPr>
          <w:p>
            <w:pPr>
              <w:pStyle w:val="TableParagraph"/>
              <w:spacing w:line="196" w:lineRule="exact"/>
              <w:ind w:right="2"/>
              <w:jc w:val="center"/>
              <w:rPr>
                <w:sz w:val="18"/>
              </w:rPr>
            </w:pPr>
            <w:r>
              <w:rPr>
                <w:w w:val="99"/>
                <w:sz w:val="18"/>
              </w:rPr>
              <w:t>6</w:t>
            </w:r>
          </w:p>
        </w:tc>
      </w:tr>
      <w:tr>
        <w:trPr>
          <w:trHeight w:val="208" w:hRule="exact"/>
        </w:trPr>
        <w:tc>
          <w:tcPr>
            <w:tcW w:w="2185" w:type="dxa"/>
            <w:tcBorders>
              <w:top w:val="nil"/>
              <w:left w:val="nil"/>
              <w:bottom w:val="nil"/>
              <w:right w:val="nil"/>
            </w:tcBorders>
          </w:tcPr>
          <w:p>
            <w:pPr>
              <w:pStyle w:val="TableParagraph"/>
              <w:spacing w:line="198" w:lineRule="exact"/>
              <w:ind w:left="67"/>
              <w:rPr>
                <w:sz w:val="18"/>
              </w:rPr>
            </w:pPr>
            <w:r>
              <w:rPr>
                <w:sz w:val="18"/>
              </w:rPr>
              <w:t>Quintana Roo</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9.4</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5.8</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5.9</w:t>
            </w:r>
          </w:p>
        </w:tc>
        <w:tc>
          <w:tcPr>
            <w:tcW w:w="1000" w:type="dxa"/>
            <w:tcBorders>
              <w:top w:val="nil"/>
              <w:left w:val="nil"/>
              <w:bottom w:val="nil"/>
              <w:right w:val="nil"/>
            </w:tcBorders>
          </w:tcPr>
          <w:p>
            <w:pPr>
              <w:pStyle w:val="TableParagraph"/>
              <w:spacing w:line="198" w:lineRule="exact"/>
              <w:ind w:right="2"/>
              <w:jc w:val="center"/>
              <w:rPr>
                <w:sz w:val="18"/>
              </w:rPr>
            </w:pPr>
            <w:r>
              <w:rPr>
                <w:w w:val="99"/>
                <w:sz w:val="18"/>
              </w:rPr>
              <w:t>7</w:t>
            </w:r>
          </w:p>
        </w:tc>
      </w:tr>
      <w:tr>
        <w:trPr>
          <w:trHeight w:val="208" w:hRule="exact"/>
        </w:trPr>
        <w:tc>
          <w:tcPr>
            <w:tcW w:w="2185" w:type="dxa"/>
            <w:tcBorders>
              <w:top w:val="nil"/>
              <w:left w:val="nil"/>
              <w:bottom w:val="nil"/>
              <w:right w:val="nil"/>
            </w:tcBorders>
          </w:tcPr>
          <w:p>
            <w:pPr>
              <w:pStyle w:val="TableParagraph"/>
              <w:spacing w:line="198" w:lineRule="exact"/>
              <w:ind w:left="67"/>
              <w:rPr>
                <w:sz w:val="18"/>
              </w:rPr>
            </w:pPr>
            <w:r>
              <w:rPr>
                <w:sz w:val="18"/>
              </w:rPr>
              <w:t>Zacatecas</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5.3</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5.9</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6.1</w:t>
            </w:r>
          </w:p>
        </w:tc>
        <w:tc>
          <w:tcPr>
            <w:tcW w:w="1000" w:type="dxa"/>
            <w:tcBorders>
              <w:top w:val="nil"/>
              <w:left w:val="nil"/>
              <w:bottom w:val="nil"/>
              <w:right w:val="nil"/>
            </w:tcBorders>
          </w:tcPr>
          <w:p>
            <w:pPr>
              <w:pStyle w:val="TableParagraph"/>
              <w:spacing w:line="198" w:lineRule="exact"/>
              <w:ind w:right="2"/>
              <w:jc w:val="center"/>
              <w:rPr>
                <w:sz w:val="18"/>
              </w:rPr>
            </w:pPr>
            <w:r>
              <w:rPr>
                <w:w w:val="99"/>
                <w:sz w:val="18"/>
              </w:rPr>
              <w:t>8</w:t>
            </w:r>
          </w:p>
        </w:tc>
      </w:tr>
      <w:tr>
        <w:trPr>
          <w:trHeight w:val="206" w:hRule="exact"/>
        </w:trPr>
        <w:tc>
          <w:tcPr>
            <w:tcW w:w="2185" w:type="dxa"/>
            <w:tcBorders>
              <w:top w:val="nil"/>
              <w:left w:val="nil"/>
              <w:bottom w:val="nil"/>
              <w:right w:val="nil"/>
            </w:tcBorders>
          </w:tcPr>
          <w:p>
            <w:pPr>
              <w:pStyle w:val="TableParagraph"/>
              <w:spacing w:line="198" w:lineRule="exact"/>
              <w:ind w:left="67"/>
              <w:rPr>
                <w:sz w:val="18"/>
              </w:rPr>
            </w:pPr>
            <w:r>
              <w:rPr>
                <w:sz w:val="18"/>
              </w:rPr>
              <w:t>Tamaulipas</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6.8</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9.2</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6.5</w:t>
            </w:r>
          </w:p>
        </w:tc>
        <w:tc>
          <w:tcPr>
            <w:tcW w:w="1000" w:type="dxa"/>
            <w:tcBorders>
              <w:top w:val="nil"/>
              <w:left w:val="nil"/>
              <w:bottom w:val="nil"/>
              <w:right w:val="nil"/>
            </w:tcBorders>
          </w:tcPr>
          <w:p>
            <w:pPr>
              <w:pStyle w:val="TableParagraph"/>
              <w:spacing w:line="198" w:lineRule="exact"/>
              <w:ind w:right="2"/>
              <w:jc w:val="center"/>
              <w:rPr>
                <w:sz w:val="18"/>
              </w:rPr>
            </w:pPr>
            <w:r>
              <w:rPr>
                <w:w w:val="99"/>
                <w:sz w:val="18"/>
              </w:rPr>
              <w:t>9</w:t>
            </w:r>
          </w:p>
        </w:tc>
      </w:tr>
      <w:tr>
        <w:trPr>
          <w:trHeight w:val="206" w:hRule="exact"/>
        </w:trPr>
        <w:tc>
          <w:tcPr>
            <w:tcW w:w="2185" w:type="dxa"/>
            <w:tcBorders>
              <w:top w:val="nil"/>
              <w:left w:val="nil"/>
              <w:bottom w:val="nil"/>
              <w:right w:val="nil"/>
            </w:tcBorders>
          </w:tcPr>
          <w:p>
            <w:pPr>
              <w:pStyle w:val="TableParagraph"/>
              <w:spacing w:line="196" w:lineRule="exact"/>
              <w:ind w:left="67"/>
              <w:rPr>
                <w:sz w:val="18"/>
              </w:rPr>
            </w:pPr>
            <w:r>
              <w:rPr>
                <w:sz w:val="18"/>
              </w:rPr>
              <w:t>Morelos</w:t>
            </w:r>
          </w:p>
        </w:tc>
        <w:tc>
          <w:tcPr>
            <w:tcW w:w="938" w:type="dxa"/>
            <w:tcBorders>
              <w:top w:val="nil"/>
              <w:left w:val="nil"/>
              <w:bottom w:val="nil"/>
              <w:right w:val="nil"/>
            </w:tcBorders>
          </w:tcPr>
          <w:p>
            <w:pPr>
              <w:pStyle w:val="TableParagraph"/>
              <w:spacing w:line="196" w:lineRule="exact"/>
              <w:ind w:left="273" w:right="273"/>
              <w:jc w:val="center"/>
              <w:rPr>
                <w:sz w:val="18"/>
              </w:rPr>
            </w:pPr>
            <w:r>
              <w:rPr>
                <w:sz w:val="18"/>
              </w:rPr>
              <w:t>11.0</w:t>
            </w:r>
          </w:p>
        </w:tc>
        <w:tc>
          <w:tcPr>
            <w:tcW w:w="960" w:type="dxa"/>
            <w:tcBorders>
              <w:top w:val="nil"/>
              <w:left w:val="nil"/>
              <w:bottom w:val="nil"/>
              <w:right w:val="nil"/>
            </w:tcBorders>
          </w:tcPr>
          <w:p>
            <w:pPr>
              <w:pStyle w:val="TableParagraph"/>
              <w:spacing w:line="196" w:lineRule="exact"/>
              <w:ind w:left="324" w:right="346"/>
              <w:jc w:val="center"/>
              <w:rPr>
                <w:sz w:val="18"/>
              </w:rPr>
            </w:pPr>
            <w:r>
              <w:rPr>
                <w:sz w:val="18"/>
              </w:rPr>
              <w:t>9.8</w:t>
            </w:r>
          </w:p>
        </w:tc>
        <w:tc>
          <w:tcPr>
            <w:tcW w:w="922" w:type="dxa"/>
            <w:tcBorders>
              <w:top w:val="nil"/>
              <w:left w:val="nil"/>
              <w:bottom w:val="nil"/>
              <w:right w:val="nil"/>
            </w:tcBorders>
          </w:tcPr>
          <w:p>
            <w:pPr>
              <w:pStyle w:val="TableParagraph"/>
              <w:spacing w:line="196" w:lineRule="exact"/>
              <w:ind w:left="304" w:right="328"/>
              <w:jc w:val="center"/>
              <w:rPr>
                <w:sz w:val="18"/>
              </w:rPr>
            </w:pPr>
            <w:r>
              <w:rPr>
                <w:sz w:val="18"/>
              </w:rPr>
              <w:t>6.7</w:t>
            </w:r>
          </w:p>
        </w:tc>
        <w:tc>
          <w:tcPr>
            <w:tcW w:w="1000" w:type="dxa"/>
            <w:tcBorders>
              <w:top w:val="nil"/>
              <w:left w:val="nil"/>
              <w:bottom w:val="nil"/>
              <w:right w:val="nil"/>
            </w:tcBorders>
          </w:tcPr>
          <w:p>
            <w:pPr>
              <w:pStyle w:val="TableParagraph"/>
              <w:spacing w:line="196" w:lineRule="exact"/>
              <w:ind w:left="377" w:right="383"/>
              <w:jc w:val="center"/>
              <w:rPr>
                <w:sz w:val="18"/>
              </w:rPr>
            </w:pPr>
            <w:r>
              <w:rPr>
                <w:sz w:val="18"/>
              </w:rPr>
              <w:t>10</w:t>
            </w:r>
          </w:p>
        </w:tc>
      </w:tr>
      <w:tr>
        <w:trPr>
          <w:trHeight w:val="208" w:hRule="exact"/>
        </w:trPr>
        <w:tc>
          <w:tcPr>
            <w:tcW w:w="2185" w:type="dxa"/>
            <w:tcBorders>
              <w:top w:val="nil"/>
              <w:left w:val="nil"/>
              <w:bottom w:val="nil"/>
              <w:right w:val="nil"/>
            </w:tcBorders>
          </w:tcPr>
          <w:p>
            <w:pPr>
              <w:pStyle w:val="TableParagraph"/>
              <w:spacing w:line="198" w:lineRule="exact"/>
              <w:ind w:left="67"/>
              <w:rPr>
                <w:sz w:val="18"/>
              </w:rPr>
            </w:pPr>
            <w:r>
              <w:rPr>
                <w:sz w:val="18"/>
              </w:rPr>
              <w:t>Querétaro</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2.0</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7.0</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6.9</w:t>
            </w:r>
          </w:p>
        </w:tc>
        <w:tc>
          <w:tcPr>
            <w:tcW w:w="1000" w:type="dxa"/>
            <w:tcBorders>
              <w:top w:val="nil"/>
              <w:left w:val="nil"/>
              <w:bottom w:val="nil"/>
              <w:right w:val="nil"/>
            </w:tcBorders>
          </w:tcPr>
          <w:p>
            <w:pPr>
              <w:pStyle w:val="TableParagraph"/>
              <w:spacing w:line="198" w:lineRule="exact"/>
              <w:ind w:left="377" w:right="383"/>
              <w:jc w:val="center"/>
              <w:rPr>
                <w:sz w:val="18"/>
              </w:rPr>
            </w:pPr>
            <w:r>
              <w:rPr>
                <w:sz w:val="18"/>
              </w:rPr>
              <w:t>11</w:t>
            </w:r>
          </w:p>
        </w:tc>
      </w:tr>
      <w:tr>
        <w:trPr>
          <w:trHeight w:val="206" w:hRule="exact"/>
        </w:trPr>
        <w:tc>
          <w:tcPr>
            <w:tcW w:w="2185" w:type="dxa"/>
            <w:tcBorders>
              <w:top w:val="nil"/>
              <w:left w:val="nil"/>
              <w:bottom w:val="nil"/>
              <w:right w:val="nil"/>
            </w:tcBorders>
          </w:tcPr>
          <w:p>
            <w:pPr>
              <w:pStyle w:val="TableParagraph"/>
              <w:spacing w:line="198" w:lineRule="exact"/>
              <w:ind w:left="67"/>
              <w:rPr>
                <w:sz w:val="18"/>
              </w:rPr>
            </w:pPr>
            <w:r>
              <w:rPr>
                <w:sz w:val="18"/>
              </w:rPr>
              <w:t>Veracruz</w:t>
            </w:r>
          </w:p>
        </w:tc>
        <w:tc>
          <w:tcPr>
            <w:tcW w:w="938" w:type="dxa"/>
            <w:tcBorders>
              <w:top w:val="nil"/>
              <w:left w:val="nil"/>
              <w:bottom w:val="nil"/>
              <w:right w:val="nil"/>
            </w:tcBorders>
          </w:tcPr>
          <w:p>
            <w:pPr>
              <w:pStyle w:val="TableParagraph"/>
              <w:spacing w:line="198" w:lineRule="exact"/>
              <w:ind w:left="273" w:right="273"/>
              <w:jc w:val="center"/>
              <w:rPr>
                <w:sz w:val="18"/>
              </w:rPr>
            </w:pPr>
            <w:r>
              <w:rPr>
                <w:sz w:val="18"/>
              </w:rPr>
              <w:t>10.8</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9.7</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6.9</w:t>
            </w:r>
          </w:p>
        </w:tc>
        <w:tc>
          <w:tcPr>
            <w:tcW w:w="1000" w:type="dxa"/>
            <w:tcBorders>
              <w:top w:val="nil"/>
              <w:left w:val="nil"/>
              <w:bottom w:val="nil"/>
              <w:right w:val="nil"/>
            </w:tcBorders>
          </w:tcPr>
          <w:p>
            <w:pPr>
              <w:pStyle w:val="TableParagraph"/>
              <w:spacing w:line="198" w:lineRule="exact"/>
              <w:ind w:left="377" w:right="383"/>
              <w:jc w:val="center"/>
              <w:rPr>
                <w:sz w:val="18"/>
              </w:rPr>
            </w:pPr>
            <w:r>
              <w:rPr>
                <w:sz w:val="18"/>
              </w:rPr>
              <w:t>12</w:t>
            </w:r>
          </w:p>
        </w:tc>
      </w:tr>
      <w:tr>
        <w:trPr>
          <w:trHeight w:val="206" w:hRule="exact"/>
        </w:trPr>
        <w:tc>
          <w:tcPr>
            <w:tcW w:w="2185" w:type="dxa"/>
            <w:tcBorders>
              <w:top w:val="nil"/>
              <w:left w:val="nil"/>
              <w:bottom w:val="nil"/>
              <w:right w:val="nil"/>
            </w:tcBorders>
          </w:tcPr>
          <w:p>
            <w:pPr>
              <w:pStyle w:val="TableParagraph"/>
              <w:spacing w:line="196" w:lineRule="exact"/>
              <w:ind w:left="67"/>
              <w:rPr>
                <w:sz w:val="18"/>
              </w:rPr>
            </w:pPr>
            <w:r>
              <w:rPr>
                <w:sz w:val="18"/>
              </w:rPr>
              <w:t>Chihuahua</w:t>
            </w:r>
          </w:p>
        </w:tc>
        <w:tc>
          <w:tcPr>
            <w:tcW w:w="938" w:type="dxa"/>
            <w:tcBorders>
              <w:top w:val="nil"/>
              <w:left w:val="nil"/>
              <w:bottom w:val="nil"/>
              <w:right w:val="nil"/>
            </w:tcBorders>
          </w:tcPr>
          <w:p>
            <w:pPr>
              <w:pStyle w:val="TableParagraph"/>
              <w:spacing w:line="196" w:lineRule="exact"/>
              <w:ind w:left="273" w:right="272"/>
              <w:jc w:val="center"/>
              <w:rPr>
                <w:sz w:val="18"/>
              </w:rPr>
            </w:pPr>
            <w:r>
              <w:rPr>
                <w:sz w:val="18"/>
              </w:rPr>
              <w:t>7.4</w:t>
            </w:r>
          </w:p>
        </w:tc>
        <w:tc>
          <w:tcPr>
            <w:tcW w:w="960" w:type="dxa"/>
            <w:tcBorders>
              <w:top w:val="nil"/>
              <w:left w:val="nil"/>
              <w:bottom w:val="nil"/>
              <w:right w:val="nil"/>
            </w:tcBorders>
          </w:tcPr>
          <w:p>
            <w:pPr>
              <w:pStyle w:val="TableParagraph"/>
              <w:spacing w:line="196" w:lineRule="exact"/>
              <w:ind w:left="324" w:right="346"/>
              <w:jc w:val="center"/>
              <w:rPr>
                <w:sz w:val="18"/>
              </w:rPr>
            </w:pPr>
            <w:r>
              <w:rPr>
                <w:sz w:val="18"/>
              </w:rPr>
              <w:t>8.7</w:t>
            </w:r>
          </w:p>
        </w:tc>
        <w:tc>
          <w:tcPr>
            <w:tcW w:w="922" w:type="dxa"/>
            <w:tcBorders>
              <w:top w:val="nil"/>
              <w:left w:val="nil"/>
              <w:bottom w:val="nil"/>
              <w:right w:val="nil"/>
            </w:tcBorders>
          </w:tcPr>
          <w:p>
            <w:pPr>
              <w:pStyle w:val="TableParagraph"/>
              <w:spacing w:line="196" w:lineRule="exact"/>
              <w:ind w:left="304" w:right="328"/>
              <w:jc w:val="center"/>
              <w:rPr>
                <w:sz w:val="18"/>
              </w:rPr>
            </w:pPr>
            <w:r>
              <w:rPr>
                <w:sz w:val="18"/>
              </w:rPr>
              <w:t>7.1</w:t>
            </w:r>
          </w:p>
        </w:tc>
        <w:tc>
          <w:tcPr>
            <w:tcW w:w="1000" w:type="dxa"/>
            <w:tcBorders>
              <w:top w:val="nil"/>
              <w:left w:val="nil"/>
              <w:bottom w:val="nil"/>
              <w:right w:val="nil"/>
            </w:tcBorders>
          </w:tcPr>
          <w:p>
            <w:pPr>
              <w:pStyle w:val="TableParagraph"/>
              <w:spacing w:line="196" w:lineRule="exact"/>
              <w:ind w:left="377" w:right="383"/>
              <w:jc w:val="center"/>
              <w:rPr>
                <w:sz w:val="18"/>
              </w:rPr>
            </w:pPr>
            <w:r>
              <w:rPr>
                <w:sz w:val="18"/>
              </w:rPr>
              <w:t>13</w:t>
            </w:r>
          </w:p>
        </w:tc>
      </w:tr>
      <w:tr>
        <w:trPr>
          <w:trHeight w:val="208" w:hRule="exact"/>
        </w:trPr>
        <w:tc>
          <w:tcPr>
            <w:tcW w:w="2185" w:type="dxa"/>
            <w:tcBorders>
              <w:top w:val="nil"/>
              <w:left w:val="nil"/>
              <w:bottom w:val="nil"/>
              <w:right w:val="nil"/>
            </w:tcBorders>
          </w:tcPr>
          <w:p>
            <w:pPr>
              <w:pStyle w:val="TableParagraph"/>
              <w:spacing w:line="198" w:lineRule="exact"/>
              <w:ind w:left="67"/>
              <w:rPr>
                <w:sz w:val="18"/>
              </w:rPr>
            </w:pPr>
            <w:r>
              <w:rPr>
                <w:sz w:val="18"/>
              </w:rPr>
              <w:t>Baja California</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6.9</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8.8</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7.1</w:t>
            </w:r>
          </w:p>
        </w:tc>
        <w:tc>
          <w:tcPr>
            <w:tcW w:w="1000" w:type="dxa"/>
            <w:tcBorders>
              <w:top w:val="nil"/>
              <w:left w:val="nil"/>
              <w:bottom w:val="nil"/>
              <w:right w:val="nil"/>
            </w:tcBorders>
          </w:tcPr>
          <w:p>
            <w:pPr>
              <w:pStyle w:val="TableParagraph"/>
              <w:spacing w:line="198" w:lineRule="exact"/>
              <w:ind w:left="377" w:right="383"/>
              <w:jc w:val="center"/>
              <w:rPr>
                <w:sz w:val="18"/>
              </w:rPr>
            </w:pPr>
            <w:r>
              <w:rPr>
                <w:sz w:val="18"/>
              </w:rPr>
              <w:t>14</w:t>
            </w:r>
          </w:p>
        </w:tc>
      </w:tr>
      <w:tr>
        <w:trPr>
          <w:trHeight w:val="208" w:hRule="exact"/>
        </w:trPr>
        <w:tc>
          <w:tcPr>
            <w:tcW w:w="2185" w:type="dxa"/>
            <w:tcBorders>
              <w:top w:val="nil"/>
              <w:left w:val="nil"/>
              <w:bottom w:val="nil"/>
              <w:right w:val="nil"/>
            </w:tcBorders>
          </w:tcPr>
          <w:p>
            <w:pPr>
              <w:pStyle w:val="TableParagraph"/>
              <w:spacing w:line="198" w:lineRule="exact"/>
              <w:ind w:left="67"/>
              <w:rPr>
                <w:sz w:val="18"/>
              </w:rPr>
            </w:pPr>
            <w:r>
              <w:rPr>
                <w:sz w:val="18"/>
              </w:rPr>
              <w:t>Puebla</w:t>
            </w:r>
          </w:p>
        </w:tc>
        <w:tc>
          <w:tcPr>
            <w:tcW w:w="938" w:type="dxa"/>
            <w:tcBorders>
              <w:top w:val="nil"/>
              <w:left w:val="nil"/>
              <w:bottom w:val="nil"/>
              <w:right w:val="nil"/>
            </w:tcBorders>
          </w:tcPr>
          <w:p>
            <w:pPr>
              <w:pStyle w:val="TableParagraph"/>
              <w:spacing w:line="198" w:lineRule="exact"/>
              <w:ind w:left="273" w:right="273"/>
              <w:jc w:val="center"/>
              <w:rPr>
                <w:sz w:val="18"/>
              </w:rPr>
            </w:pPr>
            <w:r>
              <w:rPr>
                <w:sz w:val="18"/>
              </w:rPr>
              <w:t>10.9</w:t>
            </w:r>
          </w:p>
        </w:tc>
        <w:tc>
          <w:tcPr>
            <w:tcW w:w="960" w:type="dxa"/>
            <w:tcBorders>
              <w:top w:val="nil"/>
              <w:left w:val="nil"/>
              <w:bottom w:val="nil"/>
              <w:right w:val="nil"/>
            </w:tcBorders>
          </w:tcPr>
          <w:p>
            <w:pPr>
              <w:pStyle w:val="TableParagraph"/>
              <w:spacing w:line="198" w:lineRule="exact"/>
              <w:ind w:right="312"/>
              <w:jc w:val="right"/>
              <w:rPr>
                <w:sz w:val="18"/>
              </w:rPr>
            </w:pPr>
            <w:r>
              <w:rPr>
                <w:sz w:val="18"/>
              </w:rPr>
              <w:t>11.0</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7.6</w:t>
            </w:r>
          </w:p>
        </w:tc>
        <w:tc>
          <w:tcPr>
            <w:tcW w:w="1000" w:type="dxa"/>
            <w:tcBorders>
              <w:top w:val="nil"/>
              <w:left w:val="nil"/>
              <w:bottom w:val="nil"/>
              <w:right w:val="nil"/>
            </w:tcBorders>
          </w:tcPr>
          <w:p>
            <w:pPr>
              <w:pStyle w:val="TableParagraph"/>
              <w:spacing w:line="198" w:lineRule="exact"/>
              <w:ind w:left="377" w:right="383"/>
              <w:jc w:val="center"/>
              <w:rPr>
                <w:sz w:val="18"/>
              </w:rPr>
            </w:pPr>
            <w:r>
              <w:rPr>
                <w:sz w:val="18"/>
              </w:rPr>
              <w:t>15</w:t>
            </w:r>
          </w:p>
        </w:tc>
      </w:tr>
      <w:tr>
        <w:trPr>
          <w:trHeight w:val="206" w:hRule="exact"/>
        </w:trPr>
        <w:tc>
          <w:tcPr>
            <w:tcW w:w="2185" w:type="dxa"/>
            <w:tcBorders>
              <w:top w:val="nil"/>
              <w:left w:val="nil"/>
              <w:bottom w:val="nil"/>
              <w:right w:val="nil"/>
            </w:tcBorders>
          </w:tcPr>
          <w:p>
            <w:pPr>
              <w:pStyle w:val="TableParagraph"/>
              <w:spacing w:line="198" w:lineRule="exact"/>
              <w:ind w:left="67"/>
              <w:rPr>
                <w:sz w:val="18"/>
              </w:rPr>
            </w:pPr>
            <w:r>
              <w:rPr>
                <w:sz w:val="18"/>
              </w:rPr>
              <w:t>Guanajuato</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5.2</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5.1</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7.6</w:t>
            </w:r>
          </w:p>
        </w:tc>
        <w:tc>
          <w:tcPr>
            <w:tcW w:w="1000" w:type="dxa"/>
            <w:tcBorders>
              <w:top w:val="nil"/>
              <w:left w:val="nil"/>
              <w:bottom w:val="nil"/>
              <w:right w:val="nil"/>
            </w:tcBorders>
          </w:tcPr>
          <w:p>
            <w:pPr>
              <w:pStyle w:val="TableParagraph"/>
              <w:spacing w:line="198" w:lineRule="exact"/>
              <w:ind w:left="377" w:right="383"/>
              <w:jc w:val="center"/>
              <w:rPr>
                <w:sz w:val="18"/>
              </w:rPr>
            </w:pPr>
            <w:r>
              <w:rPr>
                <w:sz w:val="18"/>
              </w:rPr>
              <w:t>16</w:t>
            </w:r>
          </w:p>
        </w:tc>
      </w:tr>
      <w:tr>
        <w:trPr>
          <w:trHeight w:val="206" w:hRule="exact"/>
        </w:trPr>
        <w:tc>
          <w:tcPr>
            <w:tcW w:w="2185" w:type="dxa"/>
            <w:tcBorders>
              <w:top w:val="nil"/>
              <w:left w:val="nil"/>
              <w:bottom w:val="nil"/>
              <w:right w:val="nil"/>
            </w:tcBorders>
          </w:tcPr>
          <w:p>
            <w:pPr>
              <w:pStyle w:val="TableParagraph"/>
              <w:spacing w:line="196" w:lineRule="exact"/>
              <w:ind w:left="67"/>
              <w:rPr>
                <w:sz w:val="18"/>
              </w:rPr>
            </w:pPr>
            <w:r>
              <w:rPr>
                <w:sz w:val="18"/>
              </w:rPr>
              <w:t>Chiapas</w:t>
            </w:r>
          </w:p>
        </w:tc>
        <w:tc>
          <w:tcPr>
            <w:tcW w:w="938" w:type="dxa"/>
            <w:tcBorders>
              <w:top w:val="nil"/>
              <w:left w:val="nil"/>
              <w:bottom w:val="nil"/>
              <w:right w:val="nil"/>
            </w:tcBorders>
          </w:tcPr>
          <w:p>
            <w:pPr>
              <w:pStyle w:val="TableParagraph"/>
              <w:spacing w:line="196" w:lineRule="exact"/>
              <w:ind w:left="273" w:right="272"/>
              <w:jc w:val="center"/>
              <w:rPr>
                <w:sz w:val="18"/>
              </w:rPr>
            </w:pPr>
            <w:r>
              <w:rPr>
                <w:sz w:val="18"/>
              </w:rPr>
              <w:t>2.8</w:t>
            </w:r>
          </w:p>
        </w:tc>
        <w:tc>
          <w:tcPr>
            <w:tcW w:w="960" w:type="dxa"/>
            <w:tcBorders>
              <w:top w:val="nil"/>
              <w:left w:val="nil"/>
              <w:bottom w:val="nil"/>
              <w:right w:val="nil"/>
            </w:tcBorders>
          </w:tcPr>
          <w:p>
            <w:pPr>
              <w:pStyle w:val="TableParagraph"/>
              <w:spacing w:line="196" w:lineRule="exact"/>
              <w:ind w:left="324" w:right="346"/>
              <w:jc w:val="center"/>
              <w:rPr>
                <w:sz w:val="18"/>
              </w:rPr>
            </w:pPr>
            <w:r>
              <w:rPr>
                <w:sz w:val="18"/>
              </w:rPr>
              <w:t>7.1</w:t>
            </w:r>
          </w:p>
        </w:tc>
        <w:tc>
          <w:tcPr>
            <w:tcW w:w="922" w:type="dxa"/>
            <w:tcBorders>
              <w:top w:val="nil"/>
              <w:left w:val="nil"/>
              <w:bottom w:val="nil"/>
              <w:right w:val="nil"/>
            </w:tcBorders>
          </w:tcPr>
          <w:p>
            <w:pPr>
              <w:pStyle w:val="TableParagraph"/>
              <w:spacing w:line="196" w:lineRule="exact"/>
              <w:ind w:left="304" w:right="328"/>
              <w:jc w:val="center"/>
              <w:rPr>
                <w:sz w:val="18"/>
              </w:rPr>
            </w:pPr>
            <w:r>
              <w:rPr>
                <w:sz w:val="18"/>
              </w:rPr>
              <w:t>7.6</w:t>
            </w:r>
          </w:p>
        </w:tc>
        <w:tc>
          <w:tcPr>
            <w:tcW w:w="1000" w:type="dxa"/>
            <w:tcBorders>
              <w:top w:val="nil"/>
              <w:left w:val="nil"/>
              <w:bottom w:val="nil"/>
              <w:right w:val="nil"/>
            </w:tcBorders>
          </w:tcPr>
          <w:p>
            <w:pPr>
              <w:pStyle w:val="TableParagraph"/>
              <w:spacing w:line="196" w:lineRule="exact"/>
              <w:ind w:left="377" w:right="383"/>
              <w:jc w:val="center"/>
              <w:rPr>
                <w:sz w:val="18"/>
              </w:rPr>
            </w:pPr>
            <w:r>
              <w:rPr>
                <w:sz w:val="18"/>
              </w:rPr>
              <w:t>17</w:t>
            </w:r>
          </w:p>
        </w:tc>
      </w:tr>
      <w:tr>
        <w:trPr>
          <w:trHeight w:val="208" w:hRule="exact"/>
        </w:trPr>
        <w:tc>
          <w:tcPr>
            <w:tcW w:w="2185" w:type="dxa"/>
            <w:tcBorders>
              <w:top w:val="nil"/>
              <w:left w:val="nil"/>
              <w:bottom w:val="nil"/>
              <w:right w:val="nil"/>
            </w:tcBorders>
          </w:tcPr>
          <w:p>
            <w:pPr>
              <w:pStyle w:val="TableParagraph"/>
              <w:spacing w:line="198" w:lineRule="exact"/>
              <w:ind w:left="67"/>
              <w:rPr>
                <w:sz w:val="18"/>
              </w:rPr>
            </w:pPr>
            <w:r>
              <w:rPr>
                <w:sz w:val="18"/>
              </w:rPr>
              <w:t>Coahuila</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6.5</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8.4</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8.3</w:t>
            </w:r>
          </w:p>
        </w:tc>
        <w:tc>
          <w:tcPr>
            <w:tcW w:w="1000" w:type="dxa"/>
            <w:tcBorders>
              <w:top w:val="nil"/>
              <w:left w:val="nil"/>
              <w:bottom w:val="nil"/>
              <w:right w:val="nil"/>
            </w:tcBorders>
          </w:tcPr>
          <w:p>
            <w:pPr>
              <w:pStyle w:val="TableParagraph"/>
              <w:spacing w:line="198" w:lineRule="exact"/>
              <w:ind w:left="377" w:right="383"/>
              <w:jc w:val="center"/>
              <w:rPr>
                <w:sz w:val="18"/>
              </w:rPr>
            </w:pPr>
            <w:r>
              <w:rPr>
                <w:sz w:val="18"/>
              </w:rPr>
              <w:t>18</w:t>
            </w:r>
          </w:p>
        </w:tc>
      </w:tr>
      <w:tr>
        <w:trPr>
          <w:trHeight w:val="194" w:hRule="exact"/>
        </w:trPr>
        <w:tc>
          <w:tcPr>
            <w:tcW w:w="2185" w:type="dxa"/>
            <w:tcBorders>
              <w:top w:val="nil"/>
              <w:left w:val="nil"/>
              <w:bottom w:val="nil"/>
              <w:right w:val="nil"/>
            </w:tcBorders>
          </w:tcPr>
          <w:p>
            <w:pPr>
              <w:pStyle w:val="TableParagraph"/>
              <w:spacing w:line="198" w:lineRule="exact"/>
              <w:ind w:left="67"/>
              <w:rPr>
                <w:sz w:val="18"/>
              </w:rPr>
            </w:pPr>
            <w:r>
              <w:rPr>
                <w:sz w:val="18"/>
              </w:rPr>
              <w:t>Campeche</w:t>
            </w:r>
          </w:p>
        </w:tc>
        <w:tc>
          <w:tcPr>
            <w:tcW w:w="938" w:type="dxa"/>
            <w:tcBorders>
              <w:top w:val="nil"/>
              <w:left w:val="nil"/>
              <w:bottom w:val="nil"/>
              <w:right w:val="nil"/>
            </w:tcBorders>
          </w:tcPr>
          <w:p>
            <w:pPr>
              <w:pStyle w:val="TableParagraph"/>
              <w:spacing w:line="198" w:lineRule="exact"/>
              <w:ind w:left="273" w:right="272"/>
              <w:jc w:val="center"/>
              <w:rPr>
                <w:sz w:val="18"/>
              </w:rPr>
            </w:pPr>
            <w:r>
              <w:rPr>
                <w:sz w:val="18"/>
              </w:rPr>
              <w:t>7.8</w:t>
            </w:r>
          </w:p>
        </w:tc>
        <w:tc>
          <w:tcPr>
            <w:tcW w:w="960" w:type="dxa"/>
            <w:tcBorders>
              <w:top w:val="nil"/>
              <w:left w:val="nil"/>
              <w:bottom w:val="nil"/>
              <w:right w:val="nil"/>
            </w:tcBorders>
          </w:tcPr>
          <w:p>
            <w:pPr>
              <w:pStyle w:val="TableParagraph"/>
              <w:spacing w:line="198" w:lineRule="exact"/>
              <w:ind w:left="324" w:right="346"/>
              <w:jc w:val="center"/>
              <w:rPr>
                <w:sz w:val="18"/>
              </w:rPr>
            </w:pPr>
            <w:r>
              <w:rPr>
                <w:sz w:val="18"/>
              </w:rPr>
              <w:t>7.2</w:t>
            </w:r>
          </w:p>
        </w:tc>
        <w:tc>
          <w:tcPr>
            <w:tcW w:w="922" w:type="dxa"/>
            <w:tcBorders>
              <w:top w:val="nil"/>
              <w:left w:val="nil"/>
              <w:bottom w:val="nil"/>
              <w:right w:val="nil"/>
            </w:tcBorders>
          </w:tcPr>
          <w:p>
            <w:pPr>
              <w:pStyle w:val="TableParagraph"/>
              <w:spacing w:line="198" w:lineRule="exact"/>
              <w:ind w:left="304" w:right="328"/>
              <w:jc w:val="center"/>
              <w:rPr>
                <w:sz w:val="18"/>
              </w:rPr>
            </w:pPr>
            <w:r>
              <w:rPr>
                <w:sz w:val="18"/>
              </w:rPr>
              <w:t>8.3</w:t>
            </w:r>
          </w:p>
        </w:tc>
        <w:tc>
          <w:tcPr>
            <w:tcW w:w="1000" w:type="dxa"/>
            <w:tcBorders>
              <w:top w:val="nil"/>
              <w:left w:val="nil"/>
              <w:bottom w:val="nil"/>
              <w:right w:val="nil"/>
            </w:tcBorders>
          </w:tcPr>
          <w:p>
            <w:pPr>
              <w:pStyle w:val="TableParagraph"/>
              <w:spacing w:line="198" w:lineRule="exact"/>
              <w:ind w:left="377" w:right="383"/>
              <w:jc w:val="center"/>
              <w:rPr>
                <w:sz w:val="18"/>
              </w:rPr>
            </w:pPr>
            <w:r>
              <w:rPr>
                <w:sz w:val="18"/>
              </w:rPr>
              <w:t>19</w:t>
            </w:r>
          </w:p>
        </w:tc>
      </w:tr>
    </w:tbl>
    <w:p>
      <w:pPr>
        <w:spacing w:after="0" w:line="198" w:lineRule="exact"/>
        <w:jc w:val="center"/>
        <w:rPr>
          <w:sz w:val="18"/>
        </w:rPr>
        <w:sectPr>
          <w:pgSz w:w="11910" w:h="16840"/>
          <w:pgMar w:header="0" w:footer="998" w:top="1340" w:bottom="1180" w:left="1600" w:right="1600"/>
        </w:sectPr>
      </w:pPr>
    </w:p>
    <w:tbl>
      <w:tblPr>
        <w:tblW w:w="0" w:type="auto"/>
        <w:jc w:val="left"/>
        <w:tblInd w:w="13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77"/>
        <w:gridCol w:w="1046"/>
        <w:gridCol w:w="939"/>
        <w:gridCol w:w="940"/>
        <w:gridCol w:w="1005"/>
      </w:tblGrid>
      <w:tr>
        <w:trPr>
          <w:trHeight w:val="194" w:hRule="exact"/>
        </w:trPr>
        <w:tc>
          <w:tcPr>
            <w:tcW w:w="2077" w:type="dxa"/>
          </w:tcPr>
          <w:p>
            <w:pPr>
              <w:pStyle w:val="TableParagraph"/>
              <w:spacing w:line="184" w:lineRule="exact"/>
              <w:ind w:left="67"/>
              <w:rPr>
                <w:sz w:val="18"/>
              </w:rPr>
            </w:pPr>
            <w:r>
              <w:rPr>
                <w:sz w:val="18"/>
              </w:rPr>
              <w:t>Michoacán</w:t>
            </w:r>
          </w:p>
        </w:tc>
        <w:tc>
          <w:tcPr>
            <w:tcW w:w="1046" w:type="dxa"/>
          </w:tcPr>
          <w:p>
            <w:pPr>
              <w:pStyle w:val="TableParagraph"/>
              <w:spacing w:line="184" w:lineRule="exact"/>
              <w:ind w:right="292"/>
              <w:jc w:val="right"/>
              <w:rPr>
                <w:sz w:val="18"/>
              </w:rPr>
            </w:pPr>
            <w:r>
              <w:rPr>
                <w:sz w:val="18"/>
              </w:rPr>
              <w:t>10.8</w:t>
            </w:r>
          </w:p>
        </w:tc>
        <w:tc>
          <w:tcPr>
            <w:tcW w:w="939" w:type="dxa"/>
          </w:tcPr>
          <w:p>
            <w:pPr>
              <w:pStyle w:val="TableParagraph"/>
              <w:spacing w:line="184" w:lineRule="exact"/>
              <w:ind w:left="273" w:right="273"/>
              <w:jc w:val="center"/>
              <w:rPr>
                <w:sz w:val="18"/>
              </w:rPr>
            </w:pPr>
            <w:r>
              <w:rPr>
                <w:sz w:val="18"/>
              </w:rPr>
              <w:t>5.7</w:t>
            </w:r>
          </w:p>
        </w:tc>
        <w:tc>
          <w:tcPr>
            <w:tcW w:w="940" w:type="dxa"/>
          </w:tcPr>
          <w:p>
            <w:pPr>
              <w:pStyle w:val="TableParagraph"/>
              <w:spacing w:line="184" w:lineRule="exact"/>
              <w:ind w:left="344"/>
              <w:rPr>
                <w:sz w:val="18"/>
              </w:rPr>
            </w:pPr>
            <w:r>
              <w:rPr>
                <w:sz w:val="18"/>
              </w:rPr>
              <w:t>8.4</w:t>
            </w:r>
          </w:p>
        </w:tc>
        <w:tc>
          <w:tcPr>
            <w:tcW w:w="1005" w:type="dxa"/>
          </w:tcPr>
          <w:p>
            <w:pPr>
              <w:pStyle w:val="TableParagraph"/>
              <w:spacing w:line="184" w:lineRule="exact"/>
              <w:ind w:left="381" w:right="383"/>
              <w:jc w:val="center"/>
              <w:rPr>
                <w:sz w:val="18"/>
              </w:rPr>
            </w:pPr>
            <w:r>
              <w:rPr>
                <w:sz w:val="18"/>
              </w:rPr>
              <w:t>20</w:t>
            </w:r>
          </w:p>
        </w:tc>
      </w:tr>
      <w:tr>
        <w:trPr>
          <w:trHeight w:val="208" w:hRule="exact"/>
        </w:trPr>
        <w:tc>
          <w:tcPr>
            <w:tcW w:w="2077" w:type="dxa"/>
          </w:tcPr>
          <w:p>
            <w:pPr>
              <w:pStyle w:val="TableParagraph"/>
              <w:spacing w:line="198" w:lineRule="exact"/>
              <w:ind w:left="67"/>
              <w:rPr>
                <w:sz w:val="18"/>
              </w:rPr>
            </w:pPr>
            <w:r>
              <w:rPr>
                <w:sz w:val="18"/>
              </w:rPr>
              <w:t>Sonora</w:t>
            </w:r>
          </w:p>
        </w:tc>
        <w:tc>
          <w:tcPr>
            <w:tcW w:w="1046" w:type="dxa"/>
          </w:tcPr>
          <w:p>
            <w:pPr>
              <w:pStyle w:val="TableParagraph"/>
              <w:spacing w:line="198" w:lineRule="exact"/>
              <w:ind w:right="340"/>
              <w:jc w:val="right"/>
              <w:rPr>
                <w:sz w:val="18"/>
              </w:rPr>
            </w:pPr>
            <w:r>
              <w:rPr>
                <w:sz w:val="18"/>
              </w:rPr>
              <w:t>5.2</w:t>
            </w:r>
          </w:p>
        </w:tc>
        <w:tc>
          <w:tcPr>
            <w:tcW w:w="939" w:type="dxa"/>
          </w:tcPr>
          <w:p>
            <w:pPr>
              <w:pStyle w:val="TableParagraph"/>
              <w:spacing w:line="198" w:lineRule="exact"/>
              <w:ind w:left="273" w:right="273"/>
              <w:jc w:val="center"/>
              <w:rPr>
                <w:sz w:val="18"/>
              </w:rPr>
            </w:pPr>
            <w:r>
              <w:rPr>
                <w:sz w:val="18"/>
              </w:rPr>
              <w:t>6.0</w:t>
            </w:r>
          </w:p>
        </w:tc>
        <w:tc>
          <w:tcPr>
            <w:tcW w:w="940" w:type="dxa"/>
          </w:tcPr>
          <w:p>
            <w:pPr>
              <w:pStyle w:val="TableParagraph"/>
              <w:spacing w:line="198" w:lineRule="exact"/>
              <w:ind w:left="344"/>
              <w:rPr>
                <w:sz w:val="18"/>
              </w:rPr>
            </w:pPr>
            <w:r>
              <w:rPr>
                <w:sz w:val="18"/>
              </w:rPr>
              <w:t>8.4</w:t>
            </w:r>
          </w:p>
        </w:tc>
        <w:tc>
          <w:tcPr>
            <w:tcW w:w="1005" w:type="dxa"/>
          </w:tcPr>
          <w:p>
            <w:pPr>
              <w:pStyle w:val="TableParagraph"/>
              <w:spacing w:line="198" w:lineRule="exact"/>
              <w:ind w:left="381" w:right="383"/>
              <w:jc w:val="center"/>
              <w:rPr>
                <w:sz w:val="18"/>
              </w:rPr>
            </w:pPr>
            <w:r>
              <w:rPr>
                <w:sz w:val="18"/>
              </w:rPr>
              <w:t>21</w:t>
            </w:r>
          </w:p>
        </w:tc>
      </w:tr>
      <w:tr>
        <w:trPr>
          <w:trHeight w:val="206" w:hRule="exact"/>
        </w:trPr>
        <w:tc>
          <w:tcPr>
            <w:tcW w:w="2077" w:type="dxa"/>
          </w:tcPr>
          <w:p>
            <w:pPr>
              <w:pStyle w:val="TableParagraph"/>
              <w:spacing w:line="198" w:lineRule="exact"/>
              <w:ind w:left="67"/>
              <w:rPr>
                <w:sz w:val="18"/>
              </w:rPr>
            </w:pPr>
            <w:r>
              <w:rPr>
                <w:sz w:val="18"/>
              </w:rPr>
              <w:t>Nuevo León</w:t>
            </w:r>
          </w:p>
        </w:tc>
        <w:tc>
          <w:tcPr>
            <w:tcW w:w="1046" w:type="dxa"/>
          </w:tcPr>
          <w:p>
            <w:pPr>
              <w:pStyle w:val="TableParagraph"/>
              <w:spacing w:line="198" w:lineRule="exact"/>
              <w:ind w:right="340"/>
              <w:jc w:val="right"/>
              <w:rPr>
                <w:sz w:val="18"/>
              </w:rPr>
            </w:pPr>
            <w:r>
              <w:rPr>
                <w:sz w:val="18"/>
              </w:rPr>
              <w:t>9.3</w:t>
            </w:r>
          </w:p>
        </w:tc>
        <w:tc>
          <w:tcPr>
            <w:tcW w:w="939" w:type="dxa"/>
          </w:tcPr>
          <w:p>
            <w:pPr>
              <w:pStyle w:val="TableParagraph"/>
              <w:spacing w:line="198" w:lineRule="exact"/>
              <w:ind w:left="273" w:right="273"/>
              <w:jc w:val="center"/>
              <w:rPr>
                <w:sz w:val="18"/>
              </w:rPr>
            </w:pPr>
            <w:r>
              <w:rPr>
                <w:sz w:val="18"/>
              </w:rPr>
              <w:t>6.0</w:t>
            </w:r>
          </w:p>
        </w:tc>
        <w:tc>
          <w:tcPr>
            <w:tcW w:w="940" w:type="dxa"/>
          </w:tcPr>
          <w:p>
            <w:pPr>
              <w:pStyle w:val="TableParagraph"/>
              <w:spacing w:line="198" w:lineRule="exact"/>
              <w:ind w:left="344"/>
              <w:rPr>
                <w:sz w:val="18"/>
              </w:rPr>
            </w:pPr>
            <w:r>
              <w:rPr>
                <w:sz w:val="18"/>
              </w:rPr>
              <w:t>9.1</w:t>
            </w:r>
          </w:p>
        </w:tc>
        <w:tc>
          <w:tcPr>
            <w:tcW w:w="1005" w:type="dxa"/>
          </w:tcPr>
          <w:p>
            <w:pPr>
              <w:pStyle w:val="TableParagraph"/>
              <w:spacing w:line="198" w:lineRule="exact"/>
              <w:ind w:left="381" w:right="383"/>
              <w:jc w:val="center"/>
              <w:rPr>
                <w:sz w:val="18"/>
              </w:rPr>
            </w:pPr>
            <w:r>
              <w:rPr>
                <w:sz w:val="18"/>
              </w:rPr>
              <w:t>22</w:t>
            </w:r>
          </w:p>
        </w:tc>
      </w:tr>
      <w:tr>
        <w:trPr>
          <w:trHeight w:val="206" w:hRule="exact"/>
        </w:trPr>
        <w:tc>
          <w:tcPr>
            <w:tcW w:w="2077" w:type="dxa"/>
          </w:tcPr>
          <w:p>
            <w:pPr>
              <w:pStyle w:val="TableParagraph"/>
              <w:spacing w:line="196" w:lineRule="exact"/>
              <w:ind w:left="67"/>
              <w:rPr>
                <w:sz w:val="18"/>
              </w:rPr>
            </w:pPr>
            <w:r>
              <w:rPr>
                <w:sz w:val="18"/>
              </w:rPr>
              <w:t>Sinaloa</w:t>
            </w:r>
          </w:p>
        </w:tc>
        <w:tc>
          <w:tcPr>
            <w:tcW w:w="1046" w:type="dxa"/>
          </w:tcPr>
          <w:p>
            <w:pPr>
              <w:pStyle w:val="TableParagraph"/>
              <w:spacing w:line="196" w:lineRule="exact"/>
              <w:ind w:right="340"/>
              <w:jc w:val="right"/>
              <w:rPr>
                <w:sz w:val="18"/>
              </w:rPr>
            </w:pPr>
            <w:r>
              <w:rPr>
                <w:sz w:val="18"/>
              </w:rPr>
              <w:t>6.6</w:t>
            </w:r>
          </w:p>
        </w:tc>
        <w:tc>
          <w:tcPr>
            <w:tcW w:w="939" w:type="dxa"/>
          </w:tcPr>
          <w:p>
            <w:pPr>
              <w:pStyle w:val="TableParagraph"/>
              <w:spacing w:line="196" w:lineRule="exact"/>
              <w:ind w:left="273" w:right="273"/>
              <w:jc w:val="center"/>
              <w:rPr>
                <w:sz w:val="18"/>
              </w:rPr>
            </w:pPr>
            <w:r>
              <w:rPr>
                <w:sz w:val="18"/>
              </w:rPr>
              <w:t>8.1</w:t>
            </w:r>
          </w:p>
        </w:tc>
        <w:tc>
          <w:tcPr>
            <w:tcW w:w="940" w:type="dxa"/>
          </w:tcPr>
          <w:p>
            <w:pPr>
              <w:pStyle w:val="TableParagraph"/>
              <w:spacing w:line="196" w:lineRule="exact"/>
              <w:ind w:left="344"/>
              <w:rPr>
                <w:sz w:val="18"/>
              </w:rPr>
            </w:pPr>
            <w:r>
              <w:rPr>
                <w:sz w:val="18"/>
              </w:rPr>
              <w:t>9.9</w:t>
            </w:r>
          </w:p>
        </w:tc>
        <w:tc>
          <w:tcPr>
            <w:tcW w:w="1005" w:type="dxa"/>
          </w:tcPr>
          <w:p>
            <w:pPr>
              <w:pStyle w:val="TableParagraph"/>
              <w:spacing w:line="196" w:lineRule="exact"/>
              <w:ind w:left="381" w:right="383"/>
              <w:jc w:val="center"/>
              <w:rPr>
                <w:sz w:val="18"/>
              </w:rPr>
            </w:pPr>
            <w:r>
              <w:rPr>
                <w:sz w:val="18"/>
              </w:rPr>
              <w:t>23</w:t>
            </w:r>
          </w:p>
        </w:tc>
      </w:tr>
      <w:tr>
        <w:trPr>
          <w:trHeight w:val="208" w:hRule="exact"/>
        </w:trPr>
        <w:tc>
          <w:tcPr>
            <w:tcW w:w="2077" w:type="dxa"/>
            <w:tcBorders>
              <w:bottom w:val="single" w:sz="3" w:space="0" w:color="000000"/>
            </w:tcBorders>
          </w:tcPr>
          <w:p>
            <w:pPr>
              <w:pStyle w:val="TableParagraph"/>
              <w:spacing w:line="198" w:lineRule="exact"/>
              <w:ind w:left="67"/>
              <w:rPr>
                <w:sz w:val="18"/>
              </w:rPr>
            </w:pPr>
            <w:r>
              <w:rPr>
                <w:sz w:val="18"/>
              </w:rPr>
              <w:t>Tlaxcala</w:t>
            </w:r>
          </w:p>
        </w:tc>
        <w:tc>
          <w:tcPr>
            <w:tcW w:w="1046" w:type="dxa"/>
            <w:tcBorders>
              <w:bottom w:val="single" w:sz="3" w:space="0" w:color="000000"/>
            </w:tcBorders>
          </w:tcPr>
          <w:p>
            <w:pPr>
              <w:pStyle w:val="TableParagraph"/>
              <w:spacing w:line="198" w:lineRule="exact"/>
              <w:ind w:right="292"/>
              <w:jc w:val="right"/>
              <w:rPr>
                <w:sz w:val="18"/>
              </w:rPr>
            </w:pPr>
            <w:r>
              <w:rPr>
                <w:sz w:val="18"/>
              </w:rPr>
              <w:t>10.0</w:t>
            </w:r>
          </w:p>
        </w:tc>
        <w:tc>
          <w:tcPr>
            <w:tcW w:w="939" w:type="dxa"/>
            <w:tcBorders>
              <w:bottom w:val="single" w:sz="3" w:space="0" w:color="000000"/>
            </w:tcBorders>
          </w:tcPr>
          <w:p>
            <w:pPr>
              <w:pStyle w:val="TableParagraph"/>
              <w:spacing w:line="198" w:lineRule="exact"/>
              <w:ind w:left="274" w:right="273"/>
              <w:jc w:val="center"/>
              <w:rPr>
                <w:sz w:val="18"/>
              </w:rPr>
            </w:pPr>
            <w:r>
              <w:rPr>
                <w:sz w:val="18"/>
              </w:rPr>
              <w:t>11.7</w:t>
            </w:r>
          </w:p>
        </w:tc>
        <w:tc>
          <w:tcPr>
            <w:tcW w:w="940" w:type="dxa"/>
            <w:tcBorders>
              <w:bottom w:val="single" w:sz="3" w:space="0" w:color="000000"/>
            </w:tcBorders>
          </w:tcPr>
          <w:p>
            <w:pPr>
              <w:pStyle w:val="TableParagraph"/>
              <w:spacing w:line="198" w:lineRule="exact"/>
              <w:ind w:left="292"/>
              <w:rPr>
                <w:sz w:val="18"/>
              </w:rPr>
            </w:pPr>
            <w:r>
              <w:rPr>
                <w:sz w:val="18"/>
              </w:rPr>
              <w:t>10.2</w:t>
            </w:r>
          </w:p>
        </w:tc>
        <w:tc>
          <w:tcPr>
            <w:tcW w:w="1005" w:type="dxa"/>
          </w:tcPr>
          <w:p>
            <w:pPr>
              <w:pStyle w:val="TableParagraph"/>
              <w:spacing w:line="198" w:lineRule="exact"/>
              <w:ind w:left="381" w:right="383"/>
              <w:jc w:val="center"/>
              <w:rPr>
                <w:sz w:val="18"/>
              </w:rPr>
            </w:pPr>
            <w:r>
              <w:rPr>
                <w:sz w:val="18"/>
              </w:rPr>
              <w:t>24</w:t>
            </w:r>
          </w:p>
        </w:tc>
      </w:tr>
      <w:tr>
        <w:trPr>
          <w:trHeight w:val="216" w:hRule="exact"/>
        </w:trPr>
        <w:tc>
          <w:tcPr>
            <w:tcW w:w="2077" w:type="dxa"/>
            <w:tcBorders>
              <w:top w:val="single" w:sz="3" w:space="0" w:color="000000"/>
              <w:bottom w:val="single" w:sz="3" w:space="0" w:color="000000"/>
            </w:tcBorders>
            <w:shd w:val="clear" w:color="auto" w:fill="FFFF00"/>
          </w:tcPr>
          <w:p>
            <w:pPr>
              <w:pStyle w:val="TableParagraph"/>
              <w:spacing w:line="198" w:lineRule="exact"/>
              <w:ind w:left="67"/>
              <w:rPr>
                <w:b/>
                <w:sz w:val="18"/>
              </w:rPr>
            </w:pPr>
            <w:r>
              <w:rPr>
                <w:b/>
                <w:sz w:val="18"/>
              </w:rPr>
              <w:t>Promedio nacional</w:t>
            </w:r>
          </w:p>
        </w:tc>
        <w:tc>
          <w:tcPr>
            <w:tcW w:w="1046" w:type="dxa"/>
            <w:tcBorders>
              <w:top w:val="single" w:sz="3" w:space="0" w:color="000000"/>
              <w:bottom w:val="single" w:sz="3" w:space="0" w:color="000000"/>
            </w:tcBorders>
            <w:shd w:val="clear" w:color="auto" w:fill="FFFF00"/>
          </w:tcPr>
          <w:p>
            <w:pPr/>
          </w:p>
        </w:tc>
        <w:tc>
          <w:tcPr>
            <w:tcW w:w="939" w:type="dxa"/>
            <w:tcBorders>
              <w:top w:val="single" w:sz="3" w:space="0" w:color="000000"/>
              <w:bottom w:val="single" w:sz="3" w:space="0" w:color="000000"/>
            </w:tcBorders>
            <w:shd w:val="clear" w:color="auto" w:fill="FFFF00"/>
          </w:tcPr>
          <w:p>
            <w:pPr/>
          </w:p>
        </w:tc>
        <w:tc>
          <w:tcPr>
            <w:tcW w:w="940" w:type="dxa"/>
            <w:tcBorders>
              <w:top w:val="single" w:sz="3" w:space="0" w:color="000000"/>
              <w:bottom w:val="single" w:sz="3" w:space="0" w:color="000000"/>
            </w:tcBorders>
            <w:shd w:val="clear" w:color="auto" w:fill="FFFF00"/>
          </w:tcPr>
          <w:p>
            <w:pPr>
              <w:pStyle w:val="TableParagraph"/>
              <w:spacing w:line="198" w:lineRule="exact"/>
              <w:ind w:left="292"/>
              <w:rPr>
                <w:b/>
                <w:sz w:val="18"/>
              </w:rPr>
            </w:pPr>
            <w:r>
              <w:rPr>
                <w:b/>
                <w:sz w:val="18"/>
              </w:rPr>
              <w:t>10.3</w:t>
            </w:r>
          </w:p>
        </w:tc>
        <w:tc>
          <w:tcPr>
            <w:tcW w:w="1005" w:type="dxa"/>
          </w:tcPr>
          <w:p>
            <w:pPr/>
          </w:p>
        </w:tc>
      </w:tr>
      <w:tr>
        <w:trPr>
          <w:trHeight w:val="218" w:hRule="exact"/>
        </w:trPr>
        <w:tc>
          <w:tcPr>
            <w:tcW w:w="2077" w:type="dxa"/>
            <w:tcBorders>
              <w:top w:val="single" w:sz="3" w:space="0" w:color="000000"/>
            </w:tcBorders>
          </w:tcPr>
          <w:p>
            <w:pPr>
              <w:pStyle w:val="TableParagraph"/>
              <w:spacing w:line="206" w:lineRule="exact"/>
              <w:ind w:left="67"/>
              <w:rPr>
                <w:sz w:val="18"/>
              </w:rPr>
            </w:pPr>
            <w:r>
              <w:rPr>
                <w:sz w:val="18"/>
              </w:rPr>
              <w:t>Jalisco</w:t>
            </w:r>
          </w:p>
        </w:tc>
        <w:tc>
          <w:tcPr>
            <w:tcW w:w="1046" w:type="dxa"/>
            <w:tcBorders>
              <w:top w:val="single" w:sz="3" w:space="0" w:color="000000"/>
            </w:tcBorders>
          </w:tcPr>
          <w:p>
            <w:pPr>
              <w:pStyle w:val="TableParagraph"/>
              <w:spacing w:line="206" w:lineRule="exact"/>
              <w:ind w:right="340"/>
              <w:jc w:val="right"/>
              <w:rPr>
                <w:sz w:val="18"/>
              </w:rPr>
            </w:pPr>
            <w:r>
              <w:rPr>
                <w:sz w:val="18"/>
              </w:rPr>
              <w:t>7.2</w:t>
            </w:r>
          </w:p>
        </w:tc>
        <w:tc>
          <w:tcPr>
            <w:tcW w:w="939" w:type="dxa"/>
            <w:tcBorders>
              <w:top w:val="single" w:sz="3" w:space="0" w:color="000000"/>
            </w:tcBorders>
          </w:tcPr>
          <w:p>
            <w:pPr>
              <w:pStyle w:val="TableParagraph"/>
              <w:spacing w:line="206" w:lineRule="exact"/>
              <w:ind w:left="273" w:right="273"/>
              <w:jc w:val="center"/>
              <w:rPr>
                <w:sz w:val="18"/>
              </w:rPr>
            </w:pPr>
            <w:r>
              <w:rPr>
                <w:sz w:val="18"/>
              </w:rPr>
              <w:t>8.8</w:t>
            </w:r>
          </w:p>
        </w:tc>
        <w:tc>
          <w:tcPr>
            <w:tcW w:w="940" w:type="dxa"/>
            <w:tcBorders>
              <w:top w:val="single" w:sz="3" w:space="0" w:color="000000"/>
            </w:tcBorders>
          </w:tcPr>
          <w:p>
            <w:pPr>
              <w:pStyle w:val="TableParagraph"/>
              <w:spacing w:line="206" w:lineRule="exact"/>
              <w:ind w:left="292"/>
              <w:rPr>
                <w:sz w:val="18"/>
              </w:rPr>
            </w:pPr>
            <w:r>
              <w:rPr>
                <w:sz w:val="18"/>
              </w:rPr>
              <w:t>10.3</w:t>
            </w:r>
          </w:p>
        </w:tc>
        <w:tc>
          <w:tcPr>
            <w:tcW w:w="1005" w:type="dxa"/>
          </w:tcPr>
          <w:p>
            <w:pPr>
              <w:pStyle w:val="TableParagraph"/>
              <w:spacing w:before="3"/>
              <w:ind w:left="381" w:right="383"/>
              <w:jc w:val="center"/>
              <w:rPr>
                <w:sz w:val="18"/>
              </w:rPr>
            </w:pPr>
            <w:r>
              <w:rPr>
                <w:sz w:val="18"/>
              </w:rPr>
              <w:t>25</w:t>
            </w:r>
          </w:p>
        </w:tc>
      </w:tr>
      <w:tr>
        <w:trPr>
          <w:trHeight w:val="206" w:hRule="exact"/>
        </w:trPr>
        <w:tc>
          <w:tcPr>
            <w:tcW w:w="2077" w:type="dxa"/>
          </w:tcPr>
          <w:p>
            <w:pPr>
              <w:pStyle w:val="TableParagraph"/>
              <w:spacing w:line="196" w:lineRule="exact"/>
              <w:ind w:left="67"/>
              <w:rPr>
                <w:sz w:val="18"/>
              </w:rPr>
            </w:pPr>
            <w:r>
              <w:rPr>
                <w:sz w:val="18"/>
              </w:rPr>
              <w:t>Colima</w:t>
            </w:r>
          </w:p>
        </w:tc>
        <w:tc>
          <w:tcPr>
            <w:tcW w:w="1046" w:type="dxa"/>
          </w:tcPr>
          <w:p>
            <w:pPr>
              <w:pStyle w:val="TableParagraph"/>
              <w:spacing w:line="196" w:lineRule="exact"/>
              <w:ind w:right="340"/>
              <w:jc w:val="right"/>
              <w:rPr>
                <w:sz w:val="18"/>
              </w:rPr>
            </w:pPr>
            <w:r>
              <w:rPr>
                <w:sz w:val="18"/>
              </w:rPr>
              <w:t>7.0</w:t>
            </w:r>
          </w:p>
        </w:tc>
        <w:tc>
          <w:tcPr>
            <w:tcW w:w="939" w:type="dxa"/>
          </w:tcPr>
          <w:p>
            <w:pPr>
              <w:pStyle w:val="TableParagraph"/>
              <w:spacing w:line="196" w:lineRule="exact"/>
              <w:ind w:left="273" w:right="273"/>
              <w:jc w:val="center"/>
              <w:rPr>
                <w:sz w:val="18"/>
              </w:rPr>
            </w:pPr>
            <w:r>
              <w:rPr>
                <w:sz w:val="18"/>
              </w:rPr>
              <w:t>3.1</w:t>
            </w:r>
          </w:p>
        </w:tc>
        <w:tc>
          <w:tcPr>
            <w:tcW w:w="940" w:type="dxa"/>
          </w:tcPr>
          <w:p>
            <w:pPr>
              <w:pStyle w:val="TableParagraph"/>
              <w:spacing w:line="196" w:lineRule="exact"/>
              <w:ind w:left="292"/>
              <w:rPr>
                <w:sz w:val="18"/>
              </w:rPr>
            </w:pPr>
            <w:r>
              <w:rPr>
                <w:sz w:val="18"/>
              </w:rPr>
              <w:t>10.4</w:t>
            </w:r>
          </w:p>
        </w:tc>
        <w:tc>
          <w:tcPr>
            <w:tcW w:w="1005" w:type="dxa"/>
          </w:tcPr>
          <w:p>
            <w:pPr>
              <w:pStyle w:val="TableParagraph"/>
              <w:spacing w:line="196" w:lineRule="exact"/>
              <w:ind w:left="381" w:right="383"/>
              <w:jc w:val="center"/>
              <w:rPr>
                <w:sz w:val="18"/>
              </w:rPr>
            </w:pPr>
            <w:r>
              <w:rPr>
                <w:sz w:val="18"/>
              </w:rPr>
              <w:t>26</w:t>
            </w:r>
          </w:p>
        </w:tc>
      </w:tr>
      <w:tr>
        <w:trPr>
          <w:trHeight w:val="208" w:hRule="exact"/>
        </w:trPr>
        <w:tc>
          <w:tcPr>
            <w:tcW w:w="2077" w:type="dxa"/>
          </w:tcPr>
          <w:p>
            <w:pPr>
              <w:pStyle w:val="TableParagraph"/>
              <w:spacing w:line="198" w:lineRule="exact"/>
              <w:ind w:left="67"/>
              <w:rPr>
                <w:sz w:val="18"/>
              </w:rPr>
            </w:pPr>
            <w:r>
              <w:rPr>
                <w:sz w:val="18"/>
              </w:rPr>
              <w:t>Tabasco</w:t>
            </w:r>
          </w:p>
        </w:tc>
        <w:tc>
          <w:tcPr>
            <w:tcW w:w="1046" w:type="dxa"/>
          </w:tcPr>
          <w:p>
            <w:pPr>
              <w:pStyle w:val="TableParagraph"/>
              <w:spacing w:line="198" w:lineRule="exact"/>
              <w:ind w:right="292"/>
              <w:jc w:val="right"/>
              <w:rPr>
                <w:sz w:val="18"/>
              </w:rPr>
            </w:pPr>
            <w:r>
              <w:rPr>
                <w:sz w:val="18"/>
              </w:rPr>
              <w:t>13.6</w:t>
            </w:r>
          </w:p>
        </w:tc>
        <w:tc>
          <w:tcPr>
            <w:tcW w:w="939" w:type="dxa"/>
          </w:tcPr>
          <w:p>
            <w:pPr>
              <w:pStyle w:val="TableParagraph"/>
              <w:spacing w:line="198" w:lineRule="exact"/>
              <w:ind w:left="273" w:right="273"/>
              <w:jc w:val="center"/>
              <w:rPr>
                <w:sz w:val="18"/>
              </w:rPr>
            </w:pPr>
            <w:r>
              <w:rPr>
                <w:sz w:val="18"/>
              </w:rPr>
              <w:t>9.7</w:t>
            </w:r>
          </w:p>
        </w:tc>
        <w:tc>
          <w:tcPr>
            <w:tcW w:w="940" w:type="dxa"/>
          </w:tcPr>
          <w:p>
            <w:pPr>
              <w:pStyle w:val="TableParagraph"/>
              <w:spacing w:line="198" w:lineRule="exact"/>
              <w:ind w:left="292"/>
              <w:rPr>
                <w:sz w:val="18"/>
              </w:rPr>
            </w:pPr>
            <w:r>
              <w:rPr>
                <w:sz w:val="18"/>
              </w:rPr>
              <w:t>10.8</w:t>
            </w:r>
          </w:p>
        </w:tc>
        <w:tc>
          <w:tcPr>
            <w:tcW w:w="1005" w:type="dxa"/>
          </w:tcPr>
          <w:p>
            <w:pPr>
              <w:pStyle w:val="TableParagraph"/>
              <w:spacing w:line="198" w:lineRule="exact"/>
              <w:ind w:left="381" w:right="383"/>
              <w:jc w:val="center"/>
              <w:rPr>
                <w:sz w:val="18"/>
              </w:rPr>
            </w:pPr>
            <w:r>
              <w:rPr>
                <w:sz w:val="18"/>
              </w:rPr>
              <w:t>27</w:t>
            </w:r>
          </w:p>
        </w:tc>
      </w:tr>
      <w:tr>
        <w:trPr>
          <w:trHeight w:val="208" w:hRule="exact"/>
        </w:trPr>
        <w:tc>
          <w:tcPr>
            <w:tcW w:w="2077" w:type="dxa"/>
          </w:tcPr>
          <w:p>
            <w:pPr>
              <w:pStyle w:val="TableParagraph"/>
              <w:spacing w:line="198" w:lineRule="exact"/>
              <w:ind w:left="67"/>
              <w:rPr>
                <w:sz w:val="18"/>
              </w:rPr>
            </w:pPr>
            <w:r>
              <w:rPr>
                <w:sz w:val="18"/>
              </w:rPr>
              <w:t>Hidalgo</w:t>
            </w:r>
          </w:p>
        </w:tc>
        <w:tc>
          <w:tcPr>
            <w:tcW w:w="1046" w:type="dxa"/>
          </w:tcPr>
          <w:p>
            <w:pPr>
              <w:pStyle w:val="TableParagraph"/>
              <w:spacing w:line="198" w:lineRule="exact"/>
              <w:ind w:right="292"/>
              <w:jc w:val="right"/>
              <w:rPr>
                <w:sz w:val="18"/>
              </w:rPr>
            </w:pPr>
            <w:r>
              <w:rPr>
                <w:sz w:val="18"/>
              </w:rPr>
              <w:t>11.4</w:t>
            </w:r>
          </w:p>
        </w:tc>
        <w:tc>
          <w:tcPr>
            <w:tcW w:w="939" w:type="dxa"/>
          </w:tcPr>
          <w:p>
            <w:pPr>
              <w:pStyle w:val="TableParagraph"/>
              <w:spacing w:line="198" w:lineRule="exact"/>
              <w:ind w:left="273" w:right="273"/>
              <w:jc w:val="center"/>
              <w:rPr>
                <w:sz w:val="18"/>
              </w:rPr>
            </w:pPr>
            <w:r>
              <w:rPr>
                <w:sz w:val="18"/>
              </w:rPr>
              <w:t>7.1</w:t>
            </w:r>
          </w:p>
        </w:tc>
        <w:tc>
          <w:tcPr>
            <w:tcW w:w="940" w:type="dxa"/>
          </w:tcPr>
          <w:p>
            <w:pPr>
              <w:pStyle w:val="TableParagraph"/>
              <w:spacing w:line="198" w:lineRule="exact"/>
              <w:ind w:left="292"/>
              <w:rPr>
                <w:sz w:val="18"/>
              </w:rPr>
            </w:pPr>
            <w:r>
              <w:rPr>
                <w:sz w:val="18"/>
              </w:rPr>
              <w:t>11.6</w:t>
            </w:r>
          </w:p>
        </w:tc>
        <w:tc>
          <w:tcPr>
            <w:tcW w:w="1005" w:type="dxa"/>
          </w:tcPr>
          <w:p>
            <w:pPr>
              <w:pStyle w:val="TableParagraph"/>
              <w:spacing w:line="198" w:lineRule="exact"/>
              <w:ind w:left="381" w:right="383"/>
              <w:jc w:val="center"/>
              <w:rPr>
                <w:sz w:val="18"/>
              </w:rPr>
            </w:pPr>
            <w:r>
              <w:rPr>
                <w:sz w:val="18"/>
              </w:rPr>
              <w:t>28</w:t>
            </w:r>
          </w:p>
        </w:tc>
      </w:tr>
      <w:tr>
        <w:trPr>
          <w:trHeight w:val="206" w:hRule="exact"/>
        </w:trPr>
        <w:tc>
          <w:tcPr>
            <w:tcW w:w="2077" w:type="dxa"/>
          </w:tcPr>
          <w:p>
            <w:pPr>
              <w:pStyle w:val="TableParagraph"/>
              <w:spacing w:line="198" w:lineRule="exact"/>
              <w:ind w:left="67"/>
              <w:rPr>
                <w:sz w:val="18"/>
              </w:rPr>
            </w:pPr>
            <w:r>
              <w:rPr>
                <w:sz w:val="18"/>
              </w:rPr>
              <w:t>Oaxaca</w:t>
            </w:r>
          </w:p>
        </w:tc>
        <w:tc>
          <w:tcPr>
            <w:tcW w:w="1046" w:type="dxa"/>
          </w:tcPr>
          <w:p>
            <w:pPr>
              <w:pStyle w:val="TableParagraph"/>
              <w:spacing w:line="198" w:lineRule="exact"/>
              <w:ind w:right="340"/>
              <w:jc w:val="right"/>
              <w:rPr>
                <w:sz w:val="18"/>
              </w:rPr>
            </w:pPr>
            <w:r>
              <w:rPr>
                <w:sz w:val="18"/>
              </w:rPr>
              <w:t>8.1</w:t>
            </w:r>
          </w:p>
        </w:tc>
        <w:tc>
          <w:tcPr>
            <w:tcW w:w="939" w:type="dxa"/>
          </w:tcPr>
          <w:p>
            <w:pPr>
              <w:pStyle w:val="TableParagraph"/>
              <w:spacing w:line="198" w:lineRule="exact"/>
              <w:ind w:left="273" w:right="273"/>
              <w:jc w:val="center"/>
              <w:rPr>
                <w:sz w:val="18"/>
              </w:rPr>
            </w:pPr>
            <w:r>
              <w:rPr>
                <w:sz w:val="18"/>
              </w:rPr>
              <w:t>6.4</w:t>
            </w:r>
          </w:p>
        </w:tc>
        <w:tc>
          <w:tcPr>
            <w:tcW w:w="940" w:type="dxa"/>
          </w:tcPr>
          <w:p>
            <w:pPr>
              <w:pStyle w:val="TableParagraph"/>
              <w:spacing w:line="198" w:lineRule="exact"/>
              <w:ind w:left="292"/>
              <w:rPr>
                <w:sz w:val="18"/>
              </w:rPr>
            </w:pPr>
            <w:r>
              <w:rPr>
                <w:sz w:val="18"/>
              </w:rPr>
              <w:t>13.4</w:t>
            </w:r>
          </w:p>
        </w:tc>
        <w:tc>
          <w:tcPr>
            <w:tcW w:w="1005" w:type="dxa"/>
          </w:tcPr>
          <w:p>
            <w:pPr>
              <w:pStyle w:val="TableParagraph"/>
              <w:spacing w:line="198" w:lineRule="exact"/>
              <w:ind w:left="381" w:right="383"/>
              <w:jc w:val="center"/>
              <w:rPr>
                <w:sz w:val="18"/>
              </w:rPr>
            </w:pPr>
            <w:r>
              <w:rPr>
                <w:sz w:val="18"/>
              </w:rPr>
              <w:t>29</w:t>
            </w:r>
          </w:p>
        </w:tc>
      </w:tr>
      <w:tr>
        <w:trPr>
          <w:trHeight w:val="206" w:hRule="exact"/>
        </w:trPr>
        <w:tc>
          <w:tcPr>
            <w:tcW w:w="2077" w:type="dxa"/>
          </w:tcPr>
          <w:p>
            <w:pPr>
              <w:pStyle w:val="TableParagraph"/>
              <w:spacing w:line="196" w:lineRule="exact"/>
              <w:ind w:left="67"/>
              <w:rPr>
                <w:sz w:val="18"/>
              </w:rPr>
            </w:pPr>
            <w:r>
              <w:rPr>
                <w:sz w:val="18"/>
              </w:rPr>
              <w:t>Guerrero</w:t>
            </w:r>
          </w:p>
        </w:tc>
        <w:tc>
          <w:tcPr>
            <w:tcW w:w="1046" w:type="dxa"/>
          </w:tcPr>
          <w:p>
            <w:pPr>
              <w:pStyle w:val="TableParagraph"/>
              <w:spacing w:line="196" w:lineRule="exact"/>
              <w:ind w:right="292"/>
              <w:jc w:val="right"/>
              <w:rPr>
                <w:sz w:val="18"/>
              </w:rPr>
            </w:pPr>
            <w:r>
              <w:rPr>
                <w:sz w:val="18"/>
              </w:rPr>
              <w:t>11.1</w:t>
            </w:r>
          </w:p>
        </w:tc>
        <w:tc>
          <w:tcPr>
            <w:tcW w:w="939" w:type="dxa"/>
          </w:tcPr>
          <w:p>
            <w:pPr>
              <w:pStyle w:val="TableParagraph"/>
              <w:spacing w:line="196" w:lineRule="exact"/>
              <w:ind w:left="273" w:right="273"/>
              <w:jc w:val="center"/>
              <w:rPr>
                <w:sz w:val="18"/>
              </w:rPr>
            </w:pPr>
            <w:r>
              <w:rPr>
                <w:sz w:val="18"/>
              </w:rPr>
              <w:t>8.0</w:t>
            </w:r>
          </w:p>
        </w:tc>
        <w:tc>
          <w:tcPr>
            <w:tcW w:w="940" w:type="dxa"/>
          </w:tcPr>
          <w:p>
            <w:pPr>
              <w:pStyle w:val="TableParagraph"/>
              <w:spacing w:line="196" w:lineRule="exact"/>
              <w:ind w:left="292"/>
              <w:rPr>
                <w:sz w:val="18"/>
              </w:rPr>
            </w:pPr>
            <w:r>
              <w:rPr>
                <w:sz w:val="18"/>
              </w:rPr>
              <w:t>16.0</w:t>
            </w:r>
          </w:p>
        </w:tc>
        <w:tc>
          <w:tcPr>
            <w:tcW w:w="1005" w:type="dxa"/>
          </w:tcPr>
          <w:p>
            <w:pPr>
              <w:pStyle w:val="TableParagraph"/>
              <w:spacing w:line="196" w:lineRule="exact"/>
              <w:ind w:left="381" w:right="383"/>
              <w:jc w:val="center"/>
              <w:rPr>
                <w:sz w:val="18"/>
              </w:rPr>
            </w:pPr>
            <w:r>
              <w:rPr>
                <w:sz w:val="18"/>
              </w:rPr>
              <w:t>30</w:t>
            </w:r>
          </w:p>
        </w:tc>
      </w:tr>
      <w:tr>
        <w:trPr>
          <w:trHeight w:val="208" w:hRule="exact"/>
        </w:trPr>
        <w:tc>
          <w:tcPr>
            <w:tcW w:w="2077" w:type="dxa"/>
          </w:tcPr>
          <w:p>
            <w:pPr>
              <w:pStyle w:val="TableParagraph"/>
              <w:spacing w:line="198" w:lineRule="exact"/>
              <w:ind w:left="67"/>
              <w:rPr>
                <w:sz w:val="18"/>
              </w:rPr>
            </w:pPr>
            <w:r>
              <w:rPr>
                <w:sz w:val="18"/>
              </w:rPr>
              <w:t>Estado de México</w:t>
            </w:r>
          </w:p>
        </w:tc>
        <w:tc>
          <w:tcPr>
            <w:tcW w:w="1046" w:type="dxa"/>
          </w:tcPr>
          <w:p>
            <w:pPr>
              <w:pStyle w:val="TableParagraph"/>
              <w:spacing w:line="198" w:lineRule="exact"/>
              <w:ind w:right="292"/>
              <w:jc w:val="right"/>
              <w:rPr>
                <w:sz w:val="18"/>
              </w:rPr>
            </w:pPr>
            <w:r>
              <w:rPr>
                <w:sz w:val="18"/>
              </w:rPr>
              <w:t>13.3</w:t>
            </w:r>
          </w:p>
        </w:tc>
        <w:tc>
          <w:tcPr>
            <w:tcW w:w="939" w:type="dxa"/>
          </w:tcPr>
          <w:p>
            <w:pPr>
              <w:pStyle w:val="TableParagraph"/>
              <w:spacing w:line="198" w:lineRule="exact"/>
              <w:ind w:left="274" w:right="273"/>
              <w:jc w:val="center"/>
              <w:rPr>
                <w:sz w:val="18"/>
              </w:rPr>
            </w:pPr>
            <w:r>
              <w:rPr>
                <w:sz w:val="18"/>
              </w:rPr>
              <w:t>18.8</w:t>
            </w:r>
          </w:p>
        </w:tc>
        <w:tc>
          <w:tcPr>
            <w:tcW w:w="940" w:type="dxa"/>
          </w:tcPr>
          <w:p>
            <w:pPr>
              <w:pStyle w:val="TableParagraph"/>
              <w:spacing w:line="198" w:lineRule="exact"/>
              <w:ind w:left="292"/>
              <w:rPr>
                <w:sz w:val="18"/>
              </w:rPr>
            </w:pPr>
            <w:r>
              <w:rPr>
                <w:sz w:val="18"/>
              </w:rPr>
              <w:t>16.4</w:t>
            </w:r>
          </w:p>
        </w:tc>
        <w:tc>
          <w:tcPr>
            <w:tcW w:w="1005" w:type="dxa"/>
          </w:tcPr>
          <w:p>
            <w:pPr>
              <w:pStyle w:val="TableParagraph"/>
              <w:spacing w:line="198" w:lineRule="exact"/>
              <w:ind w:left="381" w:right="383"/>
              <w:jc w:val="center"/>
              <w:rPr>
                <w:sz w:val="18"/>
              </w:rPr>
            </w:pPr>
            <w:r>
              <w:rPr>
                <w:sz w:val="18"/>
              </w:rPr>
              <w:t>31</w:t>
            </w:r>
          </w:p>
        </w:tc>
      </w:tr>
      <w:tr>
        <w:trPr>
          <w:trHeight w:val="208" w:hRule="exact"/>
        </w:trPr>
        <w:tc>
          <w:tcPr>
            <w:tcW w:w="2077" w:type="dxa"/>
            <w:tcBorders>
              <w:bottom w:val="single" w:sz="3" w:space="0" w:color="000000"/>
            </w:tcBorders>
          </w:tcPr>
          <w:p>
            <w:pPr>
              <w:pStyle w:val="TableParagraph"/>
              <w:spacing w:line="198" w:lineRule="exact"/>
              <w:ind w:left="67"/>
              <w:rPr>
                <w:sz w:val="18"/>
              </w:rPr>
            </w:pPr>
            <w:r>
              <w:rPr>
                <w:sz w:val="18"/>
              </w:rPr>
              <w:t>Distrito Federal</w:t>
            </w:r>
          </w:p>
        </w:tc>
        <w:tc>
          <w:tcPr>
            <w:tcW w:w="1046" w:type="dxa"/>
            <w:tcBorders>
              <w:bottom w:val="single" w:sz="3" w:space="0" w:color="000000"/>
            </w:tcBorders>
          </w:tcPr>
          <w:p>
            <w:pPr>
              <w:pStyle w:val="TableParagraph"/>
              <w:spacing w:line="198" w:lineRule="exact"/>
              <w:ind w:right="292"/>
              <w:jc w:val="right"/>
              <w:rPr>
                <w:sz w:val="18"/>
              </w:rPr>
            </w:pPr>
            <w:r>
              <w:rPr>
                <w:sz w:val="18"/>
              </w:rPr>
              <w:t>19.8</w:t>
            </w:r>
          </w:p>
        </w:tc>
        <w:tc>
          <w:tcPr>
            <w:tcW w:w="939" w:type="dxa"/>
            <w:tcBorders>
              <w:bottom w:val="single" w:sz="3" w:space="0" w:color="000000"/>
            </w:tcBorders>
          </w:tcPr>
          <w:p>
            <w:pPr>
              <w:pStyle w:val="TableParagraph"/>
              <w:spacing w:line="198" w:lineRule="exact"/>
              <w:ind w:left="274" w:right="273"/>
              <w:jc w:val="center"/>
              <w:rPr>
                <w:sz w:val="18"/>
              </w:rPr>
            </w:pPr>
            <w:r>
              <w:rPr>
                <w:sz w:val="18"/>
              </w:rPr>
              <w:t>12.7</w:t>
            </w:r>
          </w:p>
        </w:tc>
        <w:tc>
          <w:tcPr>
            <w:tcW w:w="940" w:type="dxa"/>
            <w:tcBorders>
              <w:bottom w:val="single" w:sz="3" w:space="0" w:color="000000"/>
            </w:tcBorders>
          </w:tcPr>
          <w:p>
            <w:pPr>
              <w:pStyle w:val="TableParagraph"/>
              <w:spacing w:line="198" w:lineRule="exact"/>
              <w:ind w:left="292"/>
              <w:rPr>
                <w:sz w:val="18"/>
              </w:rPr>
            </w:pPr>
            <w:r>
              <w:rPr>
                <w:sz w:val="18"/>
              </w:rPr>
              <w:t>17.9</w:t>
            </w:r>
          </w:p>
        </w:tc>
        <w:tc>
          <w:tcPr>
            <w:tcW w:w="1005" w:type="dxa"/>
            <w:tcBorders>
              <w:bottom w:val="single" w:sz="3" w:space="0" w:color="000000"/>
            </w:tcBorders>
          </w:tcPr>
          <w:p>
            <w:pPr>
              <w:pStyle w:val="TableParagraph"/>
              <w:spacing w:line="198" w:lineRule="exact"/>
              <w:ind w:left="381" w:right="383"/>
              <w:jc w:val="center"/>
              <w:rPr>
                <w:sz w:val="18"/>
              </w:rPr>
            </w:pPr>
            <w:r>
              <w:rPr>
                <w:sz w:val="18"/>
              </w:rPr>
              <w:t>32</w:t>
            </w:r>
          </w:p>
        </w:tc>
      </w:tr>
    </w:tbl>
    <w:p>
      <w:pPr>
        <w:pStyle w:val="BodyText"/>
        <w:spacing w:before="2"/>
        <w:rPr>
          <w:sz w:val="10"/>
        </w:rPr>
      </w:pPr>
    </w:p>
    <w:p>
      <w:pPr>
        <w:spacing w:line="137" w:lineRule="exact" w:before="85"/>
        <w:ind w:left="809" w:right="385" w:firstLine="0"/>
        <w:jc w:val="left"/>
        <w:rPr>
          <w:sz w:val="12"/>
        </w:rPr>
      </w:pPr>
      <w:r>
        <w:rPr>
          <w:sz w:val="12"/>
        </w:rPr>
        <w:t>FUENTE:      Transparencia Mexicana, Índice Nacional de Corrupción y Buen Gobierno 2010.</w:t>
      </w:r>
    </w:p>
    <w:p>
      <w:pPr>
        <w:spacing w:line="240" w:lineRule="auto" w:before="0"/>
        <w:ind w:left="1548" w:right="385" w:hanging="32"/>
        <w:jc w:val="left"/>
        <w:rPr>
          <w:sz w:val="12"/>
        </w:rPr>
      </w:pPr>
      <w:r>
        <w:rPr>
          <w:sz w:val="12"/>
        </w:rPr>
        <w:t>Disponible en: </w:t>
      </w:r>
      <w:hyperlink r:id="rId215">
        <w:r>
          <w:rPr>
            <w:sz w:val="12"/>
          </w:rPr>
          <w:t>http://www.transparenciamexicana.org.mx/documentos/INCBG/2010/2_INCBG_2010_Ranking_por_Entidad_Federativa.pdf</w:t>
        </w:r>
      </w:hyperlink>
      <w:r>
        <w:rPr>
          <w:sz w:val="12"/>
        </w:rPr>
        <w:t> [Fecha de consulta: 7 de septiembre, 2015]</w:t>
      </w:r>
    </w:p>
    <w:p>
      <w:pPr>
        <w:spacing w:before="2"/>
        <w:ind w:left="1517" w:right="385" w:firstLine="0"/>
        <w:jc w:val="left"/>
        <w:rPr>
          <w:sz w:val="12"/>
        </w:rPr>
      </w:pPr>
      <w:r>
        <w:rPr>
          <w:sz w:val="12"/>
        </w:rPr>
        <w:t>Nota: Promedio calculado.</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9"/>
        <w:rPr>
          <w:sz w:val="11"/>
        </w:rPr>
      </w:pPr>
    </w:p>
    <w:p>
      <w:pPr>
        <w:spacing w:before="0"/>
        <w:ind w:left="100" w:right="0" w:firstLine="0"/>
        <w:jc w:val="both"/>
        <w:rPr>
          <w:i/>
          <w:sz w:val="24"/>
        </w:rPr>
      </w:pPr>
      <w:r>
        <w:rPr>
          <w:i/>
          <w:sz w:val="24"/>
        </w:rPr>
        <w:t>Transparencia (y Rendición de Cuentas)</w:t>
      </w:r>
    </w:p>
    <w:p>
      <w:pPr>
        <w:pStyle w:val="ListParagraph"/>
        <w:numPr>
          <w:ilvl w:val="0"/>
          <w:numId w:val="90"/>
        </w:numPr>
        <w:tabs>
          <w:tab w:pos="381" w:val="left" w:leader="none"/>
        </w:tabs>
        <w:spacing w:line="240" w:lineRule="auto" w:before="140" w:after="0"/>
        <w:ind w:left="100" w:right="0" w:firstLine="0"/>
        <w:jc w:val="both"/>
        <w:rPr>
          <w:i/>
          <w:sz w:val="24"/>
        </w:rPr>
      </w:pPr>
      <w:r>
        <w:rPr>
          <w:i/>
          <w:sz w:val="24"/>
        </w:rPr>
        <w:t>Índice Latinoamericano de Transparencia Presupuestaria,</w:t>
      </w:r>
      <w:r>
        <w:rPr>
          <w:i/>
          <w:spacing w:val="-33"/>
          <w:sz w:val="24"/>
        </w:rPr>
        <w:t> </w:t>
      </w:r>
      <w:r>
        <w:rPr>
          <w:i/>
          <w:sz w:val="24"/>
        </w:rPr>
        <w:t>2011</w:t>
      </w:r>
    </w:p>
    <w:p>
      <w:pPr>
        <w:pStyle w:val="BodyText"/>
        <w:rPr>
          <w:i/>
        </w:rPr>
      </w:pPr>
    </w:p>
    <w:p>
      <w:pPr>
        <w:pStyle w:val="BodyText"/>
        <w:rPr>
          <w:i/>
        </w:rPr>
      </w:pPr>
    </w:p>
    <w:p>
      <w:pPr>
        <w:pStyle w:val="BodyText"/>
        <w:spacing w:line="360" w:lineRule="auto"/>
        <w:ind w:left="100" w:right="101"/>
        <w:jc w:val="both"/>
      </w:pPr>
      <w:r>
        <w:rPr/>
        <w:t>La</w:t>
      </w:r>
      <w:r>
        <w:rPr>
          <w:spacing w:val="-9"/>
        </w:rPr>
        <w:t> </w:t>
      </w:r>
      <w:r>
        <w:rPr/>
        <w:t>Institución</w:t>
      </w:r>
      <w:r>
        <w:rPr>
          <w:spacing w:val="-8"/>
        </w:rPr>
        <w:t> </w:t>
      </w:r>
      <w:r>
        <w:rPr>
          <w:i/>
        </w:rPr>
        <w:t>Fundar</w:t>
      </w:r>
      <w:r>
        <w:rPr/>
        <w:t>,</w:t>
      </w:r>
      <w:r>
        <w:rPr>
          <w:spacing w:val="-7"/>
        </w:rPr>
        <w:t> </w:t>
      </w:r>
      <w:r>
        <w:rPr/>
        <w:t>Centro</w:t>
      </w:r>
      <w:r>
        <w:rPr>
          <w:spacing w:val="-9"/>
        </w:rPr>
        <w:t> </w:t>
      </w:r>
      <w:r>
        <w:rPr/>
        <w:t>de</w:t>
      </w:r>
      <w:r>
        <w:rPr>
          <w:spacing w:val="-9"/>
        </w:rPr>
        <w:t> </w:t>
      </w:r>
      <w:r>
        <w:rPr/>
        <w:t>Análisis</w:t>
      </w:r>
      <w:r>
        <w:rPr>
          <w:spacing w:val="-7"/>
        </w:rPr>
        <w:t> </w:t>
      </w:r>
      <w:r>
        <w:rPr/>
        <w:t>e</w:t>
      </w:r>
      <w:r>
        <w:rPr>
          <w:spacing w:val="-9"/>
        </w:rPr>
        <w:t> </w:t>
      </w:r>
      <w:r>
        <w:rPr/>
        <w:t>Investigación,</w:t>
      </w:r>
      <w:r>
        <w:rPr>
          <w:spacing w:val="-7"/>
        </w:rPr>
        <w:t> </w:t>
      </w:r>
      <w:r>
        <w:rPr/>
        <w:t>A.C.,</w:t>
      </w:r>
      <w:r>
        <w:rPr>
          <w:spacing w:val="-7"/>
        </w:rPr>
        <w:t> </w:t>
      </w:r>
      <w:r>
        <w:rPr/>
        <w:t>publicó</w:t>
      </w:r>
      <w:r>
        <w:rPr>
          <w:spacing w:val="-9"/>
        </w:rPr>
        <w:t> </w:t>
      </w:r>
      <w:r>
        <w:rPr/>
        <w:t>en</w:t>
      </w:r>
      <w:r>
        <w:rPr>
          <w:spacing w:val="-9"/>
        </w:rPr>
        <w:t> </w:t>
      </w:r>
      <w:r>
        <w:rPr/>
        <w:t>marzo de 2012 el Índice Latinoamericano de Transparencia Presupuestaria (ILTP) 2011, documento de periodicidad bienal que compila las percepciones de expertos</w:t>
      </w:r>
      <w:r>
        <w:rPr>
          <w:spacing w:val="-9"/>
        </w:rPr>
        <w:t> </w:t>
      </w:r>
      <w:r>
        <w:rPr/>
        <w:t>en</w:t>
      </w:r>
      <w:r>
        <w:rPr>
          <w:spacing w:val="-7"/>
        </w:rPr>
        <w:t> </w:t>
      </w:r>
      <w:r>
        <w:rPr/>
        <w:t>materia</w:t>
      </w:r>
      <w:r>
        <w:rPr>
          <w:spacing w:val="-11"/>
        </w:rPr>
        <w:t> </w:t>
      </w:r>
      <w:r>
        <w:rPr/>
        <w:t>presupuestaria</w:t>
      </w:r>
      <w:r>
        <w:rPr>
          <w:spacing w:val="-11"/>
        </w:rPr>
        <w:t> </w:t>
      </w:r>
      <w:r>
        <w:rPr/>
        <w:t>(usuarios</w:t>
      </w:r>
      <w:r>
        <w:rPr>
          <w:spacing w:val="-5"/>
        </w:rPr>
        <w:t> </w:t>
      </w:r>
      <w:r>
        <w:rPr/>
        <w:t>y</w:t>
      </w:r>
      <w:r>
        <w:rPr>
          <w:spacing w:val="-12"/>
        </w:rPr>
        <w:t> </w:t>
      </w:r>
      <w:r>
        <w:rPr/>
        <w:t>especialistas).</w:t>
      </w:r>
      <w:r>
        <w:rPr>
          <w:spacing w:val="-8"/>
        </w:rPr>
        <w:t> </w:t>
      </w:r>
      <w:r>
        <w:rPr/>
        <w:t>Fundar</w:t>
      </w:r>
      <w:r>
        <w:rPr>
          <w:spacing w:val="-9"/>
        </w:rPr>
        <w:t> </w:t>
      </w:r>
      <w:r>
        <w:rPr/>
        <w:t>consideró que el ILTP es una herramienta para identificar el cambio en las percepciones en los distintos momentos históricos y señala las materias pendientes, como la rendición de cuentas y la responsabilidad</w:t>
      </w:r>
      <w:r>
        <w:rPr>
          <w:spacing w:val="-28"/>
        </w:rPr>
        <w:t> </w:t>
      </w:r>
      <w:r>
        <w:rPr/>
        <w:t>pública.</w:t>
      </w:r>
    </w:p>
    <w:p>
      <w:pPr>
        <w:pStyle w:val="BodyText"/>
        <w:spacing w:line="360" w:lineRule="auto" w:before="2"/>
        <w:ind w:left="100" w:right="103" w:firstLine="427"/>
        <w:jc w:val="both"/>
      </w:pPr>
      <w:r>
        <w:rPr/>
        <w:t>Con el objetivo de establecer la mejor práctica presupuestaria y colaborar con la rendición de cuentas y la transparencia, el índice se orientó a medir el grado de transparencia presupuestaria, presentar el actual proceso presupuestario y emitir recomendaciones a los congresos y gobiernos para la promover la rendición de cuentas.</w:t>
      </w:r>
    </w:p>
    <w:p>
      <w:pPr>
        <w:pStyle w:val="BodyText"/>
        <w:spacing w:line="360" w:lineRule="auto" w:before="6"/>
        <w:ind w:left="100" w:right="101" w:firstLine="427"/>
        <w:jc w:val="both"/>
      </w:pPr>
      <w:r>
        <w:rPr/>
        <w:t>La metodología utilizada está diseñada a partir de tres componentes: la encuesta de percepciones de los expertos, un estudio formal/práctico y la guía de vinculación, con ellos Fundar diseñó 16 variables. El índice se presentó en una escala de 1 a 100donde 1 indica que el País es nada transparente y 100 totalmente transparente. Los resultados para México indicaron que en</w:t>
      </w:r>
      <w:r>
        <w:rPr>
          <w:spacing w:val="-40"/>
        </w:rPr>
        <w:t> </w:t>
      </w:r>
      <w:r>
        <w:rPr/>
        <w:t>promedio es el menor en los 6 años de</w:t>
      </w:r>
      <w:r>
        <w:rPr>
          <w:spacing w:val="-19"/>
        </w:rPr>
        <w:t> </w:t>
      </w:r>
      <w:r>
        <w:rPr/>
        <w:t>estudio.</w:t>
      </w:r>
    </w:p>
    <w:p>
      <w:pPr>
        <w:spacing w:after="0" w:line="360" w:lineRule="auto"/>
        <w:jc w:val="both"/>
        <w:sectPr>
          <w:pgSz w:w="11910" w:h="16840"/>
          <w:pgMar w:header="0" w:footer="998" w:top="1420" w:bottom="1180" w:left="1600" w:right="1600"/>
        </w:sectPr>
      </w:pPr>
    </w:p>
    <w:p>
      <w:pPr>
        <w:spacing w:before="57"/>
        <w:ind w:left="700" w:right="0" w:firstLine="0"/>
        <w:jc w:val="left"/>
        <w:rPr>
          <w:sz w:val="20"/>
        </w:rPr>
      </w:pPr>
      <w:bookmarkStart w:name="_bookmark92" w:id="124"/>
      <w:bookmarkEnd w:id="124"/>
      <w:r>
        <w:rPr/>
      </w:r>
      <w:r>
        <w:rPr>
          <w:sz w:val="20"/>
        </w:rPr>
        <w:t>Cuadro 4. 9. Índice Latinoamericano de Transparencia Presupuestaria, 2001-2011</w:t>
      </w:r>
    </w:p>
    <w:p>
      <w:pPr>
        <w:pStyle w:val="BodyText"/>
        <w:spacing w:before="10"/>
        <w:rPr>
          <w:sz w:val="17"/>
        </w:rPr>
      </w:pPr>
    </w:p>
    <w:tbl>
      <w:tblPr>
        <w:tblW w:w="0" w:type="auto"/>
        <w:jc w:val="left"/>
        <w:tblInd w:w="43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301"/>
        <w:gridCol w:w="920"/>
        <w:gridCol w:w="920"/>
        <w:gridCol w:w="920"/>
        <w:gridCol w:w="921"/>
        <w:gridCol w:w="920"/>
        <w:gridCol w:w="920"/>
      </w:tblGrid>
      <w:tr>
        <w:trPr>
          <w:trHeight w:val="264" w:hRule="exact"/>
        </w:trPr>
        <w:tc>
          <w:tcPr>
            <w:tcW w:w="2301" w:type="dxa"/>
          </w:tcPr>
          <w:p>
            <w:pPr>
              <w:pStyle w:val="TableParagraph"/>
              <w:spacing w:before="30"/>
              <w:ind w:left="964" w:right="959"/>
              <w:jc w:val="center"/>
              <w:rPr>
                <w:b/>
                <w:sz w:val="16"/>
              </w:rPr>
            </w:pPr>
            <w:r>
              <w:rPr>
                <w:b/>
                <w:sz w:val="16"/>
              </w:rPr>
              <w:t>País</w:t>
            </w:r>
          </w:p>
        </w:tc>
        <w:tc>
          <w:tcPr>
            <w:tcW w:w="920" w:type="dxa"/>
          </w:tcPr>
          <w:p>
            <w:pPr>
              <w:pStyle w:val="TableParagraph"/>
              <w:spacing w:before="66"/>
              <w:ind w:left="258" w:right="258"/>
              <w:jc w:val="center"/>
              <w:rPr>
                <w:b/>
                <w:sz w:val="16"/>
              </w:rPr>
            </w:pPr>
            <w:r>
              <w:rPr>
                <w:b/>
                <w:sz w:val="16"/>
              </w:rPr>
              <w:t>2001</w:t>
            </w:r>
          </w:p>
        </w:tc>
        <w:tc>
          <w:tcPr>
            <w:tcW w:w="920" w:type="dxa"/>
          </w:tcPr>
          <w:p>
            <w:pPr>
              <w:pStyle w:val="TableParagraph"/>
              <w:spacing w:before="66"/>
              <w:ind w:left="258" w:right="258"/>
              <w:jc w:val="center"/>
              <w:rPr>
                <w:b/>
                <w:sz w:val="16"/>
              </w:rPr>
            </w:pPr>
            <w:r>
              <w:rPr>
                <w:b/>
                <w:sz w:val="16"/>
              </w:rPr>
              <w:t>2003</w:t>
            </w:r>
          </w:p>
        </w:tc>
        <w:tc>
          <w:tcPr>
            <w:tcW w:w="920" w:type="dxa"/>
          </w:tcPr>
          <w:p>
            <w:pPr>
              <w:pStyle w:val="TableParagraph"/>
              <w:spacing w:before="66"/>
              <w:ind w:left="258" w:right="258"/>
              <w:jc w:val="center"/>
              <w:rPr>
                <w:b/>
                <w:sz w:val="16"/>
              </w:rPr>
            </w:pPr>
            <w:r>
              <w:rPr>
                <w:b/>
                <w:sz w:val="16"/>
              </w:rPr>
              <w:t>2005</w:t>
            </w:r>
          </w:p>
        </w:tc>
        <w:tc>
          <w:tcPr>
            <w:tcW w:w="921" w:type="dxa"/>
          </w:tcPr>
          <w:p>
            <w:pPr>
              <w:pStyle w:val="TableParagraph"/>
              <w:spacing w:before="66"/>
              <w:ind w:left="258" w:right="258"/>
              <w:jc w:val="center"/>
              <w:rPr>
                <w:b/>
                <w:sz w:val="16"/>
              </w:rPr>
            </w:pPr>
            <w:r>
              <w:rPr>
                <w:b/>
                <w:sz w:val="16"/>
              </w:rPr>
              <w:t>2007</w:t>
            </w:r>
          </w:p>
        </w:tc>
        <w:tc>
          <w:tcPr>
            <w:tcW w:w="920" w:type="dxa"/>
          </w:tcPr>
          <w:p>
            <w:pPr>
              <w:pStyle w:val="TableParagraph"/>
              <w:spacing w:before="66"/>
              <w:ind w:left="258" w:right="258"/>
              <w:jc w:val="center"/>
              <w:rPr>
                <w:b/>
                <w:sz w:val="16"/>
              </w:rPr>
            </w:pPr>
            <w:r>
              <w:rPr>
                <w:b/>
                <w:sz w:val="16"/>
              </w:rPr>
              <w:t>2009</w:t>
            </w:r>
          </w:p>
        </w:tc>
        <w:tc>
          <w:tcPr>
            <w:tcW w:w="920" w:type="dxa"/>
          </w:tcPr>
          <w:p>
            <w:pPr>
              <w:pStyle w:val="TableParagraph"/>
              <w:spacing w:before="66"/>
              <w:ind w:left="258" w:right="258"/>
              <w:jc w:val="center"/>
              <w:rPr>
                <w:b/>
                <w:sz w:val="16"/>
              </w:rPr>
            </w:pPr>
            <w:r>
              <w:rPr>
                <w:b/>
                <w:sz w:val="16"/>
              </w:rPr>
              <w:t>2011</w:t>
            </w:r>
          </w:p>
        </w:tc>
      </w:tr>
      <w:tr>
        <w:trPr>
          <w:trHeight w:val="192" w:hRule="exact"/>
        </w:trPr>
        <w:tc>
          <w:tcPr>
            <w:tcW w:w="2301" w:type="dxa"/>
          </w:tcPr>
          <w:p>
            <w:pPr>
              <w:pStyle w:val="TableParagraph"/>
              <w:spacing w:line="178" w:lineRule="exact"/>
              <w:ind w:left="67"/>
              <w:rPr>
                <w:sz w:val="16"/>
              </w:rPr>
            </w:pPr>
            <w:r>
              <w:rPr>
                <w:sz w:val="16"/>
              </w:rPr>
              <w:t>Costa Rica</w:t>
            </w:r>
          </w:p>
        </w:tc>
        <w:tc>
          <w:tcPr>
            <w:tcW w:w="920" w:type="dxa"/>
          </w:tcPr>
          <w:p>
            <w:pPr>
              <w:pStyle w:val="TableParagraph"/>
              <w:spacing w:line="178" w:lineRule="exact"/>
              <w:ind w:right="1"/>
              <w:jc w:val="center"/>
              <w:rPr>
                <w:sz w:val="16"/>
              </w:rPr>
            </w:pPr>
            <w:r>
              <w:rPr>
                <w:w w:val="99"/>
                <w:sz w:val="16"/>
              </w:rPr>
              <w:t>*</w:t>
            </w:r>
          </w:p>
        </w:tc>
        <w:tc>
          <w:tcPr>
            <w:tcW w:w="920" w:type="dxa"/>
          </w:tcPr>
          <w:p>
            <w:pPr>
              <w:pStyle w:val="TableParagraph"/>
              <w:spacing w:line="178" w:lineRule="exact"/>
              <w:ind w:left="258" w:right="258"/>
              <w:jc w:val="center"/>
              <w:rPr>
                <w:sz w:val="16"/>
              </w:rPr>
            </w:pPr>
            <w:r>
              <w:rPr>
                <w:sz w:val="16"/>
              </w:rPr>
              <w:t>49</w:t>
            </w:r>
          </w:p>
        </w:tc>
        <w:tc>
          <w:tcPr>
            <w:tcW w:w="920" w:type="dxa"/>
          </w:tcPr>
          <w:p>
            <w:pPr>
              <w:pStyle w:val="TableParagraph"/>
              <w:spacing w:line="178" w:lineRule="exact"/>
              <w:ind w:left="258" w:right="258"/>
              <w:jc w:val="center"/>
              <w:rPr>
                <w:sz w:val="16"/>
              </w:rPr>
            </w:pPr>
            <w:r>
              <w:rPr>
                <w:sz w:val="16"/>
              </w:rPr>
              <w:t>60</w:t>
            </w:r>
          </w:p>
        </w:tc>
        <w:tc>
          <w:tcPr>
            <w:tcW w:w="921" w:type="dxa"/>
          </w:tcPr>
          <w:p>
            <w:pPr>
              <w:pStyle w:val="TableParagraph"/>
              <w:spacing w:line="178" w:lineRule="exact"/>
              <w:ind w:left="258" w:right="258"/>
              <w:jc w:val="center"/>
              <w:rPr>
                <w:sz w:val="16"/>
              </w:rPr>
            </w:pPr>
            <w:r>
              <w:rPr>
                <w:sz w:val="16"/>
              </w:rPr>
              <w:t>67</w:t>
            </w:r>
          </w:p>
        </w:tc>
        <w:tc>
          <w:tcPr>
            <w:tcW w:w="920" w:type="dxa"/>
          </w:tcPr>
          <w:p>
            <w:pPr>
              <w:pStyle w:val="TableParagraph"/>
              <w:spacing w:line="178" w:lineRule="exact"/>
              <w:ind w:left="258" w:right="258"/>
              <w:jc w:val="center"/>
              <w:rPr>
                <w:sz w:val="16"/>
              </w:rPr>
            </w:pPr>
            <w:r>
              <w:rPr>
                <w:sz w:val="16"/>
              </w:rPr>
              <w:t>69</w:t>
            </w:r>
          </w:p>
        </w:tc>
        <w:tc>
          <w:tcPr>
            <w:tcW w:w="920" w:type="dxa"/>
          </w:tcPr>
          <w:p>
            <w:pPr>
              <w:pStyle w:val="TableParagraph"/>
              <w:spacing w:line="178" w:lineRule="exact"/>
              <w:ind w:left="258" w:right="258"/>
              <w:jc w:val="center"/>
              <w:rPr>
                <w:sz w:val="16"/>
              </w:rPr>
            </w:pPr>
            <w:r>
              <w:rPr>
                <w:sz w:val="16"/>
              </w:rPr>
              <w:t>59</w:t>
            </w:r>
          </w:p>
        </w:tc>
      </w:tr>
      <w:tr>
        <w:trPr>
          <w:trHeight w:val="196" w:hRule="exact"/>
        </w:trPr>
        <w:tc>
          <w:tcPr>
            <w:tcW w:w="2301" w:type="dxa"/>
          </w:tcPr>
          <w:p>
            <w:pPr>
              <w:pStyle w:val="TableParagraph"/>
              <w:spacing w:line="182" w:lineRule="exact"/>
              <w:ind w:left="67"/>
              <w:rPr>
                <w:sz w:val="16"/>
              </w:rPr>
            </w:pPr>
            <w:r>
              <w:rPr>
                <w:sz w:val="16"/>
              </w:rPr>
              <w:t>Ecuador</w:t>
            </w:r>
          </w:p>
        </w:tc>
        <w:tc>
          <w:tcPr>
            <w:tcW w:w="920" w:type="dxa"/>
          </w:tcPr>
          <w:p>
            <w:pPr>
              <w:pStyle w:val="TableParagraph"/>
              <w:spacing w:line="182" w:lineRule="exact"/>
              <w:ind w:right="1"/>
              <w:jc w:val="center"/>
              <w:rPr>
                <w:sz w:val="16"/>
              </w:rPr>
            </w:pPr>
            <w:r>
              <w:rPr>
                <w:w w:val="99"/>
                <w:sz w:val="16"/>
              </w:rPr>
              <w:t>*</w:t>
            </w:r>
          </w:p>
        </w:tc>
        <w:tc>
          <w:tcPr>
            <w:tcW w:w="920" w:type="dxa"/>
          </w:tcPr>
          <w:p>
            <w:pPr>
              <w:pStyle w:val="TableParagraph"/>
              <w:spacing w:line="182" w:lineRule="exact"/>
              <w:ind w:left="258" w:right="258"/>
              <w:jc w:val="center"/>
              <w:rPr>
                <w:sz w:val="16"/>
              </w:rPr>
            </w:pPr>
            <w:r>
              <w:rPr>
                <w:sz w:val="16"/>
              </w:rPr>
              <w:t>31</w:t>
            </w:r>
          </w:p>
        </w:tc>
        <w:tc>
          <w:tcPr>
            <w:tcW w:w="920" w:type="dxa"/>
          </w:tcPr>
          <w:p>
            <w:pPr>
              <w:pStyle w:val="TableParagraph"/>
              <w:spacing w:line="182" w:lineRule="exact"/>
              <w:ind w:right="1"/>
              <w:jc w:val="center"/>
              <w:rPr>
                <w:sz w:val="16"/>
              </w:rPr>
            </w:pPr>
            <w:r>
              <w:rPr>
                <w:w w:val="99"/>
                <w:sz w:val="16"/>
              </w:rPr>
              <w:t>*</w:t>
            </w:r>
          </w:p>
        </w:tc>
        <w:tc>
          <w:tcPr>
            <w:tcW w:w="921" w:type="dxa"/>
          </w:tcPr>
          <w:p>
            <w:pPr>
              <w:pStyle w:val="TableParagraph"/>
              <w:spacing w:line="182" w:lineRule="exact"/>
              <w:ind w:left="258" w:right="258"/>
              <w:jc w:val="center"/>
              <w:rPr>
                <w:sz w:val="16"/>
              </w:rPr>
            </w:pPr>
            <w:r>
              <w:rPr>
                <w:sz w:val="16"/>
              </w:rPr>
              <w:t>40</w:t>
            </w:r>
          </w:p>
        </w:tc>
        <w:tc>
          <w:tcPr>
            <w:tcW w:w="920" w:type="dxa"/>
          </w:tcPr>
          <w:p>
            <w:pPr>
              <w:pStyle w:val="TableParagraph"/>
              <w:spacing w:line="182" w:lineRule="exact"/>
              <w:ind w:left="258" w:right="258"/>
              <w:jc w:val="center"/>
              <w:rPr>
                <w:sz w:val="16"/>
              </w:rPr>
            </w:pPr>
            <w:r>
              <w:rPr>
                <w:sz w:val="16"/>
              </w:rPr>
              <w:t>43</w:t>
            </w:r>
          </w:p>
        </w:tc>
        <w:tc>
          <w:tcPr>
            <w:tcW w:w="920" w:type="dxa"/>
          </w:tcPr>
          <w:p>
            <w:pPr>
              <w:pStyle w:val="TableParagraph"/>
              <w:spacing w:line="182" w:lineRule="exact"/>
              <w:ind w:left="258" w:right="258"/>
              <w:jc w:val="center"/>
              <w:rPr>
                <w:sz w:val="16"/>
              </w:rPr>
            </w:pPr>
            <w:r>
              <w:rPr>
                <w:sz w:val="16"/>
              </w:rPr>
              <w:t>52</w:t>
            </w:r>
          </w:p>
        </w:tc>
      </w:tr>
      <w:tr>
        <w:trPr>
          <w:trHeight w:val="192" w:hRule="exact"/>
        </w:trPr>
        <w:tc>
          <w:tcPr>
            <w:tcW w:w="2301" w:type="dxa"/>
            <w:shd w:val="clear" w:color="auto" w:fill="FFFF00"/>
          </w:tcPr>
          <w:p>
            <w:pPr>
              <w:pStyle w:val="TableParagraph"/>
              <w:spacing w:line="178" w:lineRule="exact"/>
              <w:ind w:left="67"/>
              <w:rPr>
                <w:b/>
                <w:sz w:val="16"/>
              </w:rPr>
            </w:pPr>
            <w:r>
              <w:rPr>
                <w:b/>
                <w:sz w:val="16"/>
              </w:rPr>
              <w:t>México</w:t>
            </w:r>
          </w:p>
        </w:tc>
        <w:tc>
          <w:tcPr>
            <w:tcW w:w="920" w:type="dxa"/>
            <w:shd w:val="clear" w:color="auto" w:fill="FFFF00"/>
          </w:tcPr>
          <w:p>
            <w:pPr>
              <w:pStyle w:val="TableParagraph"/>
              <w:spacing w:line="178" w:lineRule="exact"/>
              <w:ind w:left="258" w:right="258"/>
              <w:jc w:val="center"/>
              <w:rPr>
                <w:b/>
                <w:sz w:val="16"/>
              </w:rPr>
            </w:pPr>
            <w:r>
              <w:rPr>
                <w:b/>
                <w:sz w:val="16"/>
              </w:rPr>
              <w:t>51</w:t>
            </w:r>
          </w:p>
        </w:tc>
        <w:tc>
          <w:tcPr>
            <w:tcW w:w="920" w:type="dxa"/>
            <w:shd w:val="clear" w:color="auto" w:fill="FFFF00"/>
          </w:tcPr>
          <w:p>
            <w:pPr>
              <w:pStyle w:val="TableParagraph"/>
              <w:spacing w:line="178" w:lineRule="exact"/>
              <w:ind w:left="258" w:right="258"/>
              <w:jc w:val="center"/>
              <w:rPr>
                <w:b/>
                <w:sz w:val="16"/>
              </w:rPr>
            </w:pPr>
            <w:r>
              <w:rPr>
                <w:b/>
                <w:sz w:val="16"/>
              </w:rPr>
              <w:t>50</w:t>
            </w:r>
          </w:p>
        </w:tc>
        <w:tc>
          <w:tcPr>
            <w:tcW w:w="920" w:type="dxa"/>
            <w:shd w:val="clear" w:color="auto" w:fill="FFFF00"/>
          </w:tcPr>
          <w:p>
            <w:pPr>
              <w:pStyle w:val="TableParagraph"/>
              <w:spacing w:line="178" w:lineRule="exact"/>
              <w:ind w:left="258" w:right="258"/>
              <w:jc w:val="center"/>
              <w:rPr>
                <w:b/>
                <w:sz w:val="16"/>
              </w:rPr>
            </w:pPr>
            <w:r>
              <w:rPr>
                <w:b/>
                <w:sz w:val="16"/>
              </w:rPr>
              <w:t>54</w:t>
            </w:r>
          </w:p>
        </w:tc>
        <w:tc>
          <w:tcPr>
            <w:tcW w:w="921" w:type="dxa"/>
            <w:shd w:val="clear" w:color="auto" w:fill="FFFF00"/>
          </w:tcPr>
          <w:p>
            <w:pPr>
              <w:pStyle w:val="TableParagraph"/>
              <w:spacing w:line="178" w:lineRule="exact"/>
              <w:ind w:left="258" w:right="258"/>
              <w:jc w:val="center"/>
              <w:rPr>
                <w:b/>
                <w:sz w:val="16"/>
              </w:rPr>
            </w:pPr>
            <w:r>
              <w:rPr>
                <w:b/>
                <w:sz w:val="16"/>
              </w:rPr>
              <w:t>50</w:t>
            </w:r>
          </w:p>
        </w:tc>
        <w:tc>
          <w:tcPr>
            <w:tcW w:w="920" w:type="dxa"/>
            <w:shd w:val="clear" w:color="auto" w:fill="FFFF00"/>
          </w:tcPr>
          <w:p>
            <w:pPr>
              <w:pStyle w:val="TableParagraph"/>
              <w:spacing w:line="178" w:lineRule="exact"/>
              <w:ind w:left="258" w:right="258"/>
              <w:jc w:val="center"/>
              <w:rPr>
                <w:b/>
                <w:sz w:val="16"/>
              </w:rPr>
            </w:pPr>
            <w:r>
              <w:rPr>
                <w:b/>
                <w:sz w:val="16"/>
              </w:rPr>
              <w:t>48</w:t>
            </w:r>
          </w:p>
        </w:tc>
        <w:tc>
          <w:tcPr>
            <w:tcW w:w="920" w:type="dxa"/>
            <w:shd w:val="clear" w:color="auto" w:fill="FFFF00"/>
          </w:tcPr>
          <w:p>
            <w:pPr>
              <w:pStyle w:val="TableParagraph"/>
              <w:spacing w:line="178" w:lineRule="exact"/>
              <w:ind w:left="258" w:right="258"/>
              <w:jc w:val="center"/>
              <w:rPr>
                <w:b/>
                <w:sz w:val="16"/>
              </w:rPr>
            </w:pPr>
            <w:r>
              <w:rPr>
                <w:b/>
                <w:sz w:val="16"/>
              </w:rPr>
              <w:t>45</w:t>
            </w:r>
          </w:p>
        </w:tc>
      </w:tr>
      <w:tr>
        <w:trPr>
          <w:trHeight w:val="196" w:hRule="exact"/>
        </w:trPr>
        <w:tc>
          <w:tcPr>
            <w:tcW w:w="2301" w:type="dxa"/>
          </w:tcPr>
          <w:p>
            <w:pPr>
              <w:pStyle w:val="TableParagraph"/>
              <w:spacing w:line="182" w:lineRule="exact"/>
              <w:ind w:left="67"/>
              <w:rPr>
                <w:sz w:val="16"/>
              </w:rPr>
            </w:pPr>
            <w:r>
              <w:rPr>
                <w:sz w:val="16"/>
              </w:rPr>
              <w:t>Guatemala</w:t>
            </w:r>
          </w:p>
        </w:tc>
        <w:tc>
          <w:tcPr>
            <w:tcW w:w="920" w:type="dxa"/>
          </w:tcPr>
          <w:p>
            <w:pPr>
              <w:pStyle w:val="TableParagraph"/>
              <w:spacing w:line="182" w:lineRule="exact"/>
              <w:ind w:right="1"/>
              <w:jc w:val="center"/>
              <w:rPr>
                <w:sz w:val="16"/>
              </w:rPr>
            </w:pPr>
            <w:r>
              <w:rPr>
                <w:w w:val="99"/>
                <w:sz w:val="16"/>
              </w:rPr>
              <w:t>*</w:t>
            </w:r>
          </w:p>
        </w:tc>
        <w:tc>
          <w:tcPr>
            <w:tcW w:w="920" w:type="dxa"/>
          </w:tcPr>
          <w:p>
            <w:pPr>
              <w:pStyle w:val="TableParagraph"/>
              <w:spacing w:line="182" w:lineRule="exact"/>
              <w:ind w:right="1"/>
              <w:jc w:val="center"/>
              <w:rPr>
                <w:sz w:val="16"/>
              </w:rPr>
            </w:pPr>
            <w:r>
              <w:rPr>
                <w:w w:val="99"/>
                <w:sz w:val="16"/>
              </w:rPr>
              <w:t>*</w:t>
            </w:r>
          </w:p>
        </w:tc>
        <w:tc>
          <w:tcPr>
            <w:tcW w:w="920" w:type="dxa"/>
          </w:tcPr>
          <w:p>
            <w:pPr>
              <w:pStyle w:val="TableParagraph"/>
              <w:spacing w:line="182" w:lineRule="exact"/>
              <w:ind w:left="258" w:right="258"/>
              <w:jc w:val="center"/>
              <w:rPr>
                <w:sz w:val="16"/>
              </w:rPr>
            </w:pPr>
            <w:r>
              <w:rPr>
                <w:sz w:val="16"/>
              </w:rPr>
              <w:t>43</w:t>
            </w:r>
          </w:p>
        </w:tc>
        <w:tc>
          <w:tcPr>
            <w:tcW w:w="921" w:type="dxa"/>
          </w:tcPr>
          <w:p>
            <w:pPr>
              <w:pStyle w:val="TableParagraph"/>
              <w:spacing w:line="182" w:lineRule="exact"/>
              <w:ind w:left="258" w:right="258"/>
              <w:jc w:val="center"/>
              <w:rPr>
                <w:sz w:val="16"/>
              </w:rPr>
            </w:pPr>
            <w:r>
              <w:rPr>
                <w:sz w:val="16"/>
              </w:rPr>
              <w:t>50</w:t>
            </w:r>
          </w:p>
        </w:tc>
        <w:tc>
          <w:tcPr>
            <w:tcW w:w="920" w:type="dxa"/>
          </w:tcPr>
          <w:p>
            <w:pPr>
              <w:pStyle w:val="TableParagraph"/>
              <w:spacing w:line="182" w:lineRule="exact"/>
              <w:ind w:left="258" w:right="258"/>
              <w:jc w:val="center"/>
              <w:rPr>
                <w:sz w:val="16"/>
              </w:rPr>
            </w:pPr>
            <w:r>
              <w:rPr>
                <w:sz w:val="16"/>
              </w:rPr>
              <w:t>44</w:t>
            </w:r>
          </w:p>
        </w:tc>
        <w:tc>
          <w:tcPr>
            <w:tcW w:w="920" w:type="dxa"/>
          </w:tcPr>
          <w:p>
            <w:pPr>
              <w:pStyle w:val="TableParagraph"/>
              <w:spacing w:line="182" w:lineRule="exact"/>
              <w:ind w:left="258" w:right="258"/>
              <w:jc w:val="center"/>
              <w:rPr>
                <w:sz w:val="16"/>
              </w:rPr>
            </w:pPr>
            <w:r>
              <w:rPr>
                <w:sz w:val="16"/>
              </w:rPr>
              <w:t>44</w:t>
            </w:r>
          </w:p>
        </w:tc>
      </w:tr>
      <w:tr>
        <w:trPr>
          <w:trHeight w:val="192" w:hRule="exact"/>
        </w:trPr>
        <w:tc>
          <w:tcPr>
            <w:tcW w:w="2301" w:type="dxa"/>
          </w:tcPr>
          <w:p>
            <w:pPr>
              <w:pStyle w:val="TableParagraph"/>
              <w:spacing w:line="178" w:lineRule="exact"/>
              <w:ind w:left="67"/>
              <w:rPr>
                <w:sz w:val="16"/>
              </w:rPr>
            </w:pPr>
            <w:r>
              <w:rPr>
                <w:sz w:val="16"/>
              </w:rPr>
              <w:t>Venezuela</w:t>
            </w:r>
          </w:p>
        </w:tc>
        <w:tc>
          <w:tcPr>
            <w:tcW w:w="920" w:type="dxa"/>
          </w:tcPr>
          <w:p>
            <w:pPr>
              <w:pStyle w:val="TableParagraph"/>
              <w:spacing w:line="178" w:lineRule="exact"/>
              <w:ind w:right="1"/>
              <w:jc w:val="center"/>
              <w:rPr>
                <w:sz w:val="16"/>
              </w:rPr>
            </w:pPr>
            <w:r>
              <w:rPr>
                <w:w w:val="99"/>
                <w:sz w:val="16"/>
              </w:rPr>
              <w:t>*</w:t>
            </w:r>
          </w:p>
        </w:tc>
        <w:tc>
          <w:tcPr>
            <w:tcW w:w="920" w:type="dxa"/>
          </w:tcPr>
          <w:p>
            <w:pPr>
              <w:pStyle w:val="TableParagraph"/>
              <w:spacing w:line="178" w:lineRule="exact"/>
              <w:ind w:right="1"/>
              <w:jc w:val="center"/>
              <w:rPr>
                <w:sz w:val="16"/>
              </w:rPr>
            </w:pPr>
            <w:r>
              <w:rPr>
                <w:w w:val="99"/>
                <w:sz w:val="16"/>
              </w:rPr>
              <w:t>*</w:t>
            </w:r>
          </w:p>
        </w:tc>
        <w:tc>
          <w:tcPr>
            <w:tcW w:w="920" w:type="dxa"/>
          </w:tcPr>
          <w:p>
            <w:pPr>
              <w:pStyle w:val="TableParagraph"/>
              <w:spacing w:line="178" w:lineRule="exact"/>
              <w:ind w:right="1"/>
              <w:jc w:val="center"/>
              <w:rPr>
                <w:sz w:val="16"/>
              </w:rPr>
            </w:pPr>
            <w:r>
              <w:rPr>
                <w:w w:val="99"/>
                <w:sz w:val="16"/>
              </w:rPr>
              <w:t>*</w:t>
            </w:r>
          </w:p>
        </w:tc>
        <w:tc>
          <w:tcPr>
            <w:tcW w:w="921" w:type="dxa"/>
          </w:tcPr>
          <w:p>
            <w:pPr>
              <w:pStyle w:val="TableParagraph"/>
              <w:spacing w:line="178" w:lineRule="exact"/>
              <w:ind w:left="258" w:right="258"/>
              <w:jc w:val="center"/>
              <w:rPr>
                <w:sz w:val="16"/>
              </w:rPr>
            </w:pPr>
            <w:r>
              <w:rPr>
                <w:sz w:val="16"/>
              </w:rPr>
              <w:t>33</w:t>
            </w:r>
          </w:p>
        </w:tc>
        <w:tc>
          <w:tcPr>
            <w:tcW w:w="920" w:type="dxa"/>
          </w:tcPr>
          <w:p>
            <w:pPr>
              <w:pStyle w:val="TableParagraph"/>
              <w:spacing w:line="178" w:lineRule="exact"/>
              <w:ind w:left="258" w:right="258"/>
              <w:jc w:val="center"/>
              <w:rPr>
                <w:sz w:val="16"/>
              </w:rPr>
            </w:pPr>
            <w:r>
              <w:rPr>
                <w:sz w:val="16"/>
              </w:rPr>
              <w:t>23</w:t>
            </w:r>
          </w:p>
        </w:tc>
        <w:tc>
          <w:tcPr>
            <w:tcW w:w="920" w:type="dxa"/>
          </w:tcPr>
          <w:p>
            <w:pPr>
              <w:pStyle w:val="TableParagraph"/>
              <w:spacing w:line="178" w:lineRule="exact"/>
              <w:ind w:left="258" w:right="258"/>
              <w:jc w:val="center"/>
              <w:rPr>
                <w:sz w:val="16"/>
              </w:rPr>
            </w:pPr>
            <w:r>
              <w:rPr>
                <w:sz w:val="16"/>
              </w:rPr>
              <w:t>22</w:t>
            </w:r>
          </w:p>
        </w:tc>
      </w:tr>
    </w:tbl>
    <w:p>
      <w:pPr>
        <w:spacing w:line="137" w:lineRule="exact" w:before="0"/>
        <w:ind w:left="953" w:right="0" w:firstLine="0"/>
        <w:jc w:val="left"/>
        <w:rPr>
          <w:sz w:val="12"/>
        </w:rPr>
      </w:pPr>
      <w:r>
        <w:rPr>
          <w:sz w:val="12"/>
        </w:rPr>
        <w:t>FUENTE:  Fundar, Centro de Análisis e Investigación, A.C.</w:t>
      </w:r>
    </w:p>
    <w:p>
      <w:pPr>
        <w:spacing w:line="244" w:lineRule="auto" w:before="0"/>
        <w:ind w:left="1661" w:right="3726" w:firstLine="0"/>
        <w:jc w:val="left"/>
        <w:rPr>
          <w:sz w:val="12"/>
        </w:rPr>
      </w:pPr>
      <w:r>
        <w:rPr>
          <w:sz w:val="12"/>
        </w:rPr>
        <w:t>Índice Latinoamericano de Transparencia Presupuestaria, 2011 Disponible en: </w:t>
      </w:r>
      <w:hyperlink r:id="rId216">
        <w:r>
          <w:rPr>
            <w:color w:val="0000FF"/>
            <w:sz w:val="12"/>
            <w:u w:val="single" w:color="0000FF"/>
          </w:rPr>
          <w:t>http://iltpweb.org</w:t>
        </w:r>
        <w:r>
          <w:rPr>
            <w:color w:val="0000FF"/>
            <w:sz w:val="12"/>
          </w:rPr>
          <w:t>/</w:t>
        </w:r>
      </w:hyperlink>
    </w:p>
    <w:p>
      <w:pPr>
        <w:spacing w:line="133" w:lineRule="exact" w:before="0"/>
        <w:ind w:left="1661" w:right="0" w:firstLine="0"/>
        <w:jc w:val="left"/>
        <w:rPr>
          <w:sz w:val="12"/>
        </w:rPr>
      </w:pPr>
      <w:r>
        <w:rPr>
          <w:sz w:val="12"/>
        </w:rPr>
        <w:t>[Fecha de consulta: 2 de septiembre, 2015]</w:t>
      </w:r>
    </w:p>
    <w:p>
      <w:pPr>
        <w:pStyle w:val="ListParagraph"/>
        <w:numPr>
          <w:ilvl w:val="1"/>
          <w:numId w:val="90"/>
        </w:numPr>
        <w:tabs>
          <w:tab w:pos="1661" w:val="left" w:leader="none"/>
        </w:tabs>
        <w:spacing w:line="240" w:lineRule="auto" w:before="2" w:after="0"/>
        <w:ind w:left="1661" w:right="0" w:hanging="144"/>
        <w:jc w:val="left"/>
        <w:rPr>
          <w:sz w:val="12"/>
        </w:rPr>
      </w:pPr>
      <w:r>
        <w:rPr>
          <w:sz w:val="12"/>
        </w:rPr>
        <w:t>Sin</w:t>
      </w:r>
      <w:r>
        <w:rPr>
          <w:spacing w:val="-8"/>
          <w:sz w:val="12"/>
        </w:rPr>
        <w:t> </w:t>
      </w:r>
      <w:r>
        <w:rPr>
          <w:sz w:val="12"/>
        </w:rPr>
        <w:t>dato.</w:t>
      </w:r>
    </w:p>
    <w:p>
      <w:pPr>
        <w:pStyle w:val="BodyText"/>
        <w:rPr>
          <w:sz w:val="12"/>
        </w:rPr>
      </w:pPr>
    </w:p>
    <w:p>
      <w:pPr>
        <w:pStyle w:val="BodyText"/>
        <w:rPr>
          <w:sz w:val="12"/>
        </w:rPr>
      </w:pPr>
    </w:p>
    <w:p>
      <w:pPr>
        <w:pStyle w:val="BodyText"/>
        <w:spacing w:before="2"/>
        <w:rPr>
          <w:sz w:val="12"/>
        </w:rPr>
      </w:pPr>
    </w:p>
    <w:p>
      <w:pPr>
        <w:pStyle w:val="BodyText"/>
        <w:spacing w:line="360" w:lineRule="auto"/>
        <w:ind w:left="100" w:right="177" w:firstLine="427"/>
        <w:jc w:val="both"/>
      </w:pPr>
      <w:r>
        <w:rPr/>
        <w:t>Los resultados en porcentajes indican que las calificaciones </w:t>
      </w:r>
      <w:r>
        <w:rPr>
          <w:spacing w:val="-2"/>
        </w:rPr>
        <w:t>más </w:t>
      </w:r>
      <w:r>
        <w:rPr/>
        <w:t>altas que obtuvo</w:t>
      </w:r>
      <w:r>
        <w:rPr>
          <w:spacing w:val="-10"/>
        </w:rPr>
        <w:t> </w:t>
      </w:r>
      <w:r>
        <w:rPr/>
        <w:t>México</w:t>
      </w:r>
      <w:r>
        <w:rPr>
          <w:spacing w:val="-11"/>
        </w:rPr>
        <w:t> </w:t>
      </w:r>
      <w:r>
        <w:rPr/>
        <w:t>fueron</w:t>
      </w:r>
      <w:r>
        <w:rPr>
          <w:spacing w:val="-11"/>
        </w:rPr>
        <w:t> </w:t>
      </w:r>
      <w:r>
        <w:rPr/>
        <w:t>para</w:t>
      </w:r>
      <w:r>
        <w:rPr>
          <w:spacing w:val="-11"/>
        </w:rPr>
        <w:t> </w:t>
      </w:r>
      <w:r>
        <w:rPr/>
        <w:t>las</w:t>
      </w:r>
      <w:r>
        <w:rPr>
          <w:spacing w:val="-9"/>
        </w:rPr>
        <w:t> </w:t>
      </w:r>
      <w:r>
        <w:rPr/>
        <w:t>variables</w:t>
      </w:r>
      <w:r>
        <w:rPr>
          <w:spacing w:val="-8"/>
        </w:rPr>
        <w:t> </w:t>
      </w:r>
      <w:r>
        <w:rPr/>
        <w:t>“Ley</w:t>
      </w:r>
      <w:r>
        <w:rPr>
          <w:spacing w:val="-13"/>
        </w:rPr>
        <w:t> </w:t>
      </w:r>
      <w:r>
        <w:rPr/>
        <w:t>de</w:t>
      </w:r>
      <w:r>
        <w:rPr>
          <w:spacing w:val="-11"/>
        </w:rPr>
        <w:t> </w:t>
      </w:r>
      <w:r>
        <w:rPr/>
        <w:t>Acceso</w:t>
      </w:r>
      <w:r>
        <w:rPr>
          <w:spacing w:val="-11"/>
        </w:rPr>
        <w:t> </w:t>
      </w:r>
      <w:r>
        <w:rPr/>
        <w:t>a</w:t>
      </w:r>
      <w:r>
        <w:rPr>
          <w:spacing w:val="-11"/>
        </w:rPr>
        <w:t> </w:t>
      </w:r>
      <w:r>
        <w:rPr/>
        <w:t>la</w:t>
      </w:r>
      <w:r>
        <w:rPr>
          <w:spacing w:val="-11"/>
        </w:rPr>
        <w:t> </w:t>
      </w:r>
      <w:r>
        <w:rPr/>
        <w:t>Información”</w:t>
      </w:r>
      <w:r>
        <w:rPr>
          <w:spacing w:val="-9"/>
        </w:rPr>
        <w:t> </w:t>
      </w:r>
      <w:r>
        <w:rPr/>
        <w:t>(50%), “Confianza en la Información” (41%), “Capacidades del Órgano de Control Externo” (29%) y “Atribuciones y Participación del Legislativo” (29%). Las </w:t>
      </w:r>
      <w:r>
        <w:rPr>
          <w:spacing w:val="-2"/>
        </w:rPr>
        <w:t>más </w:t>
      </w:r>
      <w:r>
        <w:rPr/>
        <w:t>bajas fueron la “Participación Ciudadana en el Presupuesto” (6%), “Cambios en el Presupuesto” (13%) y “Evaluación de la Contraloría Interna”</w:t>
      </w:r>
      <w:r>
        <w:rPr>
          <w:spacing w:val="-30"/>
        </w:rPr>
        <w:t> </w:t>
      </w:r>
      <w:r>
        <w:rPr/>
        <w:t>(14%).</w:t>
      </w:r>
    </w:p>
    <w:p>
      <w:pPr>
        <w:pStyle w:val="BodyText"/>
      </w:pPr>
    </w:p>
    <w:p>
      <w:pPr>
        <w:pStyle w:val="BodyText"/>
      </w:pPr>
    </w:p>
    <w:p>
      <w:pPr>
        <w:pStyle w:val="BodyText"/>
        <w:spacing w:before="1"/>
        <w:rPr>
          <w:sz w:val="28"/>
        </w:rPr>
      </w:pPr>
    </w:p>
    <w:p>
      <w:pPr>
        <w:spacing w:line="451" w:lineRule="auto" w:before="0" w:after="41"/>
        <w:ind w:left="3757" w:right="763" w:hanging="3066"/>
        <w:jc w:val="left"/>
        <w:rPr>
          <w:sz w:val="20"/>
        </w:rPr>
      </w:pPr>
      <w:bookmarkStart w:name="_bookmark93" w:id="125"/>
      <w:bookmarkEnd w:id="125"/>
      <w:r>
        <w:rPr/>
      </w:r>
      <w:r>
        <w:rPr>
          <w:sz w:val="20"/>
        </w:rPr>
        <w:t>Cuadro 4. 10. Transparencia Presupuestaria en México, percepciones por variable (Porcentajes)</w:t>
      </w:r>
    </w:p>
    <w:tbl>
      <w:tblPr>
        <w:tblW w:w="0" w:type="auto"/>
        <w:jc w:val="left"/>
        <w:tblInd w:w="15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12"/>
        <w:gridCol w:w="4601"/>
        <w:gridCol w:w="1137"/>
        <w:gridCol w:w="1132"/>
        <w:gridCol w:w="1136"/>
      </w:tblGrid>
      <w:tr>
        <w:trPr>
          <w:trHeight w:val="338" w:hRule="exact"/>
        </w:trPr>
        <w:tc>
          <w:tcPr>
            <w:tcW w:w="5114" w:type="dxa"/>
            <w:gridSpan w:val="2"/>
          </w:tcPr>
          <w:p>
            <w:pPr>
              <w:pStyle w:val="TableParagraph"/>
              <w:spacing w:before="111"/>
              <w:ind w:left="68"/>
              <w:rPr>
                <w:b/>
                <w:sz w:val="18"/>
              </w:rPr>
            </w:pPr>
            <w:r>
              <w:rPr>
                <w:b/>
                <w:sz w:val="18"/>
              </w:rPr>
              <w:t>Variable</w:t>
            </w:r>
          </w:p>
        </w:tc>
        <w:tc>
          <w:tcPr>
            <w:tcW w:w="1137" w:type="dxa"/>
          </w:tcPr>
          <w:p>
            <w:pPr>
              <w:pStyle w:val="TableParagraph"/>
              <w:spacing w:before="111"/>
              <w:ind w:left="344" w:right="344"/>
              <w:jc w:val="center"/>
              <w:rPr>
                <w:b/>
                <w:sz w:val="18"/>
              </w:rPr>
            </w:pPr>
            <w:r>
              <w:rPr>
                <w:b/>
                <w:sz w:val="18"/>
              </w:rPr>
              <w:t>2007</w:t>
            </w:r>
          </w:p>
        </w:tc>
        <w:tc>
          <w:tcPr>
            <w:tcW w:w="1132" w:type="dxa"/>
          </w:tcPr>
          <w:p>
            <w:pPr>
              <w:pStyle w:val="TableParagraph"/>
              <w:spacing w:before="111"/>
              <w:ind w:left="341" w:right="343"/>
              <w:jc w:val="center"/>
              <w:rPr>
                <w:b/>
                <w:sz w:val="18"/>
              </w:rPr>
            </w:pPr>
            <w:r>
              <w:rPr>
                <w:b/>
                <w:sz w:val="18"/>
              </w:rPr>
              <w:t>2009</w:t>
            </w:r>
          </w:p>
        </w:tc>
        <w:tc>
          <w:tcPr>
            <w:tcW w:w="1136" w:type="dxa"/>
          </w:tcPr>
          <w:p>
            <w:pPr>
              <w:pStyle w:val="TableParagraph"/>
              <w:spacing w:before="111"/>
              <w:ind w:left="343" w:right="343"/>
              <w:jc w:val="center"/>
              <w:rPr>
                <w:b/>
                <w:sz w:val="18"/>
              </w:rPr>
            </w:pPr>
            <w:r>
              <w:rPr>
                <w:b/>
                <w:sz w:val="18"/>
              </w:rPr>
              <w:t>2011</w:t>
            </w:r>
          </w:p>
        </w:tc>
      </w:tr>
      <w:tr>
        <w:trPr>
          <w:trHeight w:val="214" w:hRule="exact"/>
        </w:trPr>
        <w:tc>
          <w:tcPr>
            <w:tcW w:w="512" w:type="dxa"/>
            <w:tcBorders>
              <w:right w:val="nil"/>
            </w:tcBorders>
            <w:shd w:val="clear" w:color="auto" w:fill="E3E3E3"/>
          </w:tcPr>
          <w:p>
            <w:pPr>
              <w:pStyle w:val="TableParagraph"/>
              <w:spacing w:line="204" w:lineRule="exact"/>
              <w:ind w:left="55"/>
              <w:jc w:val="center"/>
              <w:rPr>
                <w:sz w:val="18"/>
              </w:rPr>
            </w:pPr>
            <w:r>
              <w:rPr>
                <w:w w:val="99"/>
                <w:sz w:val="18"/>
              </w:rPr>
              <w:t>1</w:t>
            </w:r>
          </w:p>
        </w:tc>
        <w:tc>
          <w:tcPr>
            <w:tcW w:w="4601" w:type="dxa"/>
            <w:tcBorders>
              <w:left w:val="nil"/>
              <w:right w:val="nil"/>
            </w:tcBorders>
            <w:shd w:val="clear" w:color="auto" w:fill="E3E3E3"/>
          </w:tcPr>
          <w:p>
            <w:pPr>
              <w:pStyle w:val="TableParagraph"/>
              <w:spacing w:line="204" w:lineRule="exact"/>
              <w:ind w:left="128" w:right="911"/>
              <w:rPr>
                <w:sz w:val="18"/>
              </w:rPr>
            </w:pPr>
            <w:r>
              <w:rPr>
                <w:sz w:val="18"/>
              </w:rPr>
              <w:t>Ley de Acceso a la información.</w:t>
            </w:r>
          </w:p>
        </w:tc>
        <w:tc>
          <w:tcPr>
            <w:tcW w:w="1137" w:type="dxa"/>
            <w:tcBorders>
              <w:left w:val="nil"/>
              <w:right w:val="nil"/>
            </w:tcBorders>
            <w:shd w:val="clear" w:color="auto" w:fill="E3E3E3"/>
          </w:tcPr>
          <w:p>
            <w:pPr/>
          </w:p>
        </w:tc>
        <w:tc>
          <w:tcPr>
            <w:tcW w:w="1132" w:type="dxa"/>
            <w:tcBorders>
              <w:left w:val="nil"/>
              <w:right w:val="nil"/>
            </w:tcBorders>
            <w:shd w:val="clear" w:color="auto" w:fill="E3E3E3"/>
          </w:tcPr>
          <w:p>
            <w:pPr>
              <w:pStyle w:val="TableParagraph"/>
              <w:spacing w:line="204" w:lineRule="exact"/>
              <w:ind w:left="445" w:right="447"/>
              <w:jc w:val="center"/>
              <w:rPr>
                <w:sz w:val="18"/>
              </w:rPr>
            </w:pPr>
            <w:r>
              <w:rPr>
                <w:sz w:val="18"/>
              </w:rPr>
              <w:t>25</w:t>
            </w:r>
          </w:p>
        </w:tc>
        <w:tc>
          <w:tcPr>
            <w:tcW w:w="1136" w:type="dxa"/>
            <w:tcBorders>
              <w:left w:val="nil"/>
            </w:tcBorders>
            <w:shd w:val="clear" w:color="auto" w:fill="E3E3E3"/>
          </w:tcPr>
          <w:p>
            <w:pPr>
              <w:pStyle w:val="TableParagraph"/>
              <w:spacing w:line="204" w:lineRule="exact"/>
              <w:ind w:left="447" w:right="443"/>
              <w:jc w:val="center"/>
              <w:rPr>
                <w:sz w:val="18"/>
              </w:rPr>
            </w:pPr>
            <w:r>
              <w:rPr>
                <w:sz w:val="18"/>
              </w:rPr>
              <w:t>50</w:t>
            </w:r>
          </w:p>
        </w:tc>
      </w:tr>
      <w:tr>
        <w:trPr>
          <w:trHeight w:val="220" w:hRule="exact"/>
        </w:trPr>
        <w:tc>
          <w:tcPr>
            <w:tcW w:w="512" w:type="dxa"/>
            <w:tcBorders>
              <w:right w:val="nil"/>
            </w:tcBorders>
          </w:tcPr>
          <w:p>
            <w:pPr>
              <w:pStyle w:val="TableParagraph"/>
              <w:spacing w:line="206" w:lineRule="exact"/>
              <w:ind w:left="55"/>
              <w:jc w:val="center"/>
              <w:rPr>
                <w:sz w:val="18"/>
              </w:rPr>
            </w:pPr>
            <w:r>
              <w:rPr>
                <w:w w:val="99"/>
                <w:sz w:val="18"/>
              </w:rPr>
              <w:t>2</w:t>
            </w:r>
          </w:p>
        </w:tc>
        <w:tc>
          <w:tcPr>
            <w:tcW w:w="4601" w:type="dxa"/>
            <w:tcBorders>
              <w:left w:val="nil"/>
              <w:right w:val="nil"/>
            </w:tcBorders>
          </w:tcPr>
          <w:p>
            <w:pPr>
              <w:pStyle w:val="TableParagraph"/>
              <w:spacing w:line="206" w:lineRule="exact"/>
              <w:ind w:left="128" w:right="911"/>
              <w:rPr>
                <w:sz w:val="18"/>
              </w:rPr>
            </w:pPr>
            <w:r>
              <w:rPr>
                <w:sz w:val="18"/>
              </w:rPr>
              <w:t>Confianza en la información.</w:t>
            </w:r>
          </w:p>
        </w:tc>
        <w:tc>
          <w:tcPr>
            <w:tcW w:w="1137" w:type="dxa"/>
            <w:tcBorders>
              <w:left w:val="nil"/>
              <w:right w:val="nil"/>
            </w:tcBorders>
          </w:tcPr>
          <w:p>
            <w:pPr/>
          </w:p>
        </w:tc>
        <w:tc>
          <w:tcPr>
            <w:tcW w:w="1132" w:type="dxa"/>
            <w:tcBorders>
              <w:left w:val="nil"/>
              <w:right w:val="nil"/>
            </w:tcBorders>
          </w:tcPr>
          <w:p>
            <w:pPr/>
          </w:p>
        </w:tc>
        <w:tc>
          <w:tcPr>
            <w:tcW w:w="1136" w:type="dxa"/>
            <w:tcBorders>
              <w:left w:val="nil"/>
            </w:tcBorders>
          </w:tcPr>
          <w:p>
            <w:pPr>
              <w:pStyle w:val="TableParagraph"/>
              <w:spacing w:line="206" w:lineRule="exact"/>
              <w:ind w:left="447" w:right="443"/>
              <w:jc w:val="center"/>
              <w:rPr>
                <w:sz w:val="18"/>
              </w:rPr>
            </w:pPr>
            <w:r>
              <w:rPr>
                <w:sz w:val="18"/>
              </w:rPr>
              <w:t>41</w:t>
            </w:r>
          </w:p>
        </w:tc>
      </w:tr>
      <w:tr>
        <w:trPr>
          <w:trHeight w:val="424" w:hRule="exact"/>
        </w:trPr>
        <w:tc>
          <w:tcPr>
            <w:tcW w:w="512" w:type="dxa"/>
            <w:tcBorders>
              <w:right w:val="nil"/>
            </w:tcBorders>
            <w:shd w:val="clear" w:color="auto" w:fill="E3E3E3"/>
          </w:tcPr>
          <w:p>
            <w:pPr>
              <w:pStyle w:val="TableParagraph"/>
              <w:spacing w:before="99"/>
              <w:ind w:left="55"/>
              <w:jc w:val="center"/>
              <w:rPr>
                <w:sz w:val="18"/>
              </w:rPr>
            </w:pPr>
            <w:r>
              <w:rPr>
                <w:w w:val="99"/>
                <w:sz w:val="18"/>
              </w:rPr>
              <w:t>3</w:t>
            </w:r>
          </w:p>
        </w:tc>
        <w:tc>
          <w:tcPr>
            <w:tcW w:w="4601" w:type="dxa"/>
            <w:tcBorders>
              <w:left w:val="nil"/>
              <w:right w:val="nil"/>
            </w:tcBorders>
            <w:shd w:val="clear" w:color="auto" w:fill="E3E3E3"/>
          </w:tcPr>
          <w:p>
            <w:pPr>
              <w:pStyle w:val="TableParagraph"/>
              <w:ind w:left="128" w:right="911"/>
              <w:rPr>
                <w:sz w:val="18"/>
              </w:rPr>
            </w:pPr>
            <w:r>
              <w:rPr>
                <w:sz w:val="18"/>
              </w:rPr>
              <w:t>Capacidades del Órgano de Control Externo (Evaluación a la ASF).</w:t>
            </w:r>
          </w:p>
        </w:tc>
        <w:tc>
          <w:tcPr>
            <w:tcW w:w="1137" w:type="dxa"/>
            <w:tcBorders>
              <w:left w:val="nil"/>
              <w:right w:val="nil"/>
            </w:tcBorders>
            <w:shd w:val="clear" w:color="auto" w:fill="E3E3E3"/>
          </w:tcPr>
          <w:p>
            <w:pPr>
              <w:pStyle w:val="TableParagraph"/>
              <w:spacing w:before="7"/>
              <w:rPr>
                <w:sz w:val="17"/>
              </w:rPr>
            </w:pPr>
          </w:p>
          <w:p>
            <w:pPr>
              <w:pStyle w:val="TableParagraph"/>
              <w:ind w:left="448" w:right="448"/>
              <w:jc w:val="center"/>
              <w:rPr>
                <w:sz w:val="18"/>
              </w:rPr>
            </w:pPr>
            <w:r>
              <w:rPr>
                <w:sz w:val="18"/>
              </w:rPr>
              <w:t>43</w:t>
            </w:r>
          </w:p>
        </w:tc>
        <w:tc>
          <w:tcPr>
            <w:tcW w:w="1132" w:type="dxa"/>
            <w:tcBorders>
              <w:left w:val="nil"/>
              <w:right w:val="nil"/>
            </w:tcBorders>
            <w:shd w:val="clear" w:color="auto" w:fill="E3E3E3"/>
          </w:tcPr>
          <w:p>
            <w:pPr>
              <w:pStyle w:val="TableParagraph"/>
              <w:spacing w:before="7"/>
              <w:rPr>
                <w:sz w:val="17"/>
              </w:rPr>
            </w:pPr>
          </w:p>
          <w:p>
            <w:pPr>
              <w:pStyle w:val="TableParagraph"/>
              <w:ind w:left="445" w:right="447"/>
              <w:jc w:val="center"/>
              <w:rPr>
                <w:sz w:val="18"/>
              </w:rPr>
            </w:pPr>
            <w:r>
              <w:rPr>
                <w:sz w:val="18"/>
              </w:rPr>
              <w:t>34</w:t>
            </w:r>
          </w:p>
        </w:tc>
        <w:tc>
          <w:tcPr>
            <w:tcW w:w="1136" w:type="dxa"/>
            <w:tcBorders>
              <w:left w:val="nil"/>
            </w:tcBorders>
            <w:shd w:val="clear" w:color="auto" w:fill="E3E3E3"/>
          </w:tcPr>
          <w:p>
            <w:pPr>
              <w:pStyle w:val="TableParagraph"/>
              <w:spacing w:before="7"/>
              <w:rPr>
                <w:sz w:val="17"/>
              </w:rPr>
            </w:pPr>
          </w:p>
          <w:p>
            <w:pPr>
              <w:pStyle w:val="TableParagraph"/>
              <w:ind w:left="447" w:right="443"/>
              <w:jc w:val="center"/>
              <w:rPr>
                <w:sz w:val="18"/>
              </w:rPr>
            </w:pPr>
            <w:r>
              <w:rPr>
                <w:sz w:val="18"/>
              </w:rPr>
              <w:t>29</w:t>
            </w:r>
          </w:p>
        </w:tc>
      </w:tr>
      <w:tr>
        <w:trPr>
          <w:trHeight w:val="216" w:hRule="exact"/>
        </w:trPr>
        <w:tc>
          <w:tcPr>
            <w:tcW w:w="512" w:type="dxa"/>
            <w:tcBorders>
              <w:right w:val="nil"/>
            </w:tcBorders>
          </w:tcPr>
          <w:p>
            <w:pPr>
              <w:pStyle w:val="TableParagraph"/>
              <w:spacing w:line="202" w:lineRule="exact"/>
              <w:ind w:left="55"/>
              <w:jc w:val="center"/>
              <w:rPr>
                <w:sz w:val="18"/>
              </w:rPr>
            </w:pPr>
            <w:r>
              <w:rPr>
                <w:w w:val="99"/>
                <w:sz w:val="18"/>
              </w:rPr>
              <w:t>4</w:t>
            </w:r>
          </w:p>
        </w:tc>
        <w:tc>
          <w:tcPr>
            <w:tcW w:w="4601" w:type="dxa"/>
            <w:tcBorders>
              <w:left w:val="nil"/>
              <w:right w:val="nil"/>
            </w:tcBorders>
          </w:tcPr>
          <w:p>
            <w:pPr>
              <w:pStyle w:val="TableParagraph"/>
              <w:spacing w:line="202" w:lineRule="exact"/>
              <w:ind w:left="128" w:right="911"/>
              <w:rPr>
                <w:sz w:val="18"/>
              </w:rPr>
            </w:pPr>
            <w:r>
              <w:rPr>
                <w:sz w:val="18"/>
              </w:rPr>
              <w:t>Atribuciones y Participación del Legislativo.</w:t>
            </w:r>
          </w:p>
        </w:tc>
        <w:tc>
          <w:tcPr>
            <w:tcW w:w="1137" w:type="dxa"/>
            <w:tcBorders>
              <w:left w:val="nil"/>
              <w:right w:val="nil"/>
            </w:tcBorders>
          </w:tcPr>
          <w:p>
            <w:pPr>
              <w:pStyle w:val="TableParagraph"/>
              <w:spacing w:line="202" w:lineRule="exact"/>
              <w:ind w:left="448" w:right="448"/>
              <w:jc w:val="center"/>
              <w:rPr>
                <w:sz w:val="18"/>
              </w:rPr>
            </w:pPr>
            <w:r>
              <w:rPr>
                <w:sz w:val="18"/>
              </w:rPr>
              <w:t>48</w:t>
            </w:r>
          </w:p>
        </w:tc>
        <w:tc>
          <w:tcPr>
            <w:tcW w:w="1132" w:type="dxa"/>
            <w:tcBorders>
              <w:left w:val="nil"/>
              <w:right w:val="nil"/>
            </w:tcBorders>
          </w:tcPr>
          <w:p>
            <w:pPr>
              <w:pStyle w:val="TableParagraph"/>
              <w:spacing w:line="202" w:lineRule="exact"/>
              <w:ind w:left="445" w:right="447"/>
              <w:jc w:val="center"/>
              <w:rPr>
                <w:sz w:val="18"/>
              </w:rPr>
            </w:pPr>
            <w:r>
              <w:rPr>
                <w:sz w:val="18"/>
              </w:rPr>
              <w:t>37</w:t>
            </w:r>
          </w:p>
        </w:tc>
        <w:tc>
          <w:tcPr>
            <w:tcW w:w="1136" w:type="dxa"/>
            <w:tcBorders>
              <w:left w:val="nil"/>
            </w:tcBorders>
          </w:tcPr>
          <w:p>
            <w:pPr>
              <w:pStyle w:val="TableParagraph"/>
              <w:spacing w:line="202" w:lineRule="exact"/>
              <w:ind w:left="447" w:right="443"/>
              <w:jc w:val="center"/>
              <w:rPr>
                <w:sz w:val="18"/>
              </w:rPr>
            </w:pPr>
            <w:r>
              <w:rPr>
                <w:sz w:val="18"/>
              </w:rPr>
              <w:t>29</w:t>
            </w:r>
          </w:p>
        </w:tc>
      </w:tr>
      <w:tr>
        <w:trPr>
          <w:trHeight w:val="216" w:hRule="exact"/>
        </w:trPr>
        <w:tc>
          <w:tcPr>
            <w:tcW w:w="512" w:type="dxa"/>
            <w:tcBorders>
              <w:right w:val="nil"/>
            </w:tcBorders>
            <w:shd w:val="clear" w:color="auto" w:fill="E3E3E3"/>
          </w:tcPr>
          <w:p>
            <w:pPr>
              <w:pStyle w:val="TableParagraph"/>
              <w:spacing w:line="202" w:lineRule="exact"/>
              <w:ind w:left="55"/>
              <w:jc w:val="center"/>
              <w:rPr>
                <w:sz w:val="18"/>
              </w:rPr>
            </w:pPr>
            <w:r>
              <w:rPr>
                <w:w w:val="99"/>
                <w:sz w:val="18"/>
              </w:rPr>
              <w:t>5</w:t>
            </w:r>
          </w:p>
        </w:tc>
        <w:tc>
          <w:tcPr>
            <w:tcW w:w="4601" w:type="dxa"/>
            <w:tcBorders>
              <w:left w:val="nil"/>
              <w:right w:val="nil"/>
            </w:tcBorders>
            <w:shd w:val="clear" w:color="auto" w:fill="E3E3E3"/>
          </w:tcPr>
          <w:p>
            <w:pPr>
              <w:pStyle w:val="TableParagraph"/>
              <w:spacing w:line="202" w:lineRule="exact"/>
              <w:ind w:left="128" w:right="911"/>
              <w:rPr>
                <w:sz w:val="18"/>
              </w:rPr>
            </w:pPr>
            <w:r>
              <w:rPr>
                <w:sz w:val="18"/>
              </w:rPr>
              <w:t>Calidad de la Información Presupuestaria.</w:t>
            </w:r>
          </w:p>
        </w:tc>
        <w:tc>
          <w:tcPr>
            <w:tcW w:w="1137" w:type="dxa"/>
            <w:tcBorders>
              <w:left w:val="nil"/>
              <w:right w:val="nil"/>
            </w:tcBorders>
            <w:shd w:val="clear" w:color="auto" w:fill="E3E3E3"/>
          </w:tcPr>
          <w:p>
            <w:pPr>
              <w:pStyle w:val="TableParagraph"/>
              <w:spacing w:line="202" w:lineRule="exact"/>
              <w:ind w:left="448" w:right="448"/>
              <w:jc w:val="center"/>
              <w:rPr>
                <w:sz w:val="18"/>
              </w:rPr>
            </w:pPr>
            <w:r>
              <w:rPr>
                <w:sz w:val="18"/>
              </w:rPr>
              <w:t>32</w:t>
            </w:r>
          </w:p>
        </w:tc>
        <w:tc>
          <w:tcPr>
            <w:tcW w:w="1132" w:type="dxa"/>
            <w:tcBorders>
              <w:left w:val="nil"/>
              <w:right w:val="nil"/>
            </w:tcBorders>
            <w:shd w:val="clear" w:color="auto" w:fill="E3E3E3"/>
          </w:tcPr>
          <w:p>
            <w:pPr>
              <w:pStyle w:val="TableParagraph"/>
              <w:spacing w:line="202" w:lineRule="exact"/>
              <w:ind w:left="445" w:right="447"/>
              <w:jc w:val="center"/>
              <w:rPr>
                <w:sz w:val="18"/>
              </w:rPr>
            </w:pPr>
            <w:r>
              <w:rPr>
                <w:sz w:val="18"/>
              </w:rPr>
              <w:t>31</w:t>
            </w:r>
          </w:p>
        </w:tc>
        <w:tc>
          <w:tcPr>
            <w:tcW w:w="1136" w:type="dxa"/>
            <w:tcBorders>
              <w:left w:val="nil"/>
            </w:tcBorders>
            <w:shd w:val="clear" w:color="auto" w:fill="E3E3E3"/>
          </w:tcPr>
          <w:p>
            <w:pPr>
              <w:pStyle w:val="TableParagraph"/>
              <w:spacing w:line="202" w:lineRule="exact"/>
              <w:ind w:left="447" w:right="443"/>
              <w:jc w:val="center"/>
              <w:rPr>
                <w:sz w:val="18"/>
              </w:rPr>
            </w:pPr>
            <w:r>
              <w:rPr>
                <w:sz w:val="18"/>
              </w:rPr>
              <w:t>27</w:t>
            </w:r>
          </w:p>
        </w:tc>
      </w:tr>
      <w:tr>
        <w:trPr>
          <w:trHeight w:val="218" w:hRule="exact"/>
        </w:trPr>
        <w:tc>
          <w:tcPr>
            <w:tcW w:w="512" w:type="dxa"/>
            <w:tcBorders>
              <w:right w:val="nil"/>
            </w:tcBorders>
          </w:tcPr>
          <w:p>
            <w:pPr>
              <w:pStyle w:val="TableParagraph"/>
              <w:spacing w:line="203" w:lineRule="exact"/>
              <w:ind w:left="55"/>
              <w:jc w:val="center"/>
              <w:rPr>
                <w:sz w:val="18"/>
              </w:rPr>
            </w:pPr>
            <w:r>
              <w:rPr>
                <w:w w:val="99"/>
                <w:sz w:val="18"/>
              </w:rPr>
              <w:t>6</w:t>
            </w:r>
          </w:p>
        </w:tc>
        <w:tc>
          <w:tcPr>
            <w:tcW w:w="4601" w:type="dxa"/>
            <w:tcBorders>
              <w:left w:val="nil"/>
              <w:right w:val="nil"/>
            </w:tcBorders>
          </w:tcPr>
          <w:p>
            <w:pPr>
              <w:pStyle w:val="TableParagraph"/>
              <w:spacing w:line="203" w:lineRule="exact"/>
              <w:ind w:left="128" w:right="911"/>
              <w:rPr>
                <w:sz w:val="18"/>
              </w:rPr>
            </w:pPr>
            <w:r>
              <w:rPr>
                <w:sz w:val="18"/>
              </w:rPr>
              <w:t>Fiscalización del Presupuesto.</w:t>
            </w:r>
          </w:p>
        </w:tc>
        <w:tc>
          <w:tcPr>
            <w:tcW w:w="1137" w:type="dxa"/>
            <w:tcBorders>
              <w:left w:val="nil"/>
              <w:right w:val="nil"/>
            </w:tcBorders>
          </w:tcPr>
          <w:p>
            <w:pPr>
              <w:pStyle w:val="TableParagraph"/>
              <w:spacing w:line="203" w:lineRule="exact"/>
              <w:ind w:left="448" w:right="448"/>
              <w:jc w:val="center"/>
              <w:rPr>
                <w:sz w:val="18"/>
              </w:rPr>
            </w:pPr>
            <w:r>
              <w:rPr>
                <w:sz w:val="18"/>
              </w:rPr>
              <w:t>23</w:t>
            </w:r>
          </w:p>
        </w:tc>
        <w:tc>
          <w:tcPr>
            <w:tcW w:w="1132" w:type="dxa"/>
            <w:tcBorders>
              <w:left w:val="nil"/>
              <w:right w:val="nil"/>
            </w:tcBorders>
          </w:tcPr>
          <w:p>
            <w:pPr>
              <w:pStyle w:val="TableParagraph"/>
              <w:spacing w:line="203" w:lineRule="exact"/>
              <w:ind w:left="445" w:right="447"/>
              <w:jc w:val="center"/>
              <w:rPr>
                <w:sz w:val="18"/>
              </w:rPr>
            </w:pPr>
            <w:r>
              <w:rPr>
                <w:sz w:val="18"/>
              </w:rPr>
              <w:t>31</w:t>
            </w:r>
          </w:p>
        </w:tc>
        <w:tc>
          <w:tcPr>
            <w:tcW w:w="1136" w:type="dxa"/>
            <w:tcBorders>
              <w:left w:val="nil"/>
            </w:tcBorders>
          </w:tcPr>
          <w:p>
            <w:pPr>
              <w:pStyle w:val="TableParagraph"/>
              <w:spacing w:line="203" w:lineRule="exact"/>
              <w:ind w:left="447" w:right="443"/>
              <w:jc w:val="center"/>
              <w:rPr>
                <w:sz w:val="18"/>
              </w:rPr>
            </w:pPr>
            <w:r>
              <w:rPr>
                <w:sz w:val="18"/>
              </w:rPr>
              <w:t>25</w:t>
            </w:r>
          </w:p>
        </w:tc>
      </w:tr>
      <w:tr>
        <w:trPr>
          <w:trHeight w:val="214" w:hRule="exact"/>
        </w:trPr>
        <w:tc>
          <w:tcPr>
            <w:tcW w:w="512" w:type="dxa"/>
            <w:tcBorders>
              <w:right w:val="nil"/>
            </w:tcBorders>
            <w:shd w:val="clear" w:color="auto" w:fill="E3E3E3"/>
          </w:tcPr>
          <w:p>
            <w:pPr>
              <w:pStyle w:val="TableParagraph"/>
              <w:spacing w:line="204" w:lineRule="exact"/>
              <w:ind w:left="55"/>
              <w:jc w:val="center"/>
              <w:rPr>
                <w:sz w:val="18"/>
              </w:rPr>
            </w:pPr>
            <w:r>
              <w:rPr>
                <w:w w:val="99"/>
                <w:sz w:val="18"/>
              </w:rPr>
              <w:t>7</w:t>
            </w:r>
          </w:p>
        </w:tc>
        <w:tc>
          <w:tcPr>
            <w:tcW w:w="4601" w:type="dxa"/>
            <w:tcBorders>
              <w:left w:val="nil"/>
              <w:right w:val="nil"/>
            </w:tcBorders>
            <w:shd w:val="clear" w:color="auto" w:fill="E3E3E3"/>
          </w:tcPr>
          <w:p>
            <w:pPr>
              <w:pStyle w:val="TableParagraph"/>
              <w:spacing w:line="204" w:lineRule="exact"/>
              <w:ind w:left="128" w:right="911"/>
              <w:rPr>
                <w:sz w:val="18"/>
              </w:rPr>
            </w:pPr>
            <w:r>
              <w:rPr>
                <w:sz w:val="18"/>
              </w:rPr>
              <w:t>Control sobre Funcionarios Federales.</w:t>
            </w:r>
          </w:p>
        </w:tc>
        <w:tc>
          <w:tcPr>
            <w:tcW w:w="1137" w:type="dxa"/>
            <w:tcBorders>
              <w:left w:val="nil"/>
              <w:right w:val="nil"/>
            </w:tcBorders>
            <w:shd w:val="clear" w:color="auto" w:fill="E3E3E3"/>
          </w:tcPr>
          <w:p>
            <w:pPr>
              <w:pStyle w:val="TableParagraph"/>
              <w:spacing w:line="204" w:lineRule="exact"/>
              <w:ind w:left="448" w:right="448"/>
              <w:jc w:val="center"/>
              <w:rPr>
                <w:sz w:val="18"/>
              </w:rPr>
            </w:pPr>
            <w:r>
              <w:rPr>
                <w:sz w:val="18"/>
              </w:rPr>
              <w:t>16</w:t>
            </w:r>
          </w:p>
        </w:tc>
        <w:tc>
          <w:tcPr>
            <w:tcW w:w="1132" w:type="dxa"/>
            <w:tcBorders>
              <w:left w:val="nil"/>
              <w:right w:val="nil"/>
            </w:tcBorders>
            <w:shd w:val="clear" w:color="auto" w:fill="E3E3E3"/>
          </w:tcPr>
          <w:p>
            <w:pPr>
              <w:pStyle w:val="TableParagraph"/>
              <w:spacing w:line="204" w:lineRule="exact"/>
              <w:ind w:left="445" w:right="447"/>
              <w:jc w:val="center"/>
              <w:rPr>
                <w:sz w:val="18"/>
              </w:rPr>
            </w:pPr>
            <w:r>
              <w:rPr>
                <w:sz w:val="18"/>
              </w:rPr>
              <w:t>22</w:t>
            </w:r>
          </w:p>
        </w:tc>
        <w:tc>
          <w:tcPr>
            <w:tcW w:w="1136" w:type="dxa"/>
            <w:tcBorders>
              <w:left w:val="nil"/>
            </w:tcBorders>
            <w:shd w:val="clear" w:color="auto" w:fill="E3E3E3"/>
          </w:tcPr>
          <w:p>
            <w:pPr>
              <w:pStyle w:val="TableParagraph"/>
              <w:spacing w:line="204" w:lineRule="exact"/>
              <w:ind w:left="447" w:right="443"/>
              <w:jc w:val="center"/>
              <w:rPr>
                <w:sz w:val="18"/>
              </w:rPr>
            </w:pPr>
            <w:r>
              <w:rPr>
                <w:sz w:val="18"/>
              </w:rPr>
              <w:t>24</w:t>
            </w:r>
          </w:p>
        </w:tc>
      </w:tr>
      <w:tr>
        <w:trPr>
          <w:trHeight w:val="220" w:hRule="exact"/>
        </w:trPr>
        <w:tc>
          <w:tcPr>
            <w:tcW w:w="512" w:type="dxa"/>
            <w:tcBorders>
              <w:right w:val="nil"/>
            </w:tcBorders>
          </w:tcPr>
          <w:p>
            <w:pPr>
              <w:pStyle w:val="TableParagraph"/>
              <w:spacing w:line="206" w:lineRule="exact"/>
              <w:ind w:left="55"/>
              <w:jc w:val="center"/>
              <w:rPr>
                <w:sz w:val="18"/>
              </w:rPr>
            </w:pPr>
            <w:r>
              <w:rPr>
                <w:w w:val="99"/>
                <w:sz w:val="18"/>
              </w:rPr>
              <w:t>8</w:t>
            </w:r>
          </w:p>
        </w:tc>
        <w:tc>
          <w:tcPr>
            <w:tcW w:w="4601" w:type="dxa"/>
            <w:tcBorders>
              <w:left w:val="nil"/>
              <w:right w:val="nil"/>
            </w:tcBorders>
          </w:tcPr>
          <w:p>
            <w:pPr>
              <w:pStyle w:val="TableParagraph"/>
              <w:spacing w:line="206" w:lineRule="exact"/>
              <w:ind w:left="128"/>
              <w:rPr>
                <w:sz w:val="18"/>
              </w:rPr>
            </w:pPr>
            <w:r>
              <w:rPr>
                <w:sz w:val="18"/>
              </w:rPr>
              <w:t>Gobiernos Subnacionales (Estatales y Municipales).</w:t>
            </w:r>
          </w:p>
        </w:tc>
        <w:tc>
          <w:tcPr>
            <w:tcW w:w="1137" w:type="dxa"/>
            <w:tcBorders>
              <w:left w:val="nil"/>
              <w:right w:val="nil"/>
            </w:tcBorders>
          </w:tcPr>
          <w:p>
            <w:pPr/>
          </w:p>
        </w:tc>
        <w:tc>
          <w:tcPr>
            <w:tcW w:w="1132" w:type="dxa"/>
            <w:tcBorders>
              <w:left w:val="nil"/>
              <w:right w:val="nil"/>
            </w:tcBorders>
          </w:tcPr>
          <w:p>
            <w:pPr/>
          </w:p>
        </w:tc>
        <w:tc>
          <w:tcPr>
            <w:tcW w:w="1136" w:type="dxa"/>
            <w:tcBorders>
              <w:left w:val="nil"/>
            </w:tcBorders>
          </w:tcPr>
          <w:p>
            <w:pPr>
              <w:pStyle w:val="TableParagraph"/>
              <w:spacing w:line="206" w:lineRule="exact"/>
              <w:ind w:left="447" w:right="443"/>
              <w:jc w:val="center"/>
              <w:rPr>
                <w:sz w:val="18"/>
              </w:rPr>
            </w:pPr>
            <w:r>
              <w:rPr>
                <w:sz w:val="18"/>
              </w:rPr>
              <w:t>24</w:t>
            </w:r>
          </w:p>
        </w:tc>
      </w:tr>
      <w:tr>
        <w:trPr>
          <w:trHeight w:val="216" w:hRule="exact"/>
        </w:trPr>
        <w:tc>
          <w:tcPr>
            <w:tcW w:w="512" w:type="dxa"/>
            <w:tcBorders>
              <w:right w:val="nil"/>
            </w:tcBorders>
            <w:shd w:val="clear" w:color="auto" w:fill="E3E3E3"/>
          </w:tcPr>
          <w:p>
            <w:pPr>
              <w:pStyle w:val="TableParagraph"/>
              <w:spacing w:line="202" w:lineRule="exact"/>
              <w:ind w:left="55"/>
              <w:jc w:val="center"/>
              <w:rPr>
                <w:sz w:val="18"/>
              </w:rPr>
            </w:pPr>
            <w:r>
              <w:rPr>
                <w:w w:val="99"/>
                <w:sz w:val="18"/>
              </w:rPr>
              <w:t>9</w:t>
            </w:r>
          </w:p>
        </w:tc>
        <w:tc>
          <w:tcPr>
            <w:tcW w:w="4601" w:type="dxa"/>
            <w:tcBorders>
              <w:left w:val="nil"/>
              <w:right w:val="nil"/>
            </w:tcBorders>
            <w:shd w:val="clear" w:color="auto" w:fill="E3E3E3"/>
          </w:tcPr>
          <w:p>
            <w:pPr>
              <w:pStyle w:val="TableParagraph"/>
              <w:spacing w:line="202" w:lineRule="exact"/>
              <w:ind w:left="128" w:right="911"/>
              <w:rPr>
                <w:sz w:val="18"/>
              </w:rPr>
            </w:pPr>
            <w:r>
              <w:rPr>
                <w:sz w:val="18"/>
              </w:rPr>
              <w:t>Rendición de Cuentas.</w:t>
            </w:r>
          </w:p>
        </w:tc>
        <w:tc>
          <w:tcPr>
            <w:tcW w:w="1137" w:type="dxa"/>
            <w:tcBorders>
              <w:left w:val="nil"/>
              <w:right w:val="nil"/>
            </w:tcBorders>
            <w:shd w:val="clear" w:color="auto" w:fill="E3E3E3"/>
          </w:tcPr>
          <w:p>
            <w:pPr>
              <w:pStyle w:val="TableParagraph"/>
              <w:spacing w:line="202" w:lineRule="exact"/>
              <w:ind w:left="448" w:right="448"/>
              <w:jc w:val="center"/>
              <w:rPr>
                <w:sz w:val="18"/>
              </w:rPr>
            </w:pPr>
            <w:r>
              <w:rPr>
                <w:sz w:val="18"/>
              </w:rPr>
              <w:t>22</w:t>
            </w:r>
          </w:p>
        </w:tc>
        <w:tc>
          <w:tcPr>
            <w:tcW w:w="1132" w:type="dxa"/>
            <w:tcBorders>
              <w:left w:val="nil"/>
              <w:right w:val="nil"/>
            </w:tcBorders>
            <w:shd w:val="clear" w:color="auto" w:fill="E3E3E3"/>
          </w:tcPr>
          <w:p>
            <w:pPr>
              <w:pStyle w:val="TableParagraph"/>
              <w:spacing w:line="202" w:lineRule="exact"/>
              <w:ind w:left="445" w:right="447"/>
              <w:jc w:val="center"/>
              <w:rPr>
                <w:sz w:val="18"/>
              </w:rPr>
            </w:pPr>
            <w:r>
              <w:rPr>
                <w:sz w:val="18"/>
              </w:rPr>
              <w:t>18</w:t>
            </w:r>
          </w:p>
        </w:tc>
        <w:tc>
          <w:tcPr>
            <w:tcW w:w="1136" w:type="dxa"/>
            <w:tcBorders>
              <w:left w:val="nil"/>
            </w:tcBorders>
            <w:shd w:val="clear" w:color="auto" w:fill="E3E3E3"/>
          </w:tcPr>
          <w:p>
            <w:pPr>
              <w:pStyle w:val="TableParagraph"/>
              <w:spacing w:line="202" w:lineRule="exact"/>
              <w:ind w:left="447" w:right="443"/>
              <w:jc w:val="center"/>
              <w:rPr>
                <w:sz w:val="18"/>
              </w:rPr>
            </w:pPr>
            <w:r>
              <w:rPr>
                <w:sz w:val="18"/>
              </w:rPr>
              <w:t>24</w:t>
            </w:r>
          </w:p>
        </w:tc>
      </w:tr>
      <w:tr>
        <w:trPr>
          <w:trHeight w:val="218" w:hRule="exact"/>
        </w:trPr>
        <w:tc>
          <w:tcPr>
            <w:tcW w:w="512" w:type="dxa"/>
            <w:tcBorders>
              <w:right w:val="nil"/>
            </w:tcBorders>
          </w:tcPr>
          <w:p>
            <w:pPr>
              <w:pStyle w:val="TableParagraph"/>
              <w:spacing w:line="202" w:lineRule="exact"/>
              <w:ind w:left="159" w:right="108"/>
              <w:jc w:val="center"/>
              <w:rPr>
                <w:sz w:val="18"/>
              </w:rPr>
            </w:pPr>
            <w:r>
              <w:rPr>
                <w:sz w:val="18"/>
              </w:rPr>
              <w:t>10</w:t>
            </w:r>
          </w:p>
        </w:tc>
        <w:tc>
          <w:tcPr>
            <w:tcW w:w="4601" w:type="dxa"/>
            <w:tcBorders>
              <w:left w:val="nil"/>
              <w:right w:val="nil"/>
            </w:tcBorders>
          </w:tcPr>
          <w:p>
            <w:pPr>
              <w:pStyle w:val="TableParagraph"/>
              <w:spacing w:line="202" w:lineRule="exact"/>
              <w:ind w:left="128" w:right="911"/>
              <w:rPr>
                <w:sz w:val="18"/>
              </w:rPr>
            </w:pPr>
            <w:r>
              <w:rPr>
                <w:sz w:val="18"/>
              </w:rPr>
              <w:t>Información sobre Deuda Federal.</w:t>
            </w:r>
          </w:p>
        </w:tc>
        <w:tc>
          <w:tcPr>
            <w:tcW w:w="1137" w:type="dxa"/>
            <w:tcBorders>
              <w:left w:val="nil"/>
              <w:right w:val="nil"/>
            </w:tcBorders>
          </w:tcPr>
          <w:p>
            <w:pPr>
              <w:pStyle w:val="TableParagraph"/>
              <w:spacing w:line="202" w:lineRule="exact"/>
              <w:ind w:left="448" w:right="448"/>
              <w:jc w:val="center"/>
              <w:rPr>
                <w:sz w:val="18"/>
              </w:rPr>
            </w:pPr>
            <w:r>
              <w:rPr>
                <w:sz w:val="18"/>
              </w:rPr>
              <w:t>27</w:t>
            </w:r>
          </w:p>
        </w:tc>
        <w:tc>
          <w:tcPr>
            <w:tcW w:w="1132" w:type="dxa"/>
            <w:tcBorders>
              <w:left w:val="nil"/>
              <w:right w:val="nil"/>
            </w:tcBorders>
          </w:tcPr>
          <w:p>
            <w:pPr>
              <w:pStyle w:val="TableParagraph"/>
              <w:spacing w:line="202" w:lineRule="exact"/>
              <w:ind w:left="445" w:right="447"/>
              <w:jc w:val="center"/>
              <w:rPr>
                <w:sz w:val="18"/>
              </w:rPr>
            </w:pPr>
            <w:r>
              <w:rPr>
                <w:sz w:val="18"/>
              </w:rPr>
              <w:t>25</w:t>
            </w:r>
          </w:p>
        </w:tc>
        <w:tc>
          <w:tcPr>
            <w:tcW w:w="1136" w:type="dxa"/>
            <w:tcBorders>
              <w:left w:val="nil"/>
            </w:tcBorders>
          </w:tcPr>
          <w:p>
            <w:pPr>
              <w:pStyle w:val="TableParagraph"/>
              <w:spacing w:line="202" w:lineRule="exact"/>
              <w:ind w:left="447" w:right="443"/>
              <w:jc w:val="center"/>
              <w:rPr>
                <w:sz w:val="18"/>
              </w:rPr>
            </w:pPr>
            <w:r>
              <w:rPr>
                <w:sz w:val="18"/>
              </w:rPr>
              <w:t>23</w:t>
            </w:r>
          </w:p>
        </w:tc>
      </w:tr>
      <w:tr>
        <w:trPr>
          <w:trHeight w:val="214" w:hRule="exact"/>
        </w:trPr>
        <w:tc>
          <w:tcPr>
            <w:tcW w:w="512" w:type="dxa"/>
            <w:tcBorders>
              <w:right w:val="nil"/>
            </w:tcBorders>
            <w:shd w:val="clear" w:color="auto" w:fill="E3E3E3"/>
          </w:tcPr>
          <w:p>
            <w:pPr>
              <w:pStyle w:val="TableParagraph"/>
              <w:spacing w:line="204" w:lineRule="exact"/>
              <w:ind w:left="159" w:right="108"/>
              <w:jc w:val="center"/>
              <w:rPr>
                <w:sz w:val="18"/>
              </w:rPr>
            </w:pPr>
            <w:r>
              <w:rPr>
                <w:sz w:val="18"/>
              </w:rPr>
              <w:t>11</w:t>
            </w:r>
          </w:p>
        </w:tc>
        <w:tc>
          <w:tcPr>
            <w:tcW w:w="4601" w:type="dxa"/>
            <w:tcBorders>
              <w:left w:val="nil"/>
              <w:right w:val="nil"/>
            </w:tcBorders>
            <w:shd w:val="clear" w:color="auto" w:fill="E3E3E3"/>
          </w:tcPr>
          <w:p>
            <w:pPr>
              <w:pStyle w:val="TableParagraph"/>
              <w:spacing w:line="204" w:lineRule="exact"/>
              <w:ind w:left="128"/>
              <w:rPr>
                <w:sz w:val="18"/>
              </w:rPr>
            </w:pPr>
            <w:r>
              <w:rPr>
                <w:sz w:val="18"/>
              </w:rPr>
              <w:t>Oportunidad de la Información Presupuestaria.</w:t>
            </w:r>
          </w:p>
        </w:tc>
        <w:tc>
          <w:tcPr>
            <w:tcW w:w="1137" w:type="dxa"/>
            <w:tcBorders>
              <w:left w:val="nil"/>
              <w:right w:val="nil"/>
            </w:tcBorders>
            <w:shd w:val="clear" w:color="auto" w:fill="E3E3E3"/>
          </w:tcPr>
          <w:p>
            <w:pPr>
              <w:pStyle w:val="TableParagraph"/>
              <w:spacing w:line="204" w:lineRule="exact"/>
              <w:ind w:left="448" w:right="448"/>
              <w:jc w:val="center"/>
              <w:rPr>
                <w:sz w:val="18"/>
              </w:rPr>
            </w:pPr>
            <w:r>
              <w:rPr>
                <w:sz w:val="18"/>
              </w:rPr>
              <w:t>27</w:t>
            </w:r>
          </w:p>
        </w:tc>
        <w:tc>
          <w:tcPr>
            <w:tcW w:w="1132" w:type="dxa"/>
            <w:tcBorders>
              <w:left w:val="nil"/>
              <w:right w:val="nil"/>
            </w:tcBorders>
            <w:shd w:val="clear" w:color="auto" w:fill="E3E3E3"/>
          </w:tcPr>
          <w:p>
            <w:pPr>
              <w:pStyle w:val="TableParagraph"/>
              <w:spacing w:line="204" w:lineRule="exact"/>
              <w:ind w:left="445" w:right="447"/>
              <w:jc w:val="center"/>
              <w:rPr>
                <w:sz w:val="18"/>
              </w:rPr>
            </w:pPr>
            <w:r>
              <w:rPr>
                <w:sz w:val="18"/>
              </w:rPr>
              <w:t>21</w:t>
            </w:r>
          </w:p>
        </w:tc>
        <w:tc>
          <w:tcPr>
            <w:tcW w:w="1136" w:type="dxa"/>
            <w:tcBorders>
              <w:left w:val="nil"/>
            </w:tcBorders>
            <w:shd w:val="clear" w:color="auto" w:fill="E3E3E3"/>
          </w:tcPr>
          <w:p>
            <w:pPr>
              <w:pStyle w:val="TableParagraph"/>
              <w:spacing w:line="204" w:lineRule="exact"/>
              <w:ind w:left="447" w:right="443"/>
              <w:jc w:val="center"/>
              <w:rPr>
                <w:sz w:val="18"/>
              </w:rPr>
            </w:pPr>
            <w:r>
              <w:rPr>
                <w:sz w:val="18"/>
              </w:rPr>
              <w:t>20</w:t>
            </w:r>
          </w:p>
        </w:tc>
      </w:tr>
      <w:tr>
        <w:trPr>
          <w:trHeight w:val="220" w:hRule="exact"/>
        </w:trPr>
        <w:tc>
          <w:tcPr>
            <w:tcW w:w="512" w:type="dxa"/>
            <w:tcBorders>
              <w:right w:val="nil"/>
            </w:tcBorders>
          </w:tcPr>
          <w:p>
            <w:pPr>
              <w:pStyle w:val="TableParagraph"/>
              <w:spacing w:line="206" w:lineRule="exact"/>
              <w:ind w:left="159" w:right="108"/>
              <w:jc w:val="center"/>
              <w:rPr>
                <w:sz w:val="18"/>
              </w:rPr>
            </w:pPr>
            <w:r>
              <w:rPr>
                <w:sz w:val="18"/>
              </w:rPr>
              <w:t>12</w:t>
            </w:r>
          </w:p>
        </w:tc>
        <w:tc>
          <w:tcPr>
            <w:tcW w:w="4601" w:type="dxa"/>
            <w:tcBorders>
              <w:left w:val="nil"/>
              <w:right w:val="nil"/>
            </w:tcBorders>
          </w:tcPr>
          <w:p>
            <w:pPr>
              <w:pStyle w:val="TableParagraph"/>
              <w:spacing w:line="206" w:lineRule="exact"/>
              <w:ind w:left="128"/>
              <w:rPr>
                <w:sz w:val="18"/>
              </w:rPr>
            </w:pPr>
            <w:r>
              <w:rPr>
                <w:sz w:val="18"/>
              </w:rPr>
              <w:t>Impacto del Gasto y Evaluación del Desempeño.</w:t>
            </w:r>
          </w:p>
        </w:tc>
        <w:tc>
          <w:tcPr>
            <w:tcW w:w="1137" w:type="dxa"/>
            <w:tcBorders>
              <w:left w:val="nil"/>
              <w:right w:val="nil"/>
            </w:tcBorders>
          </w:tcPr>
          <w:p>
            <w:pPr/>
          </w:p>
        </w:tc>
        <w:tc>
          <w:tcPr>
            <w:tcW w:w="1132" w:type="dxa"/>
            <w:tcBorders>
              <w:left w:val="nil"/>
              <w:right w:val="nil"/>
            </w:tcBorders>
          </w:tcPr>
          <w:p>
            <w:pPr/>
          </w:p>
        </w:tc>
        <w:tc>
          <w:tcPr>
            <w:tcW w:w="1136" w:type="dxa"/>
            <w:tcBorders>
              <w:left w:val="nil"/>
            </w:tcBorders>
          </w:tcPr>
          <w:p>
            <w:pPr>
              <w:pStyle w:val="TableParagraph"/>
              <w:spacing w:line="206" w:lineRule="exact"/>
              <w:ind w:left="447" w:right="443"/>
              <w:jc w:val="center"/>
              <w:rPr>
                <w:sz w:val="18"/>
              </w:rPr>
            </w:pPr>
            <w:r>
              <w:rPr>
                <w:sz w:val="18"/>
              </w:rPr>
              <w:t>18</w:t>
            </w:r>
          </w:p>
        </w:tc>
      </w:tr>
      <w:tr>
        <w:trPr>
          <w:trHeight w:val="216" w:hRule="exact"/>
        </w:trPr>
        <w:tc>
          <w:tcPr>
            <w:tcW w:w="512" w:type="dxa"/>
            <w:tcBorders>
              <w:right w:val="nil"/>
            </w:tcBorders>
            <w:shd w:val="clear" w:color="auto" w:fill="E3E3E3"/>
          </w:tcPr>
          <w:p>
            <w:pPr>
              <w:pStyle w:val="TableParagraph"/>
              <w:spacing w:line="202" w:lineRule="exact"/>
              <w:ind w:left="159" w:right="108"/>
              <w:jc w:val="center"/>
              <w:rPr>
                <w:sz w:val="18"/>
              </w:rPr>
            </w:pPr>
            <w:r>
              <w:rPr>
                <w:sz w:val="18"/>
              </w:rPr>
              <w:t>13</w:t>
            </w:r>
          </w:p>
        </w:tc>
        <w:tc>
          <w:tcPr>
            <w:tcW w:w="4601" w:type="dxa"/>
            <w:tcBorders>
              <w:left w:val="nil"/>
              <w:right w:val="nil"/>
            </w:tcBorders>
            <w:shd w:val="clear" w:color="auto" w:fill="E3E3E3"/>
          </w:tcPr>
          <w:p>
            <w:pPr>
              <w:pStyle w:val="TableParagraph"/>
              <w:spacing w:line="202" w:lineRule="exact"/>
              <w:ind w:left="128" w:right="911"/>
              <w:rPr>
                <w:sz w:val="18"/>
              </w:rPr>
            </w:pPr>
            <w:r>
              <w:rPr>
                <w:sz w:val="18"/>
              </w:rPr>
              <w:t>Asignación del Presupuesto.</w:t>
            </w:r>
          </w:p>
        </w:tc>
        <w:tc>
          <w:tcPr>
            <w:tcW w:w="1137" w:type="dxa"/>
            <w:tcBorders>
              <w:left w:val="nil"/>
              <w:right w:val="nil"/>
            </w:tcBorders>
            <w:shd w:val="clear" w:color="auto" w:fill="E3E3E3"/>
          </w:tcPr>
          <w:p>
            <w:pPr>
              <w:pStyle w:val="TableParagraph"/>
              <w:spacing w:line="202" w:lineRule="exact"/>
              <w:ind w:left="448" w:right="448"/>
              <w:jc w:val="center"/>
              <w:rPr>
                <w:sz w:val="18"/>
              </w:rPr>
            </w:pPr>
            <w:r>
              <w:rPr>
                <w:sz w:val="18"/>
              </w:rPr>
              <w:t>16</w:t>
            </w:r>
          </w:p>
        </w:tc>
        <w:tc>
          <w:tcPr>
            <w:tcW w:w="1132" w:type="dxa"/>
            <w:tcBorders>
              <w:left w:val="nil"/>
              <w:right w:val="nil"/>
            </w:tcBorders>
            <w:shd w:val="clear" w:color="auto" w:fill="E3E3E3"/>
          </w:tcPr>
          <w:p>
            <w:pPr>
              <w:pStyle w:val="TableParagraph"/>
              <w:spacing w:line="202" w:lineRule="exact"/>
              <w:ind w:left="445" w:right="447"/>
              <w:jc w:val="center"/>
              <w:rPr>
                <w:sz w:val="18"/>
              </w:rPr>
            </w:pPr>
            <w:r>
              <w:rPr>
                <w:sz w:val="18"/>
              </w:rPr>
              <w:t>24</w:t>
            </w:r>
          </w:p>
        </w:tc>
        <w:tc>
          <w:tcPr>
            <w:tcW w:w="1136" w:type="dxa"/>
            <w:tcBorders>
              <w:left w:val="nil"/>
            </w:tcBorders>
            <w:shd w:val="clear" w:color="auto" w:fill="E3E3E3"/>
          </w:tcPr>
          <w:p>
            <w:pPr>
              <w:pStyle w:val="TableParagraph"/>
              <w:spacing w:line="202" w:lineRule="exact"/>
              <w:ind w:left="447" w:right="443"/>
              <w:jc w:val="center"/>
              <w:rPr>
                <w:sz w:val="18"/>
              </w:rPr>
            </w:pPr>
            <w:r>
              <w:rPr>
                <w:sz w:val="18"/>
              </w:rPr>
              <w:t>15</w:t>
            </w:r>
          </w:p>
        </w:tc>
      </w:tr>
      <w:tr>
        <w:trPr>
          <w:trHeight w:val="424" w:hRule="exact"/>
        </w:trPr>
        <w:tc>
          <w:tcPr>
            <w:tcW w:w="512" w:type="dxa"/>
            <w:tcBorders>
              <w:right w:val="nil"/>
            </w:tcBorders>
          </w:tcPr>
          <w:p>
            <w:pPr>
              <w:pStyle w:val="TableParagraph"/>
              <w:spacing w:before="99"/>
              <w:ind w:left="159" w:right="108"/>
              <w:jc w:val="center"/>
              <w:rPr>
                <w:sz w:val="18"/>
              </w:rPr>
            </w:pPr>
            <w:r>
              <w:rPr>
                <w:sz w:val="18"/>
              </w:rPr>
              <w:t>14</w:t>
            </w:r>
          </w:p>
        </w:tc>
        <w:tc>
          <w:tcPr>
            <w:tcW w:w="4601" w:type="dxa"/>
            <w:tcBorders>
              <w:left w:val="nil"/>
              <w:right w:val="nil"/>
            </w:tcBorders>
          </w:tcPr>
          <w:p>
            <w:pPr>
              <w:pStyle w:val="TableParagraph"/>
              <w:spacing w:line="202" w:lineRule="exact"/>
              <w:ind w:left="128" w:right="911"/>
              <w:rPr>
                <w:sz w:val="18"/>
              </w:rPr>
            </w:pPr>
            <w:r>
              <w:rPr>
                <w:sz w:val="18"/>
              </w:rPr>
              <w:t>Evaluación de la Contraloría Interna</w:t>
            </w:r>
          </w:p>
          <w:p>
            <w:pPr>
              <w:pStyle w:val="TableParagraph"/>
              <w:spacing w:before="1"/>
              <w:ind w:left="128"/>
              <w:rPr>
                <w:sz w:val="18"/>
              </w:rPr>
            </w:pPr>
            <w:r>
              <w:rPr>
                <w:sz w:val="18"/>
              </w:rPr>
              <w:t>(Evaluación a la Secretaría de la Función Pública).</w:t>
            </w:r>
          </w:p>
        </w:tc>
        <w:tc>
          <w:tcPr>
            <w:tcW w:w="1137" w:type="dxa"/>
            <w:tcBorders>
              <w:left w:val="nil"/>
              <w:right w:val="nil"/>
            </w:tcBorders>
          </w:tcPr>
          <w:p>
            <w:pPr>
              <w:pStyle w:val="TableParagraph"/>
              <w:spacing w:before="7"/>
              <w:rPr>
                <w:sz w:val="17"/>
              </w:rPr>
            </w:pPr>
          </w:p>
          <w:p>
            <w:pPr>
              <w:pStyle w:val="TableParagraph"/>
              <w:ind w:left="448" w:right="448"/>
              <w:jc w:val="center"/>
              <w:rPr>
                <w:sz w:val="18"/>
              </w:rPr>
            </w:pPr>
            <w:r>
              <w:rPr>
                <w:sz w:val="18"/>
              </w:rPr>
              <w:t>11</w:t>
            </w:r>
          </w:p>
        </w:tc>
        <w:tc>
          <w:tcPr>
            <w:tcW w:w="1132" w:type="dxa"/>
            <w:tcBorders>
              <w:left w:val="nil"/>
              <w:right w:val="nil"/>
            </w:tcBorders>
          </w:tcPr>
          <w:p>
            <w:pPr>
              <w:pStyle w:val="TableParagraph"/>
              <w:spacing w:before="7"/>
              <w:rPr>
                <w:sz w:val="17"/>
              </w:rPr>
            </w:pPr>
          </w:p>
          <w:p>
            <w:pPr>
              <w:pStyle w:val="TableParagraph"/>
              <w:ind w:left="445" w:right="447"/>
              <w:jc w:val="center"/>
              <w:rPr>
                <w:sz w:val="18"/>
              </w:rPr>
            </w:pPr>
            <w:r>
              <w:rPr>
                <w:sz w:val="18"/>
              </w:rPr>
              <w:t>17</w:t>
            </w:r>
          </w:p>
        </w:tc>
        <w:tc>
          <w:tcPr>
            <w:tcW w:w="1136" w:type="dxa"/>
            <w:tcBorders>
              <w:left w:val="nil"/>
            </w:tcBorders>
          </w:tcPr>
          <w:p>
            <w:pPr>
              <w:pStyle w:val="TableParagraph"/>
              <w:spacing w:before="7"/>
              <w:rPr>
                <w:sz w:val="17"/>
              </w:rPr>
            </w:pPr>
          </w:p>
          <w:p>
            <w:pPr>
              <w:pStyle w:val="TableParagraph"/>
              <w:ind w:left="447" w:right="443"/>
              <w:jc w:val="center"/>
              <w:rPr>
                <w:sz w:val="18"/>
              </w:rPr>
            </w:pPr>
            <w:r>
              <w:rPr>
                <w:sz w:val="18"/>
              </w:rPr>
              <w:t>14</w:t>
            </w:r>
          </w:p>
        </w:tc>
      </w:tr>
      <w:tr>
        <w:trPr>
          <w:trHeight w:val="216" w:hRule="exact"/>
        </w:trPr>
        <w:tc>
          <w:tcPr>
            <w:tcW w:w="512" w:type="dxa"/>
            <w:tcBorders>
              <w:right w:val="nil"/>
            </w:tcBorders>
            <w:shd w:val="clear" w:color="auto" w:fill="E3E3E3"/>
          </w:tcPr>
          <w:p>
            <w:pPr>
              <w:pStyle w:val="TableParagraph"/>
              <w:spacing w:line="203" w:lineRule="exact"/>
              <w:ind w:left="159" w:right="108"/>
              <w:jc w:val="center"/>
              <w:rPr>
                <w:sz w:val="18"/>
              </w:rPr>
            </w:pPr>
            <w:r>
              <w:rPr>
                <w:sz w:val="18"/>
              </w:rPr>
              <w:t>15</w:t>
            </w:r>
          </w:p>
        </w:tc>
        <w:tc>
          <w:tcPr>
            <w:tcW w:w="4601" w:type="dxa"/>
            <w:tcBorders>
              <w:left w:val="nil"/>
              <w:right w:val="nil"/>
            </w:tcBorders>
            <w:shd w:val="clear" w:color="auto" w:fill="E3E3E3"/>
          </w:tcPr>
          <w:p>
            <w:pPr>
              <w:pStyle w:val="TableParagraph"/>
              <w:spacing w:line="203" w:lineRule="exact"/>
              <w:ind w:left="128" w:right="911"/>
              <w:rPr>
                <w:sz w:val="18"/>
              </w:rPr>
            </w:pPr>
            <w:r>
              <w:rPr>
                <w:sz w:val="18"/>
              </w:rPr>
              <w:t>Cambios del Presupuesto.</w:t>
            </w:r>
          </w:p>
        </w:tc>
        <w:tc>
          <w:tcPr>
            <w:tcW w:w="1137" w:type="dxa"/>
            <w:tcBorders>
              <w:left w:val="nil"/>
              <w:right w:val="nil"/>
            </w:tcBorders>
            <w:shd w:val="clear" w:color="auto" w:fill="E3E3E3"/>
          </w:tcPr>
          <w:p>
            <w:pPr>
              <w:pStyle w:val="TableParagraph"/>
              <w:spacing w:line="203" w:lineRule="exact"/>
              <w:ind w:left="448" w:right="448"/>
              <w:jc w:val="center"/>
              <w:rPr>
                <w:sz w:val="18"/>
              </w:rPr>
            </w:pPr>
            <w:r>
              <w:rPr>
                <w:sz w:val="18"/>
              </w:rPr>
              <w:t>14</w:t>
            </w:r>
          </w:p>
        </w:tc>
        <w:tc>
          <w:tcPr>
            <w:tcW w:w="1132" w:type="dxa"/>
            <w:tcBorders>
              <w:left w:val="nil"/>
              <w:right w:val="nil"/>
            </w:tcBorders>
            <w:shd w:val="clear" w:color="auto" w:fill="E3E3E3"/>
          </w:tcPr>
          <w:p>
            <w:pPr>
              <w:pStyle w:val="TableParagraph"/>
              <w:spacing w:line="203" w:lineRule="exact"/>
              <w:ind w:left="445" w:right="447"/>
              <w:jc w:val="center"/>
              <w:rPr>
                <w:sz w:val="18"/>
              </w:rPr>
            </w:pPr>
            <w:r>
              <w:rPr>
                <w:sz w:val="18"/>
              </w:rPr>
              <w:t>21</w:t>
            </w:r>
          </w:p>
        </w:tc>
        <w:tc>
          <w:tcPr>
            <w:tcW w:w="1136" w:type="dxa"/>
            <w:tcBorders>
              <w:left w:val="nil"/>
            </w:tcBorders>
            <w:shd w:val="clear" w:color="auto" w:fill="E3E3E3"/>
          </w:tcPr>
          <w:p>
            <w:pPr>
              <w:pStyle w:val="TableParagraph"/>
              <w:spacing w:line="203" w:lineRule="exact"/>
              <w:ind w:left="447" w:right="443"/>
              <w:jc w:val="center"/>
              <w:rPr>
                <w:sz w:val="18"/>
              </w:rPr>
            </w:pPr>
            <w:r>
              <w:rPr>
                <w:sz w:val="18"/>
              </w:rPr>
              <w:t>13</w:t>
            </w:r>
          </w:p>
        </w:tc>
      </w:tr>
      <w:tr>
        <w:trPr>
          <w:trHeight w:val="220" w:hRule="exact"/>
        </w:trPr>
        <w:tc>
          <w:tcPr>
            <w:tcW w:w="512" w:type="dxa"/>
            <w:tcBorders>
              <w:right w:val="nil"/>
            </w:tcBorders>
          </w:tcPr>
          <w:p>
            <w:pPr>
              <w:pStyle w:val="TableParagraph"/>
              <w:spacing w:line="206" w:lineRule="exact"/>
              <w:ind w:left="159" w:right="108"/>
              <w:jc w:val="center"/>
              <w:rPr>
                <w:sz w:val="18"/>
              </w:rPr>
            </w:pPr>
            <w:r>
              <w:rPr>
                <w:sz w:val="18"/>
              </w:rPr>
              <w:t>16</w:t>
            </w:r>
          </w:p>
        </w:tc>
        <w:tc>
          <w:tcPr>
            <w:tcW w:w="4601" w:type="dxa"/>
            <w:tcBorders>
              <w:left w:val="nil"/>
              <w:right w:val="nil"/>
            </w:tcBorders>
          </w:tcPr>
          <w:p>
            <w:pPr>
              <w:pStyle w:val="TableParagraph"/>
              <w:spacing w:line="206" w:lineRule="exact"/>
              <w:ind w:left="128" w:right="911"/>
              <w:rPr>
                <w:sz w:val="18"/>
              </w:rPr>
            </w:pPr>
            <w:r>
              <w:rPr>
                <w:sz w:val="18"/>
              </w:rPr>
              <w:t>Participación Ciudadana en el Presupuesto.</w:t>
            </w:r>
          </w:p>
        </w:tc>
        <w:tc>
          <w:tcPr>
            <w:tcW w:w="1137" w:type="dxa"/>
            <w:tcBorders>
              <w:left w:val="nil"/>
              <w:right w:val="nil"/>
            </w:tcBorders>
          </w:tcPr>
          <w:p>
            <w:pPr>
              <w:pStyle w:val="TableParagraph"/>
              <w:spacing w:line="206" w:lineRule="exact"/>
              <w:ind w:left="448" w:right="448"/>
              <w:jc w:val="center"/>
              <w:rPr>
                <w:sz w:val="18"/>
              </w:rPr>
            </w:pPr>
            <w:r>
              <w:rPr>
                <w:sz w:val="18"/>
              </w:rPr>
              <w:t>10</w:t>
            </w:r>
          </w:p>
        </w:tc>
        <w:tc>
          <w:tcPr>
            <w:tcW w:w="1132" w:type="dxa"/>
            <w:tcBorders>
              <w:left w:val="nil"/>
              <w:right w:val="nil"/>
            </w:tcBorders>
          </w:tcPr>
          <w:p>
            <w:pPr>
              <w:pStyle w:val="TableParagraph"/>
              <w:spacing w:line="206" w:lineRule="exact"/>
              <w:jc w:val="center"/>
              <w:rPr>
                <w:sz w:val="18"/>
              </w:rPr>
            </w:pPr>
            <w:r>
              <w:rPr>
                <w:w w:val="99"/>
                <w:sz w:val="18"/>
              </w:rPr>
              <w:t>5</w:t>
            </w:r>
          </w:p>
        </w:tc>
        <w:tc>
          <w:tcPr>
            <w:tcW w:w="1136" w:type="dxa"/>
            <w:tcBorders>
              <w:left w:val="nil"/>
            </w:tcBorders>
          </w:tcPr>
          <w:p>
            <w:pPr>
              <w:pStyle w:val="TableParagraph"/>
              <w:spacing w:line="206" w:lineRule="exact"/>
              <w:ind w:left="8"/>
              <w:jc w:val="center"/>
              <w:rPr>
                <w:sz w:val="18"/>
              </w:rPr>
            </w:pPr>
            <w:r>
              <w:rPr>
                <w:w w:val="99"/>
                <w:sz w:val="18"/>
              </w:rPr>
              <w:t>6</w:t>
            </w:r>
          </w:p>
        </w:tc>
      </w:tr>
    </w:tbl>
    <w:p>
      <w:pPr>
        <w:pStyle w:val="BodyText"/>
        <w:spacing w:before="4"/>
        <w:rPr>
          <w:sz w:val="11"/>
        </w:rPr>
      </w:pPr>
    </w:p>
    <w:p>
      <w:pPr>
        <w:tabs>
          <w:tab w:pos="2224" w:val="left" w:leader="none"/>
        </w:tabs>
        <w:spacing w:line="242" w:lineRule="auto" w:before="1"/>
        <w:ind w:left="2225" w:right="2221" w:hanging="784"/>
        <w:jc w:val="left"/>
        <w:rPr>
          <w:sz w:val="12"/>
        </w:rPr>
      </w:pPr>
      <w:r>
        <w:rPr>
          <w:sz w:val="12"/>
        </w:rPr>
        <w:t>FUENTE:</w:t>
        <w:tab/>
        <w:t>Elaboración propia con base en:  Fundar, Centro de Análisis e</w:t>
      </w:r>
      <w:r>
        <w:rPr>
          <w:spacing w:val="-21"/>
          <w:sz w:val="12"/>
        </w:rPr>
        <w:t> </w:t>
      </w:r>
      <w:r>
        <w:rPr>
          <w:sz w:val="12"/>
        </w:rPr>
        <w:t>Investigación,</w:t>
      </w:r>
      <w:r>
        <w:rPr>
          <w:spacing w:val="-5"/>
          <w:sz w:val="12"/>
        </w:rPr>
        <w:t> </w:t>
      </w:r>
      <w:r>
        <w:rPr>
          <w:sz w:val="12"/>
        </w:rPr>
        <w:t>A.C.</w:t>
      </w:r>
      <w:r>
        <w:rPr>
          <w:w w:val="100"/>
          <w:sz w:val="12"/>
        </w:rPr>
        <w:t> </w:t>
      </w:r>
      <w:r>
        <w:rPr>
          <w:sz w:val="12"/>
        </w:rPr>
        <w:t>Índice Latinoamericano de Transparencia Presupuestaria,</w:t>
      </w:r>
      <w:r>
        <w:rPr>
          <w:spacing w:val="-19"/>
          <w:sz w:val="12"/>
        </w:rPr>
        <w:t> </w:t>
      </w:r>
      <w:r>
        <w:rPr>
          <w:sz w:val="12"/>
        </w:rPr>
        <w:t>2011</w:t>
      </w:r>
    </w:p>
    <w:p>
      <w:pPr>
        <w:spacing w:line="135" w:lineRule="exact" w:before="0"/>
        <w:ind w:left="2225" w:right="0" w:firstLine="0"/>
        <w:jc w:val="left"/>
        <w:rPr>
          <w:sz w:val="12"/>
        </w:rPr>
      </w:pPr>
      <w:r>
        <w:rPr>
          <w:sz w:val="12"/>
        </w:rPr>
        <w:t>Disponible en: </w:t>
      </w:r>
      <w:hyperlink r:id="rId216">
        <w:r>
          <w:rPr>
            <w:color w:val="0000FF"/>
            <w:sz w:val="12"/>
            <w:u w:val="single" w:color="0000FF"/>
          </w:rPr>
          <w:t>http://iltpweb.org</w:t>
        </w:r>
        <w:r>
          <w:rPr>
            <w:color w:val="0000FF"/>
            <w:sz w:val="12"/>
          </w:rPr>
          <w:t>/</w:t>
        </w:r>
      </w:hyperlink>
    </w:p>
    <w:p>
      <w:pPr>
        <w:spacing w:before="2"/>
        <w:ind w:left="2225" w:right="0" w:firstLine="0"/>
        <w:jc w:val="left"/>
        <w:rPr>
          <w:sz w:val="12"/>
        </w:rPr>
      </w:pPr>
      <w:r>
        <w:rPr>
          <w:sz w:val="12"/>
        </w:rPr>
        <w:t>[Fecha de consulta: 8 de septiembre, 2015]</w:t>
      </w:r>
    </w:p>
    <w:p>
      <w:pPr>
        <w:pStyle w:val="BodyText"/>
        <w:rPr>
          <w:sz w:val="12"/>
        </w:rPr>
      </w:pPr>
    </w:p>
    <w:p>
      <w:pPr>
        <w:pStyle w:val="BodyText"/>
        <w:rPr>
          <w:sz w:val="12"/>
        </w:rPr>
      </w:pPr>
    </w:p>
    <w:p>
      <w:pPr>
        <w:pStyle w:val="BodyText"/>
        <w:spacing w:before="3"/>
        <w:rPr>
          <w:sz w:val="12"/>
        </w:rPr>
      </w:pPr>
    </w:p>
    <w:p>
      <w:pPr>
        <w:pStyle w:val="BodyText"/>
        <w:spacing w:line="360" w:lineRule="auto"/>
        <w:ind w:left="100" w:right="185" w:firstLine="427"/>
        <w:jc w:val="both"/>
      </w:pPr>
      <w:r>
        <w:rPr/>
        <w:t>El estudio indicó que, aunque se aprecian avances en la transparencia del presupuesto, los expertos expresaron insatisfacción por los resultados y sigue habiendo opacidad en las etapas presupuestarias. Respecto de las variables mejor evaluadas, el informe consideró y recomendó lo siguiente:</w:t>
      </w:r>
    </w:p>
    <w:p>
      <w:pPr>
        <w:spacing w:after="0" w:line="360" w:lineRule="auto"/>
        <w:jc w:val="both"/>
        <w:sectPr>
          <w:pgSz w:w="11910" w:h="16840"/>
          <w:pgMar w:header="0" w:footer="998" w:top="1340" w:bottom="1180" w:left="1600" w:right="1520"/>
        </w:sectPr>
      </w:pPr>
    </w:p>
    <w:p>
      <w:pPr>
        <w:pStyle w:val="BodyText"/>
        <w:spacing w:before="5"/>
        <w:rPr>
          <w:sz w:val="14"/>
        </w:rPr>
      </w:pPr>
    </w:p>
    <w:p>
      <w:pPr>
        <w:pStyle w:val="ListParagraph"/>
        <w:numPr>
          <w:ilvl w:val="0"/>
          <w:numId w:val="91"/>
        </w:numPr>
        <w:tabs>
          <w:tab w:pos="841" w:val="left" w:leader="none"/>
        </w:tabs>
        <w:spacing w:line="360" w:lineRule="auto" w:before="69" w:after="0"/>
        <w:ind w:left="841" w:right="104" w:hanging="361"/>
        <w:jc w:val="both"/>
        <w:rPr>
          <w:sz w:val="24"/>
        </w:rPr>
      </w:pPr>
      <w:r>
        <w:rPr>
          <w:sz w:val="24"/>
        </w:rPr>
        <w:t>Ley de Acceso a la información: No obliga al Poder Ejecutivo a</w:t>
      </w:r>
      <w:r>
        <w:rPr>
          <w:spacing w:val="-46"/>
          <w:sz w:val="24"/>
        </w:rPr>
        <w:t> </w:t>
      </w:r>
      <w:r>
        <w:rPr>
          <w:sz w:val="24"/>
        </w:rPr>
        <w:t>detallar la formulación del presupuesto; en la fase de discusión-aprobación algunas negociaciones son cerradas e impiden saber los criterios considerados para las reasignaciones presupuestarias; y en la etapa de evaluación, la ASF omite presentar información concreta sobre la atención de las recomendaciones. En el informe se sugiere llenar estos</w:t>
      </w:r>
      <w:r>
        <w:rPr>
          <w:spacing w:val="-24"/>
          <w:sz w:val="24"/>
        </w:rPr>
        <w:t> </w:t>
      </w:r>
      <w:r>
        <w:rPr>
          <w:sz w:val="24"/>
        </w:rPr>
        <w:t>vacíos.</w:t>
      </w:r>
    </w:p>
    <w:p>
      <w:pPr>
        <w:pStyle w:val="BodyText"/>
      </w:pPr>
    </w:p>
    <w:p>
      <w:pPr>
        <w:pStyle w:val="ListParagraph"/>
        <w:numPr>
          <w:ilvl w:val="0"/>
          <w:numId w:val="91"/>
        </w:numPr>
        <w:tabs>
          <w:tab w:pos="841" w:val="left" w:leader="none"/>
        </w:tabs>
        <w:spacing w:line="360" w:lineRule="auto" w:before="142" w:after="0"/>
        <w:ind w:left="841" w:right="106" w:hanging="361"/>
        <w:jc w:val="both"/>
        <w:rPr>
          <w:sz w:val="24"/>
        </w:rPr>
      </w:pPr>
      <w:r>
        <w:rPr>
          <w:sz w:val="24"/>
        </w:rPr>
        <w:t>Confianza en la información: Los resultados indican que los expertos desconfían de las proyecciones de ingresos de la autoridad hacendaria, </w:t>
      </w:r>
      <w:r>
        <w:rPr>
          <w:spacing w:val="-3"/>
          <w:sz w:val="24"/>
        </w:rPr>
        <w:t>ya </w:t>
      </w:r>
      <w:r>
        <w:rPr>
          <w:sz w:val="24"/>
        </w:rPr>
        <w:t>que éstas difieren de los datos observados al final del ejercicio fiscal. Los recursos excedentes, de acuerdo con los resultados de la ASF, son aplicados</w:t>
      </w:r>
      <w:r>
        <w:rPr>
          <w:spacing w:val="-18"/>
          <w:sz w:val="24"/>
        </w:rPr>
        <w:t> </w:t>
      </w:r>
      <w:r>
        <w:rPr>
          <w:sz w:val="24"/>
        </w:rPr>
        <w:t>en</w:t>
      </w:r>
      <w:r>
        <w:rPr>
          <w:spacing w:val="-16"/>
          <w:sz w:val="24"/>
        </w:rPr>
        <w:t> </w:t>
      </w:r>
      <w:r>
        <w:rPr>
          <w:sz w:val="24"/>
        </w:rPr>
        <w:t>otros</w:t>
      </w:r>
      <w:r>
        <w:rPr>
          <w:spacing w:val="-18"/>
          <w:sz w:val="24"/>
        </w:rPr>
        <w:t> </w:t>
      </w:r>
      <w:r>
        <w:rPr>
          <w:sz w:val="24"/>
        </w:rPr>
        <w:t>rubros</w:t>
      </w:r>
      <w:r>
        <w:rPr>
          <w:spacing w:val="-15"/>
          <w:sz w:val="24"/>
        </w:rPr>
        <w:t> </w:t>
      </w:r>
      <w:r>
        <w:rPr>
          <w:sz w:val="24"/>
        </w:rPr>
        <w:t>no</w:t>
      </w:r>
      <w:r>
        <w:rPr>
          <w:spacing w:val="-20"/>
          <w:sz w:val="24"/>
        </w:rPr>
        <w:t> </w:t>
      </w:r>
      <w:r>
        <w:rPr>
          <w:sz w:val="24"/>
        </w:rPr>
        <w:t>contemplados,</w:t>
      </w:r>
      <w:r>
        <w:rPr>
          <w:spacing w:val="-17"/>
          <w:sz w:val="24"/>
        </w:rPr>
        <w:t> </w:t>
      </w:r>
      <w:r>
        <w:rPr>
          <w:sz w:val="24"/>
        </w:rPr>
        <w:t>no</w:t>
      </w:r>
      <w:r>
        <w:rPr>
          <w:spacing w:val="-20"/>
          <w:sz w:val="24"/>
        </w:rPr>
        <w:t> </w:t>
      </w:r>
      <w:r>
        <w:rPr>
          <w:sz w:val="24"/>
        </w:rPr>
        <w:t>hay</w:t>
      </w:r>
      <w:r>
        <w:rPr>
          <w:spacing w:val="-22"/>
          <w:sz w:val="24"/>
        </w:rPr>
        <w:t> </w:t>
      </w:r>
      <w:r>
        <w:rPr>
          <w:sz w:val="24"/>
        </w:rPr>
        <w:t>criterios</w:t>
      </w:r>
      <w:r>
        <w:rPr>
          <w:spacing w:val="-18"/>
          <w:sz w:val="24"/>
        </w:rPr>
        <w:t> </w:t>
      </w:r>
      <w:r>
        <w:rPr>
          <w:sz w:val="24"/>
        </w:rPr>
        <w:t>definidos</w:t>
      </w:r>
      <w:r>
        <w:rPr>
          <w:spacing w:val="-15"/>
          <w:sz w:val="24"/>
        </w:rPr>
        <w:t> </w:t>
      </w:r>
      <w:r>
        <w:rPr>
          <w:sz w:val="24"/>
        </w:rPr>
        <w:t>para su asignación y la mayoría de estos se usaron en gasto corriente, en detrimento de la</w:t>
      </w:r>
      <w:r>
        <w:rPr>
          <w:spacing w:val="-19"/>
          <w:sz w:val="24"/>
        </w:rPr>
        <w:t> </w:t>
      </w:r>
      <w:r>
        <w:rPr>
          <w:sz w:val="24"/>
        </w:rPr>
        <w:t>inversión.</w:t>
      </w:r>
    </w:p>
    <w:p>
      <w:pPr>
        <w:pStyle w:val="BodyText"/>
      </w:pPr>
    </w:p>
    <w:p>
      <w:pPr>
        <w:pStyle w:val="BodyText"/>
        <w:spacing w:line="360" w:lineRule="auto" w:before="142"/>
        <w:ind w:left="841" w:right="102"/>
        <w:jc w:val="both"/>
      </w:pPr>
      <w:r>
        <w:rPr/>
        <w:t>El informe señaló que la ASF recomendó con antelación, disminuir la discrecionalidad en el manejo de estos recursos, mediante detallar en la Cuenta Pública todo lo concerniente a su asignación y uso.</w:t>
      </w:r>
    </w:p>
    <w:p>
      <w:pPr>
        <w:pStyle w:val="BodyText"/>
      </w:pPr>
    </w:p>
    <w:p>
      <w:pPr>
        <w:pStyle w:val="ListParagraph"/>
        <w:numPr>
          <w:ilvl w:val="0"/>
          <w:numId w:val="91"/>
        </w:numPr>
        <w:tabs>
          <w:tab w:pos="841" w:val="left" w:leader="none"/>
        </w:tabs>
        <w:spacing w:line="360" w:lineRule="auto" w:before="142" w:after="0"/>
        <w:ind w:left="841" w:right="101" w:hanging="361"/>
        <w:jc w:val="both"/>
        <w:rPr>
          <w:sz w:val="16"/>
        </w:rPr>
      </w:pPr>
      <w:r>
        <w:rPr>
          <w:sz w:val="24"/>
        </w:rPr>
        <w:t>Capacidades del Órgano de Control Externo (Evaluación a la ASF): Aunque ha aumentado el número de revisiones en 205% en la fiscalización a las Cuentas Públicas de 2003 a 2010, los encuestados consideraron que la corrupción no ha disminuido ya que perciben que</w:t>
      </w:r>
      <w:r>
        <w:rPr>
          <w:spacing w:val="-44"/>
          <w:sz w:val="24"/>
        </w:rPr>
        <w:t> </w:t>
      </w:r>
      <w:r>
        <w:rPr>
          <w:sz w:val="24"/>
        </w:rPr>
        <w:t>las conductas sancionatorias se ven limitadas. El documento refrendó la sugerencia de que la facultad sancionatoria esté a cargo de un ente autónomo.</w:t>
      </w:r>
      <w:r>
        <w:rPr>
          <w:position w:val="8"/>
          <w:sz w:val="16"/>
        </w:rPr>
        <w:t>152</w:t>
      </w:r>
    </w:p>
    <w:p>
      <w:pPr>
        <w:pStyle w:val="BodyText"/>
        <w:rPr>
          <w:sz w:val="36"/>
        </w:rPr>
      </w:pPr>
    </w:p>
    <w:p>
      <w:pPr>
        <w:pStyle w:val="ListParagraph"/>
        <w:numPr>
          <w:ilvl w:val="0"/>
          <w:numId w:val="91"/>
        </w:numPr>
        <w:tabs>
          <w:tab w:pos="841" w:val="left" w:leader="none"/>
        </w:tabs>
        <w:spacing w:line="360" w:lineRule="auto" w:before="0" w:after="0"/>
        <w:ind w:left="841" w:right="103" w:hanging="361"/>
        <w:jc w:val="both"/>
        <w:rPr>
          <w:sz w:val="24"/>
        </w:rPr>
      </w:pPr>
      <w:r>
        <w:rPr>
          <w:sz w:val="24"/>
        </w:rPr>
        <w:t>Atribuciones y participación del Poder Legislativo: No hay evidencia del uso de los indicadores de seguimiento y Gestión del Sistema de Evaluación del Desempeño (SED)  en la discusión del presupuesto   </w:t>
      </w:r>
      <w:r>
        <w:rPr>
          <w:spacing w:val="4"/>
          <w:sz w:val="24"/>
        </w:rPr>
        <w:t> </w:t>
      </w:r>
      <w:r>
        <w:rPr>
          <w:sz w:val="24"/>
        </w:rPr>
        <w:t>por</w:t>
      </w:r>
    </w:p>
    <w:p>
      <w:pPr>
        <w:pStyle w:val="BodyText"/>
        <w:spacing w:before="10"/>
        <w:rPr>
          <w:sz w:val="20"/>
        </w:rPr>
      </w:pPr>
      <w:r>
        <w:rPr/>
        <w:pict>
          <v:line style="position:absolute;mso-position-horizontal-relative:page;mso-position-vertical-relative:paragraph;z-index:11104;mso-wrap-distance-left:0;mso-wrap-distance-right:0" from="85.025002pt,14.353905pt" to="229.075002pt,14.353905pt" stroked="true" strokeweight=".79999pt" strokecolor="#000000">
            <w10:wrap type="topAndBottom"/>
          </v:line>
        </w:pict>
      </w:r>
    </w:p>
    <w:p>
      <w:pPr>
        <w:spacing w:line="249" w:lineRule="auto" w:before="60"/>
        <w:ind w:left="120" w:right="86" w:firstLine="0"/>
        <w:jc w:val="left"/>
        <w:rPr>
          <w:sz w:val="16"/>
        </w:rPr>
      </w:pPr>
      <w:r>
        <w:rPr>
          <w:rFonts w:ascii="Times New Roman" w:hAnsi="Times New Roman"/>
          <w:position w:val="7"/>
          <w:sz w:val="13"/>
        </w:rPr>
        <w:t>152</w:t>
      </w:r>
      <w:r>
        <w:rPr>
          <w:sz w:val="16"/>
        </w:rPr>
        <w:t>ASF, Mensaje del Auditor Superior de la Federación en la entrega del Informe de Resultado de la Fiscalización Superior de la Cuenta Pública 2010 a la H. Cámara de Diputados, p. 2.</w:t>
      </w:r>
    </w:p>
    <w:p>
      <w:pPr>
        <w:spacing w:line="240" w:lineRule="auto" w:before="0"/>
        <w:ind w:left="120" w:right="2186" w:firstLine="0"/>
        <w:jc w:val="left"/>
        <w:rPr>
          <w:sz w:val="16"/>
        </w:rPr>
      </w:pPr>
      <w:r>
        <w:rPr>
          <w:sz w:val="16"/>
        </w:rPr>
        <w:t>Disponible en: </w:t>
      </w:r>
      <w:hyperlink r:id="rId217">
        <w:r>
          <w:rPr>
            <w:color w:val="0000FF"/>
            <w:sz w:val="16"/>
            <w:u w:val="single" w:color="0000FF"/>
          </w:rPr>
          <w:t>http://www.asf.gob.mx/uploads/55_Informes_de_auditoria/IR2010PRES.pdf</w:t>
        </w:r>
      </w:hyperlink>
      <w:r>
        <w:rPr>
          <w:color w:val="0000FF"/>
          <w:sz w:val="16"/>
          <w:u w:val="single" w:color="0000FF"/>
        </w:rPr>
        <w:t> </w:t>
      </w:r>
      <w:r>
        <w:rPr>
          <w:sz w:val="16"/>
        </w:rPr>
        <w:t>[Fecha de consulta: 5 de septiembre, 2015]</w:t>
      </w:r>
    </w:p>
    <w:p>
      <w:pPr>
        <w:spacing w:after="0" w:line="240" w:lineRule="auto"/>
        <w:jc w:val="left"/>
        <w:rPr>
          <w:sz w:val="16"/>
        </w:rPr>
        <w:sectPr>
          <w:pgSz w:w="11910" w:h="16840"/>
          <w:pgMar w:header="0" w:footer="998" w:top="1580" w:bottom="1180" w:left="1580" w:right="1600"/>
        </w:sectPr>
      </w:pPr>
    </w:p>
    <w:p>
      <w:pPr>
        <w:pStyle w:val="BodyText"/>
        <w:spacing w:line="360" w:lineRule="auto" w:before="39"/>
        <w:ind w:left="821" w:right="122"/>
        <w:jc w:val="both"/>
      </w:pPr>
      <w:r>
        <w:rPr/>
        <w:t>parte</w:t>
      </w:r>
      <w:r>
        <w:rPr>
          <w:spacing w:val="-10"/>
        </w:rPr>
        <w:t> </w:t>
      </w:r>
      <w:r>
        <w:rPr/>
        <w:t>de</w:t>
      </w:r>
      <w:r>
        <w:rPr>
          <w:spacing w:val="-10"/>
        </w:rPr>
        <w:t> </w:t>
      </w:r>
      <w:r>
        <w:rPr/>
        <w:t>los</w:t>
      </w:r>
      <w:r>
        <w:rPr>
          <w:spacing w:val="-8"/>
        </w:rPr>
        <w:t> </w:t>
      </w:r>
      <w:r>
        <w:rPr/>
        <w:t>diputados,</w:t>
      </w:r>
      <w:r>
        <w:rPr>
          <w:spacing w:val="-7"/>
        </w:rPr>
        <w:t> </w:t>
      </w:r>
      <w:r>
        <w:rPr/>
        <w:t>se</w:t>
      </w:r>
      <w:r>
        <w:rPr>
          <w:spacing w:val="-10"/>
        </w:rPr>
        <w:t> </w:t>
      </w:r>
      <w:r>
        <w:rPr/>
        <w:t>considera</w:t>
      </w:r>
      <w:r>
        <w:rPr>
          <w:spacing w:val="-10"/>
        </w:rPr>
        <w:t> </w:t>
      </w:r>
      <w:r>
        <w:rPr/>
        <w:t>que</w:t>
      </w:r>
      <w:r>
        <w:rPr>
          <w:spacing w:val="-10"/>
        </w:rPr>
        <w:t> </w:t>
      </w:r>
      <w:r>
        <w:rPr/>
        <w:t>los</w:t>
      </w:r>
      <w:r>
        <w:rPr>
          <w:spacing w:val="-8"/>
        </w:rPr>
        <w:t> </w:t>
      </w:r>
      <w:r>
        <w:rPr/>
        <w:t>indicadores</w:t>
      </w:r>
      <w:r>
        <w:rPr>
          <w:spacing w:val="-8"/>
        </w:rPr>
        <w:t> </w:t>
      </w:r>
      <w:r>
        <w:rPr/>
        <w:t>son</w:t>
      </w:r>
      <w:r>
        <w:rPr>
          <w:spacing w:val="-10"/>
        </w:rPr>
        <w:t> </w:t>
      </w:r>
      <w:r>
        <w:rPr/>
        <w:t>deficientes</w:t>
      </w:r>
      <w:r>
        <w:rPr>
          <w:spacing w:val="-8"/>
        </w:rPr>
        <w:t> </w:t>
      </w:r>
      <w:r>
        <w:rPr/>
        <w:t>y otros, no consideran indicadores. Todo ello, mencionó el informe, inhibe el contrapeso del Legislativo en el</w:t>
      </w:r>
      <w:r>
        <w:rPr>
          <w:spacing w:val="-25"/>
        </w:rPr>
        <w:t> </w:t>
      </w:r>
      <w:r>
        <w:rPr/>
        <w:t>Ejecutivo.</w:t>
      </w:r>
    </w:p>
    <w:p>
      <w:pPr>
        <w:pStyle w:val="BodyText"/>
      </w:pPr>
    </w:p>
    <w:p>
      <w:pPr>
        <w:pStyle w:val="BodyText"/>
        <w:spacing w:line="362" w:lineRule="auto" w:before="142"/>
        <w:ind w:left="100" w:right="86"/>
      </w:pPr>
      <w:r>
        <w:rPr/>
        <w:t>Las variables con las menores calificaciones son las mismas que el estudio previo, por lo que realizó las recomendaciones siguientes:</w:t>
      </w:r>
    </w:p>
    <w:p>
      <w:pPr>
        <w:pStyle w:val="BodyText"/>
      </w:pPr>
    </w:p>
    <w:p>
      <w:pPr>
        <w:pStyle w:val="ListParagraph"/>
        <w:numPr>
          <w:ilvl w:val="0"/>
          <w:numId w:val="92"/>
        </w:numPr>
        <w:tabs>
          <w:tab w:pos="821" w:val="left" w:leader="none"/>
        </w:tabs>
        <w:spacing w:line="360" w:lineRule="auto" w:before="139" w:after="0"/>
        <w:ind w:left="821" w:right="118" w:hanging="361"/>
        <w:jc w:val="both"/>
        <w:rPr>
          <w:sz w:val="24"/>
        </w:rPr>
      </w:pPr>
      <w:r>
        <w:rPr>
          <w:sz w:val="24"/>
        </w:rPr>
        <w:t>Participación</w:t>
      </w:r>
      <w:r>
        <w:rPr>
          <w:spacing w:val="-13"/>
          <w:sz w:val="24"/>
        </w:rPr>
        <w:t> </w:t>
      </w:r>
      <w:r>
        <w:rPr>
          <w:sz w:val="24"/>
        </w:rPr>
        <w:t>ciudadana</w:t>
      </w:r>
      <w:r>
        <w:rPr>
          <w:spacing w:val="-13"/>
          <w:sz w:val="24"/>
        </w:rPr>
        <w:t> </w:t>
      </w:r>
      <w:r>
        <w:rPr>
          <w:sz w:val="24"/>
        </w:rPr>
        <w:t>en</w:t>
      </w:r>
      <w:r>
        <w:rPr>
          <w:spacing w:val="-13"/>
          <w:sz w:val="24"/>
        </w:rPr>
        <w:t> </w:t>
      </w:r>
      <w:r>
        <w:rPr>
          <w:sz w:val="24"/>
        </w:rPr>
        <w:t>el</w:t>
      </w:r>
      <w:r>
        <w:rPr>
          <w:spacing w:val="-12"/>
          <w:sz w:val="24"/>
        </w:rPr>
        <w:t> </w:t>
      </w:r>
      <w:r>
        <w:rPr>
          <w:sz w:val="24"/>
        </w:rPr>
        <w:t>presupuesto:</w:t>
      </w:r>
      <w:r>
        <w:rPr>
          <w:spacing w:val="-10"/>
          <w:sz w:val="24"/>
        </w:rPr>
        <w:t> </w:t>
      </w:r>
      <w:r>
        <w:rPr>
          <w:sz w:val="24"/>
        </w:rPr>
        <w:t>Aunque</w:t>
      </w:r>
      <w:r>
        <w:rPr>
          <w:spacing w:val="-13"/>
          <w:sz w:val="24"/>
        </w:rPr>
        <w:t> </w:t>
      </w:r>
      <w:r>
        <w:rPr>
          <w:sz w:val="24"/>
        </w:rPr>
        <w:t>se</w:t>
      </w:r>
      <w:r>
        <w:rPr>
          <w:spacing w:val="-13"/>
          <w:sz w:val="24"/>
        </w:rPr>
        <w:t> </w:t>
      </w:r>
      <w:r>
        <w:rPr>
          <w:sz w:val="24"/>
        </w:rPr>
        <w:t>ha</w:t>
      </w:r>
      <w:r>
        <w:rPr>
          <w:spacing w:val="-13"/>
          <w:sz w:val="24"/>
        </w:rPr>
        <w:t> </w:t>
      </w:r>
      <w:r>
        <w:rPr>
          <w:sz w:val="24"/>
        </w:rPr>
        <w:t>identificado</w:t>
      </w:r>
      <w:r>
        <w:rPr>
          <w:spacing w:val="-13"/>
          <w:sz w:val="24"/>
        </w:rPr>
        <w:t> </w:t>
      </w:r>
      <w:r>
        <w:rPr>
          <w:sz w:val="24"/>
        </w:rPr>
        <w:t>a</w:t>
      </w:r>
      <w:r>
        <w:rPr>
          <w:spacing w:val="-13"/>
          <w:sz w:val="24"/>
        </w:rPr>
        <w:t> </w:t>
      </w:r>
      <w:r>
        <w:rPr>
          <w:sz w:val="24"/>
        </w:rPr>
        <w:t>la variable como un elemento para legitimar las actividades gubernamentales, es la participación ciudadana la que refleja si las necesidades de la sociedad fueron consideradas en el presupuesto; de esta forma mejorará la transparencia y la rendición de</w:t>
      </w:r>
      <w:r>
        <w:rPr>
          <w:spacing w:val="-34"/>
          <w:sz w:val="24"/>
        </w:rPr>
        <w:t> </w:t>
      </w:r>
      <w:r>
        <w:rPr>
          <w:sz w:val="24"/>
        </w:rPr>
        <w:t>cuentas.</w:t>
      </w:r>
    </w:p>
    <w:p>
      <w:pPr>
        <w:pStyle w:val="BodyText"/>
      </w:pPr>
    </w:p>
    <w:p>
      <w:pPr>
        <w:pStyle w:val="BodyText"/>
        <w:spacing w:line="360" w:lineRule="auto" w:before="142"/>
        <w:ind w:left="821" w:right="117"/>
        <w:jc w:val="both"/>
      </w:pPr>
      <w:r>
        <w:rPr/>
        <w:t>Se consideró que hay avances en la compilación de opiniones ciudadanas, pero también se estima que esta participación es exclusiva para la gente especialista en presupuesto.</w:t>
      </w:r>
    </w:p>
    <w:p>
      <w:pPr>
        <w:pStyle w:val="BodyText"/>
      </w:pPr>
    </w:p>
    <w:p>
      <w:pPr>
        <w:pStyle w:val="ListParagraph"/>
        <w:numPr>
          <w:ilvl w:val="0"/>
          <w:numId w:val="92"/>
        </w:numPr>
        <w:tabs>
          <w:tab w:pos="821" w:val="left" w:leader="none"/>
        </w:tabs>
        <w:spacing w:line="360" w:lineRule="auto" w:before="142" w:after="0"/>
        <w:ind w:left="821" w:right="124" w:hanging="361"/>
        <w:jc w:val="both"/>
        <w:rPr>
          <w:sz w:val="24"/>
        </w:rPr>
      </w:pPr>
      <w:r>
        <w:rPr>
          <w:sz w:val="24"/>
        </w:rPr>
        <w:t>Cambios en el Presupuesto: Se observó que el presupuesto es inercial (rubros</w:t>
      </w:r>
      <w:r>
        <w:rPr>
          <w:spacing w:val="-7"/>
          <w:sz w:val="24"/>
        </w:rPr>
        <w:t> </w:t>
      </w:r>
      <w:r>
        <w:rPr>
          <w:sz w:val="24"/>
        </w:rPr>
        <w:t>sin</w:t>
      </w:r>
      <w:r>
        <w:rPr>
          <w:spacing w:val="-9"/>
          <w:sz w:val="24"/>
        </w:rPr>
        <w:t> </w:t>
      </w:r>
      <w:r>
        <w:rPr>
          <w:sz w:val="24"/>
        </w:rPr>
        <w:t>cambios</w:t>
      </w:r>
      <w:r>
        <w:rPr>
          <w:spacing w:val="-7"/>
          <w:sz w:val="24"/>
        </w:rPr>
        <w:t> </w:t>
      </w:r>
      <w:r>
        <w:rPr>
          <w:sz w:val="24"/>
        </w:rPr>
        <w:t>desde</w:t>
      </w:r>
      <w:r>
        <w:rPr>
          <w:spacing w:val="-9"/>
          <w:sz w:val="24"/>
        </w:rPr>
        <w:t> </w:t>
      </w:r>
      <w:r>
        <w:rPr>
          <w:sz w:val="24"/>
        </w:rPr>
        <w:t>años</w:t>
      </w:r>
      <w:r>
        <w:rPr>
          <w:spacing w:val="-7"/>
          <w:sz w:val="24"/>
        </w:rPr>
        <w:t> </w:t>
      </w:r>
      <w:r>
        <w:rPr>
          <w:sz w:val="24"/>
        </w:rPr>
        <w:t>atrás</w:t>
      </w:r>
      <w:r>
        <w:rPr>
          <w:spacing w:val="-3"/>
          <w:sz w:val="24"/>
        </w:rPr>
        <w:t> </w:t>
      </w:r>
      <w:r>
        <w:rPr>
          <w:sz w:val="24"/>
        </w:rPr>
        <w:t>porque</w:t>
      </w:r>
      <w:r>
        <w:rPr>
          <w:spacing w:val="-9"/>
          <w:sz w:val="24"/>
        </w:rPr>
        <w:t> </w:t>
      </w:r>
      <w:r>
        <w:rPr>
          <w:sz w:val="24"/>
        </w:rPr>
        <w:t>hay</w:t>
      </w:r>
      <w:r>
        <w:rPr>
          <w:spacing w:val="-11"/>
          <w:sz w:val="24"/>
        </w:rPr>
        <w:t> </w:t>
      </w:r>
      <w:r>
        <w:rPr>
          <w:sz w:val="24"/>
        </w:rPr>
        <w:t>gastos</w:t>
      </w:r>
      <w:r>
        <w:rPr>
          <w:spacing w:val="-7"/>
          <w:sz w:val="24"/>
        </w:rPr>
        <w:t> </w:t>
      </w:r>
      <w:r>
        <w:rPr>
          <w:sz w:val="24"/>
        </w:rPr>
        <w:t>comprometidos, como los sueldos y el pago de la deuda), lo que reduce el margen de maniobra de los</w:t>
      </w:r>
      <w:r>
        <w:rPr>
          <w:spacing w:val="-16"/>
          <w:sz w:val="24"/>
        </w:rPr>
        <w:t> </w:t>
      </w:r>
      <w:r>
        <w:rPr>
          <w:sz w:val="24"/>
        </w:rPr>
        <w:t>diputados.</w:t>
      </w:r>
    </w:p>
    <w:p>
      <w:pPr>
        <w:pStyle w:val="BodyText"/>
      </w:pPr>
    </w:p>
    <w:p>
      <w:pPr>
        <w:pStyle w:val="BodyText"/>
        <w:spacing w:line="360" w:lineRule="auto" w:before="142"/>
        <w:ind w:left="821" w:right="125"/>
        <w:jc w:val="both"/>
      </w:pPr>
      <w:r>
        <w:rPr/>
        <w:t>El informe identificó que existen programas sin indicadores, por lo que consideró la observación de la ASF de que los indicadores y el mismo SED deben ser revisados y a su vez, éstos deben usarse en la modificación y reasignación presupuestaria que realiza el Legislativo, ya que el no hacerlo, debilita el contrapeso requerido para el Ejecutivo.</w:t>
      </w:r>
    </w:p>
    <w:p>
      <w:pPr>
        <w:pStyle w:val="BodyText"/>
      </w:pPr>
    </w:p>
    <w:p>
      <w:pPr>
        <w:pStyle w:val="BodyText"/>
        <w:spacing w:line="357" w:lineRule="auto" w:before="142"/>
        <w:ind w:left="821" w:right="127"/>
        <w:jc w:val="both"/>
      </w:pPr>
      <w:r>
        <w:rPr/>
        <w:t>La ASF sugiere que el Ejecutivo presente información detallada en la Cuenta Pública.</w:t>
      </w:r>
    </w:p>
    <w:p>
      <w:pPr>
        <w:pStyle w:val="BodyText"/>
      </w:pPr>
    </w:p>
    <w:p>
      <w:pPr>
        <w:pStyle w:val="ListParagraph"/>
        <w:numPr>
          <w:ilvl w:val="0"/>
          <w:numId w:val="92"/>
        </w:numPr>
        <w:tabs>
          <w:tab w:pos="821" w:val="left" w:leader="none"/>
        </w:tabs>
        <w:spacing w:line="360" w:lineRule="auto" w:before="144" w:after="0"/>
        <w:ind w:left="821" w:right="123" w:hanging="361"/>
        <w:jc w:val="both"/>
        <w:rPr>
          <w:sz w:val="24"/>
        </w:rPr>
      </w:pPr>
      <w:r>
        <w:rPr>
          <w:sz w:val="24"/>
        </w:rPr>
        <w:t>Evaluación de la Contraloría Interna (evaluación a la Secretaría de la Función Pública): Aunque mejoró su calificación con respecto al estudio previo,  la  Secretaría  de  la  Función  Pública  (SFP)  al  momento  de</w:t>
      </w:r>
      <w:r>
        <w:rPr>
          <w:spacing w:val="-24"/>
          <w:sz w:val="24"/>
        </w:rPr>
        <w:t> </w:t>
      </w:r>
      <w:r>
        <w:rPr>
          <w:sz w:val="24"/>
        </w:rPr>
        <w:t>la</w:t>
      </w:r>
    </w:p>
    <w:p>
      <w:pPr>
        <w:spacing w:after="0" w:line="360" w:lineRule="auto"/>
        <w:jc w:val="both"/>
        <w:rPr>
          <w:sz w:val="24"/>
        </w:rPr>
        <w:sectPr>
          <w:footerReference w:type="default" r:id="rId218"/>
          <w:pgSz w:w="11910" w:h="16840"/>
          <w:pgMar w:footer="998" w:header="0" w:top="1360" w:bottom="1180" w:left="1600" w:right="1580"/>
        </w:sectPr>
      </w:pPr>
    </w:p>
    <w:p>
      <w:pPr>
        <w:pStyle w:val="BodyText"/>
        <w:spacing w:line="362" w:lineRule="auto" w:before="39"/>
        <w:ind w:left="821" w:right="82"/>
      </w:pPr>
      <w:r>
        <w:rPr/>
        <w:t>publicación</w:t>
      </w:r>
      <w:r>
        <w:rPr>
          <w:spacing w:val="-18"/>
        </w:rPr>
        <w:t> </w:t>
      </w:r>
      <w:r>
        <w:rPr/>
        <w:t>de</w:t>
      </w:r>
      <w:r>
        <w:rPr>
          <w:spacing w:val="-18"/>
        </w:rPr>
        <w:t> </w:t>
      </w:r>
      <w:r>
        <w:rPr/>
        <w:t>este</w:t>
      </w:r>
      <w:r>
        <w:rPr>
          <w:spacing w:val="-18"/>
        </w:rPr>
        <w:t> </w:t>
      </w:r>
      <w:r>
        <w:rPr/>
        <w:t>indicador,</w:t>
      </w:r>
      <w:r>
        <w:rPr>
          <w:spacing w:val="-15"/>
        </w:rPr>
        <w:t> </w:t>
      </w:r>
      <w:r>
        <w:rPr/>
        <w:t>tenía</w:t>
      </w:r>
      <w:r>
        <w:rPr>
          <w:spacing w:val="-14"/>
        </w:rPr>
        <w:t> </w:t>
      </w:r>
      <w:r>
        <w:rPr/>
        <w:t>pendiente</w:t>
      </w:r>
      <w:r>
        <w:rPr>
          <w:spacing w:val="-18"/>
        </w:rPr>
        <w:t> </w:t>
      </w:r>
      <w:r>
        <w:rPr/>
        <w:t>la</w:t>
      </w:r>
      <w:r>
        <w:rPr>
          <w:spacing w:val="-18"/>
        </w:rPr>
        <w:t> </w:t>
      </w:r>
      <w:r>
        <w:rPr/>
        <w:t>solventación</w:t>
      </w:r>
      <w:r>
        <w:rPr>
          <w:spacing w:val="-18"/>
        </w:rPr>
        <w:t> </w:t>
      </w:r>
      <w:r>
        <w:rPr/>
        <w:t>de</w:t>
      </w:r>
      <w:r>
        <w:rPr>
          <w:spacing w:val="-14"/>
        </w:rPr>
        <w:t> </w:t>
      </w:r>
      <w:r>
        <w:rPr/>
        <w:t>acciones de cuentas públicas de 2004 y</w:t>
      </w:r>
      <w:r>
        <w:rPr>
          <w:spacing w:val="-20"/>
        </w:rPr>
        <w:t> </w:t>
      </w:r>
      <w:r>
        <w:rPr/>
        <w:t>anteriores.</w:t>
      </w:r>
    </w:p>
    <w:p>
      <w:pPr>
        <w:pStyle w:val="BodyText"/>
      </w:pPr>
    </w:p>
    <w:p>
      <w:pPr>
        <w:pStyle w:val="BodyText"/>
        <w:spacing w:line="357" w:lineRule="auto" w:before="139"/>
        <w:ind w:left="821" w:right="38"/>
      </w:pPr>
      <w:r>
        <w:rPr/>
        <w:t>En opinión de los expertos encuestados, la SFP tiene impedimentos para cumplir con su labor y no ha contribuido a combatir la corrupción.</w:t>
      </w:r>
    </w:p>
    <w:p>
      <w:pPr>
        <w:pStyle w:val="BodyText"/>
      </w:pPr>
    </w:p>
    <w:p>
      <w:pPr>
        <w:pStyle w:val="BodyText"/>
        <w:spacing w:line="360" w:lineRule="auto" w:before="145"/>
        <w:ind w:left="100" w:right="101" w:firstLine="708"/>
        <w:jc w:val="both"/>
      </w:pPr>
      <w:r>
        <w:rPr/>
        <w:t>De acuerdo con Fundar, los resultados indican que los encuestados consideraron que el proceso presupuestario en México es su óptimo debido a</w:t>
      </w:r>
      <w:r>
        <w:rPr>
          <w:spacing w:val="-36"/>
        </w:rPr>
        <w:t> </w:t>
      </w:r>
      <w:r>
        <w:rPr/>
        <w:t>la publicación de las irregularidades detectadas al gasto público por parte de la ASF.</w:t>
      </w:r>
    </w:p>
    <w:p>
      <w:pPr>
        <w:pStyle w:val="BodyText"/>
        <w:spacing w:line="360" w:lineRule="auto" w:before="2"/>
        <w:ind w:left="100" w:right="107" w:firstLine="708"/>
        <w:jc w:val="both"/>
      </w:pPr>
      <w:r>
        <w:rPr/>
        <w:t>Los resultados por variable indican que la percepción sobre asignación del presupuesto obtuvo el mayor avance (9%), mientras que el mayor retroceso lo registró la LFTAIPG con una percepción 25% menor que el año previo.</w:t>
      </w:r>
    </w:p>
    <w:p>
      <w:pPr>
        <w:pStyle w:val="BodyText"/>
        <w:spacing w:before="11"/>
        <w:rPr>
          <w:sz w:val="35"/>
        </w:rPr>
      </w:pPr>
    </w:p>
    <w:p>
      <w:pPr>
        <w:pStyle w:val="ListParagraph"/>
        <w:numPr>
          <w:ilvl w:val="0"/>
          <w:numId w:val="90"/>
        </w:numPr>
        <w:tabs>
          <w:tab w:pos="397" w:val="left" w:leader="none"/>
        </w:tabs>
        <w:spacing w:line="362" w:lineRule="auto" w:before="0" w:after="0"/>
        <w:ind w:left="100" w:right="111" w:firstLine="0"/>
        <w:jc w:val="left"/>
        <w:rPr>
          <w:i/>
          <w:sz w:val="24"/>
        </w:rPr>
      </w:pPr>
      <w:r>
        <w:rPr>
          <w:i/>
          <w:sz w:val="24"/>
        </w:rPr>
        <w:t>Índice de Transparencia de la Disponibilidad de la Información Fiscal de las </w:t>
      </w:r>
      <w:r>
        <w:rPr>
          <w:i/>
          <w:sz w:val="24"/>
        </w:rPr>
        <w:t>Entidades Federativas</w:t>
      </w:r>
      <w:r>
        <w:rPr>
          <w:i/>
          <w:spacing w:val="-17"/>
          <w:sz w:val="24"/>
        </w:rPr>
        <w:t> </w:t>
      </w:r>
      <w:r>
        <w:rPr>
          <w:i/>
          <w:sz w:val="24"/>
        </w:rPr>
        <w:t>2013</w:t>
      </w:r>
    </w:p>
    <w:p>
      <w:pPr>
        <w:pStyle w:val="BodyText"/>
        <w:rPr>
          <w:i/>
        </w:rPr>
      </w:pPr>
    </w:p>
    <w:p>
      <w:pPr>
        <w:spacing w:line="360" w:lineRule="auto" w:before="139"/>
        <w:ind w:left="100" w:right="101" w:firstLine="427"/>
        <w:jc w:val="both"/>
        <w:rPr>
          <w:b/>
          <w:i/>
          <w:sz w:val="24"/>
        </w:rPr>
      </w:pPr>
      <w:r>
        <w:rPr>
          <w:sz w:val="24"/>
        </w:rPr>
        <w:t>El </w:t>
      </w:r>
      <w:r>
        <w:rPr>
          <w:i/>
          <w:sz w:val="24"/>
        </w:rPr>
        <w:t>Índice de Transparencia de la Disponibilidad de la Información Fiscal de </w:t>
      </w:r>
      <w:r>
        <w:rPr>
          <w:i/>
          <w:sz w:val="24"/>
        </w:rPr>
        <w:t>las Entidades Federativas 2013 </w:t>
      </w:r>
      <w:r>
        <w:rPr>
          <w:sz w:val="24"/>
        </w:rPr>
        <w:t>(ITDIF), elaborado por </w:t>
      </w:r>
      <w:r>
        <w:rPr>
          <w:i/>
          <w:sz w:val="24"/>
        </w:rPr>
        <w:t>A regional</w:t>
      </w:r>
      <w:r>
        <w:rPr>
          <w:sz w:val="24"/>
        </w:rPr>
        <w:t>y publicado en mayo de 2012, es un instrumento estadístico que evaluó y cuantificó la disponibilidad y calidad de la información financiera y fiscal de 2012, generada por los gobiernos estatales </w:t>
      </w:r>
      <w:r>
        <w:rPr>
          <w:i/>
          <w:sz w:val="24"/>
        </w:rPr>
        <w:t>(participaciones federales de los estados a los </w:t>
      </w:r>
      <w:r>
        <w:rPr>
          <w:i/>
          <w:sz w:val="24"/>
        </w:rPr>
        <w:t>municipios </w:t>
      </w:r>
      <w:r>
        <w:rPr>
          <w:sz w:val="24"/>
        </w:rPr>
        <w:t>e </w:t>
      </w:r>
      <w:r>
        <w:rPr>
          <w:i/>
          <w:sz w:val="24"/>
        </w:rPr>
        <w:t>impulso de los sistemas estatales de evaluación del desempeño). </w:t>
      </w:r>
      <w:r>
        <w:rPr>
          <w:sz w:val="24"/>
        </w:rPr>
        <w:t>La escala es de 0 a 100, donde los valores más altos representan mayor transparencia</w:t>
      </w:r>
      <w:r>
        <w:rPr>
          <w:b/>
          <w:i/>
          <w:sz w:val="24"/>
        </w:rPr>
        <w:t>.</w:t>
      </w:r>
    </w:p>
    <w:p>
      <w:pPr>
        <w:spacing w:after="0" w:line="360" w:lineRule="auto"/>
        <w:jc w:val="both"/>
        <w:rPr>
          <w:sz w:val="24"/>
        </w:rPr>
        <w:sectPr>
          <w:footerReference w:type="default" r:id="rId219"/>
          <w:pgSz w:w="11910" w:h="16840"/>
          <w:pgMar w:footer="998" w:header="0" w:top="1360" w:bottom="1180" w:left="1600" w:right="1600"/>
          <w:pgNumType w:start="161"/>
        </w:sectPr>
      </w:pPr>
    </w:p>
    <w:p>
      <w:pPr>
        <w:spacing w:before="57"/>
        <w:ind w:left="220" w:right="82" w:firstLine="0"/>
        <w:jc w:val="left"/>
        <w:rPr>
          <w:sz w:val="20"/>
        </w:rPr>
      </w:pPr>
      <w:bookmarkStart w:name="_bookmark94" w:id="126"/>
      <w:bookmarkEnd w:id="126"/>
      <w:r>
        <w:rPr/>
      </w:r>
      <w:r>
        <w:rPr>
          <w:sz w:val="20"/>
        </w:rPr>
        <w:t>Cuadro 4. 11. Índice de transparencia de la disponibilidad de la información fiscal, 2011-2012</w:t>
      </w:r>
    </w:p>
    <w:p>
      <w:pPr>
        <w:pStyle w:val="BodyText"/>
        <w:spacing w:before="10"/>
        <w:rPr>
          <w:sz w:val="17"/>
        </w:rPr>
      </w:pPr>
    </w:p>
    <w:tbl>
      <w:tblPr>
        <w:tblW w:w="0" w:type="auto"/>
        <w:jc w:val="left"/>
        <w:tblInd w:w="4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7"/>
        <w:gridCol w:w="1056"/>
        <w:gridCol w:w="1344"/>
        <w:gridCol w:w="1017"/>
        <w:gridCol w:w="1432"/>
        <w:gridCol w:w="952"/>
      </w:tblGrid>
      <w:tr>
        <w:trPr>
          <w:trHeight w:val="332" w:hRule="exact"/>
        </w:trPr>
        <w:tc>
          <w:tcPr>
            <w:tcW w:w="1897" w:type="dxa"/>
            <w:vMerge w:val="restart"/>
            <w:tcBorders>
              <w:top w:val="single" w:sz="8" w:space="0" w:color="D9D9D9"/>
              <w:left w:val="single" w:sz="8" w:space="0" w:color="D9D9D9"/>
              <w:right w:val="single" w:sz="8" w:space="0" w:color="D9D9D9"/>
            </w:tcBorders>
            <w:shd w:val="clear" w:color="auto" w:fill="000000"/>
          </w:tcPr>
          <w:p>
            <w:pPr>
              <w:pStyle w:val="TableParagraph"/>
              <w:spacing w:before="10"/>
              <w:rPr>
                <w:sz w:val="15"/>
              </w:rPr>
            </w:pPr>
          </w:p>
          <w:p>
            <w:pPr>
              <w:pStyle w:val="TableParagraph"/>
              <w:spacing w:before="1"/>
              <w:ind w:left="130"/>
              <w:rPr>
                <w:b/>
                <w:sz w:val="18"/>
              </w:rPr>
            </w:pPr>
            <w:r>
              <w:rPr>
                <w:b/>
                <w:color w:val="FFFFFF"/>
                <w:sz w:val="18"/>
              </w:rPr>
              <w:t>Entidad Federativa</w:t>
            </w:r>
          </w:p>
        </w:tc>
        <w:tc>
          <w:tcPr>
            <w:tcW w:w="2400" w:type="dxa"/>
            <w:gridSpan w:val="2"/>
            <w:tcBorders>
              <w:top w:val="single" w:sz="8" w:space="0" w:color="D9D9D9"/>
              <w:left w:val="single" w:sz="8" w:space="0" w:color="D9D9D9"/>
              <w:bottom w:val="single" w:sz="8" w:space="0" w:color="D9D9D9"/>
              <w:right w:val="single" w:sz="8" w:space="0" w:color="D9D9D9"/>
            </w:tcBorders>
            <w:shd w:val="clear" w:color="auto" w:fill="000000"/>
          </w:tcPr>
          <w:p>
            <w:pPr>
              <w:pStyle w:val="TableParagraph"/>
              <w:spacing w:before="99"/>
              <w:ind w:left="967" w:right="973"/>
              <w:jc w:val="center"/>
              <w:rPr>
                <w:b/>
                <w:sz w:val="18"/>
              </w:rPr>
            </w:pPr>
            <w:r>
              <w:rPr>
                <w:b/>
                <w:color w:val="FFFFFF"/>
                <w:sz w:val="18"/>
              </w:rPr>
              <w:t>2011</w:t>
            </w:r>
          </w:p>
        </w:tc>
        <w:tc>
          <w:tcPr>
            <w:tcW w:w="3401" w:type="dxa"/>
            <w:gridSpan w:val="3"/>
            <w:tcBorders>
              <w:top w:val="single" w:sz="8" w:space="0" w:color="D9D9D9"/>
              <w:left w:val="single" w:sz="8" w:space="0" w:color="D9D9D9"/>
              <w:bottom w:val="single" w:sz="8" w:space="0" w:color="D9D9D9"/>
              <w:right w:val="single" w:sz="8" w:space="0" w:color="D9D9D9"/>
            </w:tcBorders>
            <w:shd w:val="clear" w:color="auto" w:fill="000000"/>
          </w:tcPr>
          <w:p>
            <w:pPr>
              <w:pStyle w:val="TableParagraph"/>
              <w:spacing w:before="99"/>
              <w:ind w:left="1467" w:right="1472"/>
              <w:jc w:val="center"/>
              <w:rPr>
                <w:b/>
                <w:sz w:val="18"/>
              </w:rPr>
            </w:pPr>
            <w:r>
              <w:rPr>
                <w:b/>
                <w:color w:val="FFFFFF"/>
                <w:sz w:val="18"/>
              </w:rPr>
              <w:t>2012</w:t>
            </w:r>
          </w:p>
        </w:tc>
      </w:tr>
      <w:tr>
        <w:trPr>
          <w:trHeight w:val="270" w:hRule="exact"/>
        </w:trPr>
        <w:tc>
          <w:tcPr>
            <w:tcW w:w="1897" w:type="dxa"/>
            <w:vMerge/>
            <w:tcBorders>
              <w:left w:val="single" w:sz="8" w:space="0" w:color="D9D9D9"/>
              <w:bottom w:val="single" w:sz="3" w:space="0" w:color="FFFFFF"/>
              <w:right w:val="single" w:sz="8" w:space="0" w:color="D9D9D9"/>
            </w:tcBorders>
            <w:shd w:val="clear" w:color="auto" w:fill="000000"/>
          </w:tcPr>
          <w:p>
            <w:pPr/>
          </w:p>
        </w:tc>
        <w:tc>
          <w:tcPr>
            <w:tcW w:w="1056" w:type="dxa"/>
            <w:tcBorders>
              <w:top w:val="single" w:sz="8" w:space="0" w:color="D9D9D9"/>
              <w:left w:val="single" w:sz="8" w:space="0" w:color="D9D9D9"/>
              <w:bottom w:val="single" w:sz="3" w:space="0" w:color="FFFFFF"/>
              <w:right w:val="single" w:sz="8" w:space="0" w:color="D9D9D9"/>
            </w:tcBorders>
            <w:shd w:val="clear" w:color="auto" w:fill="000000"/>
          </w:tcPr>
          <w:p>
            <w:pPr>
              <w:pStyle w:val="TableParagraph"/>
              <w:spacing w:before="15"/>
              <w:ind w:left="297"/>
              <w:rPr>
                <w:b/>
                <w:sz w:val="18"/>
              </w:rPr>
            </w:pPr>
            <w:r>
              <w:rPr>
                <w:b/>
                <w:color w:val="FFFFFF"/>
                <w:sz w:val="18"/>
              </w:rPr>
              <w:t>Total</w:t>
            </w:r>
          </w:p>
        </w:tc>
        <w:tc>
          <w:tcPr>
            <w:tcW w:w="1344" w:type="dxa"/>
            <w:tcBorders>
              <w:top w:val="single" w:sz="8" w:space="0" w:color="D9D9D9"/>
              <w:left w:val="single" w:sz="8" w:space="0" w:color="D9D9D9"/>
              <w:bottom w:val="single" w:sz="3" w:space="0" w:color="FFFFFF"/>
              <w:right w:val="single" w:sz="8" w:space="0" w:color="D9D9D9"/>
            </w:tcBorders>
            <w:shd w:val="clear" w:color="auto" w:fill="000000"/>
          </w:tcPr>
          <w:p>
            <w:pPr>
              <w:pStyle w:val="TableParagraph"/>
              <w:spacing w:before="15"/>
              <w:ind w:right="286"/>
              <w:jc w:val="right"/>
              <w:rPr>
                <w:b/>
                <w:sz w:val="18"/>
              </w:rPr>
            </w:pPr>
            <w:r>
              <w:rPr>
                <w:b/>
                <w:color w:val="FFFFFF"/>
                <w:sz w:val="18"/>
              </w:rPr>
              <w:t>Posición</w:t>
            </w:r>
          </w:p>
        </w:tc>
        <w:tc>
          <w:tcPr>
            <w:tcW w:w="1017" w:type="dxa"/>
            <w:tcBorders>
              <w:top w:val="single" w:sz="8" w:space="0" w:color="D9D9D9"/>
              <w:left w:val="single" w:sz="8" w:space="0" w:color="D9D9D9"/>
              <w:bottom w:val="single" w:sz="3" w:space="0" w:color="FFFFFF"/>
              <w:right w:val="single" w:sz="8" w:space="0" w:color="D9D9D9"/>
            </w:tcBorders>
            <w:shd w:val="clear" w:color="auto" w:fill="000000"/>
          </w:tcPr>
          <w:p>
            <w:pPr>
              <w:pStyle w:val="TableParagraph"/>
              <w:spacing w:before="15"/>
              <w:ind w:left="263" w:right="262"/>
              <w:jc w:val="center"/>
              <w:rPr>
                <w:b/>
                <w:sz w:val="18"/>
              </w:rPr>
            </w:pPr>
            <w:r>
              <w:rPr>
                <w:b/>
                <w:color w:val="FFFFFF"/>
                <w:sz w:val="18"/>
              </w:rPr>
              <w:t>Total</w:t>
            </w:r>
          </w:p>
        </w:tc>
        <w:tc>
          <w:tcPr>
            <w:tcW w:w="1432" w:type="dxa"/>
            <w:tcBorders>
              <w:top w:val="single" w:sz="8" w:space="0" w:color="D9D9D9"/>
              <w:left w:val="single" w:sz="8" w:space="0" w:color="D9D9D9"/>
              <w:bottom w:val="single" w:sz="3" w:space="0" w:color="FFFFFF"/>
              <w:right w:val="single" w:sz="8" w:space="0" w:color="D9D9D9"/>
            </w:tcBorders>
            <w:shd w:val="clear" w:color="auto" w:fill="000000"/>
          </w:tcPr>
          <w:p>
            <w:pPr>
              <w:pStyle w:val="TableParagraph"/>
              <w:spacing w:before="15"/>
              <w:ind w:left="307" w:right="315"/>
              <w:jc w:val="center"/>
              <w:rPr>
                <w:b/>
                <w:sz w:val="18"/>
              </w:rPr>
            </w:pPr>
            <w:r>
              <w:rPr>
                <w:b/>
                <w:color w:val="FFFFFF"/>
                <w:sz w:val="18"/>
              </w:rPr>
              <w:t>Posición</w:t>
            </w:r>
          </w:p>
        </w:tc>
        <w:tc>
          <w:tcPr>
            <w:tcW w:w="952" w:type="dxa"/>
            <w:tcBorders>
              <w:top w:val="single" w:sz="8" w:space="0" w:color="D9D9D9"/>
              <w:left w:val="single" w:sz="8" w:space="0" w:color="D9D9D9"/>
              <w:bottom w:val="single" w:sz="3" w:space="0" w:color="FFFFFF"/>
            </w:tcBorders>
            <w:shd w:val="clear" w:color="auto" w:fill="000000"/>
          </w:tcPr>
          <w:p>
            <w:pPr>
              <w:pStyle w:val="TableParagraph"/>
              <w:spacing w:before="15"/>
              <w:ind w:left="246"/>
              <w:rPr>
                <w:b/>
                <w:sz w:val="18"/>
              </w:rPr>
            </w:pPr>
            <w:r>
              <w:rPr>
                <w:b/>
                <w:color w:val="FFFFFF"/>
                <w:sz w:val="18"/>
              </w:rPr>
              <w:t>Nivel</w:t>
            </w:r>
          </w:p>
        </w:tc>
      </w:tr>
      <w:tr>
        <w:trPr>
          <w:trHeight w:val="220" w:hRule="exact"/>
        </w:trPr>
        <w:tc>
          <w:tcPr>
            <w:tcW w:w="1897" w:type="dxa"/>
            <w:tcBorders>
              <w:top w:val="single" w:sz="3" w:space="0" w:color="FFFFFF"/>
              <w:left w:val="single" w:sz="3" w:space="0" w:color="000000"/>
              <w:right w:val="single" w:sz="3" w:space="0" w:color="000000"/>
            </w:tcBorders>
            <w:shd w:val="clear" w:color="auto" w:fill="92D050"/>
          </w:tcPr>
          <w:p>
            <w:pPr>
              <w:pStyle w:val="TableParagraph"/>
              <w:spacing w:line="202" w:lineRule="exact"/>
              <w:ind w:left="63"/>
              <w:rPr>
                <w:b/>
                <w:sz w:val="18"/>
              </w:rPr>
            </w:pPr>
            <w:r>
              <w:rPr>
                <w:b/>
                <w:sz w:val="18"/>
              </w:rPr>
              <w:t>Jalisco</w:t>
            </w:r>
          </w:p>
        </w:tc>
        <w:tc>
          <w:tcPr>
            <w:tcW w:w="1056" w:type="dxa"/>
            <w:tcBorders>
              <w:top w:val="single" w:sz="3" w:space="0" w:color="FFFFFF"/>
              <w:left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96.5</w:t>
            </w:r>
          </w:p>
        </w:tc>
        <w:tc>
          <w:tcPr>
            <w:tcW w:w="1344" w:type="dxa"/>
            <w:tcBorders>
              <w:top w:val="single" w:sz="3" w:space="0" w:color="FFFFFF"/>
              <w:left w:val="single" w:sz="3" w:space="0" w:color="000000"/>
              <w:right w:val="single" w:sz="3" w:space="0" w:color="000000"/>
            </w:tcBorders>
            <w:shd w:val="clear" w:color="auto" w:fill="92D050"/>
          </w:tcPr>
          <w:p>
            <w:pPr>
              <w:pStyle w:val="TableParagraph"/>
              <w:spacing w:line="202" w:lineRule="exact"/>
              <w:ind w:right="437"/>
              <w:jc w:val="right"/>
              <w:rPr>
                <w:b/>
                <w:sz w:val="18"/>
              </w:rPr>
            </w:pPr>
            <w:r>
              <w:rPr>
                <w:b/>
                <w:w w:val="99"/>
                <w:sz w:val="18"/>
              </w:rPr>
              <w:t>2</w:t>
            </w:r>
          </w:p>
        </w:tc>
        <w:tc>
          <w:tcPr>
            <w:tcW w:w="1017" w:type="dxa"/>
            <w:tcBorders>
              <w:top w:val="single" w:sz="3" w:space="0" w:color="FFFFFF"/>
              <w:left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95.10</w:t>
            </w:r>
          </w:p>
        </w:tc>
        <w:tc>
          <w:tcPr>
            <w:tcW w:w="1432" w:type="dxa"/>
            <w:tcBorders>
              <w:top w:val="single" w:sz="3" w:space="0" w:color="FFFFFF"/>
              <w:left w:val="single" w:sz="3" w:space="0" w:color="000000"/>
              <w:right w:val="single" w:sz="3" w:space="0" w:color="000000"/>
            </w:tcBorders>
            <w:shd w:val="clear" w:color="auto" w:fill="92D050"/>
          </w:tcPr>
          <w:p>
            <w:pPr>
              <w:pStyle w:val="TableParagraph"/>
              <w:spacing w:line="202" w:lineRule="exact"/>
              <w:ind w:right="2"/>
              <w:jc w:val="center"/>
              <w:rPr>
                <w:b/>
                <w:sz w:val="18"/>
              </w:rPr>
            </w:pPr>
            <w:r>
              <w:rPr>
                <w:b/>
                <w:w w:val="99"/>
                <w:sz w:val="18"/>
              </w:rPr>
              <w:t>1</w:t>
            </w:r>
          </w:p>
        </w:tc>
        <w:tc>
          <w:tcPr>
            <w:tcW w:w="952" w:type="dxa"/>
            <w:vMerge w:val="restart"/>
            <w:tcBorders>
              <w:top w:val="single" w:sz="3" w:space="0" w:color="FFFFFF"/>
              <w:left w:val="single" w:sz="3" w:space="0" w:color="000000"/>
              <w:right w:val="single" w:sz="3" w:space="0" w:color="000000"/>
            </w:tcBorders>
            <w:shd w:val="clear" w:color="auto" w:fill="92D050"/>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53"/>
              <w:ind w:left="300"/>
              <w:rPr>
                <w:b/>
                <w:sz w:val="18"/>
              </w:rPr>
            </w:pPr>
            <w:r>
              <w:rPr>
                <w:b/>
                <w:sz w:val="18"/>
              </w:rPr>
              <w:t>Alta</w:t>
            </w:r>
          </w:p>
        </w:tc>
      </w:tr>
      <w:tr>
        <w:trPr>
          <w:trHeight w:val="216" w:hRule="exact"/>
        </w:trPr>
        <w:tc>
          <w:tcPr>
            <w:tcW w:w="1897" w:type="dxa"/>
            <w:tcBorders>
              <w:left w:val="single" w:sz="3" w:space="0" w:color="000000"/>
              <w:right w:val="single" w:sz="3" w:space="0" w:color="000000"/>
            </w:tcBorders>
            <w:shd w:val="clear" w:color="auto" w:fill="92D050"/>
          </w:tcPr>
          <w:p>
            <w:pPr>
              <w:pStyle w:val="TableParagraph"/>
              <w:spacing w:line="202" w:lineRule="exact"/>
              <w:ind w:left="63"/>
              <w:rPr>
                <w:b/>
                <w:sz w:val="18"/>
              </w:rPr>
            </w:pPr>
            <w:r>
              <w:rPr>
                <w:b/>
                <w:sz w:val="18"/>
              </w:rPr>
              <w:t>Nayarit</w:t>
            </w:r>
          </w:p>
        </w:tc>
        <w:tc>
          <w:tcPr>
            <w:tcW w:w="1056" w:type="dxa"/>
            <w:tcBorders>
              <w:left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94.9</w:t>
            </w:r>
          </w:p>
        </w:tc>
        <w:tc>
          <w:tcPr>
            <w:tcW w:w="1344" w:type="dxa"/>
            <w:tcBorders>
              <w:left w:val="single" w:sz="3" w:space="0" w:color="000000"/>
              <w:right w:val="single" w:sz="3" w:space="0" w:color="000000"/>
            </w:tcBorders>
            <w:shd w:val="clear" w:color="auto" w:fill="92D050"/>
          </w:tcPr>
          <w:p>
            <w:pPr>
              <w:pStyle w:val="TableParagraph"/>
              <w:spacing w:line="202" w:lineRule="exact"/>
              <w:ind w:right="437"/>
              <w:jc w:val="right"/>
              <w:rPr>
                <w:b/>
                <w:sz w:val="18"/>
              </w:rPr>
            </w:pPr>
            <w:r>
              <w:rPr>
                <w:b/>
                <w:w w:val="99"/>
                <w:sz w:val="18"/>
              </w:rPr>
              <w:t>4</w:t>
            </w:r>
          </w:p>
        </w:tc>
        <w:tc>
          <w:tcPr>
            <w:tcW w:w="1017" w:type="dxa"/>
            <w:tcBorders>
              <w:left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95.10</w:t>
            </w:r>
          </w:p>
        </w:tc>
        <w:tc>
          <w:tcPr>
            <w:tcW w:w="1432" w:type="dxa"/>
            <w:tcBorders>
              <w:left w:val="single" w:sz="3" w:space="0" w:color="000000"/>
              <w:right w:val="single" w:sz="3" w:space="0" w:color="000000"/>
            </w:tcBorders>
            <w:shd w:val="clear" w:color="auto" w:fill="92D050"/>
          </w:tcPr>
          <w:p>
            <w:pPr>
              <w:pStyle w:val="TableParagraph"/>
              <w:spacing w:line="202" w:lineRule="exact"/>
              <w:ind w:right="2"/>
              <w:jc w:val="center"/>
              <w:rPr>
                <w:b/>
                <w:sz w:val="18"/>
              </w:rPr>
            </w:pPr>
            <w:r>
              <w:rPr>
                <w:b/>
                <w:w w:val="99"/>
                <w:sz w:val="18"/>
              </w:rPr>
              <w:t>1</w:t>
            </w:r>
          </w:p>
        </w:tc>
        <w:tc>
          <w:tcPr>
            <w:tcW w:w="952" w:type="dxa"/>
            <w:vMerge/>
            <w:tcBorders>
              <w:left w:val="single" w:sz="3" w:space="0" w:color="000000"/>
              <w:right w:val="single" w:sz="3" w:space="0" w:color="000000"/>
            </w:tcBorders>
            <w:shd w:val="clear" w:color="auto" w:fill="92D050"/>
          </w:tcPr>
          <w:p>
            <w:pPr/>
          </w:p>
        </w:tc>
      </w:tr>
      <w:tr>
        <w:trPr>
          <w:trHeight w:val="216" w:hRule="exact"/>
        </w:trPr>
        <w:tc>
          <w:tcPr>
            <w:tcW w:w="1897" w:type="dxa"/>
            <w:tcBorders>
              <w:left w:val="single" w:sz="3" w:space="0" w:color="000000"/>
              <w:right w:val="single" w:sz="3" w:space="0" w:color="000000"/>
            </w:tcBorders>
            <w:shd w:val="clear" w:color="auto" w:fill="92D050"/>
          </w:tcPr>
          <w:p>
            <w:pPr>
              <w:pStyle w:val="TableParagraph"/>
              <w:spacing w:line="202" w:lineRule="exact"/>
              <w:ind w:left="63"/>
              <w:rPr>
                <w:b/>
                <w:sz w:val="18"/>
              </w:rPr>
            </w:pPr>
            <w:r>
              <w:rPr>
                <w:b/>
                <w:sz w:val="18"/>
              </w:rPr>
              <w:t>Estado de México</w:t>
            </w:r>
          </w:p>
        </w:tc>
        <w:tc>
          <w:tcPr>
            <w:tcW w:w="1056" w:type="dxa"/>
            <w:tcBorders>
              <w:left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96.5</w:t>
            </w:r>
          </w:p>
        </w:tc>
        <w:tc>
          <w:tcPr>
            <w:tcW w:w="1344" w:type="dxa"/>
            <w:tcBorders>
              <w:left w:val="single" w:sz="3" w:space="0" w:color="000000"/>
              <w:right w:val="single" w:sz="3" w:space="0" w:color="000000"/>
            </w:tcBorders>
            <w:shd w:val="clear" w:color="auto" w:fill="92D050"/>
          </w:tcPr>
          <w:p>
            <w:pPr>
              <w:pStyle w:val="TableParagraph"/>
              <w:spacing w:line="202" w:lineRule="exact"/>
              <w:ind w:right="437"/>
              <w:jc w:val="right"/>
              <w:rPr>
                <w:b/>
                <w:sz w:val="18"/>
              </w:rPr>
            </w:pPr>
            <w:r>
              <w:rPr>
                <w:b/>
                <w:w w:val="99"/>
                <w:sz w:val="18"/>
              </w:rPr>
              <w:t>2</w:t>
            </w:r>
          </w:p>
        </w:tc>
        <w:tc>
          <w:tcPr>
            <w:tcW w:w="1017" w:type="dxa"/>
            <w:tcBorders>
              <w:left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93.64</w:t>
            </w:r>
          </w:p>
        </w:tc>
        <w:tc>
          <w:tcPr>
            <w:tcW w:w="1432" w:type="dxa"/>
            <w:tcBorders>
              <w:left w:val="single" w:sz="3" w:space="0" w:color="000000"/>
              <w:right w:val="single" w:sz="3" w:space="0" w:color="000000"/>
            </w:tcBorders>
            <w:shd w:val="clear" w:color="auto" w:fill="92D050"/>
          </w:tcPr>
          <w:p>
            <w:pPr>
              <w:pStyle w:val="TableParagraph"/>
              <w:spacing w:line="202" w:lineRule="exact"/>
              <w:ind w:right="2"/>
              <w:jc w:val="center"/>
              <w:rPr>
                <w:b/>
                <w:sz w:val="18"/>
              </w:rPr>
            </w:pPr>
            <w:r>
              <w:rPr>
                <w:b/>
                <w:w w:val="99"/>
                <w:sz w:val="18"/>
              </w:rPr>
              <w:t>2</w:t>
            </w:r>
          </w:p>
        </w:tc>
        <w:tc>
          <w:tcPr>
            <w:tcW w:w="952" w:type="dxa"/>
            <w:vMerge/>
            <w:tcBorders>
              <w:left w:val="single" w:sz="3" w:space="0" w:color="000000"/>
              <w:right w:val="single" w:sz="3" w:space="0" w:color="000000"/>
            </w:tcBorders>
            <w:shd w:val="clear" w:color="auto" w:fill="92D050"/>
          </w:tcPr>
          <w:p>
            <w:pPr/>
          </w:p>
        </w:tc>
      </w:tr>
      <w:tr>
        <w:trPr>
          <w:trHeight w:val="218" w:hRule="exact"/>
        </w:trPr>
        <w:tc>
          <w:tcPr>
            <w:tcW w:w="1897" w:type="dxa"/>
            <w:tcBorders>
              <w:left w:val="single" w:sz="3" w:space="0" w:color="000000"/>
              <w:right w:val="single" w:sz="3" w:space="0" w:color="000000"/>
            </w:tcBorders>
            <w:shd w:val="clear" w:color="auto" w:fill="92D050"/>
          </w:tcPr>
          <w:p>
            <w:pPr>
              <w:pStyle w:val="TableParagraph"/>
              <w:spacing w:line="202" w:lineRule="exact"/>
              <w:ind w:left="63"/>
              <w:rPr>
                <w:b/>
                <w:sz w:val="18"/>
              </w:rPr>
            </w:pPr>
            <w:r>
              <w:rPr>
                <w:b/>
                <w:sz w:val="18"/>
              </w:rPr>
              <w:t>Baja California Sur</w:t>
            </w:r>
          </w:p>
        </w:tc>
        <w:tc>
          <w:tcPr>
            <w:tcW w:w="1056" w:type="dxa"/>
            <w:tcBorders>
              <w:left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87.0</w:t>
            </w:r>
          </w:p>
        </w:tc>
        <w:tc>
          <w:tcPr>
            <w:tcW w:w="1344" w:type="dxa"/>
            <w:tcBorders>
              <w:left w:val="single" w:sz="3" w:space="0" w:color="000000"/>
              <w:right w:val="single" w:sz="3" w:space="0" w:color="000000"/>
            </w:tcBorders>
            <w:shd w:val="clear" w:color="auto" w:fill="92D050"/>
          </w:tcPr>
          <w:p>
            <w:pPr>
              <w:pStyle w:val="TableParagraph"/>
              <w:spacing w:line="202" w:lineRule="exact"/>
              <w:ind w:right="437"/>
              <w:jc w:val="right"/>
              <w:rPr>
                <w:b/>
                <w:sz w:val="18"/>
              </w:rPr>
            </w:pPr>
            <w:r>
              <w:rPr>
                <w:b/>
                <w:w w:val="99"/>
                <w:sz w:val="18"/>
              </w:rPr>
              <w:t>7</w:t>
            </w:r>
          </w:p>
        </w:tc>
        <w:tc>
          <w:tcPr>
            <w:tcW w:w="1017" w:type="dxa"/>
            <w:tcBorders>
              <w:left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92.34</w:t>
            </w:r>
          </w:p>
        </w:tc>
        <w:tc>
          <w:tcPr>
            <w:tcW w:w="1432" w:type="dxa"/>
            <w:tcBorders>
              <w:left w:val="single" w:sz="3" w:space="0" w:color="000000"/>
              <w:right w:val="single" w:sz="3" w:space="0" w:color="000000"/>
            </w:tcBorders>
            <w:shd w:val="clear" w:color="auto" w:fill="92D050"/>
          </w:tcPr>
          <w:p>
            <w:pPr>
              <w:pStyle w:val="TableParagraph"/>
              <w:spacing w:line="202" w:lineRule="exact"/>
              <w:ind w:right="2"/>
              <w:jc w:val="center"/>
              <w:rPr>
                <w:b/>
                <w:sz w:val="18"/>
              </w:rPr>
            </w:pPr>
            <w:r>
              <w:rPr>
                <w:b/>
                <w:w w:val="99"/>
                <w:sz w:val="18"/>
              </w:rPr>
              <w:t>3</w:t>
            </w:r>
          </w:p>
        </w:tc>
        <w:tc>
          <w:tcPr>
            <w:tcW w:w="952" w:type="dxa"/>
            <w:vMerge/>
            <w:tcBorders>
              <w:left w:val="single" w:sz="3" w:space="0" w:color="000000"/>
              <w:right w:val="single" w:sz="3" w:space="0" w:color="000000"/>
            </w:tcBorders>
            <w:shd w:val="clear" w:color="auto" w:fill="92D050"/>
          </w:tcPr>
          <w:p>
            <w:pPr/>
          </w:p>
        </w:tc>
      </w:tr>
      <w:tr>
        <w:trPr>
          <w:trHeight w:val="218" w:hRule="exact"/>
        </w:trPr>
        <w:tc>
          <w:tcPr>
            <w:tcW w:w="1897" w:type="dxa"/>
            <w:tcBorders>
              <w:left w:val="single" w:sz="3" w:space="0" w:color="000000"/>
              <w:right w:val="single" w:sz="3" w:space="0" w:color="000000"/>
            </w:tcBorders>
            <w:shd w:val="clear" w:color="auto" w:fill="92D050"/>
          </w:tcPr>
          <w:p>
            <w:pPr>
              <w:pStyle w:val="TableParagraph"/>
              <w:spacing w:line="204" w:lineRule="exact"/>
              <w:ind w:left="63"/>
              <w:rPr>
                <w:b/>
                <w:sz w:val="18"/>
              </w:rPr>
            </w:pPr>
            <w:r>
              <w:rPr>
                <w:b/>
                <w:sz w:val="18"/>
              </w:rPr>
              <w:t>Chihuahua</w:t>
            </w:r>
          </w:p>
        </w:tc>
        <w:tc>
          <w:tcPr>
            <w:tcW w:w="1056" w:type="dxa"/>
            <w:tcBorders>
              <w:left w:val="single" w:sz="3" w:space="0" w:color="000000"/>
              <w:right w:val="single" w:sz="3" w:space="0" w:color="000000"/>
            </w:tcBorders>
            <w:shd w:val="clear" w:color="auto" w:fill="92D050"/>
          </w:tcPr>
          <w:p>
            <w:pPr>
              <w:pStyle w:val="TableParagraph"/>
              <w:spacing w:line="204" w:lineRule="exact"/>
              <w:ind w:right="170"/>
              <w:jc w:val="right"/>
              <w:rPr>
                <w:b/>
                <w:sz w:val="18"/>
              </w:rPr>
            </w:pPr>
            <w:r>
              <w:rPr>
                <w:b/>
                <w:sz w:val="18"/>
              </w:rPr>
              <w:t>95.6</w:t>
            </w:r>
          </w:p>
        </w:tc>
        <w:tc>
          <w:tcPr>
            <w:tcW w:w="1344" w:type="dxa"/>
            <w:tcBorders>
              <w:left w:val="single" w:sz="3" w:space="0" w:color="000000"/>
              <w:right w:val="single" w:sz="3" w:space="0" w:color="000000"/>
            </w:tcBorders>
            <w:shd w:val="clear" w:color="auto" w:fill="92D050"/>
          </w:tcPr>
          <w:p>
            <w:pPr>
              <w:pStyle w:val="TableParagraph"/>
              <w:spacing w:line="204" w:lineRule="exact"/>
              <w:ind w:right="437"/>
              <w:jc w:val="right"/>
              <w:rPr>
                <w:b/>
                <w:sz w:val="18"/>
              </w:rPr>
            </w:pPr>
            <w:r>
              <w:rPr>
                <w:b/>
                <w:w w:val="99"/>
                <w:sz w:val="18"/>
              </w:rPr>
              <w:t>3</w:t>
            </w:r>
          </w:p>
        </w:tc>
        <w:tc>
          <w:tcPr>
            <w:tcW w:w="1017" w:type="dxa"/>
            <w:tcBorders>
              <w:left w:val="single" w:sz="3" w:space="0" w:color="000000"/>
              <w:right w:val="single" w:sz="3" w:space="0" w:color="000000"/>
            </w:tcBorders>
            <w:shd w:val="clear" w:color="auto" w:fill="92D050"/>
          </w:tcPr>
          <w:p>
            <w:pPr>
              <w:pStyle w:val="TableParagraph"/>
              <w:spacing w:line="204" w:lineRule="exact"/>
              <w:ind w:left="258" w:right="260"/>
              <w:jc w:val="center"/>
              <w:rPr>
                <w:b/>
                <w:sz w:val="18"/>
              </w:rPr>
            </w:pPr>
            <w:r>
              <w:rPr>
                <w:b/>
                <w:sz w:val="18"/>
              </w:rPr>
              <w:t>91.48</w:t>
            </w:r>
          </w:p>
        </w:tc>
        <w:tc>
          <w:tcPr>
            <w:tcW w:w="1432" w:type="dxa"/>
            <w:tcBorders>
              <w:left w:val="single" w:sz="3" w:space="0" w:color="000000"/>
              <w:right w:val="single" w:sz="3" w:space="0" w:color="000000"/>
            </w:tcBorders>
            <w:shd w:val="clear" w:color="auto" w:fill="92D050"/>
          </w:tcPr>
          <w:p>
            <w:pPr>
              <w:pStyle w:val="TableParagraph"/>
              <w:spacing w:line="204" w:lineRule="exact"/>
              <w:ind w:right="2"/>
              <w:jc w:val="center"/>
              <w:rPr>
                <w:b/>
                <w:sz w:val="18"/>
              </w:rPr>
            </w:pPr>
            <w:r>
              <w:rPr>
                <w:b/>
                <w:w w:val="99"/>
                <w:sz w:val="18"/>
              </w:rPr>
              <w:t>4</w:t>
            </w:r>
          </w:p>
        </w:tc>
        <w:tc>
          <w:tcPr>
            <w:tcW w:w="952" w:type="dxa"/>
            <w:vMerge/>
            <w:tcBorders>
              <w:left w:val="single" w:sz="3" w:space="0" w:color="000000"/>
              <w:right w:val="single" w:sz="3" w:space="0" w:color="000000"/>
            </w:tcBorders>
            <w:shd w:val="clear" w:color="auto" w:fill="92D050"/>
          </w:tcPr>
          <w:p>
            <w:pPr/>
          </w:p>
        </w:tc>
      </w:tr>
      <w:tr>
        <w:trPr>
          <w:trHeight w:val="216" w:hRule="exact"/>
        </w:trPr>
        <w:tc>
          <w:tcPr>
            <w:tcW w:w="1897" w:type="dxa"/>
            <w:tcBorders>
              <w:left w:val="single" w:sz="3" w:space="0" w:color="000000"/>
              <w:right w:val="single" w:sz="3" w:space="0" w:color="000000"/>
            </w:tcBorders>
            <w:shd w:val="clear" w:color="auto" w:fill="92D050"/>
          </w:tcPr>
          <w:p>
            <w:pPr>
              <w:pStyle w:val="TableParagraph"/>
              <w:spacing w:line="202" w:lineRule="exact"/>
              <w:ind w:left="63"/>
              <w:rPr>
                <w:b/>
                <w:sz w:val="18"/>
              </w:rPr>
            </w:pPr>
            <w:r>
              <w:rPr>
                <w:b/>
                <w:sz w:val="18"/>
              </w:rPr>
              <w:t>Oaxaca</w:t>
            </w:r>
          </w:p>
        </w:tc>
        <w:tc>
          <w:tcPr>
            <w:tcW w:w="1056" w:type="dxa"/>
            <w:tcBorders>
              <w:left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76.3</w:t>
            </w:r>
          </w:p>
        </w:tc>
        <w:tc>
          <w:tcPr>
            <w:tcW w:w="1344" w:type="dxa"/>
            <w:tcBorders>
              <w:left w:val="single" w:sz="3" w:space="0" w:color="000000"/>
              <w:right w:val="single" w:sz="3" w:space="0" w:color="000000"/>
            </w:tcBorders>
            <w:shd w:val="clear" w:color="auto" w:fill="92D050"/>
          </w:tcPr>
          <w:p>
            <w:pPr>
              <w:pStyle w:val="TableParagraph"/>
              <w:spacing w:line="202" w:lineRule="exact"/>
              <w:ind w:right="387"/>
              <w:jc w:val="right"/>
              <w:rPr>
                <w:b/>
                <w:sz w:val="18"/>
              </w:rPr>
            </w:pPr>
            <w:r>
              <w:rPr>
                <w:b/>
                <w:sz w:val="18"/>
              </w:rPr>
              <w:t>18</w:t>
            </w:r>
          </w:p>
        </w:tc>
        <w:tc>
          <w:tcPr>
            <w:tcW w:w="1017" w:type="dxa"/>
            <w:tcBorders>
              <w:left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90.16</w:t>
            </w:r>
          </w:p>
        </w:tc>
        <w:tc>
          <w:tcPr>
            <w:tcW w:w="1432" w:type="dxa"/>
            <w:tcBorders>
              <w:left w:val="single" w:sz="3" w:space="0" w:color="000000"/>
              <w:right w:val="single" w:sz="3" w:space="0" w:color="000000"/>
            </w:tcBorders>
            <w:shd w:val="clear" w:color="auto" w:fill="92D050"/>
          </w:tcPr>
          <w:p>
            <w:pPr>
              <w:pStyle w:val="TableParagraph"/>
              <w:spacing w:line="202" w:lineRule="exact"/>
              <w:ind w:right="2"/>
              <w:jc w:val="center"/>
              <w:rPr>
                <w:b/>
                <w:sz w:val="18"/>
              </w:rPr>
            </w:pPr>
            <w:r>
              <w:rPr>
                <w:b/>
                <w:w w:val="99"/>
                <w:sz w:val="18"/>
              </w:rPr>
              <w:t>5</w:t>
            </w:r>
          </w:p>
        </w:tc>
        <w:tc>
          <w:tcPr>
            <w:tcW w:w="952" w:type="dxa"/>
            <w:vMerge/>
            <w:tcBorders>
              <w:left w:val="single" w:sz="3" w:space="0" w:color="000000"/>
              <w:right w:val="single" w:sz="3" w:space="0" w:color="000000"/>
            </w:tcBorders>
            <w:shd w:val="clear" w:color="auto" w:fill="92D050"/>
          </w:tcPr>
          <w:p>
            <w:pPr/>
          </w:p>
        </w:tc>
      </w:tr>
      <w:tr>
        <w:trPr>
          <w:trHeight w:val="216" w:hRule="exact"/>
        </w:trPr>
        <w:tc>
          <w:tcPr>
            <w:tcW w:w="1897" w:type="dxa"/>
            <w:tcBorders>
              <w:left w:val="single" w:sz="3" w:space="0" w:color="000000"/>
              <w:right w:val="single" w:sz="3" w:space="0" w:color="000000"/>
            </w:tcBorders>
            <w:shd w:val="clear" w:color="auto" w:fill="92D050"/>
          </w:tcPr>
          <w:p>
            <w:pPr>
              <w:pStyle w:val="TableParagraph"/>
              <w:spacing w:line="202" w:lineRule="exact"/>
              <w:ind w:left="63"/>
              <w:rPr>
                <w:b/>
                <w:sz w:val="18"/>
              </w:rPr>
            </w:pPr>
            <w:r>
              <w:rPr>
                <w:b/>
                <w:sz w:val="18"/>
              </w:rPr>
              <w:t>Aguascalientes</w:t>
            </w:r>
          </w:p>
        </w:tc>
        <w:tc>
          <w:tcPr>
            <w:tcW w:w="1056" w:type="dxa"/>
            <w:tcBorders>
              <w:left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83.5</w:t>
            </w:r>
          </w:p>
        </w:tc>
        <w:tc>
          <w:tcPr>
            <w:tcW w:w="1344" w:type="dxa"/>
            <w:tcBorders>
              <w:left w:val="single" w:sz="3" w:space="0" w:color="000000"/>
              <w:right w:val="single" w:sz="3" w:space="0" w:color="000000"/>
            </w:tcBorders>
            <w:shd w:val="clear" w:color="auto" w:fill="92D050"/>
          </w:tcPr>
          <w:p>
            <w:pPr>
              <w:pStyle w:val="TableParagraph"/>
              <w:spacing w:line="202" w:lineRule="exact"/>
              <w:ind w:right="437"/>
              <w:jc w:val="right"/>
              <w:rPr>
                <w:b/>
                <w:sz w:val="18"/>
              </w:rPr>
            </w:pPr>
            <w:r>
              <w:rPr>
                <w:b/>
                <w:w w:val="99"/>
                <w:sz w:val="18"/>
              </w:rPr>
              <w:t>9</w:t>
            </w:r>
          </w:p>
        </w:tc>
        <w:tc>
          <w:tcPr>
            <w:tcW w:w="1017" w:type="dxa"/>
            <w:tcBorders>
              <w:left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87.55</w:t>
            </w:r>
          </w:p>
        </w:tc>
        <w:tc>
          <w:tcPr>
            <w:tcW w:w="1432" w:type="dxa"/>
            <w:tcBorders>
              <w:left w:val="single" w:sz="3" w:space="0" w:color="000000"/>
              <w:right w:val="single" w:sz="3" w:space="0" w:color="000000"/>
            </w:tcBorders>
            <w:shd w:val="clear" w:color="auto" w:fill="92D050"/>
          </w:tcPr>
          <w:p>
            <w:pPr>
              <w:pStyle w:val="TableParagraph"/>
              <w:spacing w:line="202" w:lineRule="exact"/>
              <w:ind w:right="2"/>
              <w:jc w:val="center"/>
              <w:rPr>
                <w:b/>
                <w:sz w:val="18"/>
              </w:rPr>
            </w:pPr>
            <w:r>
              <w:rPr>
                <w:b/>
                <w:w w:val="99"/>
                <w:sz w:val="18"/>
              </w:rPr>
              <w:t>6</w:t>
            </w:r>
          </w:p>
        </w:tc>
        <w:tc>
          <w:tcPr>
            <w:tcW w:w="952" w:type="dxa"/>
            <w:vMerge/>
            <w:tcBorders>
              <w:left w:val="single" w:sz="3" w:space="0" w:color="000000"/>
              <w:right w:val="single" w:sz="3" w:space="0" w:color="000000"/>
            </w:tcBorders>
            <w:shd w:val="clear" w:color="auto" w:fill="92D050"/>
          </w:tcPr>
          <w:p>
            <w:pPr/>
          </w:p>
        </w:tc>
      </w:tr>
      <w:tr>
        <w:trPr>
          <w:trHeight w:val="218" w:hRule="exact"/>
        </w:trPr>
        <w:tc>
          <w:tcPr>
            <w:tcW w:w="1897" w:type="dxa"/>
            <w:tcBorders>
              <w:left w:val="single" w:sz="3" w:space="0" w:color="000000"/>
              <w:right w:val="single" w:sz="3" w:space="0" w:color="000000"/>
            </w:tcBorders>
            <w:shd w:val="clear" w:color="auto" w:fill="92D050"/>
          </w:tcPr>
          <w:p>
            <w:pPr>
              <w:pStyle w:val="TableParagraph"/>
              <w:spacing w:line="202" w:lineRule="exact"/>
              <w:ind w:left="63"/>
              <w:rPr>
                <w:b/>
                <w:sz w:val="18"/>
              </w:rPr>
            </w:pPr>
            <w:r>
              <w:rPr>
                <w:b/>
                <w:sz w:val="18"/>
              </w:rPr>
              <w:t>Puebla</w:t>
            </w:r>
          </w:p>
        </w:tc>
        <w:tc>
          <w:tcPr>
            <w:tcW w:w="1056" w:type="dxa"/>
            <w:tcBorders>
              <w:left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76.1</w:t>
            </w:r>
          </w:p>
        </w:tc>
        <w:tc>
          <w:tcPr>
            <w:tcW w:w="1344" w:type="dxa"/>
            <w:tcBorders>
              <w:left w:val="single" w:sz="3" w:space="0" w:color="000000"/>
              <w:right w:val="single" w:sz="3" w:space="0" w:color="000000"/>
            </w:tcBorders>
            <w:shd w:val="clear" w:color="auto" w:fill="92D050"/>
          </w:tcPr>
          <w:p>
            <w:pPr>
              <w:pStyle w:val="TableParagraph"/>
              <w:spacing w:line="202" w:lineRule="exact"/>
              <w:ind w:right="387"/>
              <w:jc w:val="right"/>
              <w:rPr>
                <w:b/>
                <w:sz w:val="18"/>
              </w:rPr>
            </w:pPr>
            <w:r>
              <w:rPr>
                <w:b/>
                <w:sz w:val="18"/>
              </w:rPr>
              <w:t>19</w:t>
            </w:r>
          </w:p>
        </w:tc>
        <w:tc>
          <w:tcPr>
            <w:tcW w:w="1017" w:type="dxa"/>
            <w:tcBorders>
              <w:left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85.47</w:t>
            </w:r>
          </w:p>
        </w:tc>
        <w:tc>
          <w:tcPr>
            <w:tcW w:w="1432" w:type="dxa"/>
            <w:tcBorders>
              <w:left w:val="single" w:sz="3" w:space="0" w:color="000000"/>
              <w:right w:val="single" w:sz="3" w:space="0" w:color="000000"/>
            </w:tcBorders>
            <w:shd w:val="clear" w:color="auto" w:fill="92D050"/>
          </w:tcPr>
          <w:p>
            <w:pPr>
              <w:pStyle w:val="TableParagraph"/>
              <w:spacing w:line="202" w:lineRule="exact"/>
              <w:ind w:right="2"/>
              <w:jc w:val="center"/>
              <w:rPr>
                <w:b/>
                <w:sz w:val="18"/>
              </w:rPr>
            </w:pPr>
            <w:r>
              <w:rPr>
                <w:b/>
                <w:w w:val="99"/>
                <w:sz w:val="18"/>
              </w:rPr>
              <w:t>7</w:t>
            </w:r>
          </w:p>
        </w:tc>
        <w:tc>
          <w:tcPr>
            <w:tcW w:w="952" w:type="dxa"/>
            <w:vMerge/>
            <w:tcBorders>
              <w:left w:val="single" w:sz="3" w:space="0" w:color="000000"/>
              <w:right w:val="single" w:sz="3" w:space="0" w:color="000000"/>
            </w:tcBorders>
            <w:shd w:val="clear" w:color="auto" w:fill="92D050"/>
          </w:tcPr>
          <w:p>
            <w:pPr/>
          </w:p>
        </w:tc>
      </w:tr>
      <w:tr>
        <w:trPr>
          <w:trHeight w:val="218" w:hRule="exact"/>
        </w:trPr>
        <w:tc>
          <w:tcPr>
            <w:tcW w:w="1897" w:type="dxa"/>
            <w:tcBorders>
              <w:left w:val="single" w:sz="3" w:space="0" w:color="000000"/>
              <w:right w:val="single" w:sz="3" w:space="0" w:color="000000"/>
            </w:tcBorders>
            <w:shd w:val="clear" w:color="auto" w:fill="92D050"/>
          </w:tcPr>
          <w:p>
            <w:pPr>
              <w:pStyle w:val="TableParagraph"/>
              <w:spacing w:line="204" w:lineRule="exact"/>
              <w:ind w:left="63"/>
              <w:rPr>
                <w:b/>
                <w:sz w:val="18"/>
              </w:rPr>
            </w:pPr>
            <w:r>
              <w:rPr>
                <w:b/>
                <w:sz w:val="18"/>
              </w:rPr>
              <w:t>Guanajuato</w:t>
            </w:r>
          </w:p>
        </w:tc>
        <w:tc>
          <w:tcPr>
            <w:tcW w:w="1056" w:type="dxa"/>
            <w:tcBorders>
              <w:left w:val="single" w:sz="3" w:space="0" w:color="000000"/>
              <w:right w:val="single" w:sz="3" w:space="0" w:color="000000"/>
            </w:tcBorders>
            <w:shd w:val="clear" w:color="auto" w:fill="92D050"/>
          </w:tcPr>
          <w:p>
            <w:pPr>
              <w:pStyle w:val="TableParagraph"/>
              <w:spacing w:line="204" w:lineRule="exact"/>
              <w:ind w:right="170"/>
              <w:jc w:val="right"/>
              <w:rPr>
                <w:b/>
                <w:sz w:val="18"/>
              </w:rPr>
            </w:pPr>
            <w:r>
              <w:rPr>
                <w:b/>
                <w:sz w:val="18"/>
              </w:rPr>
              <w:t>66.9</w:t>
            </w:r>
          </w:p>
        </w:tc>
        <w:tc>
          <w:tcPr>
            <w:tcW w:w="1344" w:type="dxa"/>
            <w:tcBorders>
              <w:left w:val="single" w:sz="3" w:space="0" w:color="000000"/>
              <w:right w:val="single" w:sz="3" w:space="0" w:color="000000"/>
            </w:tcBorders>
            <w:shd w:val="clear" w:color="auto" w:fill="92D050"/>
          </w:tcPr>
          <w:p>
            <w:pPr>
              <w:pStyle w:val="TableParagraph"/>
              <w:spacing w:line="204" w:lineRule="exact"/>
              <w:ind w:right="387"/>
              <w:jc w:val="right"/>
              <w:rPr>
                <w:b/>
                <w:sz w:val="18"/>
              </w:rPr>
            </w:pPr>
            <w:r>
              <w:rPr>
                <w:b/>
                <w:sz w:val="18"/>
              </w:rPr>
              <w:t>22</w:t>
            </w:r>
          </w:p>
        </w:tc>
        <w:tc>
          <w:tcPr>
            <w:tcW w:w="1017" w:type="dxa"/>
            <w:tcBorders>
              <w:left w:val="single" w:sz="3" w:space="0" w:color="000000"/>
              <w:right w:val="single" w:sz="3" w:space="0" w:color="000000"/>
            </w:tcBorders>
            <w:shd w:val="clear" w:color="auto" w:fill="92D050"/>
          </w:tcPr>
          <w:p>
            <w:pPr>
              <w:pStyle w:val="TableParagraph"/>
              <w:spacing w:line="204" w:lineRule="exact"/>
              <w:ind w:left="258" w:right="260"/>
              <w:jc w:val="center"/>
              <w:rPr>
                <w:b/>
                <w:sz w:val="18"/>
              </w:rPr>
            </w:pPr>
            <w:r>
              <w:rPr>
                <w:b/>
                <w:sz w:val="18"/>
              </w:rPr>
              <w:t>81.22</w:t>
            </w:r>
          </w:p>
        </w:tc>
        <w:tc>
          <w:tcPr>
            <w:tcW w:w="1432" w:type="dxa"/>
            <w:tcBorders>
              <w:left w:val="single" w:sz="3" w:space="0" w:color="000000"/>
              <w:right w:val="single" w:sz="3" w:space="0" w:color="000000"/>
            </w:tcBorders>
            <w:shd w:val="clear" w:color="auto" w:fill="92D050"/>
          </w:tcPr>
          <w:p>
            <w:pPr>
              <w:pStyle w:val="TableParagraph"/>
              <w:spacing w:line="204" w:lineRule="exact"/>
              <w:ind w:right="2"/>
              <w:jc w:val="center"/>
              <w:rPr>
                <w:b/>
                <w:sz w:val="18"/>
              </w:rPr>
            </w:pPr>
            <w:r>
              <w:rPr>
                <w:b/>
                <w:w w:val="99"/>
                <w:sz w:val="18"/>
              </w:rPr>
              <w:t>8</w:t>
            </w:r>
          </w:p>
        </w:tc>
        <w:tc>
          <w:tcPr>
            <w:tcW w:w="952" w:type="dxa"/>
            <w:vMerge/>
            <w:tcBorders>
              <w:left w:val="single" w:sz="3" w:space="0" w:color="000000"/>
              <w:right w:val="single" w:sz="3" w:space="0" w:color="000000"/>
            </w:tcBorders>
            <w:shd w:val="clear" w:color="auto" w:fill="92D050"/>
          </w:tcPr>
          <w:p>
            <w:pPr/>
          </w:p>
        </w:tc>
      </w:tr>
      <w:tr>
        <w:trPr>
          <w:trHeight w:val="216" w:hRule="exact"/>
        </w:trPr>
        <w:tc>
          <w:tcPr>
            <w:tcW w:w="1897" w:type="dxa"/>
            <w:tcBorders>
              <w:left w:val="single" w:sz="3" w:space="0" w:color="000000"/>
              <w:right w:val="single" w:sz="3" w:space="0" w:color="000000"/>
            </w:tcBorders>
            <w:shd w:val="clear" w:color="auto" w:fill="92D050"/>
          </w:tcPr>
          <w:p>
            <w:pPr>
              <w:pStyle w:val="TableParagraph"/>
              <w:spacing w:line="202" w:lineRule="exact"/>
              <w:ind w:left="63"/>
              <w:rPr>
                <w:b/>
                <w:sz w:val="18"/>
              </w:rPr>
            </w:pPr>
            <w:r>
              <w:rPr>
                <w:b/>
                <w:sz w:val="18"/>
              </w:rPr>
              <w:t>Chiapas</w:t>
            </w:r>
          </w:p>
        </w:tc>
        <w:tc>
          <w:tcPr>
            <w:tcW w:w="1056" w:type="dxa"/>
            <w:tcBorders>
              <w:left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96.7</w:t>
            </w:r>
          </w:p>
        </w:tc>
        <w:tc>
          <w:tcPr>
            <w:tcW w:w="1344" w:type="dxa"/>
            <w:tcBorders>
              <w:left w:val="single" w:sz="3" w:space="0" w:color="000000"/>
              <w:right w:val="single" w:sz="3" w:space="0" w:color="000000"/>
            </w:tcBorders>
            <w:shd w:val="clear" w:color="auto" w:fill="92D050"/>
          </w:tcPr>
          <w:p>
            <w:pPr>
              <w:pStyle w:val="TableParagraph"/>
              <w:spacing w:line="202" w:lineRule="exact"/>
              <w:ind w:right="437"/>
              <w:jc w:val="right"/>
              <w:rPr>
                <w:b/>
                <w:sz w:val="18"/>
              </w:rPr>
            </w:pPr>
            <w:r>
              <w:rPr>
                <w:b/>
                <w:w w:val="99"/>
                <w:sz w:val="18"/>
              </w:rPr>
              <w:t>1</w:t>
            </w:r>
          </w:p>
        </w:tc>
        <w:tc>
          <w:tcPr>
            <w:tcW w:w="1017" w:type="dxa"/>
            <w:tcBorders>
              <w:left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80.90</w:t>
            </w:r>
          </w:p>
        </w:tc>
        <w:tc>
          <w:tcPr>
            <w:tcW w:w="1432" w:type="dxa"/>
            <w:tcBorders>
              <w:left w:val="single" w:sz="3" w:space="0" w:color="000000"/>
              <w:right w:val="single" w:sz="3" w:space="0" w:color="000000"/>
            </w:tcBorders>
            <w:shd w:val="clear" w:color="auto" w:fill="92D050"/>
          </w:tcPr>
          <w:p>
            <w:pPr>
              <w:pStyle w:val="TableParagraph"/>
              <w:spacing w:line="202" w:lineRule="exact"/>
              <w:ind w:right="2"/>
              <w:jc w:val="center"/>
              <w:rPr>
                <w:b/>
                <w:sz w:val="18"/>
              </w:rPr>
            </w:pPr>
            <w:r>
              <w:rPr>
                <w:b/>
                <w:w w:val="99"/>
                <w:sz w:val="18"/>
              </w:rPr>
              <w:t>9</w:t>
            </w:r>
          </w:p>
        </w:tc>
        <w:tc>
          <w:tcPr>
            <w:tcW w:w="952" w:type="dxa"/>
            <w:vMerge/>
            <w:tcBorders>
              <w:left w:val="single" w:sz="3" w:space="0" w:color="000000"/>
              <w:right w:val="single" w:sz="3" w:space="0" w:color="000000"/>
            </w:tcBorders>
            <w:shd w:val="clear" w:color="auto" w:fill="92D050"/>
          </w:tcPr>
          <w:p>
            <w:pPr/>
          </w:p>
        </w:tc>
      </w:tr>
      <w:tr>
        <w:trPr>
          <w:trHeight w:val="216" w:hRule="exact"/>
        </w:trPr>
        <w:tc>
          <w:tcPr>
            <w:tcW w:w="1897" w:type="dxa"/>
            <w:tcBorders>
              <w:left w:val="single" w:sz="3" w:space="0" w:color="000000"/>
              <w:right w:val="single" w:sz="3" w:space="0" w:color="000000"/>
            </w:tcBorders>
            <w:shd w:val="clear" w:color="auto" w:fill="92D050"/>
          </w:tcPr>
          <w:p>
            <w:pPr>
              <w:pStyle w:val="TableParagraph"/>
              <w:spacing w:line="202" w:lineRule="exact"/>
              <w:ind w:left="63"/>
              <w:rPr>
                <w:b/>
                <w:sz w:val="18"/>
              </w:rPr>
            </w:pPr>
            <w:r>
              <w:rPr>
                <w:b/>
                <w:sz w:val="18"/>
              </w:rPr>
              <w:t>Nuevo León</w:t>
            </w:r>
          </w:p>
        </w:tc>
        <w:tc>
          <w:tcPr>
            <w:tcW w:w="1056" w:type="dxa"/>
            <w:tcBorders>
              <w:left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88.2</w:t>
            </w:r>
          </w:p>
        </w:tc>
        <w:tc>
          <w:tcPr>
            <w:tcW w:w="1344" w:type="dxa"/>
            <w:tcBorders>
              <w:left w:val="single" w:sz="3" w:space="0" w:color="000000"/>
              <w:right w:val="single" w:sz="3" w:space="0" w:color="000000"/>
            </w:tcBorders>
            <w:shd w:val="clear" w:color="auto" w:fill="92D050"/>
          </w:tcPr>
          <w:p>
            <w:pPr>
              <w:pStyle w:val="TableParagraph"/>
              <w:spacing w:line="202" w:lineRule="exact"/>
              <w:ind w:right="437"/>
              <w:jc w:val="right"/>
              <w:rPr>
                <w:b/>
                <w:sz w:val="18"/>
              </w:rPr>
            </w:pPr>
            <w:r>
              <w:rPr>
                <w:b/>
                <w:w w:val="99"/>
                <w:sz w:val="18"/>
              </w:rPr>
              <w:t>6</w:t>
            </w:r>
          </w:p>
        </w:tc>
        <w:tc>
          <w:tcPr>
            <w:tcW w:w="1017" w:type="dxa"/>
            <w:tcBorders>
              <w:left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80.90</w:t>
            </w:r>
          </w:p>
        </w:tc>
        <w:tc>
          <w:tcPr>
            <w:tcW w:w="1432" w:type="dxa"/>
            <w:tcBorders>
              <w:left w:val="single" w:sz="3" w:space="0" w:color="000000"/>
              <w:right w:val="single" w:sz="3" w:space="0" w:color="000000"/>
            </w:tcBorders>
            <w:shd w:val="clear" w:color="auto" w:fill="92D050"/>
          </w:tcPr>
          <w:p>
            <w:pPr>
              <w:pStyle w:val="TableParagraph"/>
              <w:spacing w:line="202" w:lineRule="exact"/>
              <w:ind w:right="2"/>
              <w:jc w:val="center"/>
              <w:rPr>
                <w:b/>
                <w:sz w:val="18"/>
              </w:rPr>
            </w:pPr>
            <w:r>
              <w:rPr>
                <w:b/>
                <w:w w:val="99"/>
                <w:sz w:val="18"/>
              </w:rPr>
              <w:t>9</w:t>
            </w:r>
          </w:p>
        </w:tc>
        <w:tc>
          <w:tcPr>
            <w:tcW w:w="952" w:type="dxa"/>
            <w:vMerge/>
            <w:tcBorders>
              <w:left w:val="single" w:sz="3" w:space="0" w:color="000000"/>
              <w:right w:val="single" w:sz="3" w:space="0" w:color="000000"/>
            </w:tcBorders>
            <w:shd w:val="clear" w:color="auto" w:fill="92D050"/>
          </w:tcPr>
          <w:p>
            <w:pPr/>
          </w:p>
        </w:tc>
      </w:tr>
      <w:tr>
        <w:trPr>
          <w:trHeight w:val="216" w:hRule="exact"/>
        </w:trPr>
        <w:tc>
          <w:tcPr>
            <w:tcW w:w="1897" w:type="dxa"/>
            <w:tcBorders>
              <w:left w:val="single" w:sz="3" w:space="0" w:color="000000"/>
              <w:bottom w:val="single" w:sz="3" w:space="0" w:color="000000"/>
              <w:right w:val="single" w:sz="3" w:space="0" w:color="000000"/>
            </w:tcBorders>
            <w:shd w:val="clear" w:color="auto" w:fill="92D050"/>
          </w:tcPr>
          <w:p>
            <w:pPr>
              <w:pStyle w:val="TableParagraph"/>
              <w:spacing w:line="202" w:lineRule="exact"/>
              <w:ind w:left="63"/>
              <w:rPr>
                <w:b/>
                <w:sz w:val="18"/>
              </w:rPr>
            </w:pPr>
            <w:r>
              <w:rPr>
                <w:b/>
                <w:sz w:val="18"/>
              </w:rPr>
              <w:t>Veracruz</w:t>
            </w:r>
          </w:p>
        </w:tc>
        <w:tc>
          <w:tcPr>
            <w:tcW w:w="1056" w:type="dxa"/>
            <w:tcBorders>
              <w:left w:val="single" w:sz="3" w:space="0" w:color="000000"/>
              <w:bottom w:val="single" w:sz="3" w:space="0" w:color="000000"/>
              <w:right w:val="single" w:sz="3" w:space="0" w:color="000000"/>
            </w:tcBorders>
            <w:shd w:val="clear" w:color="auto" w:fill="92D050"/>
          </w:tcPr>
          <w:p>
            <w:pPr>
              <w:pStyle w:val="TableParagraph"/>
              <w:spacing w:line="202" w:lineRule="exact"/>
              <w:ind w:right="170"/>
              <w:jc w:val="right"/>
              <w:rPr>
                <w:b/>
                <w:sz w:val="18"/>
              </w:rPr>
            </w:pPr>
            <w:r>
              <w:rPr>
                <w:b/>
                <w:sz w:val="18"/>
              </w:rPr>
              <w:t>91.7</w:t>
            </w:r>
          </w:p>
        </w:tc>
        <w:tc>
          <w:tcPr>
            <w:tcW w:w="1344" w:type="dxa"/>
            <w:tcBorders>
              <w:left w:val="single" w:sz="3" w:space="0" w:color="000000"/>
              <w:bottom w:val="single" w:sz="3" w:space="0" w:color="000000"/>
              <w:right w:val="single" w:sz="3" w:space="0" w:color="000000"/>
            </w:tcBorders>
            <w:shd w:val="clear" w:color="auto" w:fill="92D050"/>
          </w:tcPr>
          <w:p>
            <w:pPr>
              <w:pStyle w:val="TableParagraph"/>
              <w:spacing w:line="202" w:lineRule="exact"/>
              <w:ind w:right="437"/>
              <w:jc w:val="right"/>
              <w:rPr>
                <w:b/>
                <w:sz w:val="18"/>
              </w:rPr>
            </w:pPr>
            <w:r>
              <w:rPr>
                <w:b/>
                <w:w w:val="99"/>
                <w:sz w:val="18"/>
              </w:rPr>
              <w:t>5</w:t>
            </w:r>
          </w:p>
        </w:tc>
        <w:tc>
          <w:tcPr>
            <w:tcW w:w="1017" w:type="dxa"/>
            <w:tcBorders>
              <w:left w:val="single" w:sz="3" w:space="0" w:color="000000"/>
              <w:bottom w:val="single" w:sz="3" w:space="0" w:color="000000"/>
              <w:right w:val="single" w:sz="3" w:space="0" w:color="000000"/>
            </w:tcBorders>
            <w:shd w:val="clear" w:color="auto" w:fill="92D050"/>
          </w:tcPr>
          <w:p>
            <w:pPr>
              <w:pStyle w:val="TableParagraph"/>
              <w:spacing w:line="202" w:lineRule="exact"/>
              <w:ind w:left="258" w:right="260"/>
              <w:jc w:val="center"/>
              <w:rPr>
                <w:b/>
                <w:sz w:val="18"/>
              </w:rPr>
            </w:pPr>
            <w:r>
              <w:rPr>
                <w:b/>
                <w:sz w:val="18"/>
              </w:rPr>
              <w:t>80.00</w:t>
            </w:r>
          </w:p>
        </w:tc>
        <w:tc>
          <w:tcPr>
            <w:tcW w:w="1432" w:type="dxa"/>
            <w:tcBorders>
              <w:left w:val="single" w:sz="3" w:space="0" w:color="000000"/>
              <w:bottom w:val="single" w:sz="3" w:space="0" w:color="000000"/>
              <w:right w:val="single" w:sz="3" w:space="0" w:color="000000"/>
            </w:tcBorders>
            <w:shd w:val="clear" w:color="auto" w:fill="92D050"/>
          </w:tcPr>
          <w:p>
            <w:pPr>
              <w:pStyle w:val="TableParagraph"/>
              <w:spacing w:line="202" w:lineRule="exact"/>
              <w:ind w:left="589" w:right="595"/>
              <w:jc w:val="center"/>
              <w:rPr>
                <w:b/>
                <w:sz w:val="18"/>
              </w:rPr>
            </w:pPr>
            <w:r>
              <w:rPr>
                <w:b/>
                <w:sz w:val="18"/>
              </w:rPr>
              <w:t>10</w:t>
            </w:r>
          </w:p>
        </w:tc>
        <w:tc>
          <w:tcPr>
            <w:tcW w:w="952" w:type="dxa"/>
            <w:vMerge/>
            <w:tcBorders>
              <w:left w:val="single" w:sz="3" w:space="0" w:color="000000"/>
              <w:bottom w:val="single" w:sz="3" w:space="0" w:color="000000"/>
              <w:right w:val="single" w:sz="3" w:space="0" w:color="000000"/>
            </w:tcBorders>
            <w:shd w:val="clear" w:color="auto" w:fill="92D050"/>
          </w:tcPr>
          <w:p>
            <w:pPr/>
          </w:p>
        </w:tc>
      </w:tr>
      <w:tr>
        <w:trPr>
          <w:trHeight w:val="220" w:hRule="exact"/>
        </w:trPr>
        <w:tc>
          <w:tcPr>
            <w:tcW w:w="1897" w:type="dxa"/>
            <w:tcBorders>
              <w:top w:val="single" w:sz="3" w:space="0" w:color="000000"/>
              <w:left w:val="single" w:sz="3" w:space="0" w:color="000000"/>
              <w:right w:val="single" w:sz="3" w:space="0" w:color="000000"/>
            </w:tcBorders>
            <w:shd w:val="clear" w:color="auto" w:fill="FFFF00"/>
          </w:tcPr>
          <w:p>
            <w:pPr>
              <w:pStyle w:val="TableParagraph"/>
              <w:spacing w:line="202" w:lineRule="exact"/>
              <w:ind w:left="63"/>
              <w:rPr>
                <w:b/>
                <w:sz w:val="18"/>
              </w:rPr>
            </w:pPr>
            <w:r>
              <w:rPr>
                <w:b/>
                <w:sz w:val="18"/>
              </w:rPr>
              <w:t>Campeche</w:t>
            </w:r>
          </w:p>
        </w:tc>
        <w:tc>
          <w:tcPr>
            <w:tcW w:w="1056" w:type="dxa"/>
            <w:tcBorders>
              <w:top w:val="single" w:sz="3" w:space="0" w:color="000000"/>
              <w:left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82.1</w:t>
            </w:r>
          </w:p>
        </w:tc>
        <w:tc>
          <w:tcPr>
            <w:tcW w:w="1344" w:type="dxa"/>
            <w:tcBorders>
              <w:top w:val="single" w:sz="3" w:space="0" w:color="000000"/>
              <w:left w:val="single" w:sz="3" w:space="0" w:color="000000"/>
              <w:right w:val="single" w:sz="3" w:space="0" w:color="000000"/>
            </w:tcBorders>
            <w:shd w:val="clear" w:color="auto" w:fill="FFFF00"/>
          </w:tcPr>
          <w:p>
            <w:pPr>
              <w:pStyle w:val="TableParagraph"/>
              <w:spacing w:line="202" w:lineRule="exact"/>
              <w:ind w:right="387"/>
              <w:jc w:val="right"/>
              <w:rPr>
                <w:b/>
                <w:sz w:val="18"/>
              </w:rPr>
            </w:pPr>
            <w:r>
              <w:rPr>
                <w:b/>
                <w:sz w:val="18"/>
              </w:rPr>
              <w:t>14</w:t>
            </w:r>
          </w:p>
        </w:tc>
        <w:tc>
          <w:tcPr>
            <w:tcW w:w="1017" w:type="dxa"/>
            <w:tcBorders>
              <w:top w:val="single" w:sz="3" w:space="0" w:color="000000"/>
              <w:left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79.25</w:t>
            </w:r>
          </w:p>
        </w:tc>
        <w:tc>
          <w:tcPr>
            <w:tcW w:w="1432" w:type="dxa"/>
            <w:tcBorders>
              <w:top w:val="single" w:sz="3" w:space="0" w:color="000000"/>
              <w:left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11</w:t>
            </w:r>
          </w:p>
        </w:tc>
        <w:tc>
          <w:tcPr>
            <w:tcW w:w="952" w:type="dxa"/>
            <w:vMerge w:val="restart"/>
            <w:tcBorders>
              <w:top w:val="single" w:sz="3" w:space="0" w:color="000000"/>
              <w:left w:val="single" w:sz="3" w:space="0" w:color="000000"/>
              <w:right w:val="single" w:sz="3" w:space="0" w:color="000000"/>
            </w:tcBorders>
            <w:shd w:val="clear" w:color="auto" w:fill="FFFF00"/>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53"/>
              <w:ind w:left="212"/>
              <w:rPr>
                <w:b/>
                <w:sz w:val="18"/>
              </w:rPr>
            </w:pPr>
            <w:r>
              <w:rPr>
                <w:b/>
                <w:sz w:val="18"/>
              </w:rPr>
              <w:t>Media</w:t>
            </w:r>
          </w:p>
        </w:tc>
      </w:tr>
      <w:tr>
        <w:trPr>
          <w:trHeight w:val="216" w:hRule="exact"/>
        </w:trPr>
        <w:tc>
          <w:tcPr>
            <w:tcW w:w="1897" w:type="dxa"/>
            <w:tcBorders>
              <w:left w:val="single" w:sz="3" w:space="0" w:color="000000"/>
              <w:right w:val="single" w:sz="3" w:space="0" w:color="000000"/>
            </w:tcBorders>
            <w:shd w:val="clear" w:color="auto" w:fill="FFFF00"/>
          </w:tcPr>
          <w:p>
            <w:pPr>
              <w:pStyle w:val="TableParagraph"/>
              <w:spacing w:line="202" w:lineRule="exact"/>
              <w:ind w:left="63"/>
              <w:rPr>
                <w:b/>
                <w:sz w:val="18"/>
              </w:rPr>
            </w:pPr>
            <w:r>
              <w:rPr>
                <w:b/>
                <w:sz w:val="18"/>
              </w:rPr>
              <w:t>Baja California</w:t>
            </w:r>
          </w:p>
        </w:tc>
        <w:tc>
          <w:tcPr>
            <w:tcW w:w="1056" w:type="dxa"/>
            <w:tcBorders>
              <w:left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65.5</w:t>
            </w:r>
          </w:p>
        </w:tc>
        <w:tc>
          <w:tcPr>
            <w:tcW w:w="1344" w:type="dxa"/>
            <w:tcBorders>
              <w:left w:val="single" w:sz="3" w:space="0" w:color="000000"/>
              <w:right w:val="single" w:sz="3" w:space="0" w:color="000000"/>
            </w:tcBorders>
            <w:shd w:val="clear" w:color="auto" w:fill="FFFF00"/>
          </w:tcPr>
          <w:p>
            <w:pPr>
              <w:pStyle w:val="TableParagraph"/>
              <w:spacing w:line="202" w:lineRule="exact"/>
              <w:ind w:right="387"/>
              <w:jc w:val="right"/>
              <w:rPr>
                <w:b/>
                <w:sz w:val="18"/>
              </w:rPr>
            </w:pPr>
            <w:r>
              <w:rPr>
                <w:b/>
                <w:sz w:val="18"/>
              </w:rPr>
              <w:t>24</w:t>
            </w:r>
          </w:p>
        </w:tc>
        <w:tc>
          <w:tcPr>
            <w:tcW w:w="1017" w:type="dxa"/>
            <w:tcBorders>
              <w:left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78.54</w:t>
            </w:r>
          </w:p>
        </w:tc>
        <w:tc>
          <w:tcPr>
            <w:tcW w:w="1432" w:type="dxa"/>
            <w:tcBorders>
              <w:left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12</w:t>
            </w:r>
          </w:p>
        </w:tc>
        <w:tc>
          <w:tcPr>
            <w:tcW w:w="952" w:type="dxa"/>
            <w:vMerge/>
            <w:tcBorders>
              <w:left w:val="single" w:sz="3" w:space="0" w:color="000000"/>
              <w:right w:val="single" w:sz="3" w:space="0" w:color="000000"/>
            </w:tcBorders>
            <w:shd w:val="clear" w:color="auto" w:fill="FFFF00"/>
          </w:tcPr>
          <w:p>
            <w:pPr/>
          </w:p>
        </w:tc>
      </w:tr>
      <w:tr>
        <w:trPr>
          <w:trHeight w:val="216" w:hRule="exact"/>
        </w:trPr>
        <w:tc>
          <w:tcPr>
            <w:tcW w:w="1897" w:type="dxa"/>
            <w:tcBorders>
              <w:left w:val="single" w:sz="3" w:space="0" w:color="000000"/>
              <w:right w:val="single" w:sz="3" w:space="0" w:color="000000"/>
            </w:tcBorders>
            <w:shd w:val="clear" w:color="auto" w:fill="FFFF00"/>
          </w:tcPr>
          <w:p>
            <w:pPr>
              <w:pStyle w:val="TableParagraph"/>
              <w:spacing w:line="202" w:lineRule="exact"/>
              <w:ind w:left="63"/>
              <w:rPr>
                <w:b/>
                <w:sz w:val="18"/>
              </w:rPr>
            </w:pPr>
            <w:r>
              <w:rPr>
                <w:b/>
                <w:sz w:val="18"/>
              </w:rPr>
              <w:t>Tabasco</w:t>
            </w:r>
          </w:p>
        </w:tc>
        <w:tc>
          <w:tcPr>
            <w:tcW w:w="1056" w:type="dxa"/>
            <w:tcBorders>
              <w:left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73.4</w:t>
            </w:r>
          </w:p>
        </w:tc>
        <w:tc>
          <w:tcPr>
            <w:tcW w:w="1344" w:type="dxa"/>
            <w:tcBorders>
              <w:left w:val="single" w:sz="3" w:space="0" w:color="000000"/>
              <w:right w:val="single" w:sz="3" w:space="0" w:color="000000"/>
            </w:tcBorders>
            <w:shd w:val="clear" w:color="auto" w:fill="FFFF00"/>
          </w:tcPr>
          <w:p>
            <w:pPr>
              <w:pStyle w:val="TableParagraph"/>
              <w:spacing w:line="202" w:lineRule="exact"/>
              <w:ind w:right="387"/>
              <w:jc w:val="right"/>
              <w:rPr>
                <w:b/>
                <w:sz w:val="18"/>
              </w:rPr>
            </w:pPr>
            <w:r>
              <w:rPr>
                <w:b/>
                <w:sz w:val="18"/>
              </w:rPr>
              <w:t>20</w:t>
            </w:r>
          </w:p>
        </w:tc>
        <w:tc>
          <w:tcPr>
            <w:tcW w:w="1017" w:type="dxa"/>
            <w:tcBorders>
              <w:left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78.17</w:t>
            </w:r>
          </w:p>
        </w:tc>
        <w:tc>
          <w:tcPr>
            <w:tcW w:w="1432" w:type="dxa"/>
            <w:tcBorders>
              <w:left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13</w:t>
            </w:r>
          </w:p>
        </w:tc>
        <w:tc>
          <w:tcPr>
            <w:tcW w:w="952" w:type="dxa"/>
            <w:vMerge/>
            <w:tcBorders>
              <w:left w:val="single" w:sz="3" w:space="0" w:color="000000"/>
              <w:right w:val="single" w:sz="3" w:space="0" w:color="000000"/>
            </w:tcBorders>
            <w:shd w:val="clear" w:color="auto" w:fill="FFFF00"/>
          </w:tcPr>
          <w:p>
            <w:pPr/>
          </w:p>
        </w:tc>
      </w:tr>
      <w:tr>
        <w:trPr>
          <w:trHeight w:val="218" w:hRule="exact"/>
        </w:trPr>
        <w:tc>
          <w:tcPr>
            <w:tcW w:w="1897" w:type="dxa"/>
            <w:tcBorders>
              <w:left w:val="single" w:sz="3" w:space="0" w:color="000000"/>
              <w:right w:val="single" w:sz="3" w:space="0" w:color="000000"/>
            </w:tcBorders>
            <w:shd w:val="clear" w:color="auto" w:fill="FFFF00"/>
          </w:tcPr>
          <w:p>
            <w:pPr>
              <w:pStyle w:val="TableParagraph"/>
              <w:spacing w:line="202" w:lineRule="exact"/>
              <w:ind w:left="63"/>
              <w:rPr>
                <w:b/>
                <w:sz w:val="18"/>
              </w:rPr>
            </w:pPr>
            <w:r>
              <w:rPr>
                <w:b/>
                <w:sz w:val="18"/>
              </w:rPr>
              <w:t>Colima</w:t>
            </w:r>
          </w:p>
        </w:tc>
        <w:tc>
          <w:tcPr>
            <w:tcW w:w="1056" w:type="dxa"/>
            <w:tcBorders>
              <w:left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85.4</w:t>
            </w:r>
          </w:p>
        </w:tc>
        <w:tc>
          <w:tcPr>
            <w:tcW w:w="1344" w:type="dxa"/>
            <w:tcBorders>
              <w:left w:val="single" w:sz="3" w:space="0" w:color="000000"/>
              <w:right w:val="single" w:sz="3" w:space="0" w:color="000000"/>
            </w:tcBorders>
            <w:shd w:val="clear" w:color="auto" w:fill="FFFF00"/>
          </w:tcPr>
          <w:p>
            <w:pPr>
              <w:pStyle w:val="TableParagraph"/>
              <w:spacing w:line="202" w:lineRule="exact"/>
              <w:ind w:right="437"/>
              <w:jc w:val="right"/>
              <w:rPr>
                <w:b/>
                <w:sz w:val="18"/>
              </w:rPr>
            </w:pPr>
            <w:r>
              <w:rPr>
                <w:b/>
                <w:w w:val="99"/>
                <w:sz w:val="18"/>
              </w:rPr>
              <w:t>8</w:t>
            </w:r>
          </w:p>
        </w:tc>
        <w:tc>
          <w:tcPr>
            <w:tcW w:w="1017" w:type="dxa"/>
            <w:tcBorders>
              <w:left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74.69</w:t>
            </w:r>
          </w:p>
        </w:tc>
        <w:tc>
          <w:tcPr>
            <w:tcW w:w="1432" w:type="dxa"/>
            <w:tcBorders>
              <w:left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14</w:t>
            </w:r>
          </w:p>
        </w:tc>
        <w:tc>
          <w:tcPr>
            <w:tcW w:w="952" w:type="dxa"/>
            <w:vMerge/>
            <w:tcBorders>
              <w:left w:val="single" w:sz="3" w:space="0" w:color="000000"/>
              <w:right w:val="single" w:sz="3" w:space="0" w:color="000000"/>
            </w:tcBorders>
            <w:shd w:val="clear" w:color="auto" w:fill="FFFF00"/>
          </w:tcPr>
          <w:p>
            <w:pPr/>
          </w:p>
        </w:tc>
      </w:tr>
      <w:tr>
        <w:trPr>
          <w:trHeight w:val="218" w:hRule="exact"/>
        </w:trPr>
        <w:tc>
          <w:tcPr>
            <w:tcW w:w="1897" w:type="dxa"/>
            <w:tcBorders>
              <w:left w:val="single" w:sz="3" w:space="0" w:color="000000"/>
              <w:right w:val="single" w:sz="3" w:space="0" w:color="000000"/>
            </w:tcBorders>
            <w:shd w:val="clear" w:color="auto" w:fill="FFFF00"/>
          </w:tcPr>
          <w:p>
            <w:pPr>
              <w:pStyle w:val="TableParagraph"/>
              <w:spacing w:line="204" w:lineRule="exact"/>
              <w:ind w:left="63"/>
              <w:rPr>
                <w:b/>
                <w:sz w:val="18"/>
              </w:rPr>
            </w:pPr>
            <w:r>
              <w:rPr>
                <w:b/>
                <w:sz w:val="18"/>
              </w:rPr>
              <w:t>San Luis Potosí</w:t>
            </w:r>
          </w:p>
        </w:tc>
        <w:tc>
          <w:tcPr>
            <w:tcW w:w="1056" w:type="dxa"/>
            <w:tcBorders>
              <w:left w:val="single" w:sz="3" w:space="0" w:color="000000"/>
              <w:right w:val="single" w:sz="3" w:space="0" w:color="000000"/>
            </w:tcBorders>
            <w:shd w:val="clear" w:color="auto" w:fill="FFFF00"/>
          </w:tcPr>
          <w:p>
            <w:pPr>
              <w:pStyle w:val="TableParagraph"/>
              <w:spacing w:line="204" w:lineRule="exact"/>
              <w:ind w:right="170"/>
              <w:jc w:val="right"/>
              <w:rPr>
                <w:b/>
                <w:sz w:val="18"/>
              </w:rPr>
            </w:pPr>
            <w:r>
              <w:rPr>
                <w:b/>
                <w:sz w:val="18"/>
              </w:rPr>
              <w:t>82.4</w:t>
            </w:r>
          </w:p>
        </w:tc>
        <w:tc>
          <w:tcPr>
            <w:tcW w:w="1344" w:type="dxa"/>
            <w:tcBorders>
              <w:left w:val="single" w:sz="3" w:space="0" w:color="000000"/>
              <w:right w:val="single" w:sz="3" w:space="0" w:color="000000"/>
            </w:tcBorders>
            <w:shd w:val="clear" w:color="auto" w:fill="FFFF00"/>
          </w:tcPr>
          <w:p>
            <w:pPr>
              <w:pStyle w:val="TableParagraph"/>
              <w:spacing w:line="204" w:lineRule="exact"/>
              <w:ind w:right="387"/>
              <w:jc w:val="right"/>
              <w:rPr>
                <w:b/>
                <w:sz w:val="18"/>
              </w:rPr>
            </w:pPr>
            <w:r>
              <w:rPr>
                <w:b/>
                <w:sz w:val="18"/>
              </w:rPr>
              <w:t>12</w:t>
            </w:r>
          </w:p>
        </w:tc>
        <w:tc>
          <w:tcPr>
            <w:tcW w:w="1017" w:type="dxa"/>
            <w:tcBorders>
              <w:left w:val="single" w:sz="3" w:space="0" w:color="000000"/>
              <w:right w:val="single" w:sz="3" w:space="0" w:color="000000"/>
            </w:tcBorders>
            <w:shd w:val="clear" w:color="auto" w:fill="FFFF00"/>
          </w:tcPr>
          <w:p>
            <w:pPr>
              <w:pStyle w:val="TableParagraph"/>
              <w:spacing w:line="204" w:lineRule="exact"/>
              <w:ind w:left="258" w:right="260"/>
              <w:jc w:val="center"/>
              <w:rPr>
                <w:b/>
                <w:sz w:val="18"/>
              </w:rPr>
            </w:pPr>
            <w:r>
              <w:rPr>
                <w:b/>
                <w:sz w:val="18"/>
              </w:rPr>
              <w:t>68.45</w:t>
            </w:r>
          </w:p>
        </w:tc>
        <w:tc>
          <w:tcPr>
            <w:tcW w:w="1432" w:type="dxa"/>
            <w:tcBorders>
              <w:left w:val="single" w:sz="3" w:space="0" w:color="000000"/>
              <w:right w:val="single" w:sz="3" w:space="0" w:color="000000"/>
            </w:tcBorders>
            <w:shd w:val="clear" w:color="auto" w:fill="FFFF00"/>
          </w:tcPr>
          <w:p>
            <w:pPr>
              <w:pStyle w:val="TableParagraph"/>
              <w:spacing w:line="204" w:lineRule="exact"/>
              <w:ind w:left="589" w:right="595"/>
              <w:jc w:val="center"/>
              <w:rPr>
                <w:b/>
                <w:sz w:val="18"/>
              </w:rPr>
            </w:pPr>
            <w:r>
              <w:rPr>
                <w:b/>
                <w:sz w:val="18"/>
              </w:rPr>
              <w:t>15</w:t>
            </w:r>
          </w:p>
        </w:tc>
        <w:tc>
          <w:tcPr>
            <w:tcW w:w="952" w:type="dxa"/>
            <w:vMerge/>
            <w:tcBorders>
              <w:left w:val="single" w:sz="3" w:space="0" w:color="000000"/>
              <w:right w:val="single" w:sz="3" w:space="0" w:color="000000"/>
            </w:tcBorders>
            <w:shd w:val="clear" w:color="auto" w:fill="FFFF00"/>
          </w:tcPr>
          <w:p>
            <w:pPr/>
          </w:p>
        </w:tc>
      </w:tr>
      <w:tr>
        <w:trPr>
          <w:trHeight w:val="216" w:hRule="exact"/>
        </w:trPr>
        <w:tc>
          <w:tcPr>
            <w:tcW w:w="1897" w:type="dxa"/>
            <w:tcBorders>
              <w:left w:val="single" w:sz="3" w:space="0" w:color="000000"/>
              <w:right w:val="single" w:sz="3" w:space="0" w:color="000000"/>
            </w:tcBorders>
            <w:shd w:val="clear" w:color="auto" w:fill="FFFF00"/>
          </w:tcPr>
          <w:p>
            <w:pPr>
              <w:pStyle w:val="TableParagraph"/>
              <w:spacing w:line="202" w:lineRule="exact"/>
              <w:ind w:left="63"/>
              <w:rPr>
                <w:b/>
                <w:sz w:val="18"/>
              </w:rPr>
            </w:pPr>
            <w:r>
              <w:rPr>
                <w:b/>
                <w:sz w:val="18"/>
              </w:rPr>
              <w:t>Durango</w:t>
            </w:r>
          </w:p>
        </w:tc>
        <w:tc>
          <w:tcPr>
            <w:tcW w:w="1056" w:type="dxa"/>
            <w:tcBorders>
              <w:left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78.5</w:t>
            </w:r>
          </w:p>
        </w:tc>
        <w:tc>
          <w:tcPr>
            <w:tcW w:w="1344" w:type="dxa"/>
            <w:tcBorders>
              <w:left w:val="single" w:sz="3" w:space="0" w:color="000000"/>
              <w:right w:val="single" w:sz="3" w:space="0" w:color="000000"/>
            </w:tcBorders>
            <w:shd w:val="clear" w:color="auto" w:fill="FFFF00"/>
          </w:tcPr>
          <w:p>
            <w:pPr>
              <w:pStyle w:val="TableParagraph"/>
              <w:spacing w:line="202" w:lineRule="exact"/>
              <w:ind w:right="387"/>
              <w:jc w:val="right"/>
              <w:rPr>
                <w:b/>
                <w:sz w:val="18"/>
              </w:rPr>
            </w:pPr>
            <w:r>
              <w:rPr>
                <w:b/>
                <w:sz w:val="18"/>
              </w:rPr>
              <w:t>15</w:t>
            </w:r>
          </w:p>
        </w:tc>
        <w:tc>
          <w:tcPr>
            <w:tcW w:w="1017" w:type="dxa"/>
            <w:tcBorders>
              <w:left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66.48</w:t>
            </w:r>
          </w:p>
        </w:tc>
        <w:tc>
          <w:tcPr>
            <w:tcW w:w="1432" w:type="dxa"/>
            <w:tcBorders>
              <w:left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16</w:t>
            </w:r>
          </w:p>
        </w:tc>
        <w:tc>
          <w:tcPr>
            <w:tcW w:w="952" w:type="dxa"/>
            <w:vMerge/>
            <w:tcBorders>
              <w:left w:val="single" w:sz="3" w:space="0" w:color="000000"/>
              <w:right w:val="single" w:sz="3" w:space="0" w:color="000000"/>
            </w:tcBorders>
            <w:shd w:val="clear" w:color="auto" w:fill="FFFF00"/>
          </w:tcPr>
          <w:p>
            <w:pPr/>
          </w:p>
        </w:tc>
      </w:tr>
      <w:tr>
        <w:trPr>
          <w:trHeight w:val="216" w:hRule="exact"/>
        </w:trPr>
        <w:tc>
          <w:tcPr>
            <w:tcW w:w="1897" w:type="dxa"/>
            <w:tcBorders>
              <w:left w:val="single" w:sz="3" w:space="0" w:color="000000"/>
              <w:right w:val="single" w:sz="3" w:space="0" w:color="000000"/>
            </w:tcBorders>
            <w:shd w:val="clear" w:color="auto" w:fill="FFFF00"/>
          </w:tcPr>
          <w:p>
            <w:pPr>
              <w:pStyle w:val="TableParagraph"/>
              <w:spacing w:line="202" w:lineRule="exact"/>
              <w:ind w:left="63"/>
              <w:rPr>
                <w:b/>
                <w:sz w:val="18"/>
              </w:rPr>
            </w:pPr>
            <w:r>
              <w:rPr>
                <w:b/>
                <w:sz w:val="18"/>
              </w:rPr>
              <w:t>Tamaulipas</w:t>
            </w:r>
          </w:p>
        </w:tc>
        <w:tc>
          <w:tcPr>
            <w:tcW w:w="1056" w:type="dxa"/>
            <w:tcBorders>
              <w:left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18.4</w:t>
            </w:r>
          </w:p>
        </w:tc>
        <w:tc>
          <w:tcPr>
            <w:tcW w:w="1344" w:type="dxa"/>
            <w:tcBorders>
              <w:left w:val="single" w:sz="3" w:space="0" w:color="000000"/>
              <w:right w:val="single" w:sz="3" w:space="0" w:color="000000"/>
            </w:tcBorders>
            <w:shd w:val="clear" w:color="auto" w:fill="FFFF00"/>
          </w:tcPr>
          <w:p>
            <w:pPr>
              <w:pStyle w:val="TableParagraph"/>
              <w:spacing w:line="202" w:lineRule="exact"/>
              <w:ind w:right="387"/>
              <w:jc w:val="right"/>
              <w:rPr>
                <w:b/>
                <w:sz w:val="18"/>
              </w:rPr>
            </w:pPr>
            <w:r>
              <w:rPr>
                <w:b/>
                <w:sz w:val="18"/>
              </w:rPr>
              <w:t>30</w:t>
            </w:r>
          </w:p>
        </w:tc>
        <w:tc>
          <w:tcPr>
            <w:tcW w:w="1017" w:type="dxa"/>
            <w:tcBorders>
              <w:left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65.04</w:t>
            </w:r>
          </w:p>
        </w:tc>
        <w:tc>
          <w:tcPr>
            <w:tcW w:w="1432" w:type="dxa"/>
            <w:tcBorders>
              <w:left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17</w:t>
            </w:r>
          </w:p>
        </w:tc>
        <w:tc>
          <w:tcPr>
            <w:tcW w:w="952" w:type="dxa"/>
            <w:vMerge/>
            <w:tcBorders>
              <w:left w:val="single" w:sz="3" w:space="0" w:color="000000"/>
              <w:right w:val="single" w:sz="3" w:space="0" w:color="000000"/>
            </w:tcBorders>
            <w:shd w:val="clear" w:color="auto" w:fill="FFFF00"/>
          </w:tcPr>
          <w:p>
            <w:pPr/>
          </w:p>
        </w:tc>
      </w:tr>
      <w:tr>
        <w:trPr>
          <w:trHeight w:val="218" w:hRule="exact"/>
        </w:trPr>
        <w:tc>
          <w:tcPr>
            <w:tcW w:w="1897" w:type="dxa"/>
            <w:tcBorders>
              <w:left w:val="single" w:sz="3" w:space="0" w:color="000000"/>
              <w:right w:val="single" w:sz="3" w:space="0" w:color="000000"/>
            </w:tcBorders>
            <w:shd w:val="clear" w:color="auto" w:fill="FFFF00"/>
          </w:tcPr>
          <w:p>
            <w:pPr>
              <w:pStyle w:val="TableParagraph"/>
              <w:spacing w:line="202" w:lineRule="exact"/>
              <w:ind w:left="63"/>
              <w:rPr>
                <w:b/>
                <w:sz w:val="18"/>
              </w:rPr>
            </w:pPr>
            <w:r>
              <w:rPr>
                <w:b/>
                <w:sz w:val="18"/>
              </w:rPr>
              <w:t>Distrito Federal</w:t>
            </w:r>
          </w:p>
        </w:tc>
        <w:tc>
          <w:tcPr>
            <w:tcW w:w="1056" w:type="dxa"/>
            <w:tcBorders>
              <w:left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76.7</w:t>
            </w:r>
          </w:p>
        </w:tc>
        <w:tc>
          <w:tcPr>
            <w:tcW w:w="1344" w:type="dxa"/>
            <w:tcBorders>
              <w:left w:val="single" w:sz="3" w:space="0" w:color="000000"/>
              <w:right w:val="single" w:sz="3" w:space="0" w:color="000000"/>
            </w:tcBorders>
            <w:shd w:val="clear" w:color="auto" w:fill="FFFF00"/>
          </w:tcPr>
          <w:p>
            <w:pPr>
              <w:pStyle w:val="TableParagraph"/>
              <w:spacing w:line="202" w:lineRule="exact"/>
              <w:ind w:right="387"/>
              <w:jc w:val="right"/>
              <w:rPr>
                <w:b/>
                <w:sz w:val="18"/>
              </w:rPr>
            </w:pPr>
            <w:r>
              <w:rPr>
                <w:b/>
                <w:sz w:val="18"/>
              </w:rPr>
              <w:t>16</w:t>
            </w:r>
          </w:p>
        </w:tc>
        <w:tc>
          <w:tcPr>
            <w:tcW w:w="1017" w:type="dxa"/>
            <w:tcBorders>
              <w:left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62.91</w:t>
            </w:r>
          </w:p>
        </w:tc>
        <w:tc>
          <w:tcPr>
            <w:tcW w:w="1432" w:type="dxa"/>
            <w:tcBorders>
              <w:left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18</w:t>
            </w:r>
          </w:p>
        </w:tc>
        <w:tc>
          <w:tcPr>
            <w:tcW w:w="952" w:type="dxa"/>
            <w:vMerge/>
            <w:tcBorders>
              <w:left w:val="single" w:sz="3" w:space="0" w:color="000000"/>
              <w:right w:val="single" w:sz="3" w:space="0" w:color="000000"/>
            </w:tcBorders>
            <w:shd w:val="clear" w:color="auto" w:fill="FFFF00"/>
          </w:tcPr>
          <w:p>
            <w:pPr/>
          </w:p>
        </w:tc>
      </w:tr>
      <w:tr>
        <w:trPr>
          <w:trHeight w:val="218" w:hRule="exact"/>
        </w:trPr>
        <w:tc>
          <w:tcPr>
            <w:tcW w:w="1897" w:type="dxa"/>
            <w:tcBorders>
              <w:left w:val="single" w:sz="3" w:space="0" w:color="000000"/>
              <w:right w:val="single" w:sz="3" w:space="0" w:color="000000"/>
            </w:tcBorders>
            <w:shd w:val="clear" w:color="auto" w:fill="FFFF00"/>
          </w:tcPr>
          <w:p>
            <w:pPr>
              <w:pStyle w:val="TableParagraph"/>
              <w:spacing w:line="204" w:lineRule="exact"/>
              <w:ind w:left="63"/>
              <w:rPr>
                <w:b/>
                <w:sz w:val="18"/>
              </w:rPr>
            </w:pPr>
            <w:r>
              <w:rPr>
                <w:b/>
                <w:sz w:val="18"/>
              </w:rPr>
              <w:t>Yucatán</w:t>
            </w:r>
          </w:p>
        </w:tc>
        <w:tc>
          <w:tcPr>
            <w:tcW w:w="1056" w:type="dxa"/>
            <w:tcBorders>
              <w:left w:val="single" w:sz="3" w:space="0" w:color="000000"/>
              <w:right w:val="single" w:sz="3" w:space="0" w:color="000000"/>
            </w:tcBorders>
            <w:shd w:val="clear" w:color="auto" w:fill="FFFF00"/>
          </w:tcPr>
          <w:p>
            <w:pPr>
              <w:pStyle w:val="TableParagraph"/>
              <w:spacing w:line="204" w:lineRule="exact"/>
              <w:ind w:right="170"/>
              <w:jc w:val="right"/>
              <w:rPr>
                <w:b/>
                <w:sz w:val="18"/>
              </w:rPr>
            </w:pPr>
            <w:r>
              <w:rPr>
                <w:b/>
                <w:sz w:val="18"/>
              </w:rPr>
              <w:t>76.6</w:t>
            </w:r>
          </w:p>
        </w:tc>
        <w:tc>
          <w:tcPr>
            <w:tcW w:w="1344" w:type="dxa"/>
            <w:tcBorders>
              <w:left w:val="single" w:sz="3" w:space="0" w:color="000000"/>
              <w:right w:val="single" w:sz="3" w:space="0" w:color="000000"/>
            </w:tcBorders>
            <w:shd w:val="clear" w:color="auto" w:fill="FFFF00"/>
          </w:tcPr>
          <w:p>
            <w:pPr>
              <w:pStyle w:val="TableParagraph"/>
              <w:spacing w:line="204" w:lineRule="exact"/>
              <w:ind w:right="387"/>
              <w:jc w:val="right"/>
              <w:rPr>
                <w:b/>
                <w:sz w:val="18"/>
              </w:rPr>
            </w:pPr>
            <w:r>
              <w:rPr>
                <w:b/>
                <w:sz w:val="18"/>
              </w:rPr>
              <w:t>17</w:t>
            </w:r>
          </w:p>
        </w:tc>
        <w:tc>
          <w:tcPr>
            <w:tcW w:w="1017" w:type="dxa"/>
            <w:tcBorders>
              <w:left w:val="single" w:sz="3" w:space="0" w:color="000000"/>
              <w:right w:val="single" w:sz="3" w:space="0" w:color="000000"/>
            </w:tcBorders>
            <w:shd w:val="clear" w:color="auto" w:fill="FFFF00"/>
          </w:tcPr>
          <w:p>
            <w:pPr>
              <w:pStyle w:val="TableParagraph"/>
              <w:spacing w:line="204" w:lineRule="exact"/>
              <w:ind w:left="258" w:right="260"/>
              <w:jc w:val="center"/>
              <w:rPr>
                <w:b/>
                <w:sz w:val="18"/>
              </w:rPr>
            </w:pPr>
            <w:r>
              <w:rPr>
                <w:b/>
                <w:sz w:val="18"/>
              </w:rPr>
              <w:t>62.86</w:t>
            </w:r>
          </w:p>
        </w:tc>
        <w:tc>
          <w:tcPr>
            <w:tcW w:w="1432" w:type="dxa"/>
            <w:tcBorders>
              <w:left w:val="single" w:sz="3" w:space="0" w:color="000000"/>
              <w:right w:val="single" w:sz="3" w:space="0" w:color="000000"/>
            </w:tcBorders>
            <w:shd w:val="clear" w:color="auto" w:fill="FFFF00"/>
          </w:tcPr>
          <w:p>
            <w:pPr>
              <w:pStyle w:val="TableParagraph"/>
              <w:spacing w:line="204" w:lineRule="exact"/>
              <w:ind w:left="589" w:right="595"/>
              <w:jc w:val="center"/>
              <w:rPr>
                <w:b/>
                <w:sz w:val="18"/>
              </w:rPr>
            </w:pPr>
            <w:r>
              <w:rPr>
                <w:b/>
                <w:sz w:val="18"/>
              </w:rPr>
              <w:t>19</w:t>
            </w:r>
          </w:p>
        </w:tc>
        <w:tc>
          <w:tcPr>
            <w:tcW w:w="952" w:type="dxa"/>
            <w:vMerge/>
            <w:tcBorders>
              <w:left w:val="single" w:sz="3" w:space="0" w:color="000000"/>
              <w:right w:val="single" w:sz="3" w:space="0" w:color="000000"/>
            </w:tcBorders>
            <w:shd w:val="clear" w:color="auto" w:fill="FFFF00"/>
          </w:tcPr>
          <w:p>
            <w:pPr/>
          </w:p>
        </w:tc>
      </w:tr>
      <w:tr>
        <w:trPr>
          <w:trHeight w:val="216" w:hRule="exact"/>
        </w:trPr>
        <w:tc>
          <w:tcPr>
            <w:tcW w:w="1897" w:type="dxa"/>
            <w:tcBorders>
              <w:left w:val="single" w:sz="3" w:space="0" w:color="000000"/>
              <w:right w:val="single" w:sz="3" w:space="0" w:color="000000"/>
            </w:tcBorders>
            <w:shd w:val="clear" w:color="auto" w:fill="FFFF00"/>
          </w:tcPr>
          <w:p>
            <w:pPr>
              <w:pStyle w:val="TableParagraph"/>
              <w:spacing w:line="202" w:lineRule="exact"/>
              <w:ind w:left="63"/>
              <w:rPr>
                <w:b/>
                <w:sz w:val="18"/>
              </w:rPr>
            </w:pPr>
            <w:r>
              <w:rPr>
                <w:b/>
                <w:sz w:val="18"/>
              </w:rPr>
              <w:t>Coahuila</w:t>
            </w:r>
          </w:p>
        </w:tc>
        <w:tc>
          <w:tcPr>
            <w:tcW w:w="1056" w:type="dxa"/>
            <w:tcBorders>
              <w:left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69.0</w:t>
            </w:r>
          </w:p>
        </w:tc>
        <w:tc>
          <w:tcPr>
            <w:tcW w:w="1344" w:type="dxa"/>
            <w:tcBorders>
              <w:left w:val="single" w:sz="3" w:space="0" w:color="000000"/>
              <w:right w:val="single" w:sz="3" w:space="0" w:color="000000"/>
            </w:tcBorders>
            <w:shd w:val="clear" w:color="auto" w:fill="FFFF00"/>
          </w:tcPr>
          <w:p>
            <w:pPr>
              <w:pStyle w:val="TableParagraph"/>
              <w:spacing w:line="202" w:lineRule="exact"/>
              <w:ind w:right="387"/>
              <w:jc w:val="right"/>
              <w:rPr>
                <w:b/>
                <w:sz w:val="18"/>
              </w:rPr>
            </w:pPr>
            <w:r>
              <w:rPr>
                <w:b/>
                <w:sz w:val="18"/>
              </w:rPr>
              <w:t>21</w:t>
            </w:r>
          </w:p>
        </w:tc>
        <w:tc>
          <w:tcPr>
            <w:tcW w:w="1017" w:type="dxa"/>
            <w:tcBorders>
              <w:left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61.81</w:t>
            </w:r>
          </w:p>
        </w:tc>
        <w:tc>
          <w:tcPr>
            <w:tcW w:w="1432" w:type="dxa"/>
            <w:tcBorders>
              <w:left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20</w:t>
            </w:r>
          </w:p>
        </w:tc>
        <w:tc>
          <w:tcPr>
            <w:tcW w:w="952" w:type="dxa"/>
            <w:vMerge/>
            <w:tcBorders>
              <w:left w:val="single" w:sz="3" w:space="0" w:color="000000"/>
              <w:right w:val="single" w:sz="3" w:space="0" w:color="000000"/>
            </w:tcBorders>
            <w:shd w:val="clear" w:color="auto" w:fill="FFFF00"/>
          </w:tcPr>
          <w:p>
            <w:pPr/>
          </w:p>
        </w:tc>
      </w:tr>
      <w:tr>
        <w:trPr>
          <w:trHeight w:val="216" w:hRule="exact"/>
        </w:trPr>
        <w:tc>
          <w:tcPr>
            <w:tcW w:w="1897" w:type="dxa"/>
            <w:tcBorders>
              <w:left w:val="single" w:sz="3" w:space="0" w:color="000000"/>
              <w:right w:val="single" w:sz="3" w:space="0" w:color="000000"/>
            </w:tcBorders>
            <w:shd w:val="clear" w:color="auto" w:fill="FFFF00"/>
          </w:tcPr>
          <w:p>
            <w:pPr>
              <w:pStyle w:val="TableParagraph"/>
              <w:spacing w:line="202" w:lineRule="exact"/>
              <w:ind w:left="63"/>
              <w:rPr>
                <w:b/>
                <w:sz w:val="18"/>
              </w:rPr>
            </w:pPr>
            <w:r>
              <w:rPr>
                <w:b/>
                <w:sz w:val="18"/>
              </w:rPr>
              <w:t>Michoacán</w:t>
            </w:r>
          </w:p>
        </w:tc>
        <w:tc>
          <w:tcPr>
            <w:tcW w:w="1056" w:type="dxa"/>
            <w:tcBorders>
              <w:left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82.3</w:t>
            </w:r>
          </w:p>
        </w:tc>
        <w:tc>
          <w:tcPr>
            <w:tcW w:w="1344" w:type="dxa"/>
            <w:tcBorders>
              <w:left w:val="single" w:sz="3" w:space="0" w:color="000000"/>
              <w:right w:val="single" w:sz="3" w:space="0" w:color="000000"/>
            </w:tcBorders>
            <w:shd w:val="clear" w:color="auto" w:fill="FFFF00"/>
          </w:tcPr>
          <w:p>
            <w:pPr>
              <w:pStyle w:val="TableParagraph"/>
              <w:spacing w:line="202" w:lineRule="exact"/>
              <w:ind w:right="387"/>
              <w:jc w:val="right"/>
              <w:rPr>
                <w:b/>
                <w:sz w:val="18"/>
              </w:rPr>
            </w:pPr>
            <w:r>
              <w:rPr>
                <w:b/>
                <w:sz w:val="18"/>
              </w:rPr>
              <w:t>13</w:t>
            </w:r>
          </w:p>
        </w:tc>
        <w:tc>
          <w:tcPr>
            <w:tcW w:w="1017" w:type="dxa"/>
            <w:tcBorders>
              <w:left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61.63</w:t>
            </w:r>
          </w:p>
        </w:tc>
        <w:tc>
          <w:tcPr>
            <w:tcW w:w="1432" w:type="dxa"/>
            <w:tcBorders>
              <w:left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21</w:t>
            </w:r>
          </w:p>
        </w:tc>
        <w:tc>
          <w:tcPr>
            <w:tcW w:w="952" w:type="dxa"/>
            <w:vMerge/>
            <w:tcBorders>
              <w:left w:val="single" w:sz="3" w:space="0" w:color="000000"/>
              <w:right w:val="single" w:sz="3" w:space="0" w:color="000000"/>
            </w:tcBorders>
            <w:shd w:val="clear" w:color="auto" w:fill="FFFF00"/>
          </w:tcPr>
          <w:p>
            <w:pPr/>
          </w:p>
        </w:tc>
      </w:tr>
      <w:tr>
        <w:trPr>
          <w:trHeight w:val="218" w:hRule="exact"/>
        </w:trPr>
        <w:tc>
          <w:tcPr>
            <w:tcW w:w="1897" w:type="dxa"/>
            <w:tcBorders>
              <w:left w:val="single" w:sz="3" w:space="0" w:color="000000"/>
              <w:bottom w:val="single" w:sz="3" w:space="0" w:color="000000"/>
              <w:right w:val="single" w:sz="3" w:space="0" w:color="000000"/>
            </w:tcBorders>
            <w:shd w:val="clear" w:color="auto" w:fill="FFFF00"/>
          </w:tcPr>
          <w:p>
            <w:pPr>
              <w:pStyle w:val="TableParagraph"/>
              <w:spacing w:line="202" w:lineRule="exact"/>
              <w:ind w:left="63"/>
              <w:rPr>
                <w:b/>
                <w:sz w:val="18"/>
              </w:rPr>
            </w:pPr>
            <w:r>
              <w:rPr>
                <w:b/>
                <w:sz w:val="18"/>
              </w:rPr>
              <w:t>Zacatecas</w:t>
            </w:r>
          </w:p>
        </w:tc>
        <w:tc>
          <w:tcPr>
            <w:tcW w:w="1056" w:type="dxa"/>
            <w:tcBorders>
              <w:left w:val="single" w:sz="3" w:space="0" w:color="000000"/>
              <w:bottom w:val="single" w:sz="3" w:space="0" w:color="000000"/>
              <w:right w:val="single" w:sz="3" w:space="0" w:color="000000"/>
            </w:tcBorders>
            <w:shd w:val="clear" w:color="auto" w:fill="FFFF00"/>
          </w:tcPr>
          <w:p>
            <w:pPr>
              <w:pStyle w:val="TableParagraph"/>
              <w:spacing w:line="202" w:lineRule="exact"/>
              <w:ind w:right="170"/>
              <w:jc w:val="right"/>
              <w:rPr>
                <w:b/>
                <w:sz w:val="18"/>
              </w:rPr>
            </w:pPr>
            <w:r>
              <w:rPr>
                <w:b/>
                <w:sz w:val="18"/>
              </w:rPr>
              <w:t>66.8</w:t>
            </w:r>
          </w:p>
        </w:tc>
        <w:tc>
          <w:tcPr>
            <w:tcW w:w="1344" w:type="dxa"/>
            <w:tcBorders>
              <w:left w:val="single" w:sz="3" w:space="0" w:color="000000"/>
              <w:bottom w:val="single" w:sz="3" w:space="0" w:color="000000"/>
              <w:right w:val="single" w:sz="3" w:space="0" w:color="000000"/>
            </w:tcBorders>
            <w:shd w:val="clear" w:color="auto" w:fill="FFFF00"/>
          </w:tcPr>
          <w:p>
            <w:pPr>
              <w:pStyle w:val="TableParagraph"/>
              <w:spacing w:line="202" w:lineRule="exact"/>
              <w:ind w:right="387"/>
              <w:jc w:val="right"/>
              <w:rPr>
                <w:b/>
                <w:sz w:val="18"/>
              </w:rPr>
            </w:pPr>
            <w:r>
              <w:rPr>
                <w:b/>
                <w:sz w:val="18"/>
              </w:rPr>
              <w:t>23</w:t>
            </w:r>
          </w:p>
        </w:tc>
        <w:tc>
          <w:tcPr>
            <w:tcW w:w="1017" w:type="dxa"/>
            <w:tcBorders>
              <w:left w:val="single" w:sz="3" w:space="0" w:color="000000"/>
              <w:bottom w:val="single" w:sz="3" w:space="0" w:color="000000"/>
              <w:right w:val="single" w:sz="3" w:space="0" w:color="000000"/>
            </w:tcBorders>
            <w:shd w:val="clear" w:color="auto" w:fill="FFFF00"/>
          </w:tcPr>
          <w:p>
            <w:pPr>
              <w:pStyle w:val="TableParagraph"/>
              <w:spacing w:line="202" w:lineRule="exact"/>
              <w:ind w:left="258" w:right="260"/>
              <w:jc w:val="center"/>
              <w:rPr>
                <w:b/>
                <w:sz w:val="18"/>
              </w:rPr>
            </w:pPr>
            <w:r>
              <w:rPr>
                <w:b/>
                <w:sz w:val="18"/>
              </w:rPr>
              <w:t>60.59</w:t>
            </w:r>
          </w:p>
        </w:tc>
        <w:tc>
          <w:tcPr>
            <w:tcW w:w="1432" w:type="dxa"/>
            <w:tcBorders>
              <w:left w:val="single" w:sz="3" w:space="0" w:color="000000"/>
              <w:bottom w:val="single" w:sz="3" w:space="0" w:color="000000"/>
              <w:right w:val="single" w:sz="3" w:space="0" w:color="000000"/>
            </w:tcBorders>
            <w:shd w:val="clear" w:color="auto" w:fill="FFFF00"/>
          </w:tcPr>
          <w:p>
            <w:pPr>
              <w:pStyle w:val="TableParagraph"/>
              <w:spacing w:line="202" w:lineRule="exact"/>
              <w:ind w:left="589" w:right="595"/>
              <w:jc w:val="center"/>
              <w:rPr>
                <w:b/>
                <w:sz w:val="18"/>
              </w:rPr>
            </w:pPr>
            <w:r>
              <w:rPr>
                <w:b/>
                <w:sz w:val="18"/>
              </w:rPr>
              <w:t>22</w:t>
            </w:r>
          </w:p>
        </w:tc>
        <w:tc>
          <w:tcPr>
            <w:tcW w:w="952" w:type="dxa"/>
            <w:vMerge/>
            <w:tcBorders>
              <w:left w:val="single" w:sz="3" w:space="0" w:color="000000"/>
              <w:bottom w:val="single" w:sz="3" w:space="0" w:color="000000"/>
              <w:right w:val="single" w:sz="3" w:space="0" w:color="000000"/>
            </w:tcBorders>
            <w:shd w:val="clear" w:color="auto" w:fill="FFFF00"/>
          </w:tcPr>
          <w:p>
            <w:pPr/>
          </w:p>
        </w:tc>
      </w:tr>
      <w:tr>
        <w:trPr>
          <w:trHeight w:val="264" w:hRule="exact"/>
        </w:trPr>
        <w:tc>
          <w:tcPr>
            <w:tcW w:w="1897" w:type="dxa"/>
            <w:tcBorders>
              <w:top w:val="single" w:sz="3" w:space="0" w:color="000000"/>
              <w:left w:val="single" w:sz="3" w:space="0" w:color="000000"/>
              <w:right w:val="single" w:sz="3" w:space="0" w:color="000000"/>
            </w:tcBorders>
            <w:shd w:val="clear" w:color="auto" w:fill="FF0000"/>
          </w:tcPr>
          <w:p>
            <w:pPr>
              <w:pStyle w:val="TableParagraph"/>
              <w:spacing w:before="17"/>
              <w:ind w:left="63"/>
              <w:rPr>
                <w:b/>
                <w:sz w:val="18"/>
              </w:rPr>
            </w:pPr>
            <w:r>
              <w:rPr>
                <w:b/>
                <w:color w:val="FFFFFF"/>
                <w:sz w:val="18"/>
              </w:rPr>
              <w:t>Querétaro</w:t>
            </w:r>
          </w:p>
        </w:tc>
        <w:tc>
          <w:tcPr>
            <w:tcW w:w="1056" w:type="dxa"/>
            <w:tcBorders>
              <w:top w:val="single" w:sz="3" w:space="0" w:color="000000"/>
              <w:left w:val="single" w:sz="3" w:space="0" w:color="000000"/>
              <w:right w:val="single" w:sz="3" w:space="0" w:color="000000"/>
            </w:tcBorders>
            <w:shd w:val="clear" w:color="auto" w:fill="FF0000"/>
          </w:tcPr>
          <w:p>
            <w:pPr>
              <w:pStyle w:val="TableParagraph"/>
              <w:spacing w:before="17"/>
              <w:ind w:right="170"/>
              <w:jc w:val="right"/>
              <w:rPr>
                <w:b/>
                <w:sz w:val="18"/>
              </w:rPr>
            </w:pPr>
            <w:r>
              <w:rPr>
                <w:b/>
                <w:color w:val="FFFFFF"/>
                <w:sz w:val="18"/>
              </w:rPr>
              <w:t>82.5</w:t>
            </w:r>
          </w:p>
        </w:tc>
        <w:tc>
          <w:tcPr>
            <w:tcW w:w="1344" w:type="dxa"/>
            <w:tcBorders>
              <w:top w:val="single" w:sz="3" w:space="0" w:color="000000"/>
              <w:left w:val="single" w:sz="3" w:space="0" w:color="000000"/>
              <w:right w:val="single" w:sz="3" w:space="0" w:color="000000"/>
            </w:tcBorders>
            <w:shd w:val="clear" w:color="auto" w:fill="FF0000"/>
          </w:tcPr>
          <w:p>
            <w:pPr>
              <w:pStyle w:val="TableParagraph"/>
              <w:spacing w:before="17"/>
              <w:ind w:right="387"/>
              <w:jc w:val="right"/>
              <w:rPr>
                <w:b/>
                <w:sz w:val="18"/>
              </w:rPr>
            </w:pPr>
            <w:r>
              <w:rPr>
                <w:b/>
                <w:color w:val="FFFFFF"/>
                <w:sz w:val="18"/>
              </w:rPr>
              <w:t>11</w:t>
            </w:r>
          </w:p>
        </w:tc>
        <w:tc>
          <w:tcPr>
            <w:tcW w:w="1017" w:type="dxa"/>
            <w:tcBorders>
              <w:top w:val="single" w:sz="3" w:space="0" w:color="000000"/>
              <w:left w:val="single" w:sz="3" w:space="0" w:color="000000"/>
              <w:right w:val="single" w:sz="3" w:space="0" w:color="000000"/>
            </w:tcBorders>
            <w:shd w:val="clear" w:color="auto" w:fill="FF0000"/>
          </w:tcPr>
          <w:p>
            <w:pPr>
              <w:pStyle w:val="TableParagraph"/>
              <w:spacing w:before="41"/>
              <w:ind w:left="258" w:right="260"/>
              <w:jc w:val="center"/>
              <w:rPr>
                <w:b/>
                <w:sz w:val="18"/>
              </w:rPr>
            </w:pPr>
            <w:r>
              <w:rPr>
                <w:b/>
                <w:color w:val="FFFFFF"/>
                <w:sz w:val="18"/>
              </w:rPr>
              <w:t>57.33</w:t>
            </w:r>
          </w:p>
        </w:tc>
        <w:tc>
          <w:tcPr>
            <w:tcW w:w="1432" w:type="dxa"/>
            <w:tcBorders>
              <w:top w:val="single" w:sz="3" w:space="0" w:color="000000"/>
              <w:left w:val="single" w:sz="3" w:space="0" w:color="000000"/>
              <w:right w:val="single" w:sz="3" w:space="0" w:color="000000"/>
            </w:tcBorders>
            <w:shd w:val="clear" w:color="auto" w:fill="FF0000"/>
          </w:tcPr>
          <w:p>
            <w:pPr>
              <w:pStyle w:val="TableParagraph"/>
              <w:spacing w:before="41"/>
              <w:ind w:left="589" w:right="595"/>
              <w:jc w:val="center"/>
              <w:rPr>
                <w:b/>
                <w:sz w:val="18"/>
              </w:rPr>
            </w:pPr>
            <w:r>
              <w:rPr>
                <w:b/>
                <w:color w:val="FFFFFF"/>
                <w:sz w:val="18"/>
              </w:rPr>
              <w:t>23</w:t>
            </w:r>
          </w:p>
        </w:tc>
        <w:tc>
          <w:tcPr>
            <w:tcW w:w="952" w:type="dxa"/>
            <w:vMerge w:val="restart"/>
            <w:tcBorders>
              <w:top w:val="single" w:sz="3" w:space="0" w:color="000000"/>
              <w:left w:val="single" w:sz="3" w:space="0" w:color="000000"/>
              <w:right w:val="single" w:sz="3" w:space="0" w:color="000000"/>
            </w:tcBorders>
            <w:shd w:val="clear" w:color="auto" w:fill="FF0000"/>
          </w:tcPr>
          <w:p>
            <w:pPr>
              <w:pStyle w:val="TableParagraph"/>
              <w:rPr>
                <w:sz w:val="18"/>
              </w:rPr>
            </w:pPr>
          </w:p>
          <w:p>
            <w:pPr>
              <w:pStyle w:val="TableParagraph"/>
              <w:rPr>
                <w:sz w:val="18"/>
              </w:rPr>
            </w:pPr>
          </w:p>
          <w:p>
            <w:pPr>
              <w:pStyle w:val="TableParagraph"/>
              <w:rPr>
                <w:sz w:val="18"/>
              </w:rPr>
            </w:pPr>
          </w:p>
          <w:p>
            <w:pPr>
              <w:pStyle w:val="TableParagraph"/>
              <w:spacing w:before="156"/>
              <w:ind w:left="272"/>
              <w:rPr>
                <w:b/>
                <w:sz w:val="18"/>
              </w:rPr>
            </w:pPr>
            <w:r>
              <w:rPr>
                <w:b/>
                <w:color w:val="FFFFFF"/>
                <w:sz w:val="18"/>
              </w:rPr>
              <w:t>Bajo</w:t>
            </w:r>
          </w:p>
        </w:tc>
      </w:tr>
      <w:tr>
        <w:trPr>
          <w:trHeight w:val="218" w:hRule="exact"/>
        </w:trPr>
        <w:tc>
          <w:tcPr>
            <w:tcW w:w="1897" w:type="dxa"/>
            <w:tcBorders>
              <w:left w:val="single" w:sz="3" w:space="0" w:color="000000"/>
              <w:right w:val="single" w:sz="3" w:space="0" w:color="000000"/>
            </w:tcBorders>
            <w:shd w:val="clear" w:color="auto" w:fill="FF0000"/>
          </w:tcPr>
          <w:p>
            <w:pPr>
              <w:pStyle w:val="TableParagraph"/>
              <w:spacing w:line="204" w:lineRule="exact"/>
              <w:ind w:left="63"/>
              <w:rPr>
                <w:b/>
                <w:sz w:val="18"/>
              </w:rPr>
            </w:pPr>
            <w:r>
              <w:rPr>
                <w:b/>
                <w:color w:val="FFFFFF"/>
                <w:sz w:val="18"/>
              </w:rPr>
              <w:t>Sonora</w:t>
            </w:r>
          </w:p>
        </w:tc>
        <w:tc>
          <w:tcPr>
            <w:tcW w:w="1056" w:type="dxa"/>
            <w:tcBorders>
              <w:left w:val="single" w:sz="3" w:space="0" w:color="000000"/>
              <w:right w:val="single" w:sz="3" w:space="0" w:color="000000"/>
            </w:tcBorders>
            <w:shd w:val="clear" w:color="auto" w:fill="FF0000"/>
          </w:tcPr>
          <w:p>
            <w:pPr>
              <w:pStyle w:val="TableParagraph"/>
              <w:spacing w:line="204" w:lineRule="exact"/>
              <w:ind w:right="170"/>
              <w:jc w:val="right"/>
              <w:rPr>
                <w:b/>
                <w:sz w:val="18"/>
              </w:rPr>
            </w:pPr>
            <w:r>
              <w:rPr>
                <w:b/>
                <w:color w:val="FFFFFF"/>
                <w:sz w:val="18"/>
              </w:rPr>
              <w:t>48.2</w:t>
            </w:r>
          </w:p>
        </w:tc>
        <w:tc>
          <w:tcPr>
            <w:tcW w:w="1344" w:type="dxa"/>
            <w:tcBorders>
              <w:left w:val="single" w:sz="3" w:space="0" w:color="000000"/>
              <w:right w:val="single" w:sz="3" w:space="0" w:color="000000"/>
            </w:tcBorders>
            <w:shd w:val="clear" w:color="auto" w:fill="FF0000"/>
          </w:tcPr>
          <w:p>
            <w:pPr>
              <w:pStyle w:val="TableParagraph"/>
              <w:spacing w:line="204" w:lineRule="exact"/>
              <w:ind w:right="387"/>
              <w:jc w:val="right"/>
              <w:rPr>
                <w:b/>
                <w:sz w:val="18"/>
              </w:rPr>
            </w:pPr>
            <w:r>
              <w:rPr>
                <w:b/>
                <w:color w:val="FFFFFF"/>
                <w:sz w:val="18"/>
              </w:rPr>
              <w:t>28</w:t>
            </w:r>
          </w:p>
        </w:tc>
        <w:tc>
          <w:tcPr>
            <w:tcW w:w="1017" w:type="dxa"/>
            <w:tcBorders>
              <w:left w:val="single" w:sz="3" w:space="0" w:color="000000"/>
              <w:right w:val="single" w:sz="3" w:space="0" w:color="000000"/>
            </w:tcBorders>
            <w:shd w:val="clear" w:color="auto" w:fill="FF0000"/>
          </w:tcPr>
          <w:p>
            <w:pPr>
              <w:pStyle w:val="TableParagraph"/>
              <w:spacing w:line="204" w:lineRule="exact"/>
              <w:ind w:left="258" w:right="260"/>
              <w:jc w:val="center"/>
              <w:rPr>
                <w:b/>
                <w:sz w:val="18"/>
              </w:rPr>
            </w:pPr>
            <w:r>
              <w:rPr>
                <w:b/>
                <w:color w:val="FFFFFF"/>
                <w:sz w:val="18"/>
              </w:rPr>
              <w:t>53.06</w:t>
            </w:r>
          </w:p>
        </w:tc>
        <w:tc>
          <w:tcPr>
            <w:tcW w:w="1432" w:type="dxa"/>
            <w:tcBorders>
              <w:left w:val="single" w:sz="3" w:space="0" w:color="000000"/>
              <w:right w:val="single" w:sz="3" w:space="0" w:color="000000"/>
            </w:tcBorders>
            <w:shd w:val="clear" w:color="auto" w:fill="FF0000"/>
          </w:tcPr>
          <w:p>
            <w:pPr>
              <w:pStyle w:val="TableParagraph"/>
              <w:spacing w:line="204" w:lineRule="exact"/>
              <w:ind w:left="589" w:right="595"/>
              <w:jc w:val="center"/>
              <w:rPr>
                <w:b/>
                <w:sz w:val="18"/>
              </w:rPr>
            </w:pPr>
            <w:r>
              <w:rPr>
                <w:b/>
                <w:color w:val="FFFFFF"/>
                <w:sz w:val="18"/>
              </w:rPr>
              <w:t>24</w:t>
            </w:r>
          </w:p>
        </w:tc>
        <w:tc>
          <w:tcPr>
            <w:tcW w:w="952" w:type="dxa"/>
            <w:vMerge/>
            <w:tcBorders>
              <w:left w:val="single" w:sz="3" w:space="0" w:color="000000"/>
              <w:right w:val="single" w:sz="3" w:space="0" w:color="000000"/>
            </w:tcBorders>
            <w:shd w:val="clear" w:color="auto" w:fill="FF0000"/>
          </w:tcPr>
          <w:p>
            <w:pPr/>
          </w:p>
        </w:tc>
      </w:tr>
      <w:tr>
        <w:trPr>
          <w:trHeight w:val="216" w:hRule="exact"/>
        </w:trPr>
        <w:tc>
          <w:tcPr>
            <w:tcW w:w="1897" w:type="dxa"/>
            <w:tcBorders>
              <w:left w:val="single" w:sz="3" w:space="0" w:color="000000"/>
              <w:right w:val="single" w:sz="3" w:space="0" w:color="000000"/>
            </w:tcBorders>
            <w:shd w:val="clear" w:color="auto" w:fill="FF0000"/>
          </w:tcPr>
          <w:p>
            <w:pPr>
              <w:pStyle w:val="TableParagraph"/>
              <w:spacing w:line="202" w:lineRule="exact"/>
              <w:ind w:left="63"/>
              <w:rPr>
                <w:b/>
                <w:sz w:val="18"/>
              </w:rPr>
            </w:pPr>
            <w:r>
              <w:rPr>
                <w:b/>
                <w:color w:val="FFFFFF"/>
                <w:sz w:val="18"/>
              </w:rPr>
              <w:t>Morelos</w:t>
            </w:r>
          </w:p>
        </w:tc>
        <w:tc>
          <w:tcPr>
            <w:tcW w:w="1056" w:type="dxa"/>
            <w:tcBorders>
              <w:left w:val="single" w:sz="3" w:space="0" w:color="000000"/>
              <w:right w:val="single" w:sz="3" w:space="0" w:color="000000"/>
            </w:tcBorders>
            <w:shd w:val="clear" w:color="auto" w:fill="FF0000"/>
          </w:tcPr>
          <w:p>
            <w:pPr>
              <w:pStyle w:val="TableParagraph"/>
              <w:spacing w:line="202" w:lineRule="exact"/>
              <w:ind w:right="170"/>
              <w:jc w:val="right"/>
              <w:rPr>
                <w:b/>
                <w:sz w:val="18"/>
              </w:rPr>
            </w:pPr>
            <w:r>
              <w:rPr>
                <w:b/>
                <w:color w:val="FFFFFF"/>
                <w:sz w:val="18"/>
              </w:rPr>
              <w:t>58.5</w:t>
            </w:r>
          </w:p>
        </w:tc>
        <w:tc>
          <w:tcPr>
            <w:tcW w:w="1344" w:type="dxa"/>
            <w:tcBorders>
              <w:left w:val="single" w:sz="3" w:space="0" w:color="000000"/>
              <w:right w:val="single" w:sz="3" w:space="0" w:color="000000"/>
            </w:tcBorders>
            <w:shd w:val="clear" w:color="auto" w:fill="FF0000"/>
          </w:tcPr>
          <w:p>
            <w:pPr>
              <w:pStyle w:val="TableParagraph"/>
              <w:spacing w:line="202" w:lineRule="exact"/>
              <w:ind w:right="387"/>
              <w:jc w:val="right"/>
              <w:rPr>
                <w:b/>
                <w:sz w:val="18"/>
              </w:rPr>
            </w:pPr>
            <w:r>
              <w:rPr>
                <w:b/>
                <w:color w:val="FFFFFF"/>
                <w:sz w:val="18"/>
              </w:rPr>
              <w:t>25</w:t>
            </w:r>
          </w:p>
        </w:tc>
        <w:tc>
          <w:tcPr>
            <w:tcW w:w="1017" w:type="dxa"/>
            <w:tcBorders>
              <w:left w:val="single" w:sz="3" w:space="0" w:color="000000"/>
              <w:right w:val="single" w:sz="3" w:space="0" w:color="000000"/>
            </w:tcBorders>
            <w:shd w:val="clear" w:color="auto" w:fill="FF0000"/>
          </w:tcPr>
          <w:p>
            <w:pPr>
              <w:pStyle w:val="TableParagraph"/>
              <w:spacing w:line="202" w:lineRule="exact"/>
              <w:ind w:left="258" w:right="260"/>
              <w:jc w:val="center"/>
              <w:rPr>
                <w:b/>
                <w:sz w:val="18"/>
              </w:rPr>
            </w:pPr>
            <w:r>
              <w:rPr>
                <w:b/>
                <w:color w:val="FFFFFF"/>
                <w:sz w:val="18"/>
              </w:rPr>
              <w:t>52.34</w:t>
            </w:r>
          </w:p>
        </w:tc>
        <w:tc>
          <w:tcPr>
            <w:tcW w:w="1432" w:type="dxa"/>
            <w:tcBorders>
              <w:left w:val="single" w:sz="3" w:space="0" w:color="000000"/>
              <w:right w:val="single" w:sz="3" w:space="0" w:color="000000"/>
            </w:tcBorders>
            <w:shd w:val="clear" w:color="auto" w:fill="FF0000"/>
          </w:tcPr>
          <w:p>
            <w:pPr>
              <w:pStyle w:val="TableParagraph"/>
              <w:spacing w:line="202" w:lineRule="exact"/>
              <w:ind w:left="589" w:right="595"/>
              <w:jc w:val="center"/>
              <w:rPr>
                <w:b/>
                <w:sz w:val="18"/>
              </w:rPr>
            </w:pPr>
            <w:r>
              <w:rPr>
                <w:b/>
                <w:color w:val="FFFFFF"/>
                <w:sz w:val="18"/>
              </w:rPr>
              <w:t>25</w:t>
            </w:r>
          </w:p>
        </w:tc>
        <w:tc>
          <w:tcPr>
            <w:tcW w:w="952" w:type="dxa"/>
            <w:vMerge/>
            <w:tcBorders>
              <w:left w:val="single" w:sz="3" w:space="0" w:color="000000"/>
              <w:right w:val="single" w:sz="3" w:space="0" w:color="000000"/>
            </w:tcBorders>
            <w:shd w:val="clear" w:color="auto" w:fill="FF0000"/>
          </w:tcPr>
          <w:p>
            <w:pPr/>
          </w:p>
        </w:tc>
      </w:tr>
      <w:tr>
        <w:trPr>
          <w:trHeight w:val="218" w:hRule="exact"/>
        </w:trPr>
        <w:tc>
          <w:tcPr>
            <w:tcW w:w="1897" w:type="dxa"/>
            <w:tcBorders>
              <w:left w:val="single" w:sz="3" w:space="0" w:color="000000"/>
              <w:right w:val="single" w:sz="3" w:space="0" w:color="000000"/>
            </w:tcBorders>
            <w:shd w:val="clear" w:color="auto" w:fill="FF0000"/>
          </w:tcPr>
          <w:p>
            <w:pPr>
              <w:pStyle w:val="TableParagraph"/>
              <w:spacing w:line="202" w:lineRule="exact"/>
              <w:ind w:left="63"/>
              <w:rPr>
                <w:b/>
                <w:sz w:val="18"/>
              </w:rPr>
            </w:pPr>
            <w:r>
              <w:rPr>
                <w:b/>
                <w:color w:val="FFFFFF"/>
                <w:sz w:val="18"/>
              </w:rPr>
              <w:t>Guerrero</w:t>
            </w:r>
          </w:p>
        </w:tc>
        <w:tc>
          <w:tcPr>
            <w:tcW w:w="1056" w:type="dxa"/>
            <w:tcBorders>
              <w:left w:val="single" w:sz="3" w:space="0" w:color="000000"/>
              <w:right w:val="single" w:sz="3" w:space="0" w:color="000000"/>
            </w:tcBorders>
            <w:shd w:val="clear" w:color="auto" w:fill="FF0000"/>
          </w:tcPr>
          <w:p>
            <w:pPr>
              <w:pStyle w:val="TableParagraph"/>
              <w:spacing w:line="202" w:lineRule="exact"/>
              <w:ind w:right="170"/>
              <w:jc w:val="right"/>
              <w:rPr>
                <w:b/>
                <w:sz w:val="18"/>
              </w:rPr>
            </w:pPr>
            <w:r>
              <w:rPr>
                <w:b/>
                <w:color w:val="FFFFFF"/>
                <w:sz w:val="18"/>
              </w:rPr>
              <w:t>26.7</w:t>
            </w:r>
          </w:p>
        </w:tc>
        <w:tc>
          <w:tcPr>
            <w:tcW w:w="1344" w:type="dxa"/>
            <w:tcBorders>
              <w:left w:val="single" w:sz="3" w:space="0" w:color="000000"/>
              <w:right w:val="single" w:sz="3" w:space="0" w:color="000000"/>
            </w:tcBorders>
            <w:shd w:val="clear" w:color="auto" w:fill="FF0000"/>
          </w:tcPr>
          <w:p>
            <w:pPr>
              <w:pStyle w:val="TableParagraph"/>
              <w:spacing w:line="202" w:lineRule="exact"/>
              <w:ind w:right="387"/>
              <w:jc w:val="right"/>
              <w:rPr>
                <w:b/>
                <w:sz w:val="18"/>
              </w:rPr>
            </w:pPr>
            <w:r>
              <w:rPr>
                <w:b/>
                <w:color w:val="FFFFFF"/>
                <w:sz w:val="18"/>
              </w:rPr>
              <w:t>29</w:t>
            </w:r>
          </w:p>
        </w:tc>
        <w:tc>
          <w:tcPr>
            <w:tcW w:w="1017" w:type="dxa"/>
            <w:tcBorders>
              <w:left w:val="single" w:sz="3" w:space="0" w:color="000000"/>
              <w:right w:val="single" w:sz="3" w:space="0" w:color="000000"/>
            </w:tcBorders>
            <w:shd w:val="clear" w:color="auto" w:fill="FF0000"/>
          </w:tcPr>
          <w:p>
            <w:pPr>
              <w:pStyle w:val="TableParagraph"/>
              <w:spacing w:line="202" w:lineRule="exact"/>
              <w:ind w:left="258" w:right="260"/>
              <w:jc w:val="center"/>
              <w:rPr>
                <w:b/>
                <w:sz w:val="18"/>
              </w:rPr>
            </w:pPr>
            <w:r>
              <w:rPr>
                <w:b/>
                <w:color w:val="FFFFFF"/>
                <w:sz w:val="18"/>
              </w:rPr>
              <w:t>52.04</w:t>
            </w:r>
          </w:p>
        </w:tc>
        <w:tc>
          <w:tcPr>
            <w:tcW w:w="1432" w:type="dxa"/>
            <w:tcBorders>
              <w:left w:val="single" w:sz="3" w:space="0" w:color="000000"/>
              <w:right w:val="single" w:sz="3" w:space="0" w:color="000000"/>
            </w:tcBorders>
            <w:shd w:val="clear" w:color="auto" w:fill="FF0000"/>
          </w:tcPr>
          <w:p>
            <w:pPr>
              <w:pStyle w:val="TableParagraph"/>
              <w:spacing w:line="202" w:lineRule="exact"/>
              <w:ind w:left="589" w:right="595"/>
              <w:jc w:val="center"/>
              <w:rPr>
                <w:b/>
                <w:sz w:val="18"/>
              </w:rPr>
            </w:pPr>
            <w:r>
              <w:rPr>
                <w:b/>
                <w:color w:val="FFFFFF"/>
                <w:sz w:val="18"/>
              </w:rPr>
              <w:t>26</w:t>
            </w:r>
          </w:p>
        </w:tc>
        <w:tc>
          <w:tcPr>
            <w:tcW w:w="952" w:type="dxa"/>
            <w:vMerge/>
            <w:tcBorders>
              <w:left w:val="single" w:sz="3" w:space="0" w:color="000000"/>
              <w:right w:val="single" w:sz="3" w:space="0" w:color="000000"/>
            </w:tcBorders>
            <w:shd w:val="clear" w:color="auto" w:fill="FF0000"/>
          </w:tcPr>
          <w:p>
            <w:pPr/>
          </w:p>
        </w:tc>
      </w:tr>
      <w:tr>
        <w:trPr>
          <w:trHeight w:val="218" w:hRule="exact"/>
        </w:trPr>
        <w:tc>
          <w:tcPr>
            <w:tcW w:w="1897" w:type="dxa"/>
            <w:tcBorders>
              <w:left w:val="single" w:sz="3" w:space="0" w:color="000000"/>
              <w:right w:val="single" w:sz="3" w:space="0" w:color="000000"/>
            </w:tcBorders>
            <w:shd w:val="clear" w:color="auto" w:fill="FF0000"/>
          </w:tcPr>
          <w:p>
            <w:pPr>
              <w:pStyle w:val="TableParagraph"/>
              <w:spacing w:line="204" w:lineRule="exact"/>
              <w:ind w:left="63"/>
              <w:rPr>
                <w:b/>
                <w:sz w:val="18"/>
              </w:rPr>
            </w:pPr>
            <w:r>
              <w:rPr>
                <w:b/>
                <w:color w:val="FFFFFF"/>
                <w:sz w:val="18"/>
              </w:rPr>
              <w:t>Quintana Roo</w:t>
            </w:r>
          </w:p>
        </w:tc>
        <w:tc>
          <w:tcPr>
            <w:tcW w:w="1056" w:type="dxa"/>
            <w:tcBorders>
              <w:left w:val="single" w:sz="3" w:space="0" w:color="000000"/>
              <w:right w:val="single" w:sz="3" w:space="0" w:color="000000"/>
            </w:tcBorders>
            <w:shd w:val="clear" w:color="auto" w:fill="FF0000"/>
          </w:tcPr>
          <w:p>
            <w:pPr>
              <w:pStyle w:val="TableParagraph"/>
              <w:spacing w:line="204" w:lineRule="exact"/>
              <w:ind w:right="170"/>
              <w:jc w:val="right"/>
              <w:rPr>
                <w:b/>
                <w:sz w:val="18"/>
              </w:rPr>
            </w:pPr>
            <w:r>
              <w:rPr>
                <w:b/>
                <w:color w:val="FFFFFF"/>
                <w:sz w:val="18"/>
              </w:rPr>
              <w:t>51.7</w:t>
            </w:r>
          </w:p>
        </w:tc>
        <w:tc>
          <w:tcPr>
            <w:tcW w:w="1344" w:type="dxa"/>
            <w:tcBorders>
              <w:left w:val="single" w:sz="3" w:space="0" w:color="000000"/>
              <w:right w:val="single" w:sz="3" w:space="0" w:color="000000"/>
            </w:tcBorders>
            <w:shd w:val="clear" w:color="auto" w:fill="FF0000"/>
          </w:tcPr>
          <w:p>
            <w:pPr>
              <w:pStyle w:val="TableParagraph"/>
              <w:spacing w:line="204" w:lineRule="exact"/>
              <w:ind w:right="387"/>
              <w:jc w:val="right"/>
              <w:rPr>
                <w:b/>
                <w:sz w:val="18"/>
              </w:rPr>
            </w:pPr>
            <w:r>
              <w:rPr>
                <w:b/>
                <w:color w:val="FFFFFF"/>
                <w:sz w:val="18"/>
              </w:rPr>
              <w:t>27</w:t>
            </w:r>
          </w:p>
        </w:tc>
        <w:tc>
          <w:tcPr>
            <w:tcW w:w="1017" w:type="dxa"/>
            <w:tcBorders>
              <w:left w:val="single" w:sz="3" w:space="0" w:color="000000"/>
              <w:right w:val="single" w:sz="3" w:space="0" w:color="000000"/>
            </w:tcBorders>
            <w:shd w:val="clear" w:color="auto" w:fill="FF0000"/>
          </w:tcPr>
          <w:p>
            <w:pPr>
              <w:pStyle w:val="TableParagraph"/>
              <w:spacing w:line="204" w:lineRule="exact"/>
              <w:ind w:left="258" w:right="260"/>
              <w:jc w:val="center"/>
              <w:rPr>
                <w:b/>
                <w:sz w:val="18"/>
              </w:rPr>
            </w:pPr>
            <w:r>
              <w:rPr>
                <w:b/>
                <w:color w:val="FFFFFF"/>
                <w:sz w:val="18"/>
              </w:rPr>
              <w:t>51.99</w:t>
            </w:r>
          </w:p>
        </w:tc>
        <w:tc>
          <w:tcPr>
            <w:tcW w:w="1432" w:type="dxa"/>
            <w:tcBorders>
              <w:left w:val="single" w:sz="3" w:space="0" w:color="000000"/>
              <w:right w:val="single" w:sz="3" w:space="0" w:color="000000"/>
            </w:tcBorders>
            <w:shd w:val="clear" w:color="auto" w:fill="FF0000"/>
          </w:tcPr>
          <w:p>
            <w:pPr>
              <w:pStyle w:val="TableParagraph"/>
              <w:spacing w:line="204" w:lineRule="exact"/>
              <w:ind w:left="589" w:right="595"/>
              <w:jc w:val="center"/>
              <w:rPr>
                <w:b/>
                <w:sz w:val="18"/>
              </w:rPr>
            </w:pPr>
            <w:r>
              <w:rPr>
                <w:b/>
                <w:color w:val="FFFFFF"/>
                <w:sz w:val="18"/>
              </w:rPr>
              <w:t>27</w:t>
            </w:r>
          </w:p>
        </w:tc>
        <w:tc>
          <w:tcPr>
            <w:tcW w:w="952" w:type="dxa"/>
            <w:vMerge/>
            <w:tcBorders>
              <w:left w:val="single" w:sz="3" w:space="0" w:color="000000"/>
              <w:right w:val="single" w:sz="3" w:space="0" w:color="000000"/>
            </w:tcBorders>
            <w:shd w:val="clear" w:color="auto" w:fill="FF0000"/>
          </w:tcPr>
          <w:p>
            <w:pPr/>
          </w:p>
        </w:tc>
      </w:tr>
      <w:tr>
        <w:trPr>
          <w:trHeight w:val="216" w:hRule="exact"/>
        </w:trPr>
        <w:tc>
          <w:tcPr>
            <w:tcW w:w="1897" w:type="dxa"/>
            <w:tcBorders>
              <w:left w:val="single" w:sz="3" w:space="0" w:color="000000"/>
              <w:right w:val="single" w:sz="3" w:space="0" w:color="000000"/>
            </w:tcBorders>
            <w:shd w:val="clear" w:color="auto" w:fill="FF0000"/>
          </w:tcPr>
          <w:p>
            <w:pPr>
              <w:pStyle w:val="TableParagraph"/>
              <w:spacing w:line="202" w:lineRule="exact"/>
              <w:ind w:left="63"/>
              <w:rPr>
                <w:b/>
                <w:sz w:val="18"/>
              </w:rPr>
            </w:pPr>
            <w:r>
              <w:rPr>
                <w:b/>
                <w:color w:val="FFFFFF"/>
                <w:sz w:val="18"/>
              </w:rPr>
              <w:t>Hidalgo</w:t>
            </w:r>
          </w:p>
        </w:tc>
        <w:tc>
          <w:tcPr>
            <w:tcW w:w="1056" w:type="dxa"/>
            <w:tcBorders>
              <w:left w:val="single" w:sz="3" w:space="0" w:color="000000"/>
              <w:right w:val="single" w:sz="3" w:space="0" w:color="000000"/>
            </w:tcBorders>
            <w:shd w:val="clear" w:color="auto" w:fill="FF0000"/>
          </w:tcPr>
          <w:p>
            <w:pPr>
              <w:pStyle w:val="TableParagraph"/>
              <w:spacing w:line="202" w:lineRule="exact"/>
              <w:ind w:right="170"/>
              <w:jc w:val="right"/>
              <w:rPr>
                <w:b/>
                <w:sz w:val="18"/>
              </w:rPr>
            </w:pPr>
            <w:r>
              <w:rPr>
                <w:b/>
                <w:color w:val="FFFFFF"/>
                <w:sz w:val="18"/>
              </w:rPr>
              <w:t>58.4</w:t>
            </w:r>
          </w:p>
        </w:tc>
        <w:tc>
          <w:tcPr>
            <w:tcW w:w="1344" w:type="dxa"/>
            <w:tcBorders>
              <w:left w:val="single" w:sz="3" w:space="0" w:color="000000"/>
              <w:right w:val="single" w:sz="3" w:space="0" w:color="000000"/>
            </w:tcBorders>
            <w:shd w:val="clear" w:color="auto" w:fill="FF0000"/>
          </w:tcPr>
          <w:p>
            <w:pPr>
              <w:pStyle w:val="TableParagraph"/>
              <w:spacing w:line="202" w:lineRule="exact"/>
              <w:ind w:right="387"/>
              <w:jc w:val="right"/>
              <w:rPr>
                <w:b/>
                <w:sz w:val="18"/>
              </w:rPr>
            </w:pPr>
            <w:r>
              <w:rPr>
                <w:b/>
                <w:color w:val="FFFFFF"/>
                <w:sz w:val="18"/>
              </w:rPr>
              <w:t>26</w:t>
            </w:r>
          </w:p>
        </w:tc>
        <w:tc>
          <w:tcPr>
            <w:tcW w:w="1017" w:type="dxa"/>
            <w:tcBorders>
              <w:left w:val="single" w:sz="3" w:space="0" w:color="000000"/>
              <w:right w:val="single" w:sz="3" w:space="0" w:color="000000"/>
            </w:tcBorders>
            <w:shd w:val="clear" w:color="auto" w:fill="FF0000"/>
          </w:tcPr>
          <w:p>
            <w:pPr>
              <w:pStyle w:val="TableParagraph"/>
              <w:spacing w:line="202" w:lineRule="exact"/>
              <w:ind w:left="258" w:right="260"/>
              <w:jc w:val="center"/>
              <w:rPr>
                <w:b/>
                <w:sz w:val="18"/>
              </w:rPr>
            </w:pPr>
            <w:r>
              <w:rPr>
                <w:b/>
                <w:color w:val="FFFFFF"/>
                <w:sz w:val="18"/>
              </w:rPr>
              <w:t>50.04</w:t>
            </w:r>
          </w:p>
        </w:tc>
        <w:tc>
          <w:tcPr>
            <w:tcW w:w="1432" w:type="dxa"/>
            <w:tcBorders>
              <w:left w:val="single" w:sz="3" w:space="0" w:color="000000"/>
              <w:right w:val="single" w:sz="3" w:space="0" w:color="000000"/>
            </w:tcBorders>
            <w:shd w:val="clear" w:color="auto" w:fill="FF0000"/>
          </w:tcPr>
          <w:p>
            <w:pPr>
              <w:pStyle w:val="TableParagraph"/>
              <w:spacing w:line="202" w:lineRule="exact"/>
              <w:ind w:left="589" w:right="595"/>
              <w:jc w:val="center"/>
              <w:rPr>
                <w:b/>
                <w:sz w:val="18"/>
              </w:rPr>
            </w:pPr>
            <w:r>
              <w:rPr>
                <w:b/>
                <w:color w:val="FFFFFF"/>
                <w:sz w:val="18"/>
              </w:rPr>
              <w:t>28</w:t>
            </w:r>
          </w:p>
        </w:tc>
        <w:tc>
          <w:tcPr>
            <w:tcW w:w="952" w:type="dxa"/>
            <w:vMerge/>
            <w:tcBorders>
              <w:left w:val="single" w:sz="3" w:space="0" w:color="000000"/>
              <w:right w:val="single" w:sz="3" w:space="0" w:color="000000"/>
            </w:tcBorders>
            <w:shd w:val="clear" w:color="auto" w:fill="FF0000"/>
          </w:tcPr>
          <w:p>
            <w:pPr/>
          </w:p>
        </w:tc>
      </w:tr>
      <w:tr>
        <w:trPr>
          <w:trHeight w:val="216" w:hRule="exact"/>
        </w:trPr>
        <w:tc>
          <w:tcPr>
            <w:tcW w:w="1897" w:type="dxa"/>
            <w:tcBorders>
              <w:left w:val="single" w:sz="3" w:space="0" w:color="000000"/>
              <w:right w:val="single" w:sz="3" w:space="0" w:color="000000"/>
            </w:tcBorders>
            <w:shd w:val="clear" w:color="auto" w:fill="FF0000"/>
          </w:tcPr>
          <w:p>
            <w:pPr>
              <w:pStyle w:val="TableParagraph"/>
              <w:spacing w:line="202" w:lineRule="exact"/>
              <w:ind w:left="63"/>
              <w:rPr>
                <w:b/>
                <w:sz w:val="18"/>
              </w:rPr>
            </w:pPr>
            <w:r>
              <w:rPr>
                <w:b/>
                <w:color w:val="FFFFFF"/>
                <w:sz w:val="18"/>
              </w:rPr>
              <w:t>Sinaloa</w:t>
            </w:r>
          </w:p>
        </w:tc>
        <w:tc>
          <w:tcPr>
            <w:tcW w:w="1056" w:type="dxa"/>
            <w:tcBorders>
              <w:left w:val="single" w:sz="3" w:space="0" w:color="000000"/>
              <w:right w:val="single" w:sz="3" w:space="0" w:color="000000"/>
            </w:tcBorders>
            <w:shd w:val="clear" w:color="auto" w:fill="FF0000"/>
          </w:tcPr>
          <w:p>
            <w:pPr>
              <w:pStyle w:val="TableParagraph"/>
              <w:spacing w:line="202" w:lineRule="exact"/>
              <w:ind w:right="170"/>
              <w:jc w:val="right"/>
              <w:rPr>
                <w:b/>
                <w:sz w:val="18"/>
              </w:rPr>
            </w:pPr>
            <w:r>
              <w:rPr>
                <w:b/>
                <w:color w:val="FFFFFF"/>
                <w:sz w:val="18"/>
              </w:rPr>
              <w:t>82.7</w:t>
            </w:r>
          </w:p>
        </w:tc>
        <w:tc>
          <w:tcPr>
            <w:tcW w:w="1344" w:type="dxa"/>
            <w:tcBorders>
              <w:left w:val="single" w:sz="3" w:space="0" w:color="000000"/>
              <w:right w:val="single" w:sz="3" w:space="0" w:color="000000"/>
            </w:tcBorders>
            <w:shd w:val="clear" w:color="auto" w:fill="FF0000"/>
          </w:tcPr>
          <w:p>
            <w:pPr>
              <w:pStyle w:val="TableParagraph"/>
              <w:spacing w:line="202" w:lineRule="exact"/>
              <w:ind w:right="387"/>
              <w:jc w:val="right"/>
              <w:rPr>
                <w:b/>
                <w:sz w:val="18"/>
              </w:rPr>
            </w:pPr>
            <w:r>
              <w:rPr>
                <w:b/>
                <w:color w:val="FFFFFF"/>
                <w:sz w:val="18"/>
              </w:rPr>
              <w:t>10</w:t>
            </w:r>
          </w:p>
        </w:tc>
        <w:tc>
          <w:tcPr>
            <w:tcW w:w="1017" w:type="dxa"/>
            <w:tcBorders>
              <w:left w:val="single" w:sz="3" w:space="0" w:color="000000"/>
              <w:right w:val="single" w:sz="3" w:space="0" w:color="000000"/>
            </w:tcBorders>
            <w:shd w:val="clear" w:color="auto" w:fill="FF0000"/>
          </w:tcPr>
          <w:p>
            <w:pPr>
              <w:pStyle w:val="TableParagraph"/>
              <w:spacing w:line="202" w:lineRule="exact"/>
              <w:ind w:left="258" w:right="260"/>
              <w:jc w:val="center"/>
              <w:rPr>
                <w:b/>
                <w:sz w:val="18"/>
              </w:rPr>
            </w:pPr>
            <w:r>
              <w:rPr>
                <w:b/>
                <w:color w:val="FFFFFF"/>
                <w:sz w:val="18"/>
              </w:rPr>
              <w:t>47.00</w:t>
            </w:r>
          </w:p>
        </w:tc>
        <w:tc>
          <w:tcPr>
            <w:tcW w:w="1432" w:type="dxa"/>
            <w:tcBorders>
              <w:left w:val="single" w:sz="3" w:space="0" w:color="000000"/>
              <w:right w:val="single" w:sz="3" w:space="0" w:color="000000"/>
            </w:tcBorders>
            <w:shd w:val="clear" w:color="auto" w:fill="FF0000"/>
          </w:tcPr>
          <w:p>
            <w:pPr>
              <w:pStyle w:val="TableParagraph"/>
              <w:spacing w:line="202" w:lineRule="exact"/>
              <w:ind w:left="589" w:right="595"/>
              <w:jc w:val="center"/>
              <w:rPr>
                <w:b/>
                <w:sz w:val="18"/>
              </w:rPr>
            </w:pPr>
            <w:r>
              <w:rPr>
                <w:b/>
                <w:color w:val="FFFFFF"/>
                <w:sz w:val="18"/>
              </w:rPr>
              <w:t>29</w:t>
            </w:r>
          </w:p>
        </w:tc>
        <w:tc>
          <w:tcPr>
            <w:tcW w:w="952" w:type="dxa"/>
            <w:vMerge/>
            <w:tcBorders>
              <w:left w:val="single" w:sz="3" w:space="0" w:color="000000"/>
              <w:right w:val="single" w:sz="3" w:space="0" w:color="000000"/>
            </w:tcBorders>
            <w:shd w:val="clear" w:color="auto" w:fill="FF0000"/>
          </w:tcPr>
          <w:p>
            <w:pPr/>
          </w:p>
        </w:tc>
      </w:tr>
      <w:tr>
        <w:trPr>
          <w:trHeight w:val="218" w:hRule="exact"/>
        </w:trPr>
        <w:tc>
          <w:tcPr>
            <w:tcW w:w="1897" w:type="dxa"/>
            <w:tcBorders>
              <w:left w:val="single" w:sz="3" w:space="0" w:color="000000"/>
              <w:bottom w:val="single" w:sz="3" w:space="0" w:color="000000"/>
              <w:right w:val="single" w:sz="3" w:space="0" w:color="000000"/>
            </w:tcBorders>
            <w:shd w:val="clear" w:color="auto" w:fill="FF0000"/>
          </w:tcPr>
          <w:p>
            <w:pPr>
              <w:pStyle w:val="TableParagraph"/>
              <w:spacing w:line="202" w:lineRule="exact"/>
              <w:ind w:left="63"/>
              <w:rPr>
                <w:b/>
                <w:sz w:val="18"/>
              </w:rPr>
            </w:pPr>
            <w:r>
              <w:rPr>
                <w:b/>
                <w:color w:val="FFFFFF"/>
                <w:sz w:val="18"/>
              </w:rPr>
              <w:t>Tlaxcala</w:t>
            </w:r>
          </w:p>
        </w:tc>
        <w:tc>
          <w:tcPr>
            <w:tcW w:w="1056" w:type="dxa"/>
            <w:tcBorders>
              <w:left w:val="single" w:sz="3" w:space="0" w:color="000000"/>
              <w:bottom w:val="single" w:sz="3" w:space="0" w:color="000000"/>
              <w:right w:val="single" w:sz="3" w:space="0" w:color="000000"/>
            </w:tcBorders>
            <w:shd w:val="clear" w:color="auto" w:fill="FF0000"/>
          </w:tcPr>
          <w:p>
            <w:pPr>
              <w:pStyle w:val="TableParagraph"/>
              <w:spacing w:line="202" w:lineRule="exact"/>
              <w:ind w:right="170"/>
              <w:jc w:val="right"/>
              <w:rPr>
                <w:b/>
                <w:sz w:val="18"/>
              </w:rPr>
            </w:pPr>
            <w:r>
              <w:rPr>
                <w:b/>
                <w:color w:val="FFFFFF"/>
                <w:sz w:val="18"/>
              </w:rPr>
              <w:t>11.4</w:t>
            </w:r>
          </w:p>
        </w:tc>
        <w:tc>
          <w:tcPr>
            <w:tcW w:w="1344" w:type="dxa"/>
            <w:tcBorders>
              <w:left w:val="single" w:sz="3" w:space="0" w:color="000000"/>
              <w:bottom w:val="single" w:sz="3" w:space="0" w:color="000000"/>
              <w:right w:val="single" w:sz="3" w:space="0" w:color="000000"/>
            </w:tcBorders>
            <w:shd w:val="clear" w:color="auto" w:fill="FF0000"/>
          </w:tcPr>
          <w:p>
            <w:pPr>
              <w:pStyle w:val="TableParagraph"/>
              <w:spacing w:line="202" w:lineRule="exact"/>
              <w:ind w:right="387"/>
              <w:jc w:val="right"/>
              <w:rPr>
                <w:b/>
                <w:sz w:val="18"/>
              </w:rPr>
            </w:pPr>
            <w:r>
              <w:rPr>
                <w:b/>
                <w:color w:val="FFFFFF"/>
                <w:sz w:val="18"/>
              </w:rPr>
              <w:t>31</w:t>
            </w:r>
          </w:p>
        </w:tc>
        <w:tc>
          <w:tcPr>
            <w:tcW w:w="1017" w:type="dxa"/>
            <w:tcBorders>
              <w:left w:val="single" w:sz="3" w:space="0" w:color="000000"/>
              <w:bottom w:val="single" w:sz="3" w:space="0" w:color="000000"/>
              <w:right w:val="single" w:sz="3" w:space="0" w:color="000000"/>
            </w:tcBorders>
            <w:shd w:val="clear" w:color="auto" w:fill="FF0000"/>
          </w:tcPr>
          <w:p>
            <w:pPr>
              <w:pStyle w:val="TableParagraph"/>
              <w:spacing w:line="202" w:lineRule="exact"/>
              <w:ind w:left="258" w:right="260"/>
              <w:jc w:val="center"/>
              <w:rPr>
                <w:b/>
                <w:sz w:val="18"/>
              </w:rPr>
            </w:pPr>
            <w:r>
              <w:rPr>
                <w:b/>
                <w:color w:val="FFFFFF"/>
                <w:sz w:val="18"/>
              </w:rPr>
              <w:t>27.59</w:t>
            </w:r>
          </w:p>
        </w:tc>
        <w:tc>
          <w:tcPr>
            <w:tcW w:w="1432" w:type="dxa"/>
            <w:tcBorders>
              <w:left w:val="single" w:sz="3" w:space="0" w:color="000000"/>
              <w:bottom w:val="single" w:sz="3" w:space="0" w:color="000000"/>
              <w:right w:val="single" w:sz="3" w:space="0" w:color="000000"/>
            </w:tcBorders>
            <w:shd w:val="clear" w:color="auto" w:fill="FF0000"/>
          </w:tcPr>
          <w:p>
            <w:pPr>
              <w:pStyle w:val="TableParagraph"/>
              <w:spacing w:line="202" w:lineRule="exact"/>
              <w:ind w:left="589" w:right="595"/>
              <w:jc w:val="center"/>
              <w:rPr>
                <w:b/>
                <w:sz w:val="18"/>
              </w:rPr>
            </w:pPr>
            <w:r>
              <w:rPr>
                <w:b/>
                <w:color w:val="FFFFFF"/>
                <w:sz w:val="18"/>
              </w:rPr>
              <w:t>30</w:t>
            </w:r>
          </w:p>
        </w:tc>
        <w:tc>
          <w:tcPr>
            <w:tcW w:w="952" w:type="dxa"/>
            <w:vMerge/>
            <w:tcBorders>
              <w:left w:val="single" w:sz="3" w:space="0" w:color="000000"/>
              <w:bottom w:val="single" w:sz="3" w:space="0" w:color="000000"/>
              <w:right w:val="single" w:sz="3" w:space="0" w:color="000000"/>
            </w:tcBorders>
            <w:shd w:val="clear" w:color="auto" w:fill="FF0000"/>
          </w:tcPr>
          <w:p>
            <w:pPr/>
          </w:p>
        </w:tc>
      </w:tr>
    </w:tbl>
    <w:p>
      <w:pPr>
        <w:pStyle w:val="BodyText"/>
        <w:spacing w:before="3"/>
        <w:rPr>
          <w:sz w:val="13"/>
        </w:rPr>
      </w:pPr>
    </w:p>
    <w:p>
      <w:pPr>
        <w:spacing w:line="242" w:lineRule="auto" w:before="1"/>
        <w:ind w:left="1517" w:right="385" w:hanging="708"/>
        <w:jc w:val="left"/>
        <w:rPr>
          <w:sz w:val="12"/>
        </w:rPr>
      </w:pPr>
      <w:r>
        <w:rPr>
          <w:sz w:val="12"/>
        </w:rPr>
        <w:t>FUENTE: A regional, </w:t>
      </w:r>
      <w:r>
        <w:rPr>
          <w:i/>
          <w:sz w:val="12"/>
        </w:rPr>
        <w:t>Índice de Transparencia y Disponibilidad de la Información Fiscal de las Entidades Federativas (ITIDIF) 2012</w:t>
      </w:r>
      <w:r>
        <w:rPr>
          <w:sz w:val="12"/>
        </w:rPr>
        <w:t>, p. 8. [Fecha de consulta: 10 de septiembre, 2015]</w:t>
      </w:r>
    </w:p>
    <w:p>
      <w:pPr>
        <w:pStyle w:val="BodyText"/>
        <w:rPr>
          <w:sz w:val="12"/>
        </w:rPr>
      </w:pPr>
    </w:p>
    <w:p>
      <w:pPr>
        <w:pStyle w:val="BodyText"/>
        <w:rPr>
          <w:sz w:val="12"/>
        </w:rPr>
      </w:pPr>
    </w:p>
    <w:p>
      <w:pPr>
        <w:pStyle w:val="BodyText"/>
        <w:rPr>
          <w:sz w:val="12"/>
        </w:rPr>
      </w:pPr>
    </w:p>
    <w:p>
      <w:pPr>
        <w:pStyle w:val="BodyText"/>
        <w:spacing w:before="7"/>
        <w:rPr>
          <w:sz w:val="17"/>
        </w:rPr>
      </w:pPr>
    </w:p>
    <w:p>
      <w:pPr>
        <w:pStyle w:val="BodyText"/>
        <w:spacing w:line="360" w:lineRule="auto"/>
        <w:ind w:left="100" w:right="107" w:firstLine="424"/>
        <w:jc w:val="both"/>
      </w:pPr>
      <w:r>
        <w:rPr/>
        <w:t>En 2011 las entidades federativas se distribuyeron en la misma proporción en el nivel de transparencia (11 para cada nivel), y en 2012 la distribución cambió,</w:t>
      </w:r>
      <w:r>
        <w:rPr>
          <w:spacing w:val="-15"/>
        </w:rPr>
        <w:t> </w:t>
      </w:r>
      <w:r>
        <w:rPr/>
        <w:t>12</w:t>
      </w:r>
      <w:r>
        <w:rPr>
          <w:spacing w:val="-18"/>
        </w:rPr>
        <w:t> </w:t>
      </w:r>
      <w:r>
        <w:rPr/>
        <w:t>estados</w:t>
      </w:r>
      <w:r>
        <w:rPr>
          <w:spacing w:val="-16"/>
        </w:rPr>
        <w:t> </w:t>
      </w:r>
      <w:r>
        <w:rPr/>
        <w:t>se</w:t>
      </w:r>
      <w:r>
        <w:rPr>
          <w:spacing w:val="-18"/>
        </w:rPr>
        <w:t> </w:t>
      </w:r>
      <w:r>
        <w:rPr/>
        <w:t>clasifican</w:t>
      </w:r>
      <w:r>
        <w:rPr>
          <w:spacing w:val="-18"/>
        </w:rPr>
        <w:t> </w:t>
      </w:r>
      <w:r>
        <w:rPr/>
        <w:t>en</w:t>
      </w:r>
      <w:r>
        <w:rPr>
          <w:spacing w:val="-18"/>
        </w:rPr>
        <w:t> </w:t>
      </w:r>
      <w:r>
        <w:rPr/>
        <w:t>un</w:t>
      </w:r>
      <w:r>
        <w:rPr>
          <w:spacing w:val="-18"/>
        </w:rPr>
        <w:t> </w:t>
      </w:r>
      <w:r>
        <w:rPr/>
        <w:t>nivel</w:t>
      </w:r>
      <w:r>
        <w:rPr>
          <w:spacing w:val="-17"/>
        </w:rPr>
        <w:t> </w:t>
      </w:r>
      <w:r>
        <w:rPr/>
        <w:t>de</w:t>
      </w:r>
      <w:r>
        <w:rPr>
          <w:spacing w:val="-18"/>
        </w:rPr>
        <w:t> </w:t>
      </w:r>
      <w:r>
        <w:rPr/>
        <w:t>transparencia</w:t>
      </w:r>
      <w:r>
        <w:rPr>
          <w:spacing w:val="-18"/>
        </w:rPr>
        <w:t> </w:t>
      </w:r>
      <w:r>
        <w:rPr/>
        <w:t>alta,</w:t>
      </w:r>
      <w:r>
        <w:rPr>
          <w:spacing w:val="-15"/>
        </w:rPr>
        <w:t> </w:t>
      </w:r>
      <w:r>
        <w:rPr/>
        <w:t>12</w:t>
      </w:r>
      <w:r>
        <w:rPr>
          <w:spacing w:val="-18"/>
        </w:rPr>
        <w:t> </w:t>
      </w:r>
      <w:r>
        <w:rPr/>
        <w:t>en</w:t>
      </w:r>
      <w:r>
        <w:rPr>
          <w:spacing w:val="-18"/>
        </w:rPr>
        <w:t> </w:t>
      </w:r>
      <w:r>
        <w:rPr/>
        <w:t>la</w:t>
      </w:r>
      <w:r>
        <w:rPr>
          <w:spacing w:val="-18"/>
        </w:rPr>
        <w:t> </w:t>
      </w:r>
      <w:r>
        <w:rPr/>
        <w:t>media y 8 en la</w:t>
      </w:r>
      <w:r>
        <w:rPr>
          <w:spacing w:val="-12"/>
        </w:rPr>
        <w:t> </w:t>
      </w:r>
      <w:r>
        <w:rPr/>
        <w:t>baja.</w:t>
      </w:r>
    </w:p>
    <w:p>
      <w:pPr>
        <w:pStyle w:val="BodyText"/>
        <w:spacing w:line="360" w:lineRule="auto" w:before="6"/>
        <w:ind w:left="100" w:right="105" w:firstLine="424"/>
        <w:jc w:val="both"/>
      </w:pPr>
      <w:r>
        <w:rPr/>
        <w:t>Jalisco y Nayarit presentaron la primera posición, el Estado de México la segunda y Baja California Sur la tercera. Es importante considerar que las 4 entidades mejoraron su posición con respecto al estudio 2011.</w:t>
      </w:r>
    </w:p>
    <w:p>
      <w:pPr>
        <w:pStyle w:val="BodyText"/>
        <w:spacing w:line="360" w:lineRule="auto" w:before="2"/>
        <w:ind w:left="100" w:right="101" w:firstLine="424"/>
        <w:jc w:val="both"/>
      </w:pPr>
      <w:r>
        <w:rPr/>
        <w:t>Guanajuato, Oaxaca y Puebla mostraron los mayores avances en sus posiciones con respecto al estudio anterior. Por otra parte, Tlaxcala, Sinaloa e Hidalgo ocuparon las últimas posiciones del último estudio, siendo Sinaloa el Estado</w:t>
      </w:r>
      <w:r>
        <w:rPr>
          <w:spacing w:val="-12"/>
        </w:rPr>
        <w:t> </w:t>
      </w:r>
      <w:r>
        <w:rPr/>
        <w:t>que</w:t>
      </w:r>
      <w:r>
        <w:rPr>
          <w:spacing w:val="-12"/>
        </w:rPr>
        <w:t> </w:t>
      </w:r>
      <w:r>
        <w:rPr/>
        <w:t>retrocedió</w:t>
      </w:r>
      <w:r>
        <w:rPr>
          <w:spacing w:val="-12"/>
        </w:rPr>
        <w:t> </w:t>
      </w:r>
      <w:r>
        <w:rPr/>
        <w:t>21</w:t>
      </w:r>
      <w:r>
        <w:rPr>
          <w:spacing w:val="-8"/>
        </w:rPr>
        <w:t> </w:t>
      </w:r>
      <w:r>
        <w:rPr/>
        <w:t>posiciones</w:t>
      </w:r>
      <w:r>
        <w:rPr>
          <w:spacing w:val="-10"/>
        </w:rPr>
        <w:t> </w:t>
      </w:r>
      <w:r>
        <w:rPr/>
        <w:t>con</w:t>
      </w:r>
      <w:r>
        <w:rPr>
          <w:spacing w:val="-12"/>
        </w:rPr>
        <w:t> </w:t>
      </w:r>
      <w:r>
        <w:rPr/>
        <w:t>respecto</w:t>
      </w:r>
      <w:r>
        <w:rPr>
          <w:spacing w:val="-12"/>
        </w:rPr>
        <w:t> </w:t>
      </w:r>
      <w:r>
        <w:rPr/>
        <w:t>a</w:t>
      </w:r>
      <w:r>
        <w:rPr>
          <w:spacing w:val="-12"/>
        </w:rPr>
        <w:t> </w:t>
      </w:r>
      <w:r>
        <w:rPr/>
        <w:t>2011,</w:t>
      </w:r>
      <w:r>
        <w:rPr>
          <w:spacing w:val="-9"/>
        </w:rPr>
        <w:t> </w:t>
      </w:r>
      <w:r>
        <w:rPr/>
        <w:t>seguido</w:t>
      </w:r>
      <w:r>
        <w:rPr>
          <w:spacing w:val="-8"/>
        </w:rPr>
        <w:t> </w:t>
      </w:r>
      <w:r>
        <w:rPr/>
        <w:t>de</w:t>
      </w:r>
      <w:r>
        <w:rPr>
          <w:spacing w:val="-12"/>
        </w:rPr>
        <w:t> </w:t>
      </w:r>
      <w:r>
        <w:rPr/>
        <w:t>Querétaro y</w:t>
      </w:r>
      <w:r>
        <w:rPr>
          <w:spacing w:val="-8"/>
        </w:rPr>
        <w:t> </w:t>
      </w:r>
      <w:r>
        <w:rPr/>
        <w:t>Michoacán.</w:t>
      </w:r>
    </w:p>
    <w:p>
      <w:pPr>
        <w:spacing w:after="0" w:line="360" w:lineRule="auto"/>
        <w:jc w:val="both"/>
        <w:sectPr>
          <w:pgSz w:w="11910" w:h="16840"/>
          <w:pgMar w:header="0" w:footer="998" w:top="1340" w:bottom="1180" w:left="1600" w:right="1600"/>
        </w:sectPr>
      </w:pPr>
    </w:p>
    <w:p>
      <w:pPr>
        <w:pStyle w:val="BodyText"/>
        <w:spacing w:line="360" w:lineRule="auto" w:before="39"/>
        <w:ind w:left="100" w:right="105" w:firstLine="424"/>
        <w:jc w:val="both"/>
      </w:pPr>
      <w:r>
        <w:rPr/>
        <w:t>En general, se observó un retroceso en los niveles de transparencia a nivel nacional, ya que en el estudio de 2011 se obtuvo un puntaje promedio de 72.7, mientras que en 2012 la media fue de 70.8 puntos.</w:t>
      </w:r>
    </w:p>
    <w:p>
      <w:pPr>
        <w:pStyle w:val="BodyText"/>
        <w:spacing w:line="276" w:lineRule="auto" w:before="6"/>
        <w:ind w:left="100" w:right="106" w:firstLine="427"/>
        <w:jc w:val="both"/>
      </w:pPr>
      <w:r>
        <w:rPr/>
        <w:t>A</w:t>
      </w:r>
      <w:r>
        <w:rPr>
          <w:spacing w:val="-8"/>
        </w:rPr>
        <w:t> </w:t>
      </w:r>
      <w:r>
        <w:rPr/>
        <w:t>regional</w:t>
      </w:r>
      <w:r>
        <w:rPr>
          <w:spacing w:val="-9"/>
        </w:rPr>
        <w:t> </w:t>
      </w:r>
      <w:r>
        <w:rPr/>
        <w:t>facilitó</w:t>
      </w:r>
      <w:r>
        <w:rPr>
          <w:spacing w:val="-9"/>
        </w:rPr>
        <w:t> </w:t>
      </w:r>
      <w:r>
        <w:rPr/>
        <w:t>el</w:t>
      </w:r>
      <w:r>
        <w:rPr>
          <w:spacing w:val="-9"/>
        </w:rPr>
        <w:t> </w:t>
      </w:r>
      <w:r>
        <w:rPr/>
        <w:t>análisis</w:t>
      </w:r>
      <w:r>
        <w:rPr>
          <w:spacing w:val="-8"/>
        </w:rPr>
        <w:t> </w:t>
      </w:r>
      <w:r>
        <w:rPr/>
        <w:t>presentando</w:t>
      </w:r>
      <w:r>
        <w:rPr>
          <w:spacing w:val="-9"/>
        </w:rPr>
        <w:t> </w:t>
      </w:r>
      <w:r>
        <w:rPr/>
        <w:t>los</w:t>
      </w:r>
      <w:r>
        <w:rPr>
          <w:spacing w:val="-8"/>
        </w:rPr>
        <w:t> </w:t>
      </w:r>
      <w:r>
        <w:rPr/>
        <w:t>niveles</w:t>
      </w:r>
      <w:r>
        <w:rPr>
          <w:spacing w:val="-8"/>
        </w:rPr>
        <w:t> </w:t>
      </w:r>
      <w:r>
        <w:rPr/>
        <w:t>de</w:t>
      </w:r>
      <w:r>
        <w:rPr>
          <w:spacing w:val="-9"/>
        </w:rPr>
        <w:t> </w:t>
      </w:r>
      <w:r>
        <w:rPr/>
        <w:t>corrupción</w:t>
      </w:r>
      <w:r>
        <w:rPr>
          <w:spacing w:val="-6"/>
        </w:rPr>
        <w:t> </w:t>
      </w:r>
      <w:r>
        <w:rPr/>
        <w:t>mediante realizar un mapa de la disponibilidad de la información fiscal. El esquema es el siguiente:</w:t>
      </w:r>
    </w:p>
    <w:p>
      <w:pPr>
        <w:pStyle w:val="BodyText"/>
        <w:spacing w:before="11"/>
        <w:rPr>
          <w:sz w:val="17"/>
        </w:rPr>
      </w:pPr>
    </w:p>
    <w:p>
      <w:pPr>
        <w:spacing w:before="75"/>
        <w:ind w:left="1228" w:right="385" w:firstLine="0"/>
        <w:jc w:val="left"/>
        <w:rPr>
          <w:sz w:val="20"/>
        </w:rPr>
      </w:pPr>
      <w:r>
        <w:rPr>
          <w:sz w:val="20"/>
        </w:rPr>
        <w:t>Esquema 4. 5. Niveles de transparencia en las Entidades Federativas, 2011</w:t>
      </w:r>
    </w:p>
    <w:p>
      <w:pPr>
        <w:pStyle w:val="BodyText"/>
        <w:rPr>
          <w:sz w:val="12"/>
        </w:rPr>
      </w:pPr>
      <w:r>
        <w:rPr/>
        <w:drawing>
          <wp:anchor distT="0" distB="0" distL="0" distR="0" allowOverlap="1" layoutInCell="1" locked="0" behindDoc="0" simplePos="0" relativeHeight="11128">
            <wp:simplePos x="0" y="0"/>
            <wp:positionH relativeFrom="page">
              <wp:posOffset>1408401</wp:posOffset>
            </wp:positionH>
            <wp:positionV relativeFrom="paragraph">
              <wp:posOffset>112760</wp:posOffset>
            </wp:positionV>
            <wp:extent cx="5023362" cy="3178682"/>
            <wp:effectExtent l="0" t="0" r="0" b="0"/>
            <wp:wrapTopAndBottom/>
            <wp:docPr id="7" name="image70.jpeg" descr=""/>
            <wp:cNvGraphicFramePr>
              <a:graphicFrameLocks noChangeAspect="1"/>
            </wp:cNvGraphicFramePr>
            <a:graphic>
              <a:graphicData uri="http://schemas.openxmlformats.org/drawingml/2006/picture">
                <pic:pic>
                  <pic:nvPicPr>
                    <pic:cNvPr id="8" name="image70.jpeg"/>
                    <pic:cNvPicPr/>
                  </pic:nvPicPr>
                  <pic:blipFill>
                    <a:blip r:embed="rId220" cstate="print"/>
                    <a:stretch>
                      <a:fillRect/>
                    </a:stretch>
                  </pic:blipFill>
                  <pic:spPr>
                    <a:xfrm>
                      <a:off x="0" y="0"/>
                      <a:ext cx="5023362" cy="3178682"/>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0"/>
        <w:ind w:left="809" w:right="385" w:firstLine="0"/>
        <w:jc w:val="left"/>
        <w:rPr>
          <w:i/>
          <w:sz w:val="12"/>
        </w:rPr>
      </w:pPr>
      <w:r>
        <w:rPr>
          <w:sz w:val="12"/>
        </w:rPr>
        <w:t>FUENTE:     A regional, </w:t>
      </w:r>
      <w:r>
        <w:rPr>
          <w:i/>
          <w:sz w:val="12"/>
        </w:rPr>
        <w:t>Índice de Transparencia y Disponibilidad de la Información Fiscal de las Entidades Federativas (ITIDIF) 2012.</w:t>
      </w:r>
    </w:p>
    <w:p>
      <w:pPr>
        <w:spacing w:before="18"/>
        <w:ind w:left="1517" w:right="385" w:firstLine="0"/>
        <w:jc w:val="left"/>
        <w:rPr>
          <w:sz w:val="12"/>
        </w:rPr>
      </w:pPr>
      <w:r>
        <w:rPr>
          <w:sz w:val="12"/>
        </w:rPr>
        <w:t>[Fecha de consulta: 10 de septiembre, 2015]</w:t>
      </w:r>
    </w:p>
    <w:p>
      <w:pPr>
        <w:pStyle w:val="BodyText"/>
        <w:spacing w:before="8"/>
        <w:rPr>
          <w:sz w:val="9"/>
        </w:rPr>
      </w:pPr>
    </w:p>
    <w:p>
      <w:pPr>
        <w:spacing w:before="70"/>
        <w:ind w:left="100" w:right="385" w:firstLine="0"/>
        <w:jc w:val="left"/>
        <w:rPr>
          <w:i/>
          <w:sz w:val="24"/>
        </w:rPr>
      </w:pPr>
      <w:r>
        <w:rPr>
          <w:i/>
          <w:sz w:val="24"/>
        </w:rPr>
        <w:t>Fiscalización</w:t>
      </w:r>
    </w:p>
    <w:p>
      <w:pPr>
        <w:spacing w:line="362" w:lineRule="auto" w:before="136"/>
        <w:ind w:left="1233" w:right="82" w:hanging="1133"/>
        <w:jc w:val="left"/>
        <w:rPr>
          <w:i/>
          <w:sz w:val="24"/>
        </w:rPr>
      </w:pPr>
      <w:r>
        <w:rPr>
          <w:i/>
          <w:sz w:val="24"/>
        </w:rPr>
        <w:t>Evaluación de la Legislación en Materia de Fiscalización Superior en México, </w:t>
      </w:r>
      <w:r>
        <w:rPr>
          <w:i/>
          <w:sz w:val="24"/>
        </w:rPr>
        <w:t>2009</w:t>
      </w:r>
    </w:p>
    <w:p>
      <w:pPr>
        <w:pStyle w:val="BodyText"/>
        <w:rPr>
          <w:i/>
        </w:rPr>
      </w:pPr>
    </w:p>
    <w:p>
      <w:pPr>
        <w:pStyle w:val="BodyText"/>
        <w:spacing w:line="360" w:lineRule="auto" w:before="143"/>
        <w:ind w:left="100" w:right="103" w:firstLine="427"/>
        <w:jc w:val="both"/>
      </w:pPr>
      <w:r>
        <w:rPr/>
        <w:t>La</w:t>
      </w:r>
      <w:r>
        <w:rPr>
          <w:spacing w:val="-17"/>
        </w:rPr>
        <w:t> </w:t>
      </w:r>
      <w:r>
        <w:rPr/>
        <w:t>Universidad</w:t>
      </w:r>
      <w:r>
        <w:rPr>
          <w:spacing w:val="-17"/>
        </w:rPr>
        <w:t> </w:t>
      </w:r>
      <w:r>
        <w:rPr/>
        <w:t>de</w:t>
      </w:r>
      <w:r>
        <w:rPr>
          <w:spacing w:val="-17"/>
        </w:rPr>
        <w:t> </w:t>
      </w:r>
      <w:r>
        <w:rPr/>
        <w:t>Guadalajara,</w:t>
      </w:r>
      <w:r>
        <w:rPr>
          <w:spacing w:val="-14"/>
        </w:rPr>
        <w:t> </w:t>
      </w:r>
      <w:r>
        <w:rPr/>
        <w:t>con</w:t>
      </w:r>
      <w:r>
        <w:rPr>
          <w:spacing w:val="-17"/>
        </w:rPr>
        <w:t> </w:t>
      </w:r>
      <w:r>
        <w:rPr/>
        <w:t>la</w:t>
      </w:r>
      <w:r>
        <w:rPr>
          <w:spacing w:val="-17"/>
        </w:rPr>
        <w:t> </w:t>
      </w:r>
      <w:r>
        <w:rPr/>
        <w:t>colaboración</w:t>
      </w:r>
      <w:r>
        <w:rPr>
          <w:spacing w:val="-17"/>
        </w:rPr>
        <w:t> </w:t>
      </w:r>
      <w:r>
        <w:rPr/>
        <w:t>de</w:t>
      </w:r>
      <w:r>
        <w:rPr>
          <w:spacing w:val="-17"/>
        </w:rPr>
        <w:t> </w:t>
      </w:r>
      <w:r>
        <w:rPr/>
        <w:t>la</w:t>
      </w:r>
      <w:r>
        <w:rPr>
          <w:spacing w:val="-17"/>
        </w:rPr>
        <w:t> </w:t>
      </w:r>
      <w:r>
        <w:rPr/>
        <w:t>consultora</w:t>
      </w:r>
      <w:r>
        <w:rPr>
          <w:spacing w:val="-17"/>
        </w:rPr>
        <w:t> </w:t>
      </w:r>
      <w:r>
        <w:rPr/>
        <w:t>Orienta- Agenda Pública, en abril de 2009 difundió los resultados de la evaluación de las leyes de fiscalización superior de México que realizó ese</w:t>
      </w:r>
      <w:r>
        <w:rPr>
          <w:spacing w:val="-31"/>
        </w:rPr>
        <w:t> </w:t>
      </w:r>
      <w:r>
        <w:rPr/>
        <w:t>año.</w:t>
      </w:r>
    </w:p>
    <w:p>
      <w:pPr>
        <w:pStyle w:val="BodyText"/>
        <w:spacing w:line="360" w:lineRule="auto" w:before="2"/>
        <w:ind w:left="100" w:right="99" w:firstLine="427"/>
        <w:jc w:val="both"/>
      </w:pPr>
      <w:r>
        <w:rPr/>
        <w:t>El indicador tiene el propósito de diagnosticar el estado y calidad de los ordenamientos jurídicos federales y estatales que regulan la revisión y fiscalización  del  gasto  público;  evaluar  comparativamente  estas  leyes;   dar</w:t>
      </w:r>
    </w:p>
    <w:p>
      <w:pPr>
        <w:spacing w:after="0" w:line="360" w:lineRule="auto"/>
        <w:jc w:val="both"/>
        <w:sectPr>
          <w:pgSz w:w="11910" w:h="16840"/>
          <w:pgMar w:header="0" w:footer="998" w:top="1360" w:bottom="1180" w:left="1600" w:right="1600"/>
        </w:sectPr>
      </w:pPr>
    </w:p>
    <w:p>
      <w:pPr>
        <w:pStyle w:val="BodyText"/>
        <w:spacing w:line="362" w:lineRule="auto" w:before="39"/>
        <w:ind w:left="120" w:right="272"/>
      </w:pPr>
      <w:r>
        <w:rPr/>
        <w:t>seguimiento a la evolución legislativa, y comparar la legislación federal en el ámbito internacional.</w:t>
      </w:r>
    </w:p>
    <w:p>
      <w:pPr>
        <w:pStyle w:val="BodyText"/>
        <w:spacing w:line="360" w:lineRule="auto"/>
        <w:ind w:left="120" w:right="117" w:firstLine="427"/>
        <w:jc w:val="both"/>
      </w:pPr>
      <w:r>
        <w:rPr/>
        <w:t>Se</w:t>
      </w:r>
      <w:r>
        <w:rPr>
          <w:spacing w:val="-11"/>
        </w:rPr>
        <w:t> </w:t>
      </w:r>
      <w:r>
        <w:rPr/>
        <w:t>evaluaron</w:t>
      </w:r>
      <w:r>
        <w:rPr>
          <w:spacing w:val="-11"/>
        </w:rPr>
        <w:t> </w:t>
      </w:r>
      <w:r>
        <w:rPr/>
        <w:t>10</w:t>
      </w:r>
      <w:r>
        <w:rPr>
          <w:spacing w:val="-11"/>
        </w:rPr>
        <w:t> </w:t>
      </w:r>
      <w:r>
        <w:rPr/>
        <w:t>indicadores</w:t>
      </w:r>
      <w:r>
        <w:rPr>
          <w:position w:val="8"/>
          <w:sz w:val="16"/>
        </w:rPr>
        <w:t>153</w:t>
      </w:r>
      <w:r>
        <w:rPr>
          <w:spacing w:val="12"/>
          <w:position w:val="8"/>
          <w:sz w:val="16"/>
        </w:rPr>
        <w:t> </w:t>
      </w:r>
      <w:r>
        <w:rPr/>
        <w:t>para</w:t>
      </w:r>
      <w:r>
        <w:rPr>
          <w:spacing w:val="-11"/>
        </w:rPr>
        <w:t> </w:t>
      </w:r>
      <w:r>
        <w:rPr/>
        <w:t>calificar</w:t>
      </w:r>
      <w:r>
        <w:rPr>
          <w:spacing w:val="-9"/>
        </w:rPr>
        <w:t> </w:t>
      </w:r>
      <w:r>
        <w:rPr/>
        <w:t>leyes</w:t>
      </w:r>
      <w:r>
        <w:rPr>
          <w:spacing w:val="-9"/>
        </w:rPr>
        <w:t> </w:t>
      </w:r>
      <w:r>
        <w:rPr/>
        <w:t>y</w:t>
      </w:r>
      <w:r>
        <w:rPr>
          <w:spacing w:val="-12"/>
        </w:rPr>
        <w:t> </w:t>
      </w:r>
      <w:r>
        <w:rPr/>
        <w:t>reglamentos</w:t>
      </w:r>
      <w:r>
        <w:rPr>
          <w:spacing w:val="-9"/>
        </w:rPr>
        <w:t> </w:t>
      </w:r>
      <w:r>
        <w:rPr/>
        <w:t>en</w:t>
      </w:r>
      <w:r>
        <w:rPr>
          <w:spacing w:val="-7"/>
        </w:rPr>
        <w:t> </w:t>
      </w:r>
      <w:r>
        <w:rPr/>
        <w:t>materia de fiscalización correspondientes a los congresos de los estados y del Distrito Federal.</w:t>
      </w:r>
    </w:p>
    <w:p>
      <w:pPr>
        <w:pStyle w:val="BodyText"/>
        <w:spacing w:line="360" w:lineRule="auto" w:before="6"/>
        <w:ind w:left="120" w:right="126" w:firstLine="427"/>
        <w:jc w:val="both"/>
      </w:pPr>
      <w:r>
        <w:rPr/>
        <w:t>La escala de calificaciones es de 0 a 100, donde valores más altos indican un sistema legal más completo. De acuerdo con el estudio, los indicadores presentan las deficiencias en materia de fiscalización, lo cual sirve como parámetro para mejorar la rendición de cuentas.</w:t>
      </w:r>
    </w:p>
    <w:p>
      <w:pPr>
        <w:pStyle w:val="BodyText"/>
        <w:spacing w:line="360" w:lineRule="auto" w:before="6"/>
        <w:ind w:left="120" w:right="126" w:firstLine="427"/>
        <w:jc w:val="both"/>
      </w:pPr>
      <w:r>
        <w:rPr/>
        <w:t>La calificación general promedio para las leyes fue de 84.7 puntos, cifra superior al año anterior (77) en una escala de 0 a 100. Campeche, Chiapas, Durango, México, Michoacán, Morelos, Zacatecas, Coahuila, Sonora, Sinaloa y Oaxaca obtuvieron la calificación máxima en sus ordenamientos jurídicos.</w:t>
      </w:r>
    </w:p>
    <w:p>
      <w:pPr>
        <w:pStyle w:val="BodyText"/>
      </w:pPr>
    </w:p>
    <w:p>
      <w:pPr>
        <w:pStyle w:val="BodyText"/>
        <w:spacing w:before="8"/>
        <w:rPr>
          <w:sz w:val="25"/>
        </w:rPr>
      </w:pPr>
    </w:p>
    <w:p>
      <w:pPr>
        <w:spacing w:before="0"/>
        <w:ind w:left="1408" w:right="272" w:firstLine="0"/>
        <w:jc w:val="left"/>
        <w:rPr>
          <w:sz w:val="20"/>
        </w:rPr>
      </w:pPr>
      <w:bookmarkStart w:name="_bookmark95" w:id="127"/>
      <w:bookmarkEnd w:id="127"/>
      <w:r>
        <w:rPr/>
      </w:r>
      <w:r>
        <w:rPr>
          <w:sz w:val="20"/>
        </w:rPr>
        <w:t>Cuadro 4. 12. Evaluación general de la fiscalización superior, 2009</w:t>
      </w:r>
    </w:p>
    <w:p>
      <w:pPr>
        <w:pStyle w:val="BodyText"/>
        <w:spacing w:before="6"/>
        <w:rPr>
          <w:sz w:val="17"/>
        </w:rPr>
      </w:pPr>
    </w:p>
    <w:tbl>
      <w:tblPr>
        <w:tblW w:w="0" w:type="auto"/>
        <w:jc w:val="left"/>
        <w:tblInd w:w="26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94"/>
        <w:gridCol w:w="1972"/>
        <w:gridCol w:w="1163"/>
        <w:gridCol w:w="952"/>
        <w:gridCol w:w="1812"/>
        <w:gridCol w:w="1105"/>
      </w:tblGrid>
      <w:tr>
        <w:trPr>
          <w:trHeight w:val="380" w:hRule="exact"/>
        </w:trPr>
        <w:tc>
          <w:tcPr>
            <w:tcW w:w="1194" w:type="dxa"/>
            <w:tcBorders>
              <w:left w:val="nil"/>
              <w:right w:val="nil"/>
            </w:tcBorders>
          </w:tcPr>
          <w:p>
            <w:pPr>
              <w:pStyle w:val="TableParagraph"/>
              <w:spacing w:before="63"/>
              <w:ind w:left="305" w:right="168"/>
              <w:jc w:val="center"/>
              <w:rPr>
                <w:sz w:val="18"/>
              </w:rPr>
            </w:pPr>
            <w:r>
              <w:rPr>
                <w:sz w:val="18"/>
              </w:rPr>
              <w:t>Posición</w:t>
            </w:r>
          </w:p>
        </w:tc>
        <w:tc>
          <w:tcPr>
            <w:tcW w:w="1972" w:type="dxa"/>
            <w:tcBorders>
              <w:left w:val="nil"/>
              <w:right w:val="nil"/>
            </w:tcBorders>
          </w:tcPr>
          <w:p>
            <w:pPr>
              <w:pStyle w:val="TableParagraph"/>
              <w:spacing w:before="63"/>
              <w:ind w:left="302"/>
              <w:rPr>
                <w:sz w:val="18"/>
              </w:rPr>
            </w:pPr>
            <w:r>
              <w:rPr>
                <w:sz w:val="18"/>
              </w:rPr>
              <w:t>Entidad Federativa</w:t>
            </w:r>
          </w:p>
        </w:tc>
        <w:tc>
          <w:tcPr>
            <w:tcW w:w="1163" w:type="dxa"/>
            <w:tcBorders>
              <w:left w:val="nil"/>
              <w:right w:val="nil"/>
            </w:tcBorders>
          </w:tcPr>
          <w:p>
            <w:pPr>
              <w:pStyle w:val="TableParagraph"/>
              <w:spacing w:before="63"/>
              <w:ind w:left="135" w:right="106"/>
              <w:jc w:val="center"/>
              <w:rPr>
                <w:sz w:val="18"/>
              </w:rPr>
            </w:pPr>
            <w:r>
              <w:rPr>
                <w:sz w:val="18"/>
              </w:rPr>
              <w:t>Evaluación</w:t>
            </w:r>
          </w:p>
        </w:tc>
        <w:tc>
          <w:tcPr>
            <w:tcW w:w="952" w:type="dxa"/>
            <w:tcBorders>
              <w:left w:val="nil"/>
              <w:right w:val="nil"/>
            </w:tcBorders>
          </w:tcPr>
          <w:p>
            <w:pPr>
              <w:pStyle w:val="TableParagraph"/>
              <w:spacing w:before="63"/>
              <w:ind w:left="117" w:right="114"/>
              <w:jc w:val="center"/>
              <w:rPr>
                <w:sz w:val="18"/>
              </w:rPr>
            </w:pPr>
            <w:r>
              <w:rPr>
                <w:sz w:val="18"/>
              </w:rPr>
              <w:t>Posición</w:t>
            </w:r>
          </w:p>
        </w:tc>
        <w:tc>
          <w:tcPr>
            <w:tcW w:w="1812" w:type="dxa"/>
            <w:tcBorders>
              <w:left w:val="nil"/>
              <w:right w:val="nil"/>
            </w:tcBorders>
          </w:tcPr>
          <w:p>
            <w:pPr>
              <w:pStyle w:val="TableParagraph"/>
              <w:spacing w:before="63"/>
              <w:ind w:left="168"/>
              <w:rPr>
                <w:sz w:val="18"/>
              </w:rPr>
            </w:pPr>
            <w:r>
              <w:rPr>
                <w:sz w:val="18"/>
              </w:rPr>
              <w:t>Entidad Federativa</w:t>
            </w:r>
          </w:p>
        </w:tc>
        <w:tc>
          <w:tcPr>
            <w:tcW w:w="1105" w:type="dxa"/>
            <w:tcBorders>
              <w:left w:val="nil"/>
              <w:right w:val="nil"/>
            </w:tcBorders>
          </w:tcPr>
          <w:p>
            <w:pPr>
              <w:pStyle w:val="TableParagraph"/>
              <w:spacing w:before="63"/>
              <w:ind w:left="110" w:right="74"/>
              <w:jc w:val="center"/>
              <w:rPr>
                <w:sz w:val="18"/>
              </w:rPr>
            </w:pPr>
            <w:r>
              <w:rPr>
                <w:sz w:val="18"/>
              </w:rPr>
              <w:t>Evaluación</w:t>
            </w:r>
          </w:p>
        </w:tc>
      </w:tr>
      <w:tr>
        <w:trPr>
          <w:trHeight w:val="248" w:hRule="exact"/>
        </w:trPr>
        <w:tc>
          <w:tcPr>
            <w:tcW w:w="1194" w:type="dxa"/>
            <w:tcBorders>
              <w:left w:val="nil"/>
              <w:bottom w:val="single" w:sz="3" w:space="0" w:color="F1F1F1"/>
              <w:right w:val="nil"/>
            </w:tcBorders>
          </w:tcPr>
          <w:p>
            <w:pPr>
              <w:pStyle w:val="TableParagraph"/>
              <w:spacing w:line="202" w:lineRule="exact"/>
              <w:ind w:left="131"/>
              <w:jc w:val="center"/>
              <w:rPr>
                <w:sz w:val="18"/>
              </w:rPr>
            </w:pPr>
            <w:r>
              <w:rPr>
                <w:w w:val="99"/>
                <w:sz w:val="18"/>
              </w:rPr>
              <w:t>1</w:t>
            </w:r>
          </w:p>
        </w:tc>
        <w:tc>
          <w:tcPr>
            <w:tcW w:w="1972" w:type="dxa"/>
            <w:tcBorders>
              <w:left w:val="nil"/>
              <w:bottom w:val="single" w:sz="3" w:space="0" w:color="F1F1F1"/>
              <w:right w:val="nil"/>
            </w:tcBorders>
          </w:tcPr>
          <w:p>
            <w:pPr>
              <w:pStyle w:val="TableParagraph"/>
              <w:spacing w:line="202" w:lineRule="exact"/>
              <w:ind w:left="186"/>
              <w:rPr>
                <w:sz w:val="18"/>
              </w:rPr>
            </w:pPr>
            <w:r>
              <w:rPr>
                <w:sz w:val="18"/>
              </w:rPr>
              <w:t>Campeche</w:t>
            </w:r>
          </w:p>
        </w:tc>
        <w:tc>
          <w:tcPr>
            <w:tcW w:w="1163" w:type="dxa"/>
            <w:tcBorders>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left w:val="nil"/>
              <w:bottom w:val="nil"/>
              <w:right w:val="nil"/>
            </w:tcBorders>
          </w:tcPr>
          <w:p>
            <w:pPr>
              <w:pStyle w:val="TableParagraph"/>
              <w:spacing w:line="202" w:lineRule="exact"/>
              <w:ind w:left="114" w:right="114"/>
              <w:jc w:val="center"/>
              <w:rPr>
                <w:sz w:val="18"/>
              </w:rPr>
            </w:pPr>
            <w:r>
              <w:rPr>
                <w:sz w:val="18"/>
              </w:rPr>
              <w:t>18</w:t>
            </w:r>
          </w:p>
        </w:tc>
        <w:tc>
          <w:tcPr>
            <w:tcW w:w="1812" w:type="dxa"/>
            <w:tcBorders>
              <w:left w:val="nil"/>
              <w:bottom w:val="nil"/>
              <w:right w:val="nil"/>
            </w:tcBorders>
          </w:tcPr>
          <w:p>
            <w:pPr>
              <w:pStyle w:val="TableParagraph"/>
              <w:spacing w:line="202" w:lineRule="exact"/>
              <w:ind w:left="72"/>
              <w:rPr>
                <w:sz w:val="18"/>
              </w:rPr>
            </w:pPr>
            <w:r>
              <w:rPr>
                <w:sz w:val="18"/>
              </w:rPr>
              <w:t>Nayarit</w:t>
            </w:r>
          </w:p>
        </w:tc>
        <w:tc>
          <w:tcPr>
            <w:tcW w:w="1105" w:type="dxa"/>
            <w:tcBorders>
              <w:left w:val="nil"/>
              <w:bottom w:val="nil"/>
              <w:right w:val="nil"/>
            </w:tcBorders>
          </w:tcPr>
          <w:p>
            <w:pPr>
              <w:pStyle w:val="TableParagraph"/>
              <w:spacing w:line="202" w:lineRule="exact"/>
              <w:ind w:left="110" w:right="70"/>
              <w:jc w:val="center"/>
              <w:rPr>
                <w:sz w:val="18"/>
              </w:rPr>
            </w:pPr>
            <w:r>
              <w:rPr>
                <w:sz w:val="18"/>
              </w:rPr>
              <w:t>80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131"/>
              <w:jc w:val="center"/>
              <w:rPr>
                <w:sz w:val="18"/>
              </w:rPr>
            </w:pPr>
            <w:r>
              <w:rPr>
                <w:w w:val="99"/>
                <w:sz w:val="18"/>
              </w:rPr>
              <w:t>2</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Chiapas</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19</w:t>
            </w:r>
          </w:p>
        </w:tc>
        <w:tc>
          <w:tcPr>
            <w:tcW w:w="1812" w:type="dxa"/>
            <w:tcBorders>
              <w:top w:val="nil"/>
              <w:left w:val="nil"/>
              <w:bottom w:val="nil"/>
              <w:right w:val="nil"/>
            </w:tcBorders>
          </w:tcPr>
          <w:p>
            <w:pPr>
              <w:pStyle w:val="TableParagraph"/>
              <w:spacing w:line="206" w:lineRule="exact"/>
              <w:ind w:left="72"/>
              <w:rPr>
                <w:sz w:val="18"/>
              </w:rPr>
            </w:pPr>
            <w:r>
              <w:rPr>
                <w:sz w:val="18"/>
              </w:rPr>
              <w:t>Veracruz</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80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131"/>
              <w:jc w:val="center"/>
              <w:rPr>
                <w:sz w:val="18"/>
              </w:rPr>
            </w:pPr>
            <w:r>
              <w:rPr>
                <w:w w:val="99"/>
                <w:sz w:val="18"/>
              </w:rPr>
              <w:t>3</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Durango</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20</w:t>
            </w:r>
          </w:p>
        </w:tc>
        <w:tc>
          <w:tcPr>
            <w:tcW w:w="1812" w:type="dxa"/>
            <w:tcBorders>
              <w:top w:val="nil"/>
              <w:left w:val="nil"/>
              <w:bottom w:val="nil"/>
              <w:right w:val="nil"/>
            </w:tcBorders>
          </w:tcPr>
          <w:p>
            <w:pPr>
              <w:pStyle w:val="TableParagraph"/>
              <w:spacing w:line="206" w:lineRule="exact"/>
              <w:ind w:left="72"/>
              <w:rPr>
                <w:sz w:val="18"/>
              </w:rPr>
            </w:pPr>
            <w:r>
              <w:rPr>
                <w:sz w:val="18"/>
              </w:rPr>
              <w:t>Puebla</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80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131"/>
              <w:jc w:val="center"/>
              <w:rPr>
                <w:sz w:val="18"/>
              </w:rPr>
            </w:pPr>
            <w:r>
              <w:rPr>
                <w:w w:val="99"/>
                <w:sz w:val="18"/>
              </w:rPr>
              <w:t>4</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México</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21</w:t>
            </w:r>
          </w:p>
        </w:tc>
        <w:tc>
          <w:tcPr>
            <w:tcW w:w="1812" w:type="dxa"/>
            <w:tcBorders>
              <w:top w:val="nil"/>
              <w:left w:val="nil"/>
              <w:bottom w:val="nil"/>
              <w:right w:val="nil"/>
            </w:tcBorders>
          </w:tcPr>
          <w:p>
            <w:pPr>
              <w:pStyle w:val="TableParagraph"/>
              <w:spacing w:line="206" w:lineRule="exact"/>
              <w:ind w:left="72"/>
              <w:rPr>
                <w:sz w:val="18"/>
              </w:rPr>
            </w:pPr>
            <w:r>
              <w:rPr>
                <w:sz w:val="18"/>
              </w:rPr>
              <w:t>Tabasco</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80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131"/>
              <w:jc w:val="center"/>
              <w:rPr>
                <w:sz w:val="18"/>
              </w:rPr>
            </w:pPr>
            <w:r>
              <w:rPr>
                <w:w w:val="99"/>
                <w:sz w:val="18"/>
              </w:rPr>
              <w:t>5</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Michoacán</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22</w:t>
            </w:r>
          </w:p>
        </w:tc>
        <w:tc>
          <w:tcPr>
            <w:tcW w:w="1812" w:type="dxa"/>
            <w:tcBorders>
              <w:top w:val="nil"/>
              <w:left w:val="nil"/>
              <w:bottom w:val="nil"/>
              <w:right w:val="nil"/>
            </w:tcBorders>
          </w:tcPr>
          <w:p>
            <w:pPr>
              <w:pStyle w:val="TableParagraph"/>
              <w:spacing w:line="206" w:lineRule="exact"/>
              <w:ind w:left="72"/>
              <w:rPr>
                <w:sz w:val="18"/>
              </w:rPr>
            </w:pPr>
            <w:r>
              <w:rPr>
                <w:sz w:val="18"/>
              </w:rPr>
              <w:t>Chihuahua</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75</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131"/>
              <w:jc w:val="center"/>
              <w:rPr>
                <w:sz w:val="18"/>
              </w:rPr>
            </w:pPr>
            <w:r>
              <w:rPr>
                <w:w w:val="99"/>
                <w:sz w:val="18"/>
              </w:rPr>
              <w:t>6</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Morelos</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23</w:t>
            </w:r>
          </w:p>
        </w:tc>
        <w:tc>
          <w:tcPr>
            <w:tcW w:w="1812" w:type="dxa"/>
            <w:tcBorders>
              <w:top w:val="nil"/>
              <w:left w:val="nil"/>
              <w:bottom w:val="nil"/>
              <w:right w:val="nil"/>
            </w:tcBorders>
          </w:tcPr>
          <w:p>
            <w:pPr>
              <w:pStyle w:val="TableParagraph"/>
              <w:spacing w:line="206" w:lineRule="exact"/>
              <w:ind w:left="72"/>
              <w:rPr>
                <w:sz w:val="18"/>
              </w:rPr>
            </w:pPr>
            <w:r>
              <w:rPr>
                <w:sz w:val="18"/>
              </w:rPr>
              <w:t>Querétaro</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75</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131"/>
              <w:jc w:val="center"/>
              <w:rPr>
                <w:sz w:val="18"/>
              </w:rPr>
            </w:pPr>
            <w:r>
              <w:rPr>
                <w:w w:val="99"/>
                <w:sz w:val="18"/>
              </w:rPr>
              <w:t>7</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Zacatecas</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24</w:t>
            </w:r>
          </w:p>
        </w:tc>
        <w:tc>
          <w:tcPr>
            <w:tcW w:w="1812" w:type="dxa"/>
            <w:tcBorders>
              <w:top w:val="nil"/>
              <w:left w:val="nil"/>
              <w:bottom w:val="nil"/>
              <w:right w:val="nil"/>
            </w:tcBorders>
          </w:tcPr>
          <w:p>
            <w:pPr>
              <w:pStyle w:val="TableParagraph"/>
              <w:spacing w:line="206" w:lineRule="exact"/>
              <w:ind w:left="72"/>
              <w:rPr>
                <w:sz w:val="18"/>
              </w:rPr>
            </w:pPr>
            <w:r>
              <w:rPr>
                <w:sz w:val="18"/>
              </w:rPr>
              <w:t>Tamaulipas</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75</w:t>
            </w:r>
          </w:p>
        </w:tc>
      </w:tr>
      <w:tr>
        <w:trPr>
          <w:trHeight w:val="249" w:hRule="exact"/>
        </w:trPr>
        <w:tc>
          <w:tcPr>
            <w:tcW w:w="1194" w:type="dxa"/>
            <w:tcBorders>
              <w:top w:val="single" w:sz="3" w:space="0" w:color="F1F1F1"/>
              <w:left w:val="nil"/>
              <w:bottom w:val="single" w:sz="3" w:space="0" w:color="F1F1F1"/>
              <w:right w:val="nil"/>
            </w:tcBorders>
          </w:tcPr>
          <w:p>
            <w:pPr>
              <w:pStyle w:val="TableParagraph"/>
              <w:spacing w:line="202" w:lineRule="exact"/>
              <w:ind w:left="131"/>
              <w:jc w:val="center"/>
              <w:rPr>
                <w:sz w:val="18"/>
              </w:rPr>
            </w:pPr>
            <w:r>
              <w:rPr>
                <w:w w:val="99"/>
                <w:sz w:val="18"/>
              </w:rPr>
              <w:t>8</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Coahuila</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25</w:t>
            </w:r>
          </w:p>
        </w:tc>
        <w:tc>
          <w:tcPr>
            <w:tcW w:w="1812" w:type="dxa"/>
            <w:tcBorders>
              <w:top w:val="nil"/>
              <w:left w:val="nil"/>
              <w:bottom w:val="nil"/>
              <w:right w:val="nil"/>
            </w:tcBorders>
          </w:tcPr>
          <w:p>
            <w:pPr>
              <w:pStyle w:val="TableParagraph"/>
              <w:spacing w:line="206" w:lineRule="exact"/>
              <w:ind w:left="72"/>
              <w:rPr>
                <w:sz w:val="18"/>
              </w:rPr>
            </w:pPr>
            <w:r>
              <w:rPr>
                <w:sz w:val="18"/>
              </w:rPr>
              <w:t>Hidalgo</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75</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131"/>
              <w:jc w:val="center"/>
              <w:rPr>
                <w:sz w:val="18"/>
              </w:rPr>
            </w:pPr>
            <w:r>
              <w:rPr>
                <w:w w:val="99"/>
                <w:sz w:val="18"/>
              </w:rPr>
              <w:t>9</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Sonora</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26</w:t>
            </w:r>
          </w:p>
        </w:tc>
        <w:tc>
          <w:tcPr>
            <w:tcW w:w="1812" w:type="dxa"/>
            <w:tcBorders>
              <w:top w:val="nil"/>
              <w:left w:val="nil"/>
              <w:bottom w:val="nil"/>
              <w:right w:val="nil"/>
            </w:tcBorders>
          </w:tcPr>
          <w:p>
            <w:pPr>
              <w:pStyle w:val="TableParagraph"/>
              <w:spacing w:line="206" w:lineRule="exact"/>
              <w:ind w:left="72"/>
              <w:rPr>
                <w:sz w:val="18"/>
              </w:rPr>
            </w:pPr>
            <w:r>
              <w:rPr>
                <w:sz w:val="18"/>
              </w:rPr>
              <w:t>Baja California</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70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302" w:right="168"/>
              <w:jc w:val="center"/>
              <w:rPr>
                <w:sz w:val="18"/>
              </w:rPr>
            </w:pPr>
            <w:r>
              <w:rPr>
                <w:sz w:val="18"/>
              </w:rPr>
              <w:t>10</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Sinaloa</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27</w:t>
            </w:r>
          </w:p>
        </w:tc>
        <w:tc>
          <w:tcPr>
            <w:tcW w:w="1812" w:type="dxa"/>
            <w:tcBorders>
              <w:top w:val="nil"/>
              <w:left w:val="nil"/>
              <w:bottom w:val="nil"/>
              <w:right w:val="nil"/>
            </w:tcBorders>
          </w:tcPr>
          <w:p>
            <w:pPr>
              <w:pStyle w:val="TableParagraph"/>
              <w:spacing w:line="206" w:lineRule="exact"/>
              <w:ind w:left="72"/>
              <w:rPr>
                <w:sz w:val="18"/>
              </w:rPr>
            </w:pPr>
            <w:r>
              <w:rPr>
                <w:sz w:val="18"/>
              </w:rPr>
              <w:t>Distrito Federal</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70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302" w:right="168"/>
              <w:jc w:val="center"/>
              <w:rPr>
                <w:sz w:val="18"/>
              </w:rPr>
            </w:pPr>
            <w:r>
              <w:rPr>
                <w:sz w:val="18"/>
              </w:rPr>
              <w:t>11</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Oaxaca</w:t>
            </w:r>
          </w:p>
        </w:tc>
        <w:tc>
          <w:tcPr>
            <w:tcW w:w="1163" w:type="dxa"/>
            <w:tcBorders>
              <w:top w:val="single" w:sz="3" w:space="0" w:color="F1F1F1"/>
              <w:left w:val="nil"/>
              <w:bottom w:val="single" w:sz="3" w:space="0" w:color="F1F1F1"/>
              <w:right w:val="nil"/>
            </w:tcBorders>
          </w:tcPr>
          <w:p>
            <w:pPr>
              <w:pStyle w:val="TableParagraph"/>
              <w:spacing w:line="202" w:lineRule="exact"/>
              <w:ind w:left="135" w:right="105"/>
              <w:jc w:val="center"/>
              <w:rPr>
                <w:sz w:val="18"/>
              </w:rPr>
            </w:pPr>
            <w:r>
              <w:rPr>
                <w:sz w:val="18"/>
              </w:rPr>
              <w:t>100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28</w:t>
            </w:r>
          </w:p>
        </w:tc>
        <w:tc>
          <w:tcPr>
            <w:tcW w:w="1812" w:type="dxa"/>
            <w:tcBorders>
              <w:top w:val="nil"/>
              <w:left w:val="nil"/>
              <w:bottom w:val="nil"/>
              <w:right w:val="nil"/>
            </w:tcBorders>
          </w:tcPr>
          <w:p>
            <w:pPr>
              <w:pStyle w:val="TableParagraph"/>
              <w:spacing w:line="206" w:lineRule="exact"/>
              <w:ind w:left="72"/>
              <w:rPr>
                <w:sz w:val="18"/>
              </w:rPr>
            </w:pPr>
            <w:r>
              <w:rPr>
                <w:sz w:val="18"/>
              </w:rPr>
              <w:t>Jalisco</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70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302" w:right="168"/>
              <w:jc w:val="center"/>
              <w:rPr>
                <w:sz w:val="18"/>
              </w:rPr>
            </w:pPr>
            <w:r>
              <w:rPr>
                <w:sz w:val="18"/>
              </w:rPr>
              <w:t>12</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Tlaxcala</w:t>
            </w:r>
          </w:p>
        </w:tc>
        <w:tc>
          <w:tcPr>
            <w:tcW w:w="1163" w:type="dxa"/>
            <w:tcBorders>
              <w:top w:val="single" w:sz="3" w:space="0" w:color="F1F1F1"/>
              <w:left w:val="nil"/>
              <w:bottom w:val="single" w:sz="3" w:space="0" w:color="F1F1F1"/>
              <w:right w:val="nil"/>
            </w:tcBorders>
          </w:tcPr>
          <w:p>
            <w:pPr>
              <w:pStyle w:val="TableParagraph"/>
              <w:spacing w:line="202" w:lineRule="exact"/>
              <w:ind w:left="132" w:right="106"/>
              <w:jc w:val="center"/>
              <w:rPr>
                <w:sz w:val="18"/>
              </w:rPr>
            </w:pPr>
            <w:r>
              <w:rPr>
                <w:sz w:val="18"/>
              </w:rPr>
              <w:t>95</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29</w:t>
            </w:r>
          </w:p>
        </w:tc>
        <w:tc>
          <w:tcPr>
            <w:tcW w:w="1812" w:type="dxa"/>
            <w:tcBorders>
              <w:top w:val="nil"/>
              <w:left w:val="nil"/>
              <w:bottom w:val="nil"/>
              <w:right w:val="nil"/>
            </w:tcBorders>
          </w:tcPr>
          <w:p>
            <w:pPr>
              <w:pStyle w:val="TableParagraph"/>
              <w:spacing w:line="206" w:lineRule="exact"/>
              <w:ind w:left="72"/>
              <w:rPr>
                <w:sz w:val="18"/>
              </w:rPr>
            </w:pPr>
            <w:r>
              <w:rPr>
                <w:sz w:val="18"/>
              </w:rPr>
              <w:t>Baja California Sur</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70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302" w:right="168"/>
              <w:jc w:val="center"/>
              <w:rPr>
                <w:sz w:val="18"/>
              </w:rPr>
            </w:pPr>
            <w:r>
              <w:rPr>
                <w:sz w:val="18"/>
              </w:rPr>
              <w:t>13</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San Luis Potosí</w:t>
            </w:r>
          </w:p>
        </w:tc>
        <w:tc>
          <w:tcPr>
            <w:tcW w:w="1163" w:type="dxa"/>
            <w:tcBorders>
              <w:top w:val="single" w:sz="3" w:space="0" w:color="F1F1F1"/>
              <w:left w:val="nil"/>
              <w:bottom w:val="single" w:sz="3" w:space="0" w:color="F1F1F1"/>
              <w:right w:val="nil"/>
            </w:tcBorders>
          </w:tcPr>
          <w:p>
            <w:pPr>
              <w:pStyle w:val="TableParagraph"/>
              <w:spacing w:line="202" w:lineRule="exact"/>
              <w:ind w:left="132" w:right="106"/>
              <w:jc w:val="center"/>
              <w:rPr>
                <w:sz w:val="18"/>
              </w:rPr>
            </w:pPr>
            <w:r>
              <w:rPr>
                <w:sz w:val="18"/>
              </w:rPr>
              <w:t>95</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30</w:t>
            </w:r>
          </w:p>
        </w:tc>
        <w:tc>
          <w:tcPr>
            <w:tcW w:w="1812" w:type="dxa"/>
            <w:tcBorders>
              <w:top w:val="nil"/>
              <w:left w:val="nil"/>
              <w:bottom w:val="nil"/>
              <w:right w:val="nil"/>
            </w:tcBorders>
          </w:tcPr>
          <w:p>
            <w:pPr>
              <w:pStyle w:val="TableParagraph"/>
              <w:spacing w:line="206" w:lineRule="exact"/>
              <w:ind w:left="72"/>
              <w:rPr>
                <w:sz w:val="18"/>
              </w:rPr>
            </w:pPr>
            <w:r>
              <w:rPr>
                <w:sz w:val="18"/>
              </w:rPr>
              <w:t>Nuevo León</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60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302" w:right="168"/>
              <w:jc w:val="center"/>
              <w:rPr>
                <w:sz w:val="18"/>
              </w:rPr>
            </w:pPr>
            <w:r>
              <w:rPr>
                <w:sz w:val="18"/>
              </w:rPr>
              <w:t>14</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Guanajuato</w:t>
            </w:r>
          </w:p>
        </w:tc>
        <w:tc>
          <w:tcPr>
            <w:tcW w:w="1163" w:type="dxa"/>
            <w:tcBorders>
              <w:top w:val="single" w:sz="3" w:space="0" w:color="F1F1F1"/>
              <w:left w:val="nil"/>
              <w:bottom w:val="single" w:sz="3" w:space="0" w:color="F1F1F1"/>
              <w:right w:val="nil"/>
            </w:tcBorders>
          </w:tcPr>
          <w:p>
            <w:pPr>
              <w:pStyle w:val="TableParagraph"/>
              <w:spacing w:line="202" w:lineRule="exact"/>
              <w:ind w:left="132" w:right="106"/>
              <w:jc w:val="center"/>
              <w:rPr>
                <w:sz w:val="18"/>
              </w:rPr>
            </w:pPr>
            <w:r>
              <w:rPr>
                <w:sz w:val="18"/>
              </w:rPr>
              <w:t>90</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31</w:t>
            </w:r>
          </w:p>
        </w:tc>
        <w:tc>
          <w:tcPr>
            <w:tcW w:w="1812" w:type="dxa"/>
            <w:tcBorders>
              <w:top w:val="nil"/>
              <w:left w:val="nil"/>
              <w:bottom w:val="nil"/>
              <w:right w:val="nil"/>
            </w:tcBorders>
          </w:tcPr>
          <w:p>
            <w:pPr>
              <w:pStyle w:val="TableParagraph"/>
              <w:spacing w:line="206" w:lineRule="exact"/>
              <w:ind w:left="72"/>
              <w:rPr>
                <w:sz w:val="18"/>
              </w:rPr>
            </w:pPr>
            <w:r>
              <w:rPr>
                <w:sz w:val="18"/>
              </w:rPr>
              <w:t>Aguascalientes</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60</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302" w:right="168"/>
              <w:jc w:val="center"/>
              <w:rPr>
                <w:sz w:val="18"/>
              </w:rPr>
            </w:pPr>
            <w:r>
              <w:rPr>
                <w:sz w:val="18"/>
              </w:rPr>
              <w:t>15</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Guerrero</w:t>
            </w:r>
          </w:p>
        </w:tc>
        <w:tc>
          <w:tcPr>
            <w:tcW w:w="1163" w:type="dxa"/>
            <w:tcBorders>
              <w:top w:val="single" w:sz="3" w:space="0" w:color="F1F1F1"/>
              <w:left w:val="nil"/>
              <w:bottom w:val="single" w:sz="3" w:space="0" w:color="F1F1F1"/>
              <w:right w:val="nil"/>
            </w:tcBorders>
          </w:tcPr>
          <w:p>
            <w:pPr>
              <w:pStyle w:val="TableParagraph"/>
              <w:spacing w:line="202" w:lineRule="exact"/>
              <w:ind w:left="132" w:right="106"/>
              <w:jc w:val="center"/>
              <w:rPr>
                <w:sz w:val="18"/>
              </w:rPr>
            </w:pPr>
            <w:r>
              <w:rPr>
                <w:sz w:val="18"/>
              </w:rPr>
              <w:t>85</w:t>
            </w:r>
          </w:p>
        </w:tc>
        <w:tc>
          <w:tcPr>
            <w:tcW w:w="952" w:type="dxa"/>
            <w:tcBorders>
              <w:top w:val="nil"/>
              <w:left w:val="nil"/>
              <w:bottom w:val="nil"/>
              <w:right w:val="nil"/>
            </w:tcBorders>
          </w:tcPr>
          <w:p>
            <w:pPr>
              <w:pStyle w:val="TableParagraph"/>
              <w:spacing w:line="206" w:lineRule="exact"/>
              <w:ind w:left="114" w:right="114"/>
              <w:jc w:val="center"/>
              <w:rPr>
                <w:sz w:val="18"/>
              </w:rPr>
            </w:pPr>
            <w:r>
              <w:rPr>
                <w:sz w:val="18"/>
              </w:rPr>
              <w:t>32</w:t>
            </w:r>
          </w:p>
        </w:tc>
        <w:tc>
          <w:tcPr>
            <w:tcW w:w="1812" w:type="dxa"/>
            <w:tcBorders>
              <w:top w:val="nil"/>
              <w:left w:val="nil"/>
              <w:bottom w:val="nil"/>
              <w:right w:val="nil"/>
            </w:tcBorders>
          </w:tcPr>
          <w:p>
            <w:pPr>
              <w:pStyle w:val="TableParagraph"/>
              <w:spacing w:line="206" w:lineRule="exact"/>
              <w:ind w:left="72"/>
              <w:rPr>
                <w:sz w:val="18"/>
              </w:rPr>
            </w:pPr>
            <w:r>
              <w:rPr>
                <w:sz w:val="18"/>
              </w:rPr>
              <w:t>Colima</w:t>
            </w:r>
          </w:p>
        </w:tc>
        <w:tc>
          <w:tcPr>
            <w:tcW w:w="1105" w:type="dxa"/>
            <w:tcBorders>
              <w:top w:val="nil"/>
              <w:left w:val="nil"/>
              <w:bottom w:val="nil"/>
              <w:right w:val="nil"/>
            </w:tcBorders>
          </w:tcPr>
          <w:p>
            <w:pPr>
              <w:pStyle w:val="TableParagraph"/>
              <w:spacing w:line="206" w:lineRule="exact"/>
              <w:ind w:left="110" w:right="70"/>
              <w:jc w:val="center"/>
              <w:rPr>
                <w:sz w:val="18"/>
              </w:rPr>
            </w:pPr>
            <w:r>
              <w:rPr>
                <w:sz w:val="18"/>
              </w:rPr>
              <w:t>45</w:t>
            </w:r>
          </w:p>
        </w:tc>
      </w:tr>
      <w:tr>
        <w:trPr>
          <w:trHeight w:val="248" w:hRule="exact"/>
        </w:trPr>
        <w:tc>
          <w:tcPr>
            <w:tcW w:w="1194" w:type="dxa"/>
            <w:tcBorders>
              <w:top w:val="single" w:sz="3" w:space="0" w:color="F1F1F1"/>
              <w:left w:val="nil"/>
              <w:bottom w:val="single" w:sz="3" w:space="0" w:color="F1F1F1"/>
              <w:right w:val="nil"/>
            </w:tcBorders>
          </w:tcPr>
          <w:p>
            <w:pPr>
              <w:pStyle w:val="TableParagraph"/>
              <w:spacing w:line="202" w:lineRule="exact"/>
              <w:ind w:left="302" w:right="168"/>
              <w:jc w:val="center"/>
              <w:rPr>
                <w:sz w:val="18"/>
              </w:rPr>
            </w:pPr>
            <w:r>
              <w:rPr>
                <w:sz w:val="18"/>
              </w:rPr>
              <w:t>16</w:t>
            </w:r>
          </w:p>
        </w:tc>
        <w:tc>
          <w:tcPr>
            <w:tcW w:w="1972" w:type="dxa"/>
            <w:tcBorders>
              <w:top w:val="single" w:sz="3" w:space="0" w:color="F1F1F1"/>
              <w:left w:val="nil"/>
              <w:bottom w:val="single" w:sz="3" w:space="0" w:color="F1F1F1"/>
              <w:right w:val="nil"/>
            </w:tcBorders>
          </w:tcPr>
          <w:p>
            <w:pPr>
              <w:pStyle w:val="TableParagraph"/>
              <w:spacing w:line="202" w:lineRule="exact"/>
              <w:ind w:left="186"/>
              <w:rPr>
                <w:sz w:val="18"/>
              </w:rPr>
            </w:pPr>
            <w:r>
              <w:rPr>
                <w:sz w:val="18"/>
              </w:rPr>
              <w:t>Quintana Roo</w:t>
            </w:r>
          </w:p>
        </w:tc>
        <w:tc>
          <w:tcPr>
            <w:tcW w:w="1163" w:type="dxa"/>
            <w:tcBorders>
              <w:top w:val="single" w:sz="3" w:space="0" w:color="F1F1F1"/>
              <w:left w:val="nil"/>
              <w:bottom w:val="single" w:sz="3" w:space="0" w:color="F1F1F1"/>
              <w:right w:val="nil"/>
            </w:tcBorders>
          </w:tcPr>
          <w:p>
            <w:pPr>
              <w:pStyle w:val="TableParagraph"/>
              <w:spacing w:line="202" w:lineRule="exact"/>
              <w:ind w:left="132" w:right="106"/>
              <w:jc w:val="center"/>
              <w:rPr>
                <w:sz w:val="18"/>
              </w:rPr>
            </w:pPr>
            <w:r>
              <w:rPr>
                <w:sz w:val="18"/>
              </w:rPr>
              <w:t>85</w:t>
            </w:r>
          </w:p>
        </w:tc>
        <w:tc>
          <w:tcPr>
            <w:tcW w:w="952" w:type="dxa"/>
            <w:tcBorders>
              <w:top w:val="nil"/>
              <w:left w:val="nil"/>
              <w:bottom w:val="nil"/>
              <w:right w:val="nil"/>
            </w:tcBorders>
          </w:tcPr>
          <w:p>
            <w:pPr/>
          </w:p>
        </w:tc>
        <w:tc>
          <w:tcPr>
            <w:tcW w:w="1812" w:type="dxa"/>
            <w:tcBorders>
              <w:top w:val="nil"/>
              <w:left w:val="nil"/>
              <w:bottom w:val="single" w:sz="5" w:space="0" w:color="FFFF00"/>
              <w:right w:val="nil"/>
            </w:tcBorders>
          </w:tcPr>
          <w:p>
            <w:pPr/>
          </w:p>
        </w:tc>
        <w:tc>
          <w:tcPr>
            <w:tcW w:w="1105" w:type="dxa"/>
            <w:tcBorders>
              <w:top w:val="nil"/>
              <w:left w:val="nil"/>
              <w:bottom w:val="single" w:sz="5" w:space="0" w:color="FFFF00"/>
              <w:right w:val="nil"/>
            </w:tcBorders>
          </w:tcPr>
          <w:p>
            <w:pPr/>
          </w:p>
        </w:tc>
      </w:tr>
      <w:tr>
        <w:trPr>
          <w:trHeight w:val="252" w:hRule="exact"/>
        </w:trPr>
        <w:tc>
          <w:tcPr>
            <w:tcW w:w="1194" w:type="dxa"/>
            <w:tcBorders>
              <w:top w:val="single" w:sz="3" w:space="0" w:color="F1F1F1"/>
              <w:left w:val="nil"/>
              <w:bottom w:val="single" w:sz="3" w:space="0" w:color="000000"/>
              <w:right w:val="nil"/>
            </w:tcBorders>
          </w:tcPr>
          <w:p>
            <w:pPr>
              <w:pStyle w:val="TableParagraph"/>
              <w:spacing w:line="202" w:lineRule="exact"/>
              <w:ind w:left="302" w:right="168"/>
              <w:jc w:val="center"/>
              <w:rPr>
                <w:sz w:val="18"/>
              </w:rPr>
            </w:pPr>
            <w:r>
              <w:rPr>
                <w:sz w:val="18"/>
              </w:rPr>
              <w:t>17</w:t>
            </w:r>
          </w:p>
        </w:tc>
        <w:tc>
          <w:tcPr>
            <w:tcW w:w="1972" w:type="dxa"/>
            <w:tcBorders>
              <w:top w:val="single" w:sz="3" w:space="0" w:color="F1F1F1"/>
              <w:left w:val="nil"/>
              <w:bottom w:val="single" w:sz="3" w:space="0" w:color="000000"/>
              <w:right w:val="nil"/>
            </w:tcBorders>
          </w:tcPr>
          <w:p>
            <w:pPr>
              <w:pStyle w:val="TableParagraph"/>
              <w:spacing w:line="202" w:lineRule="exact"/>
              <w:ind w:left="186"/>
              <w:rPr>
                <w:sz w:val="18"/>
              </w:rPr>
            </w:pPr>
            <w:r>
              <w:rPr>
                <w:sz w:val="18"/>
              </w:rPr>
              <w:t>Yucatán</w:t>
            </w:r>
          </w:p>
        </w:tc>
        <w:tc>
          <w:tcPr>
            <w:tcW w:w="1163" w:type="dxa"/>
            <w:tcBorders>
              <w:top w:val="single" w:sz="3" w:space="0" w:color="F1F1F1"/>
              <w:left w:val="nil"/>
              <w:bottom w:val="single" w:sz="3" w:space="0" w:color="000000"/>
              <w:right w:val="nil"/>
            </w:tcBorders>
          </w:tcPr>
          <w:p>
            <w:pPr>
              <w:pStyle w:val="TableParagraph"/>
              <w:spacing w:line="202" w:lineRule="exact"/>
              <w:ind w:left="132" w:right="106"/>
              <w:jc w:val="center"/>
              <w:rPr>
                <w:sz w:val="18"/>
              </w:rPr>
            </w:pPr>
            <w:r>
              <w:rPr>
                <w:sz w:val="18"/>
              </w:rPr>
              <w:t>85</w:t>
            </w:r>
          </w:p>
        </w:tc>
        <w:tc>
          <w:tcPr>
            <w:tcW w:w="952" w:type="dxa"/>
            <w:tcBorders>
              <w:top w:val="nil"/>
              <w:left w:val="nil"/>
              <w:bottom w:val="single" w:sz="3" w:space="0" w:color="000000"/>
              <w:right w:val="nil"/>
            </w:tcBorders>
          </w:tcPr>
          <w:p>
            <w:pPr/>
          </w:p>
        </w:tc>
        <w:tc>
          <w:tcPr>
            <w:tcW w:w="1812" w:type="dxa"/>
            <w:tcBorders>
              <w:top w:val="nil"/>
              <w:left w:val="nil"/>
              <w:bottom w:val="single" w:sz="3" w:space="0" w:color="000000"/>
              <w:right w:val="nil"/>
            </w:tcBorders>
            <w:shd w:val="clear" w:color="auto" w:fill="FFFF00"/>
          </w:tcPr>
          <w:p>
            <w:pPr>
              <w:pStyle w:val="TableParagraph"/>
              <w:spacing w:before="23"/>
              <w:ind w:left="72"/>
              <w:rPr>
                <w:b/>
                <w:sz w:val="18"/>
              </w:rPr>
            </w:pPr>
            <w:r>
              <w:rPr>
                <w:b/>
                <w:sz w:val="18"/>
              </w:rPr>
              <w:t>Promedio</w:t>
            </w:r>
          </w:p>
        </w:tc>
        <w:tc>
          <w:tcPr>
            <w:tcW w:w="1105" w:type="dxa"/>
            <w:tcBorders>
              <w:top w:val="nil"/>
              <w:left w:val="nil"/>
              <w:bottom w:val="single" w:sz="3" w:space="0" w:color="000000"/>
              <w:right w:val="nil"/>
            </w:tcBorders>
            <w:shd w:val="clear" w:color="auto" w:fill="FFFF00"/>
          </w:tcPr>
          <w:p>
            <w:pPr>
              <w:pStyle w:val="TableParagraph"/>
              <w:spacing w:before="23"/>
              <w:ind w:left="110" w:right="70"/>
              <w:jc w:val="center"/>
              <w:rPr>
                <w:b/>
                <w:sz w:val="18"/>
              </w:rPr>
            </w:pPr>
            <w:r>
              <w:rPr>
                <w:b/>
                <w:sz w:val="18"/>
              </w:rPr>
              <w:t>84.7</w:t>
            </w:r>
          </w:p>
        </w:tc>
      </w:tr>
    </w:tbl>
    <w:p>
      <w:pPr>
        <w:pStyle w:val="BodyText"/>
        <w:spacing w:before="3"/>
        <w:rPr>
          <w:sz w:val="9"/>
        </w:rPr>
      </w:pPr>
    </w:p>
    <w:p>
      <w:pPr>
        <w:spacing w:line="242" w:lineRule="auto" w:before="85"/>
        <w:ind w:left="688" w:right="18" w:hanging="568"/>
        <w:jc w:val="left"/>
        <w:rPr>
          <w:sz w:val="12"/>
        </w:rPr>
      </w:pPr>
      <w:r>
        <w:rPr>
          <w:sz w:val="12"/>
        </w:rPr>
        <w:t>FUENTE: Figueroa Nery, Aimé, </w:t>
      </w:r>
      <w:r>
        <w:rPr>
          <w:i/>
          <w:sz w:val="12"/>
        </w:rPr>
        <w:t>Cuenta Pública en México. Evaluación de las Leyes de Fiscalización Superior</w:t>
      </w:r>
      <w:r>
        <w:rPr>
          <w:sz w:val="12"/>
        </w:rPr>
        <w:t>. Universidad de Guadalajara y Consultora Orienta Agenda Pública. </w:t>
      </w:r>
      <w:r>
        <w:rPr>
          <w:i/>
          <w:sz w:val="12"/>
        </w:rPr>
        <w:t>Evaluación de la legislación en materia de fiscalización superior mexicana, </w:t>
      </w:r>
      <w:r>
        <w:rPr>
          <w:sz w:val="12"/>
        </w:rPr>
        <w:t>2009, p. 37.</w:t>
      </w:r>
    </w:p>
    <w:p>
      <w:pPr>
        <w:spacing w:line="312" w:lineRule="auto" w:before="0"/>
        <w:ind w:left="688" w:right="3693" w:firstLine="0"/>
        <w:jc w:val="left"/>
        <w:rPr>
          <w:sz w:val="12"/>
        </w:rPr>
      </w:pPr>
      <w:r>
        <w:rPr>
          <w:sz w:val="12"/>
        </w:rPr>
        <w:t>Disponible en: </w:t>
      </w:r>
      <w:hyperlink r:id="rId221">
        <w:r>
          <w:rPr>
            <w:sz w:val="12"/>
          </w:rPr>
          <w:t>http://www.asf.gob.mx/pags/OTROS/CPMEX/Eval2009_abril09.pdf</w:t>
        </w:r>
      </w:hyperlink>
      <w:r>
        <w:rPr>
          <w:sz w:val="12"/>
        </w:rPr>
        <w:t> [Fecha de consulta: 10 de septiembre, 2015]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r>
        <w:rPr/>
        <w:pict>
          <v:line style="position:absolute;mso-position-horizontal-relative:page;mso-position-vertical-relative:paragraph;z-index:11152;mso-wrap-distance-left:0;mso-wrap-distance-right:0" from="85.025002pt,19.121487pt" to="229.075002pt,19.121487pt" stroked="true" strokeweight=".79999pt" strokecolor="#000000">
            <w10:wrap type="topAndBottom"/>
          </v:line>
        </w:pict>
      </w:r>
    </w:p>
    <w:p>
      <w:pPr>
        <w:spacing w:line="242" w:lineRule="auto" w:before="60"/>
        <w:ind w:left="120" w:right="124" w:firstLine="0"/>
        <w:jc w:val="both"/>
        <w:rPr>
          <w:sz w:val="16"/>
        </w:rPr>
      </w:pPr>
      <w:r>
        <w:rPr>
          <w:rFonts w:ascii="Times New Roman" w:hAnsi="Times New Roman"/>
          <w:position w:val="7"/>
          <w:sz w:val="13"/>
        </w:rPr>
        <w:t>153</w:t>
      </w:r>
      <w:r>
        <w:rPr>
          <w:sz w:val="16"/>
        </w:rPr>
        <w:t>Los indicadores y su ponderación son los siguientes: Fundamento constitucional suficiente: 10; Actualización legislativa: 10; Glosario conceptos clave: 5; Reglamento actualizado: 5; Autonomía plena de la Entidad de Fiscalización Superior</w:t>
      </w:r>
      <w:r>
        <w:rPr>
          <w:spacing w:val="-4"/>
          <w:sz w:val="16"/>
        </w:rPr>
        <w:t> </w:t>
      </w:r>
      <w:r>
        <w:rPr>
          <w:sz w:val="16"/>
        </w:rPr>
        <w:t>(EFS):</w:t>
      </w:r>
      <w:r>
        <w:rPr>
          <w:spacing w:val="-7"/>
          <w:sz w:val="16"/>
        </w:rPr>
        <w:t> </w:t>
      </w:r>
      <w:r>
        <w:rPr>
          <w:sz w:val="16"/>
        </w:rPr>
        <w:t>20;</w:t>
      </w:r>
      <w:r>
        <w:rPr>
          <w:spacing w:val="-7"/>
          <w:sz w:val="16"/>
        </w:rPr>
        <w:t> </w:t>
      </w:r>
      <w:r>
        <w:rPr>
          <w:sz w:val="16"/>
        </w:rPr>
        <w:t>Legitimidad</w:t>
      </w:r>
      <w:r>
        <w:rPr>
          <w:spacing w:val="-8"/>
          <w:sz w:val="16"/>
        </w:rPr>
        <w:t> </w:t>
      </w:r>
      <w:r>
        <w:rPr>
          <w:sz w:val="16"/>
        </w:rPr>
        <w:t>en</w:t>
      </w:r>
      <w:r>
        <w:rPr>
          <w:spacing w:val="-8"/>
          <w:sz w:val="16"/>
        </w:rPr>
        <w:t> </w:t>
      </w:r>
      <w:r>
        <w:rPr>
          <w:sz w:val="16"/>
        </w:rPr>
        <w:t>el</w:t>
      </w:r>
      <w:r>
        <w:rPr>
          <w:spacing w:val="-6"/>
          <w:sz w:val="16"/>
        </w:rPr>
        <w:t> </w:t>
      </w:r>
      <w:r>
        <w:rPr>
          <w:sz w:val="16"/>
        </w:rPr>
        <w:t>nombramiento</w:t>
      </w:r>
      <w:r>
        <w:rPr>
          <w:spacing w:val="-8"/>
          <w:sz w:val="16"/>
        </w:rPr>
        <w:t> </w:t>
      </w:r>
      <w:r>
        <w:rPr>
          <w:sz w:val="16"/>
        </w:rPr>
        <w:t>del</w:t>
      </w:r>
      <w:r>
        <w:rPr>
          <w:spacing w:val="-7"/>
          <w:sz w:val="16"/>
        </w:rPr>
        <w:t> </w:t>
      </w:r>
      <w:r>
        <w:rPr>
          <w:sz w:val="16"/>
        </w:rPr>
        <w:t>titular</w:t>
      </w:r>
      <w:r>
        <w:rPr>
          <w:spacing w:val="-8"/>
          <w:sz w:val="16"/>
        </w:rPr>
        <w:t> </w:t>
      </w:r>
      <w:r>
        <w:rPr>
          <w:sz w:val="16"/>
        </w:rPr>
        <w:t>de</w:t>
      </w:r>
      <w:r>
        <w:rPr>
          <w:spacing w:val="-3"/>
          <w:sz w:val="16"/>
        </w:rPr>
        <w:t> </w:t>
      </w:r>
      <w:r>
        <w:rPr>
          <w:sz w:val="16"/>
        </w:rPr>
        <w:t>las</w:t>
      </w:r>
      <w:r>
        <w:rPr>
          <w:spacing w:val="-11"/>
          <w:sz w:val="16"/>
        </w:rPr>
        <w:t> </w:t>
      </w:r>
      <w:r>
        <w:rPr>
          <w:sz w:val="16"/>
        </w:rPr>
        <w:t>EFS:</w:t>
      </w:r>
      <w:r>
        <w:rPr>
          <w:spacing w:val="-3"/>
          <w:sz w:val="16"/>
        </w:rPr>
        <w:t> </w:t>
      </w:r>
      <w:r>
        <w:rPr>
          <w:sz w:val="16"/>
        </w:rPr>
        <w:t>10;</w:t>
      </w:r>
      <w:r>
        <w:rPr>
          <w:spacing w:val="-7"/>
          <w:sz w:val="16"/>
        </w:rPr>
        <w:t> </w:t>
      </w:r>
      <w:r>
        <w:rPr>
          <w:sz w:val="16"/>
        </w:rPr>
        <w:t>Plazo</w:t>
      </w:r>
      <w:r>
        <w:rPr>
          <w:spacing w:val="-3"/>
          <w:sz w:val="16"/>
        </w:rPr>
        <w:t> </w:t>
      </w:r>
      <w:r>
        <w:rPr>
          <w:sz w:val="16"/>
        </w:rPr>
        <w:t>de</w:t>
      </w:r>
      <w:r>
        <w:rPr>
          <w:spacing w:val="-3"/>
          <w:sz w:val="16"/>
        </w:rPr>
        <w:t> </w:t>
      </w:r>
      <w:r>
        <w:rPr>
          <w:sz w:val="16"/>
        </w:rPr>
        <w:t>revisión</w:t>
      </w:r>
      <w:r>
        <w:rPr>
          <w:spacing w:val="-7"/>
          <w:sz w:val="16"/>
        </w:rPr>
        <w:t> </w:t>
      </w:r>
      <w:r>
        <w:rPr>
          <w:sz w:val="16"/>
        </w:rPr>
        <w:t>de</w:t>
      </w:r>
      <w:r>
        <w:rPr>
          <w:spacing w:val="-3"/>
          <w:sz w:val="16"/>
        </w:rPr>
        <w:t> </w:t>
      </w:r>
      <w:r>
        <w:rPr>
          <w:sz w:val="16"/>
        </w:rPr>
        <w:t>la</w:t>
      </w:r>
      <w:r>
        <w:rPr>
          <w:spacing w:val="-8"/>
          <w:sz w:val="16"/>
        </w:rPr>
        <w:t> </w:t>
      </w:r>
      <w:r>
        <w:rPr>
          <w:sz w:val="16"/>
        </w:rPr>
        <w:t>cuenta</w:t>
      </w:r>
      <w:r>
        <w:rPr>
          <w:spacing w:val="-5"/>
          <w:sz w:val="16"/>
        </w:rPr>
        <w:t> </w:t>
      </w:r>
      <w:r>
        <w:rPr>
          <w:sz w:val="16"/>
        </w:rPr>
        <w:t>pública:</w:t>
      </w:r>
      <w:r>
        <w:rPr>
          <w:spacing w:val="-7"/>
          <w:sz w:val="16"/>
        </w:rPr>
        <w:t> </w:t>
      </w:r>
      <w:r>
        <w:rPr>
          <w:sz w:val="16"/>
        </w:rPr>
        <w:t>10; Revisión</w:t>
      </w:r>
      <w:r>
        <w:rPr>
          <w:spacing w:val="-4"/>
          <w:sz w:val="16"/>
        </w:rPr>
        <w:t> </w:t>
      </w:r>
      <w:r>
        <w:rPr>
          <w:sz w:val="16"/>
        </w:rPr>
        <w:t>ex</w:t>
      </w:r>
      <w:r>
        <w:rPr>
          <w:spacing w:val="-7"/>
          <w:sz w:val="16"/>
        </w:rPr>
        <w:t> </w:t>
      </w:r>
      <w:r>
        <w:rPr>
          <w:sz w:val="16"/>
        </w:rPr>
        <w:t>ante:</w:t>
      </w:r>
      <w:r>
        <w:rPr>
          <w:spacing w:val="-4"/>
          <w:sz w:val="16"/>
        </w:rPr>
        <w:t> </w:t>
      </w:r>
      <w:r>
        <w:rPr>
          <w:sz w:val="16"/>
        </w:rPr>
        <w:t>10;</w:t>
      </w:r>
      <w:r>
        <w:rPr>
          <w:spacing w:val="-4"/>
          <w:sz w:val="16"/>
        </w:rPr>
        <w:t> </w:t>
      </w:r>
      <w:r>
        <w:rPr>
          <w:sz w:val="16"/>
        </w:rPr>
        <w:t>Medición</w:t>
      </w:r>
      <w:r>
        <w:rPr>
          <w:spacing w:val="-8"/>
          <w:sz w:val="16"/>
        </w:rPr>
        <w:t> </w:t>
      </w:r>
      <w:r>
        <w:rPr>
          <w:sz w:val="16"/>
        </w:rPr>
        <w:t>del</w:t>
      </w:r>
      <w:r>
        <w:rPr>
          <w:spacing w:val="-4"/>
          <w:sz w:val="16"/>
        </w:rPr>
        <w:t> </w:t>
      </w:r>
      <w:r>
        <w:rPr>
          <w:sz w:val="16"/>
        </w:rPr>
        <w:t>desempeño</w:t>
      </w:r>
      <w:r>
        <w:rPr>
          <w:spacing w:val="-1"/>
          <w:sz w:val="16"/>
        </w:rPr>
        <w:t> </w:t>
      </w:r>
      <w:r>
        <w:rPr>
          <w:sz w:val="16"/>
        </w:rPr>
        <w:t>institucional:</w:t>
      </w:r>
      <w:r>
        <w:rPr>
          <w:spacing w:val="-1"/>
          <w:sz w:val="16"/>
        </w:rPr>
        <w:t> </w:t>
      </w:r>
      <w:r>
        <w:rPr>
          <w:sz w:val="16"/>
        </w:rPr>
        <w:t>10;</w:t>
      </w:r>
      <w:r>
        <w:rPr>
          <w:spacing w:val="-1"/>
          <w:sz w:val="16"/>
        </w:rPr>
        <w:t> </w:t>
      </w:r>
      <w:r>
        <w:rPr>
          <w:sz w:val="16"/>
        </w:rPr>
        <w:t>y</w:t>
      </w:r>
      <w:r>
        <w:rPr>
          <w:spacing w:val="-4"/>
          <w:sz w:val="16"/>
        </w:rPr>
        <w:t> </w:t>
      </w:r>
      <w:r>
        <w:rPr>
          <w:sz w:val="16"/>
        </w:rPr>
        <w:t>Transparencia</w:t>
      </w:r>
      <w:r>
        <w:rPr>
          <w:spacing w:val="-4"/>
          <w:sz w:val="16"/>
        </w:rPr>
        <w:t> </w:t>
      </w:r>
      <w:r>
        <w:rPr>
          <w:sz w:val="16"/>
        </w:rPr>
        <w:t>de</w:t>
      </w:r>
      <w:r>
        <w:rPr>
          <w:spacing w:val="-1"/>
          <w:sz w:val="16"/>
        </w:rPr>
        <w:t> </w:t>
      </w:r>
      <w:r>
        <w:rPr>
          <w:sz w:val="16"/>
        </w:rPr>
        <w:t>la</w:t>
      </w:r>
      <w:r>
        <w:rPr>
          <w:spacing w:val="-4"/>
          <w:sz w:val="16"/>
        </w:rPr>
        <w:t> </w:t>
      </w:r>
      <w:r>
        <w:rPr>
          <w:sz w:val="16"/>
        </w:rPr>
        <w:t>fiscalización</w:t>
      </w:r>
      <w:r>
        <w:rPr>
          <w:spacing w:val="-1"/>
          <w:sz w:val="16"/>
        </w:rPr>
        <w:t> </w:t>
      </w:r>
      <w:r>
        <w:rPr>
          <w:sz w:val="16"/>
        </w:rPr>
        <w:t>superior:</w:t>
      </w:r>
      <w:r>
        <w:rPr>
          <w:spacing w:val="-1"/>
          <w:sz w:val="16"/>
        </w:rPr>
        <w:t> </w:t>
      </w:r>
      <w:r>
        <w:rPr>
          <w:sz w:val="16"/>
        </w:rPr>
        <w:t>10.</w:t>
      </w:r>
    </w:p>
    <w:p>
      <w:pPr>
        <w:spacing w:after="0" w:line="242" w:lineRule="auto"/>
        <w:jc w:val="both"/>
        <w:rPr>
          <w:sz w:val="16"/>
        </w:rPr>
        <w:sectPr>
          <w:pgSz w:w="11910" w:h="16840"/>
          <w:pgMar w:header="0" w:footer="998" w:top="1360" w:bottom="1180" w:left="1580" w:right="1580"/>
        </w:sectPr>
      </w:pPr>
    </w:p>
    <w:p>
      <w:pPr>
        <w:pStyle w:val="BodyText"/>
        <w:spacing w:line="360" w:lineRule="auto" w:before="39"/>
        <w:ind w:left="100" w:right="107" w:firstLine="427"/>
        <w:jc w:val="both"/>
      </w:pPr>
      <w:r>
        <w:rPr/>
        <w:t>Los estados que aumentaron su calificación en relación con los ordenamientos jurídicos fueron: Oaxaca con 65 puntos, en 2007 registró 35 puntos y en 2008, 100; Sinaloa con 50 puntos, y Aguascalientes con 45 puntos, pasando de 25 en 2007 a 60 en 2008.</w:t>
      </w:r>
    </w:p>
    <w:p>
      <w:pPr>
        <w:pStyle w:val="BodyText"/>
      </w:pPr>
    </w:p>
    <w:p>
      <w:pPr>
        <w:spacing w:before="138"/>
        <w:ind w:left="100" w:right="0" w:firstLine="0"/>
        <w:jc w:val="both"/>
        <w:rPr>
          <w:i/>
          <w:sz w:val="24"/>
        </w:rPr>
      </w:pPr>
      <w:r>
        <w:rPr>
          <w:i/>
          <w:sz w:val="24"/>
        </w:rPr>
        <w:t>Calidad Institucional</w:t>
      </w:r>
    </w:p>
    <w:p>
      <w:pPr>
        <w:pStyle w:val="ListParagraph"/>
        <w:numPr>
          <w:ilvl w:val="0"/>
          <w:numId w:val="93"/>
        </w:numPr>
        <w:tabs>
          <w:tab w:pos="381" w:val="left" w:leader="none"/>
        </w:tabs>
        <w:spacing w:line="240" w:lineRule="auto" w:before="136" w:after="0"/>
        <w:ind w:left="380" w:right="0" w:hanging="280"/>
        <w:jc w:val="both"/>
        <w:rPr>
          <w:i/>
          <w:sz w:val="24"/>
        </w:rPr>
      </w:pPr>
      <w:r>
        <w:rPr>
          <w:i/>
          <w:sz w:val="24"/>
        </w:rPr>
        <w:t>Índice de Confianza en las Instituciones,</w:t>
      </w:r>
      <w:r>
        <w:rPr>
          <w:i/>
          <w:spacing w:val="-30"/>
          <w:sz w:val="24"/>
        </w:rPr>
        <w:t> </w:t>
      </w:r>
      <w:r>
        <w:rPr>
          <w:i/>
          <w:sz w:val="24"/>
        </w:rPr>
        <w:t>2011</w:t>
      </w:r>
    </w:p>
    <w:p>
      <w:pPr>
        <w:pStyle w:val="BodyText"/>
        <w:rPr>
          <w:i/>
        </w:rPr>
      </w:pPr>
    </w:p>
    <w:p>
      <w:pPr>
        <w:pStyle w:val="BodyText"/>
        <w:spacing w:before="4"/>
        <w:rPr>
          <w:i/>
        </w:rPr>
      </w:pPr>
    </w:p>
    <w:p>
      <w:pPr>
        <w:pStyle w:val="BodyText"/>
        <w:spacing w:line="360" w:lineRule="auto"/>
        <w:ind w:left="100" w:right="103"/>
        <w:jc w:val="both"/>
      </w:pPr>
      <w:r>
        <w:rPr/>
        <w:t>En octubre de 2011, la Corporación Latino barómetro, ONG publicó su informe 2011 en el cual se presentaron los resultados de encuestas en 18 países de América Latina sobre la confianza en las instituciones, entre otros temas.</w:t>
      </w:r>
    </w:p>
    <w:p>
      <w:pPr>
        <w:pStyle w:val="BodyText"/>
        <w:spacing w:line="360" w:lineRule="auto" w:before="6"/>
        <w:ind w:left="100" w:right="101" w:firstLine="427"/>
        <w:jc w:val="both"/>
      </w:pPr>
      <w:r>
        <w:rPr/>
        <w:t>La metodología consistió en obtener una muestra representativa de la población de estudio mediante la aplicación 20,204 entrevistas del 15 de julio al 16 de agosto de 2011. Los resultados se presentaron en porcentajes en una escala de 0 a 100, donde los valores altos, cercanos a 100, representan mayor confianza.</w:t>
      </w:r>
    </w:p>
    <w:p>
      <w:pPr>
        <w:pStyle w:val="BodyText"/>
        <w:spacing w:line="360" w:lineRule="auto" w:before="2"/>
        <w:ind w:left="100" w:right="104" w:firstLine="427"/>
        <w:jc w:val="both"/>
      </w:pPr>
      <w:r>
        <w:rPr/>
        <w:t>Los resultados mostraron que las 16 instituciones evaluadas en América Latina presentaron posiciones similares que en años anteriores: la iglesia, la radio y la televisión tuvieron la mayor confianza institucional con 64%, 49% y 48%, respectivamente; sin embargo, sus calificaciones disminuyeron con respecto a los años anteriores.</w:t>
      </w:r>
    </w:p>
    <w:p>
      <w:pPr>
        <w:pStyle w:val="BodyText"/>
        <w:spacing w:line="360" w:lineRule="auto" w:before="6"/>
        <w:ind w:left="100" w:right="106" w:firstLine="427"/>
        <w:jc w:val="both"/>
      </w:pPr>
      <w:r>
        <w:rPr/>
        <w:t>Los partidos políticos, los sindicatos y el Poder Judicial son las instituciones que tuvieron la confianza más baja en el periodo de estudio con 22%, 28% y 29%, en ese orden. Las disminuciones más pronunciadas en la confianza institucional se observan en la iglesia, radio y las fuerzas armadas.</w:t>
      </w:r>
    </w:p>
    <w:p>
      <w:pPr>
        <w:pStyle w:val="BodyText"/>
        <w:spacing w:before="3"/>
        <w:rPr>
          <w:sz w:val="23"/>
        </w:rPr>
      </w:pPr>
    </w:p>
    <w:p>
      <w:pPr>
        <w:spacing w:line="446" w:lineRule="auto" w:before="0" w:after="45"/>
        <w:ind w:left="3757" w:right="227" w:hanging="3522"/>
        <w:jc w:val="left"/>
        <w:rPr>
          <w:sz w:val="20"/>
        </w:rPr>
      </w:pPr>
      <w:bookmarkStart w:name="_bookmark96" w:id="128"/>
      <w:bookmarkEnd w:id="128"/>
      <w:r>
        <w:rPr/>
      </w:r>
      <w:r>
        <w:rPr>
          <w:sz w:val="20"/>
        </w:rPr>
        <w:t>Cuadro 4. 13. Confianza en las instituciones de países de América Latina, 1996-2010 y 2011 (Porcentajes)</w:t>
      </w:r>
    </w:p>
    <w:tbl>
      <w:tblPr>
        <w:tblW w:w="0" w:type="auto"/>
        <w:jc w:val="left"/>
        <w:tblInd w:w="2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63"/>
        <w:gridCol w:w="1546"/>
        <w:gridCol w:w="1068"/>
      </w:tblGrid>
      <w:tr>
        <w:trPr>
          <w:trHeight w:val="372" w:hRule="exact"/>
        </w:trPr>
        <w:tc>
          <w:tcPr>
            <w:tcW w:w="1863" w:type="dxa"/>
            <w:tcBorders>
              <w:left w:val="nil"/>
              <w:right w:val="nil"/>
            </w:tcBorders>
          </w:tcPr>
          <w:p>
            <w:pPr>
              <w:pStyle w:val="TableParagraph"/>
              <w:spacing w:before="74"/>
              <w:ind w:left="644"/>
              <w:rPr>
                <w:sz w:val="16"/>
              </w:rPr>
            </w:pPr>
            <w:r>
              <w:rPr>
                <w:sz w:val="16"/>
              </w:rPr>
              <w:t>Institución</w:t>
            </w:r>
          </w:p>
        </w:tc>
        <w:tc>
          <w:tcPr>
            <w:tcW w:w="1546" w:type="dxa"/>
            <w:tcBorders>
              <w:left w:val="nil"/>
              <w:right w:val="nil"/>
            </w:tcBorders>
          </w:tcPr>
          <w:p>
            <w:pPr>
              <w:pStyle w:val="TableParagraph"/>
              <w:spacing w:before="74"/>
              <w:ind w:right="286"/>
              <w:jc w:val="right"/>
              <w:rPr>
                <w:sz w:val="16"/>
              </w:rPr>
            </w:pPr>
            <w:r>
              <w:rPr>
                <w:sz w:val="16"/>
              </w:rPr>
              <w:t>1996-2010</w:t>
            </w:r>
          </w:p>
        </w:tc>
        <w:tc>
          <w:tcPr>
            <w:tcW w:w="1068" w:type="dxa"/>
            <w:tcBorders>
              <w:left w:val="nil"/>
              <w:right w:val="nil"/>
            </w:tcBorders>
          </w:tcPr>
          <w:p>
            <w:pPr>
              <w:pStyle w:val="TableParagraph"/>
              <w:spacing w:before="74"/>
              <w:ind w:right="426"/>
              <w:jc w:val="right"/>
              <w:rPr>
                <w:sz w:val="16"/>
              </w:rPr>
            </w:pPr>
            <w:r>
              <w:rPr>
                <w:sz w:val="16"/>
              </w:rPr>
              <w:t>2011</w:t>
            </w:r>
          </w:p>
        </w:tc>
      </w:tr>
      <w:tr>
        <w:trPr>
          <w:trHeight w:val="208" w:hRule="exact"/>
        </w:trPr>
        <w:tc>
          <w:tcPr>
            <w:tcW w:w="1863" w:type="dxa"/>
            <w:tcBorders>
              <w:left w:val="nil"/>
              <w:bottom w:val="nil"/>
              <w:right w:val="nil"/>
            </w:tcBorders>
          </w:tcPr>
          <w:p>
            <w:pPr>
              <w:pStyle w:val="TableParagraph"/>
              <w:spacing w:line="182" w:lineRule="exact"/>
              <w:ind w:left="68"/>
              <w:rPr>
                <w:sz w:val="16"/>
              </w:rPr>
            </w:pPr>
            <w:r>
              <w:rPr>
                <w:sz w:val="16"/>
              </w:rPr>
              <w:t>Iglesia</w:t>
            </w:r>
          </w:p>
        </w:tc>
        <w:tc>
          <w:tcPr>
            <w:tcW w:w="1546" w:type="dxa"/>
            <w:tcBorders>
              <w:left w:val="nil"/>
              <w:bottom w:val="nil"/>
              <w:right w:val="nil"/>
            </w:tcBorders>
          </w:tcPr>
          <w:p>
            <w:pPr>
              <w:pStyle w:val="TableParagraph"/>
              <w:spacing w:line="182" w:lineRule="exact"/>
              <w:ind w:right="414"/>
              <w:jc w:val="right"/>
              <w:rPr>
                <w:sz w:val="16"/>
              </w:rPr>
            </w:pPr>
            <w:r>
              <w:rPr>
                <w:sz w:val="16"/>
              </w:rPr>
              <w:t>71</w:t>
            </w:r>
          </w:p>
        </w:tc>
        <w:tc>
          <w:tcPr>
            <w:tcW w:w="1068" w:type="dxa"/>
            <w:tcBorders>
              <w:left w:val="nil"/>
              <w:bottom w:val="nil"/>
              <w:right w:val="nil"/>
            </w:tcBorders>
          </w:tcPr>
          <w:p>
            <w:pPr>
              <w:pStyle w:val="TableParagraph"/>
              <w:spacing w:line="182" w:lineRule="exact"/>
              <w:ind w:right="353"/>
              <w:jc w:val="right"/>
              <w:rPr>
                <w:sz w:val="16"/>
              </w:rPr>
            </w:pPr>
            <w:r>
              <w:rPr>
                <w:sz w:val="16"/>
              </w:rPr>
              <w:t>64</w:t>
            </w:r>
          </w:p>
        </w:tc>
      </w:tr>
      <w:tr>
        <w:trPr>
          <w:trHeight w:val="212" w:hRule="exact"/>
        </w:trPr>
        <w:tc>
          <w:tcPr>
            <w:tcW w:w="1863" w:type="dxa"/>
            <w:tcBorders>
              <w:top w:val="nil"/>
              <w:left w:val="nil"/>
              <w:bottom w:val="nil"/>
              <w:right w:val="nil"/>
            </w:tcBorders>
          </w:tcPr>
          <w:p>
            <w:pPr>
              <w:pStyle w:val="TableParagraph"/>
              <w:spacing w:before="5"/>
              <w:ind w:left="68"/>
              <w:rPr>
                <w:sz w:val="16"/>
              </w:rPr>
            </w:pPr>
            <w:r>
              <w:rPr>
                <w:sz w:val="16"/>
              </w:rPr>
              <w:t>Radio</w:t>
            </w:r>
          </w:p>
        </w:tc>
        <w:tc>
          <w:tcPr>
            <w:tcW w:w="1546" w:type="dxa"/>
            <w:tcBorders>
              <w:top w:val="nil"/>
              <w:left w:val="nil"/>
              <w:bottom w:val="nil"/>
              <w:right w:val="nil"/>
            </w:tcBorders>
          </w:tcPr>
          <w:p>
            <w:pPr>
              <w:pStyle w:val="TableParagraph"/>
              <w:spacing w:before="5"/>
              <w:ind w:right="414"/>
              <w:jc w:val="right"/>
              <w:rPr>
                <w:sz w:val="16"/>
              </w:rPr>
            </w:pPr>
            <w:r>
              <w:rPr>
                <w:sz w:val="16"/>
              </w:rPr>
              <w:t>55</w:t>
            </w:r>
          </w:p>
        </w:tc>
        <w:tc>
          <w:tcPr>
            <w:tcW w:w="1068" w:type="dxa"/>
            <w:tcBorders>
              <w:top w:val="nil"/>
              <w:left w:val="nil"/>
              <w:bottom w:val="nil"/>
              <w:right w:val="nil"/>
            </w:tcBorders>
          </w:tcPr>
          <w:p>
            <w:pPr>
              <w:pStyle w:val="TableParagraph"/>
              <w:spacing w:before="5"/>
              <w:ind w:right="353"/>
              <w:jc w:val="right"/>
              <w:rPr>
                <w:sz w:val="16"/>
              </w:rPr>
            </w:pPr>
            <w:r>
              <w:rPr>
                <w:sz w:val="16"/>
              </w:rPr>
              <w:t>49</w:t>
            </w:r>
          </w:p>
        </w:tc>
      </w:tr>
      <w:tr>
        <w:trPr>
          <w:trHeight w:val="210" w:hRule="exact"/>
        </w:trPr>
        <w:tc>
          <w:tcPr>
            <w:tcW w:w="1863" w:type="dxa"/>
            <w:tcBorders>
              <w:top w:val="nil"/>
              <w:left w:val="nil"/>
              <w:bottom w:val="nil"/>
              <w:right w:val="nil"/>
            </w:tcBorders>
          </w:tcPr>
          <w:p>
            <w:pPr>
              <w:pStyle w:val="TableParagraph"/>
              <w:spacing w:before="5"/>
              <w:ind w:left="68"/>
              <w:rPr>
                <w:sz w:val="16"/>
              </w:rPr>
            </w:pPr>
            <w:r>
              <w:rPr>
                <w:sz w:val="16"/>
              </w:rPr>
              <w:t>Televisión</w:t>
            </w:r>
          </w:p>
        </w:tc>
        <w:tc>
          <w:tcPr>
            <w:tcW w:w="1546" w:type="dxa"/>
            <w:tcBorders>
              <w:top w:val="nil"/>
              <w:left w:val="nil"/>
              <w:bottom w:val="nil"/>
              <w:right w:val="nil"/>
            </w:tcBorders>
          </w:tcPr>
          <w:p>
            <w:pPr>
              <w:pStyle w:val="TableParagraph"/>
              <w:spacing w:before="5"/>
              <w:ind w:right="414"/>
              <w:jc w:val="right"/>
              <w:rPr>
                <w:sz w:val="16"/>
              </w:rPr>
            </w:pPr>
            <w:r>
              <w:rPr>
                <w:sz w:val="16"/>
              </w:rPr>
              <w:t>48</w:t>
            </w:r>
          </w:p>
        </w:tc>
        <w:tc>
          <w:tcPr>
            <w:tcW w:w="1068" w:type="dxa"/>
            <w:tcBorders>
              <w:top w:val="nil"/>
              <w:left w:val="nil"/>
              <w:bottom w:val="nil"/>
              <w:right w:val="nil"/>
            </w:tcBorders>
          </w:tcPr>
          <w:p>
            <w:pPr>
              <w:pStyle w:val="TableParagraph"/>
              <w:spacing w:before="5"/>
              <w:ind w:right="353"/>
              <w:jc w:val="right"/>
              <w:rPr>
                <w:sz w:val="16"/>
              </w:rPr>
            </w:pPr>
            <w:r>
              <w:rPr>
                <w:sz w:val="16"/>
              </w:rPr>
              <w:t>48</w:t>
            </w:r>
          </w:p>
        </w:tc>
      </w:tr>
      <w:tr>
        <w:trPr>
          <w:trHeight w:val="210" w:hRule="exact"/>
        </w:trPr>
        <w:tc>
          <w:tcPr>
            <w:tcW w:w="1863" w:type="dxa"/>
            <w:tcBorders>
              <w:top w:val="nil"/>
              <w:left w:val="nil"/>
              <w:bottom w:val="nil"/>
              <w:right w:val="nil"/>
            </w:tcBorders>
          </w:tcPr>
          <w:p>
            <w:pPr>
              <w:pStyle w:val="TableParagraph"/>
              <w:spacing w:before="3"/>
              <w:ind w:left="68"/>
              <w:rPr>
                <w:sz w:val="16"/>
              </w:rPr>
            </w:pPr>
            <w:r>
              <w:rPr>
                <w:sz w:val="16"/>
              </w:rPr>
              <w:t>Diarios</w:t>
            </w:r>
          </w:p>
        </w:tc>
        <w:tc>
          <w:tcPr>
            <w:tcW w:w="1546" w:type="dxa"/>
            <w:tcBorders>
              <w:top w:val="nil"/>
              <w:left w:val="nil"/>
              <w:bottom w:val="nil"/>
              <w:right w:val="nil"/>
            </w:tcBorders>
          </w:tcPr>
          <w:p>
            <w:pPr>
              <w:pStyle w:val="TableParagraph"/>
              <w:spacing w:before="3"/>
              <w:ind w:right="414"/>
              <w:jc w:val="right"/>
              <w:rPr>
                <w:sz w:val="16"/>
              </w:rPr>
            </w:pPr>
            <w:r>
              <w:rPr>
                <w:sz w:val="16"/>
              </w:rPr>
              <w:t>45</w:t>
            </w:r>
          </w:p>
        </w:tc>
        <w:tc>
          <w:tcPr>
            <w:tcW w:w="1068" w:type="dxa"/>
            <w:tcBorders>
              <w:top w:val="nil"/>
              <w:left w:val="nil"/>
              <w:bottom w:val="nil"/>
              <w:right w:val="nil"/>
            </w:tcBorders>
          </w:tcPr>
          <w:p>
            <w:pPr>
              <w:pStyle w:val="TableParagraph"/>
              <w:spacing w:before="3"/>
              <w:ind w:right="353"/>
              <w:jc w:val="right"/>
              <w:rPr>
                <w:sz w:val="16"/>
              </w:rPr>
            </w:pPr>
            <w:r>
              <w:rPr>
                <w:sz w:val="16"/>
              </w:rPr>
              <w:t>45</w:t>
            </w:r>
          </w:p>
        </w:tc>
      </w:tr>
      <w:tr>
        <w:trPr>
          <w:trHeight w:val="212" w:hRule="exact"/>
        </w:trPr>
        <w:tc>
          <w:tcPr>
            <w:tcW w:w="1863" w:type="dxa"/>
            <w:tcBorders>
              <w:top w:val="nil"/>
              <w:left w:val="nil"/>
              <w:bottom w:val="nil"/>
              <w:right w:val="nil"/>
            </w:tcBorders>
          </w:tcPr>
          <w:p>
            <w:pPr>
              <w:pStyle w:val="TableParagraph"/>
              <w:spacing w:before="5"/>
              <w:ind w:left="68"/>
              <w:rPr>
                <w:sz w:val="16"/>
              </w:rPr>
            </w:pPr>
            <w:r>
              <w:rPr>
                <w:sz w:val="16"/>
              </w:rPr>
              <w:t>Bancos</w:t>
            </w:r>
          </w:p>
        </w:tc>
        <w:tc>
          <w:tcPr>
            <w:tcW w:w="1546" w:type="dxa"/>
            <w:tcBorders>
              <w:top w:val="nil"/>
              <w:left w:val="nil"/>
              <w:bottom w:val="nil"/>
              <w:right w:val="nil"/>
            </w:tcBorders>
          </w:tcPr>
          <w:p>
            <w:pPr>
              <w:pStyle w:val="TableParagraph"/>
              <w:spacing w:before="5"/>
              <w:ind w:right="414"/>
              <w:jc w:val="right"/>
              <w:rPr>
                <w:sz w:val="16"/>
              </w:rPr>
            </w:pPr>
            <w:r>
              <w:rPr>
                <w:sz w:val="16"/>
              </w:rPr>
              <w:t>39</w:t>
            </w:r>
          </w:p>
        </w:tc>
        <w:tc>
          <w:tcPr>
            <w:tcW w:w="1068" w:type="dxa"/>
            <w:tcBorders>
              <w:top w:val="nil"/>
              <w:left w:val="nil"/>
              <w:bottom w:val="nil"/>
              <w:right w:val="nil"/>
            </w:tcBorders>
          </w:tcPr>
          <w:p>
            <w:pPr>
              <w:pStyle w:val="TableParagraph"/>
              <w:spacing w:before="5"/>
              <w:ind w:right="353"/>
              <w:jc w:val="right"/>
              <w:rPr>
                <w:sz w:val="16"/>
              </w:rPr>
            </w:pPr>
            <w:r>
              <w:rPr>
                <w:sz w:val="16"/>
              </w:rPr>
              <w:t>43</w:t>
            </w:r>
          </w:p>
        </w:tc>
      </w:tr>
      <w:tr>
        <w:trPr>
          <w:trHeight w:val="212" w:hRule="exact"/>
        </w:trPr>
        <w:tc>
          <w:tcPr>
            <w:tcW w:w="1863" w:type="dxa"/>
            <w:tcBorders>
              <w:top w:val="nil"/>
              <w:left w:val="nil"/>
              <w:bottom w:val="nil"/>
              <w:right w:val="nil"/>
            </w:tcBorders>
          </w:tcPr>
          <w:p>
            <w:pPr>
              <w:pStyle w:val="TableParagraph"/>
              <w:spacing w:before="5"/>
              <w:ind w:left="68"/>
              <w:rPr>
                <w:sz w:val="16"/>
              </w:rPr>
            </w:pPr>
            <w:r>
              <w:rPr>
                <w:sz w:val="16"/>
              </w:rPr>
              <w:t>Gobierno</w:t>
            </w:r>
          </w:p>
        </w:tc>
        <w:tc>
          <w:tcPr>
            <w:tcW w:w="1546" w:type="dxa"/>
            <w:tcBorders>
              <w:top w:val="nil"/>
              <w:left w:val="nil"/>
              <w:bottom w:val="nil"/>
              <w:right w:val="nil"/>
            </w:tcBorders>
          </w:tcPr>
          <w:p>
            <w:pPr>
              <w:pStyle w:val="TableParagraph"/>
              <w:spacing w:before="5"/>
              <w:ind w:right="414"/>
              <w:jc w:val="right"/>
              <w:rPr>
                <w:sz w:val="16"/>
              </w:rPr>
            </w:pPr>
            <w:r>
              <w:rPr>
                <w:sz w:val="16"/>
              </w:rPr>
              <w:t>37</w:t>
            </w:r>
          </w:p>
        </w:tc>
        <w:tc>
          <w:tcPr>
            <w:tcW w:w="1068" w:type="dxa"/>
            <w:tcBorders>
              <w:top w:val="nil"/>
              <w:left w:val="nil"/>
              <w:bottom w:val="nil"/>
              <w:right w:val="nil"/>
            </w:tcBorders>
          </w:tcPr>
          <w:p>
            <w:pPr>
              <w:pStyle w:val="TableParagraph"/>
              <w:spacing w:before="5"/>
              <w:ind w:right="353"/>
              <w:jc w:val="right"/>
              <w:rPr>
                <w:sz w:val="16"/>
              </w:rPr>
            </w:pPr>
            <w:r>
              <w:rPr>
                <w:sz w:val="16"/>
              </w:rPr>
              <w:t>40</w:t>
            </w:r>
          </w:p>
        </w:tc>
      </w:tr>
      <w:tr>
        <w:trPr>
          <w:trHeight w:val="212" w:hRule="exact"/>
        </w:trPr>
        <w:tc>
          <w:tcPr>
            <w:tcW w:w="1863" w:type="dxa"/>
            <w:tcBorders>
              <w:top w:val="nil"/>
              <w:left w:val="nil"/>
              <w:bottom w:val="nil"/>
              <w:right w:val="nil"/>
            </w:tcBorders>
          </w:tcPr>
          <w:p>
            <w:pPr>
              <w:pStyle w:val="TableParagraph"/>
              <w:spacing w:before="6"/>
              <w:ind w:left="68"/>
              <w:rPr>
                <w:sz w:val="16"/>
              </w:rPr>
            </w:pPr>
            <w:r>
              <w:rPr>
                <w:sz w:val="16"/>
              </w:rPr>
              <w:t>Fuerzas Armadas</w:t>
            </w:r>
          </w:p>
        </w:tc>
        <w:tc>
          <w:tcPr>
            <w:tcW w:w="1546" w:type="dxa"/>
            <w:tcBorders>
              <w:top w:val="nil"/>
              <w:left w:val="nil"/>
              <w:bottom w:val="nil"/>
              <w:right w:val="nil"/>
            </w:tcBorders>
          </w:tcPr>
          <w:p>
            <w:pPr>
              <w:pStyle w:val="TableParagraph"/>
              <w:spacing w:before="6"/>
              <w:ind w:right="414"/>
              <w:jc w:val="right"/>
              <w:rPr>
                <w:sz w:val="16"/>
              </w:rPr>
            </w:pPr>
            <w:r>
              <w:rPr>
                <w:sz w:val="16"/>
              </w:rPr>
              <w:t>43</w:t>
            </w:r>
          </w:p>
        </w:tc>
        <w:tc>
          <w:tcPr>
            <w:tcW w:w="1068" w:type="dxa"/>
            <w:tcBorders>
              <w:top w:val="nil"/>
              <w:left w:val="nil"/>
              <w:bottom w:val="nil"/>
              <w:right w:val="nil"/>
            </w:tcBorders>
          </w:tcPr>
          <w:p>
            <w:pPr>
              <w:pStyle w:val="TableParagraph"/>
              <w:spacing w:before="6"/>
              <w:ind w:right="353"/>
              <w:jc w:val="right"/>
              <w:rPr>
                <w:sz w:val="16"/>
              </w:rPr>
            </w:pPr>
            <w:r>
              <w:rPr>
                <w:sz w:val="16"/>
              </w:rPr>
              <w:t>39</w:t>
            </w:r>
          </w:p>
        </w:tc>
      </w:tr>
      <w:tr>
        <w:trPr>
          <w:trHeight w:val="212" w:hRule="exact"/>
        </w:trPr>
        <w:tc>
          <w:tcPr>
            <w:tcW w:w="1863" w:type="dxa"/>
            <w:tcBorders>
              <w:top w:val="nil"/>
              <w:left w:val="nil"/>
              <w:bottom w:val="nil"/>
              <w:right w:val="nil"/>
            </w:tcBorders>
          </w:tcPr>
          <w:p>
            <w:pPr>
              <w:pStyle w:val="TableParagraph"/>
              <w:spacing w:before="5"/>
              <w:ind w:left="68"/>
              <w:rPr>
                <w:sz w:val="16"/>
              </w:rPr>
            </w:pPr>
            <w:r>
              <w:rPr>
                <w:sz w:val="16"/>
              </w:rPr>
              <w:t>Empresa Privada</w:t>
            </w:r>
          </w:p>
        </w:tc>
        <w:tc>
          <w:tcPr>
            <w:tcW w:w="1546" w:type="dxa"/>
            <w:tcBorders>
              <w:top w:val="nil"/>
              <w:left w:val="nil"/>
              <w:bottom w:val="nil"/>
              <w:right w:val="nil"/>
            </w:tcBorders>
          </w:tcPr>
          <w:p>
            <w:pPr>
              <w:pStyle w:val="TableParagraph"/>
              <w:spacing w:before="5"/>
              <w:ind w:right="414"/>
              <w:jc w:val="right"/>
              <w:rPr>
                <w:sz w:val="16"/>
              </w:rPr>
            </w:pPr>
            <w:r>
              <w:rPr>
                <w:sz w:val="16"/>
              </w:rPr>
              <w:t>39</w:t>
            </w:r>
          </w:p>
        </w:tc>
        <w:tc>
          <w:tcPr>
            <w:tcW w:w="1068" w:type="dxa"/>
            <w:tcBorders>
              <w:top w:val="nil"/>
              <w:left w:val="nil"/>
              <w:bottom w:val="nil"/>
              <w:right w:val="nil"/>
            </w:tcBorders>
          </w:tcPr>
          <w:p>
            <w:pPr>
              <w:pStyle w:val="TableParagraph"/>
              <w:spacing w:before="5"/>
              <w:ind w:right="353"/>
              <w:jc w:val="right"/>
              <w:rPr>
                <w:sz w:val="16"/>
              </w:rPr>
            </w:pPr>
            <w:r>
              <w:rPr>
                <w:sz w:val="16"/>
              </w:rPr>
              <w:t>38</w:t>
            </w:r>
          </w:p>
        </w:tc>
      </w:tr>
      <w:tr>
        <w:trPr>
          <w:trHeight w:val="186" w:hRule="exact"/>
        </w:trPr>
        <w:tc>
          <w:tcPr>
            <w:tcW w:w="1863" w:type="dxa"/>
            <w:tcBorders>
              <w:top w:val="nil"/>
              <w:left w:val="nil"/>
              <w:bottom w:val="nil"/>
              <w:right w:val="nil"/>
            </w:tcBorders>
          </w:tcPr>
          <w:p>
            <w:pPr>
              <w:pStyle w:val="TableParagraph"/>
              <w:spacing w:before="5"/>
              <w:ind w:left="68"/>
              <w:rPr>
                <w:sz w:val="16"/>
              </w:rPr>
            </w:pPr>
            <w:r>
              <w:rPr>
                <w:sz w:val="16"/>
              </w:rPr>
              <w:t>El Estado</w:t>
            </w:r>
          </w:p>
        </w:tc>
        <w:tc>
          <w:tcPr>
            <w:tcW w:w="1546" w:type="dxa"/>
            <w:tcBorders>
              <w:top w:val="nil"/>
              <w:left w:val="nil"/>
              <w:bottom w:val="nil"/>
              <w:right w:val="nil"/>
            </w:tcBorders>
          </w:tcPr>
          <w:p>
            <w:pPr>
              <w:pStyle w:val="TableParagraph"/>
              <w:spacing w:before="5"/>
              <w:ind w:right="373"/>
              <w:jc w:val="right"/>
              <w:rPr>
                <w:sz w:val="16"/>
              </w:rPr>
            </w:pPr>
            <w:r>
              <w:rPr>
                <w:sz w:val="16"/>
              </w:rPr>
              <w:t>n.d.</w:t>
            </w:r>
          </w:p>
        </w:tc>
        <w:tc>
          <w:tcPr>
            <w:tcW w:w="1068" w:type="dxa"/>
            <w:tcBorders>
              <w:top w:val="nil"/>
              <w:left w:val="nil"/>
              <w:bottom w:val="nil"/>
              <w:right w:val="nil"/>
            </w:tcBorders>
          </w:tcPr>
          <w:p>
            <w:pPr>
              <w:pStyle w:val="TableParagraph"/>
              <w:spacing w:before="5"/>
              <w:ind w:right="353"/>
              <w:jc w:val="right"/>
              <w:rPr>
                <w:sz w:val="16"/>
              </w:rPr>
            </w:pPr>
            <w:r>
              <w:rPr>
                <w:sz w:val="16"/>
              </w:rPr>
              <w:t>38</w:t>
            </w:r>
          </w:p>
        </w:tc>
      </w:tr>
    </w:tbl>
    <w:p>
      <w:pPr>
        <w:spacing w:after="0"/>
        <w:jc w:val="right"/>
        <w:rPr>
          <w:sz w:val="16"/>
        </w:rPr>
        <w:sectPr>
          <w:pgSz w:w="11910" w:h="16840"/>
          <w:pgMar w:header="0" w:footer="998" w:top="1360" w:bottom="1180" w:left="1600" w:right="1600"/>
        </w:sectPr>
      </w:pPr>
    </w:p>
    <w:tbl>
      <w:tblPr>
        <w:tblW w:w="0" w:type="auto"/>
        <w:jc w:val="left"/>
        <w:tblInd w:w="2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56"/>
        <w:gridCol w:w="1126"/>
        <w:gridCol w:w="1008"/>
      </w:tblGrid>
      <w:tr>
        <w:trPr>
          <w:trHeight w:val="186" w:hRule="exact"/>
        </w:trPr>
        <w:tc>
          <w:tcPr>
            <w:tcW w:w="2356" w:type="dxa"/>
          </w:tcPr>
          <w:p>
            <w:pPr>
              <w:pStyle w:val="TableParagraph"/>
              <w:spacing w:line="158" w:lineRule="exact"/>
              <w:ind w:left="80"/>
              <w:rPr>
                <w:sz w:val="16"/>
              </w:rPr>
            </w:pPr>
            <w:r>
              <w:rPr>
                <w:sz w:val="16"/>
              </w:rPr>
              <w:t>Municipio/Gobierno Local</w:t>
            </w:r>
          </w:p>
        </w:tc>
        <w:tc>
          <w:tcPr>
            <w:tcW w:w="1126" w:type="dxa"/>
          </w:tcPr>
          <w:p>
            <w:pPr>
              <w:pStyle w:val="TableParagraph"/>
              <w:spacing w:line="158" w:lineRule="exact"/>
              <w:ind w:left="453" w:right="454"/>
              <w:jc w:val="center"/>
              <w:rPr>
                <w:sz w:val="16"/>
              </w:rPr>
            </w:pPr>
            <w:r>
              <w:rPr>
                <w:sz w:val="16"/>
              </w:rPr>
              <w:t>36</w:t>
            </w:r>
          </w:p>
        </w:tc>
        <w:tc>
          <w:tcPr>
            <w:tcW w:w="1008" w:type="dxa"/>
          </w:tcPr>
          <w:p>
            <w:pPr>
              <w:pStyle w:val="TableParagraph"/>
              <w:spacing w:line="158" w:lineRule="exact"/>
              <w:ind w:right="353"/>
              <w:jc w:val="right"/>
              <w:rPr>
                <w:sz w:val="16"/>
              </w:rPr>
            </w:pPr>
            <w:r>
              <w:rPr>
                <w:sz w:val="16"/>
              </w:rPr>
              <w:t>37</w:t>
            </w:r>
          </w:p>
        </w:tc>
      </w:tr>
      <w:tr>
        <w:trPr>
          <w:trHeight w:val="212" w:hRule="exact"/>
        </w:trPr>
        <w:tc>
          <w:tcPr>
            <w:tcW w:w="2356" w:type="dxa"/>
          </w:tcPr>
          <w:p>
            <w:pPr>
              <w:pStyle w:val="TableParagraph"/>
              <w:ind w:left="80"/>
              <w:rPr>
                <w:sz w:val="16"/>
              </w:rPr>
            </w:pPr>
            <w:r>
              <w:rPr>
                <w:sz w:val="16"/>
              </w:rPr>
              <w:t>Policía</w:t>
            </w:r>
          </w:p>
        </w:tc>
        <w:tc>
          <w:tcPr>
            <w:tcW w:w="1126" w:type="dxa"/>
          </w:tcPr>
          <w:p>
            <w:pPr>
              <w:pStyle w:val="TableParagraph"/>
              <w:ind w:left="453" w:right="454"/>
              <w:jc w:val="center"/>
              <w:rPr>
                <w:sz w:val="16"/>
              </w:rPr>
            </w:pPr>
            <w:r>
              <w:rPr>
                <w:sz w:val="16"/>
              </w:rPr>
              <w:t>35</w:t>
            </w:r>
          </w:p>
        </w:tc>
        <w:tc>
          <w:tcPr>
            <w:tcW w:w="1008" w:type="dxa"/>
          </w:tcPr>
          <w:p>
            <w:pPr>
              <w:pStyle w:val="TableParagraph"/>
              <w:ind w:right="353"/>
              <w:jc w:val="right"/>
              <w:rPr>
                <w:sz w:val="16"/>
              </w:rPr>
            </w:pPr>
            <w:r>
              <w:rPr>
                <w:sz w:val="16"/>
              </w:rPr>
              <w:t>33</w:t>
            </w:r>
          </w:p>
        </w:tc>
      </w:tr>
      <w:tr>
        <w:trPr>
          <w:trHeight w:val="212" w:hRule="exact"/>
        </w:trPr>
        <w:tc>
          <w:tcPr>
            <w:tcW w:w="2356" w:type="dxa"/>
          </w:tcPr>
          <w:p>
            <w:pPr>
              <w:pStyle w:val="TableParagraph"/>
              <w:ind w:left="80"/>
              <w:rPr>
                <w:sz w:val="16"/>
              </w:rPr>
            </w:pPr>
            <w:r>
              <w:rPr>
                <w:sz w:val="16"/>
              </w:rPr>
              <w:t>Congreso/Parlamento</w:t>
            </w:r>
          </w:p>
        </w:tc>
        <w:tc>
          <w:tcPr>
            <w:tcW w:w="1126" w:type="dxa"/>
          </w:tcPr>
          <w:p>
            <w:pPr>
              <w:pStyle w:val="TableParagraph"/>
              <w:ind w:left="453" w:right="454"/>
              <w:jc w:val="center"/>
              <w:rPr>
                <w:sz w:val="16"/>
              </w:rPr>
            </w:pPr>
            <w:r>
              <w:rPr>
                <w:sz w:val="16"/>
              </w:rPr>
              <w:t>28</w:t>
            </w:r>
          </w:p>
        </w:tc>
        <w:tc>
          <w:tcPr>
            <w:tcW w:w="1008" w:type="dxa"/>
          </w:tcPr>
          <w:p>
            <w:pPr>
              <w:pStyle w:val="TableParagraph"/>
              <w:ind w:right="353"/>
              <w:jc w:val="right"/>
              <w:rPr>
                <w:sz w:val="16"/>
              </w:rPr>
            </w:pPr>
            <w:r>
              <w:rPr>
                <w:sz w:val="16"/>
              </w:rPr>
              <w:t>32</w:t>
            </w:r>
          </w:p>
        </w:tc>
      </w:tr>
      <w:tr>
        <w:trPr>
          <w:trHeight w:val="212" w:hRule="exact"/>
        </w:trPr>
        <w:tc>
          <w:tcPr>
            <w:tcW w:w="2356" w:type="dxa"/>
          </w:tcPr>
          <w:p>
            <w:pPr>
              <w:pStyle w:val="TableParagraph"/>
              <w:ind w:left="80"/>
              <w:rPr>
                <w:sz w:val="16"/>
              </w:rPr>
            </w:pPr>
            <w:r>
              <w:rPr>
                <w:sz w:val="16"/>
              </w:rPr>
              <w:t>Administración Pública</w:t>
            </w:r>
          </w:p>
        </w:tc>
        <w:tc>
          <w:tcPr>
            <w:tcW w:w="1126" w:type="dxa"/>
          </w:tcPr>
          <w:p>
            <w:pPr>
              <w:pStyle w:val="TableParagraph"/>
              <w:ind w:left="453" w:right="454"/>
              <w:jc w:val="center"/>
              <w:rPr>
                <w:sz w:val="16"/>
              </w:rPr>
            </w:pPr>
            <w:r>
              <w:rPr>
                <w:sz w:val="16"/>
              </w:rPr>
              <w:t>31</w:t>
            </w:r>
          </w:p>
        </w:tc>
        <w:tc>
          <w:tcPr>
            <w:tcW w:w="1008" w:type="dxa"/>
          </w:tcPr>
          <w:p>
            <w:pPr>
              <w:pStyle w:val="TableParagraph"/>
              <w:ind w:right="353"/>
              <w:jc w:val="right"/>
              <w:rPr>
                <w:sz w:val="16"/>
              </w:rPr>
            </w:pPr>
            <w:r>
              <w:rPr>
                <w:sz w:val="16"/>
              </w:rPr>
              <w:t>31</w:t>
            </w:r>
          </w:p>
        </w:tc>
      </w:tr>
      <w:tr>
        <w:trPr>
          <w:trHeight w:val="212" w:hRule="exact"/>
        </w:trPr>
        <w:tc>
          <w:tcPr>
            <w:tcW w:w="2356" w:type="dxa"/>
          </w:tcPr>
          <w:p>
            <w:pPr>
              <w:pStyle w:val="TableParagraph"/>
              <w:ind w:left="80"/>
              <w:rPr>
                <w:sz w:val="16"/>
              </w:rPr>
            </w:pPr>
            <w:r>
              <w:rPr>
                <w:sz w:val="16"/>
              </w:rPr>
              <w:t>Poder Judicial</w:t>
            </w:r>
          </w:p>
        </w:tc>
        <w:tc>
          <w:tcPr>
            <w:tcW w:w="1126" w:type="dxa"/>
          </w:tcPr>
          <w:p>
            <w:pPr>
              <w:pStyle w:val="TableParagraph"/>
              <w:ind w:left="453" w:right="454"/>
              <w:jc w:val="center"/>
              <w:rPr>
                <w:sz w:val="16"/>
              </w:rPr>
            </w:pPr>
            <w:r>
              <w:rPr>
                <w:sz w:val="16"/>
              </w:rPr>
              <w:t>31</w:t>
            </w:r>
          </w:p>
        </w:tc>
        <w:tc>
          <w:tcPr>
            <w:tcW w:w="1008" w:type="dxa"/>
          </w:tcPr>
          <w:p>
            <w:pPr>
              <w:pStyle w:val="TableParagraph"/>
              <w:ind w:right="353"/>
              <w:jc w:val="right"/>
              <w:rPr>
                <w:sz w:val="16"/>
              </w:rPr>
            </w:pPr>
            <w:r>
              <w:rPr>
                <w:sz w:val="16"/>
              </w:rPr>
              <w:t>29</w:t>
            </w:r>
          </w:p>
        </w:tc>
      </w:tr>
      <w:tr>
        <w:trPr>
          <w:trHeight w:val="212" w:hRule="exact"/>
        </w:trPr>
        <w:tc>
          <w:tcPr>
            <w:tcW w:w="2356" w:type="dxa"/>
          </w:tcPr>
          <w:p>
            <w:pPr>
              <w:pStyle w:val="TableParagraph"/>
              <w:ind w:left="80"/>
              <w:rPr>
                <w:sz w:val="16"/>
              </w:rPr>
            </w:pPr>
            <w:r>
              <w:rPr>
                <w:sz w:val="16"/>
              </w:rPr>
              <w:t>Sindicatos</w:t>
            </w:r>
          </w:p>
        </w:tc>
        <w:tc>
          <w:tcPr>
            <w:tcW w:w="1126" w:type="dxa"/>
          </w:tcPr>
          <w:p>
            <w:pPr>
              <w:pStyle w:val="TableParagraph"/>
              <w:ind w:left="453" w:right="454"/>
              <w:jc w:val="center"/>
              <w:rPr>
                <w:sz w:val="16"/>
              </w:rPr>
            </w:pPr>
            <w:r>
              <w:rPr>
                <w:sz w:val="16"/>
              </w:rPr>
              <w:t>28</w:t>
            </w:r>
          </w:p>
        </w:tc>
        <w:tc>
          <w:tcPr>
            <w:tcW w:w="1008" w:type="dxa"/>
          </w:tcPr>
          <w:p>
            <w:pPr>
              <w:pStyle w:val="TableParagraph"/>
              <w:ind w:right="353"/>
              <w:jc w:val="right"/>
              <w:rPr>
                <w:sz w:val="16"/>
              </w:rPr>
            </w:pPr>
            <w:r>
              <w:rPr>
                <w:sz w:val="16"/>
              </w:rPr>
              <w:t>28</w:t>
            </w:r>
          </w:p>
        </w:tc>
      </w:tr>
      <w:tr>
        <w:trPr>
          <w:trHeight w:val="228" w:hRule="exact"/>
        </w:trPr>
        <w:tc>
          <w:tcPr>
            <w:tcW w:w="2356" w:type="dxa"/>
            <w:tcBorders>
              <w:bottom w:val="single" w:sz="3" w:space="0" w:color="000000"/>
            </w:tcBorders>
          </w:tcPr>
          <w:p>
            <w:pPr>
              <w:pStyle w:val="TableParagraph"/>
              <w:ind w:left="80"/>
              <w:rPr>
                <w:sz w:val="16"/>
              </w:rPr>
            </w:pPr>
            <w:r>
              <w:rPr>
                <w:sz w:val="16"/>
              </w:rPr>
              <w:t>Partidos Políticos</w:t>
            </w:r>
          </w:p>
        </w:tc>
        <w:tc>
          <w:tcPr>
            <w:tcW w:w="1126" w:type="dxa"/>
            <w:tcBorders>
              <w:bottom w:val="single" w:sz="3" w:space="0" w:color="000000"/>
            </w:tcBorders>
          </w:tcPr>
          <w:p>
            <w:pPr>
              <w:pStyle w:val="TableParagraph"/>
              <w:ind w:left="453" w:right="454"/>
              <w:jc w:val="center"/>
              <w:rPr>
                <w:sz w:val="16"/>
              </w:rPr>
            </w:pPr>
            <w:r>
              <w:rPr>
                <w:sz w:val="16"/>
              </w:rPr>
              <w:t>20</w:t>
            </w:r>
          </w:p>
        </w:tc>
        <w:tc>
          <w:tcPr>
            <w:tcW w:w="1008" w:type="dxa"/>
            <w:tcBorders>
              <w:bottom w:val="single" w:sz="3" w:space="0" w:color="000000"/>
            </w:tcBorders>
          </w:tcPr>
          <w:p>
            <w:pPr>
              <w:pStyle w:val="TableParagraph"/>
              <w:ind w:right="353"/>
              <w:jc w:val="right"/>
              <w:rPr>
                <w:sz w:val="16"/>
              </w:rPr>
            </w:pPr>
            <w:r>
              <w:rPr>
                <w:sz w:val="16"/>
              </w:rPr>
              <w:t>22</w:t>
            </w:r>
          </w:p>
        </w:tc>
      </w:tr>
    </w:tbl>
    <w:p>
      <w:pPr>
        <w:pStyle w:val="BodyText"/>
        <w:spacing w:before="3"/>
        <w:rPr>
          <w:sz w:val="11"/>
        </w:rPr>
      </w:pPr>
    </w:p>
    <w:p>
      <w:pPr>
        <w:spacing w:before="1"/>
        <w:ind w:left="2225" w:right="385" w:firstLine="0"/>
        <w:jc w:val="left"/>
        <w:rPr>
          <w:sz w:val="12"/>
        </w:rPr>
      </w:pPr>
      <w:r>
        <w:rPr>
          <w:sz w:val="12"/>
        </w:rPr>
        <w:t>FUENTE:      Corporación Latino barómetro. </w:t>
      </w:r>
      <w:r>
        <w:rPr>
          <w:i/>
          <w:sz w:val="12"/>
        </w:rPr>
        <w:t>Informe 2011</w:t>
      </w:r>
      <w:r>
        <w:rPr>
          <w:sz w:val="12"/>
        </w:rPr>
        <w:t>, p. 48.</w:t>
      </w:r>
    </w:p>
    <w:p>
      <w:pPr>
        <w:spacing w:line="146" w:lineRule="exact" w:before="0"/>
        <w:ind w:left="2933" w:right="385" w:firstLine="0"/>
        <w:jc w:val="left"/>
        <w:rPr>
          <w:rFonts w:ascii="Calibri"/>
          <w:sz w:val="12"/>
        </w:rPr>
      </w:pPr>
      <w:r>
        <w:rPr>
          <w:sz w:val="12"/>
        </w:rPr>
        <w:t>Disponible en: </w:t>
      </w:r>
      <w:hyperlink r:id="rId222">
        <w:r>
          <w:rPr>
            <w:rFonts w:ascii="Calibri"/>
            <w:color w:val="0000FF"/>
            <w:sz w:val="12"/>
            <w:u w:val="single" w:color="0000FF"/>
          </w:rPr>
          <w:t>http://e-lecciones.net/archivos/loultimo/INFORME_LB2011.pd</w:t>
        </w:r>
      </w:hyperlink>
    </w:p>
    <w:p>
      <w:pPr>
        <w:spacing w:before="0"/>
        <w:ind w:left="2917" w:right="3378" w:firstLine="0"/>
        <w:jc w:val="center"/>
        <w:rPr>
          <w:sz w:val="12"/>
        </w:rPr>
      </w:pPr>
      <w:r>
        <w:rPr>
          <w:sz w:val="12"/>
        </w:rPr>
        <w:t>[Fecha de consulta: 10 de septiembre, 2015]</w:t>
      </w:r>
    </w:p>
    <w:p>
      <w:pPr>
        <w:spacing w:before="38"/>
        <w:ind w:left="2933" w:right="385" w:firstLine="0"/>
        <w:jc w:val="left"/>
        <w:rPr>
          <w:sz w:val="12"/>
        </w:rPr>
      </w:pPr>
      <w:r>
        <w:rPr>
          <w:sz w:val="12"/>
        </w:rPr>
        <w:t>n.a. No aplica, n.d. No disponible, s.c. Sin cambios.</w:t>
      </w:r>
    </w:p>
    <w:p>
      <w:pPr>
        <w:pStyle w:val="BodyText"/>
        <w:rPr>
          <w:sz w:val="12"/>
        </w:rPr>
      </w:pPr>
    </w:p>
    <w:p>
      <w:pPr>
        <w:pStyle w:val="BodyText"/>
        <w:rPr>
          <w:sz w:val="12"/>
        </w:rPr>
      </w:pPr>
    </w:p>
    <w:p>
      <w:pPr>
        <w:pStyle w:val="BodyText"/>
        <w:rPr>
          <w:sz w:val="12"/>
        </w:rPr>
      </w:pPr>
    </w:p>
    <w:p>
      <w:pPr>
        <w:pStyle w:val="ListParagraph"/>
        <w:numPr>
          <w:ilvl w:val="0"/>
          <w:numId w:val="93"/>
        </w:numPr>
        <w:tabs>
          <w:tab w:pos="381" w:val="left" w:leader="none"/>
        </w:tabs>
        <w:spacing w:line="240" w:lineRule="auto" w:before="103" w:after="0"/>
        <w:ind w:left="380" w:right="0" w:hanging="280"/>
        <w:jc w:val="left"/>
        <w:rPr>
          <w:i/>
          <w:sz w:val="24"/>
        </w:rPr>
      </w:pPr>
      <w:r>
        <w:rPr>
          <w:i/>
          <w:sz w:val="24"/>
        </w:rPr>
        <w:t>Índice de Confianza en las Instituciones,</w:t>
      </w:r>
      <w:r>
        <w:rPr>
          <w:i/>
          <w:spacing w:val="-30"/>
          <w:sz w:val="24"/>
        </w:rPr>
        <w:t> </w:t>
      </w:r>
      <w:r>
        <w:rPr>
          <w:i/>
          <w:sz w:val="24"/>
        </w:rPr>
        <w:t>2012</w:t>
      </w:r>
    </w:p>
    <w:p>
      <w:pPr>
        <w:pStyle w:val="BodyText"/>
        <w:spacing w:before="2"/>
        <w:rPr>
          <w:i/>
          <w:sz w:val="29"/>
        </w:rPr>
      </w:pPr>
    </w:p>
    <w:p>
      <w:pPr>
        <w:spacing w:line="360" w:lineRule="auto" w:before="0"/>
        <w:ind w:left="100" w:right="101" w:firstLine="427"/>
        <w:jc w:val="both"/>
        <w:rPr>
          <w:i/>
          <w:sz w:val="24"/>
        </w:rPr>
      </w:pPr>
      <w:r>
        <w:rPr>
          <w:sz w:val="24"/>
        </w:rPr>
        <w:t>Consulta Mitofsky publicó en agosto de 2012 </w:t>
      </w:r>
      <w:r>
        <w:rPr>
          <w:i/>
          <w:sz w:val="24"/>
        </w:rPr>
        <w:t>México: Confianza en las </w:t>
      </w:r>
      <w:r>
        <w:rPr>
          <w:i/>
          <w:sz w:val="24"/>
        </w:rPr>
        <w:t>instituciones. Encuesta Nacional en Viviendas</w:t>
      </w:r>
      <w:r>
        <w:rPr>
          <w:sz w:val="24"/>
        </w:rPr>
        <w:t>. El estudio anual presentó los resultados de 1,000 encuestas realizadas a ciudadanos mexicanos del 17 al 19 de agosto de 2012 al 95%de confianza, dispuso del apoyo de la herramienta estadística </w:t>
      </w:r>
      <w:r>
        <w:rPr>
          <w:i/>
          <w:sz w:val="24"/>
        </w:rPr>
        <w:t>Tracking Poll Roy Campos.</w:t>
      </w:r>
    </w:p>
    <w:p>
      <w:pPr>
        <w:pStyle w:val="BodyText"/>
        <w:spacing w:line="360" w:lineRule="auto" w:before="9"/>
        <w:ind w:left="100" w:right="99" w:firstLine="427"/>
        <w:jc w:val="both"/>
      </w:pPr>
      <w:r>
        <w:rPr/>
        <w:t>Los</w:t>
      </w:r>
      <w:r>
        <w:rPr>
          <w:spacing w:val="-3"/>
        </w:rPr>
        <w:t> </w:t>
      </w:r>
      <w:r>
        <w:rPr/>
        <w:t>resultados</w:t>
      </w:r>
      <w:r>
        <w:rPr>
          <w:spacing w:val="-3"/>
        </w:rPr>
        <w:t> </w:t>
      </w:r>
      <w:r>
        <w:rPr/>
        <w:t>se</w:t>
      </w:r>
      <w:r>
        <w:rPr>
          <w:spacing w:val="-5"/>
        </w:rPr>
        <w:t> </w:t>
      </w:r>
      <w:r>
        <w:rPr/>
        <w:t>presentaron</w:t>
      </w:r>
      <w:r>
        <w:rPr>
          <w:spacing w:val="-5"/>
        </w:rPr>
        <w:t> </w:t>
      </w:r>
      <w:r>
        <w:rPr/>
        <w:t>en</w:t>
      </w:r>
      <w:r>
        <w:rPr>
          <w:spacing w:val="-5"/>
        </w:rPr>
        <w:t> </w:t>
      </w:r>
      <w:r>
        <w:rPr/>
        <w:t>una</w:t>
      </w:r>
      <w:r>
        <w:rPr>
          <w:spacing w:val="-1"/>
        </w:rPr>
        <w:t> </w:t>
      </w:r>
      <w:r>
        <w:rPr/>
        <w:t>escala</w:t>
      </w:r>
      <w:r>
        <w:rPr>
          <w:spacing w:val="-5"/>
        </w:rPr>
        <w:t> </w:t>
      </w:r>
      <w:r>
        <w:rPr/>
        <w:t>de</w:t>
      </w:r>
      <w:r>
        <w:rPr>
          <w:spacing w:val="-2"/>
        </w:rPr>
        <w:t> </w:t>
      </w:r>
      <w:r>
        <w:rPr/>
        <w:t>calificación</w:t>
      </w:r>
      <w:r>
        <w:rPr>
          <w:spacing w:val="-4"/>
        </w:rPr>
        <w:t> </w:t>
      </w:r>
      <w:r>
        <w:rPr/>
        <w:t>0</w:t>
      </w:r>
      <w:r>
        <w:rPr>
          <w:spacing w:val="-5"/>
        </w:rPr>
        <w:t> </w:t>
      </w:r>
      <w:r>
        <w:rPr/>
        <w:t>a</w:t>
      </w:r>
      <w:r>
        <w:rPr>
          <w:spacing w:val="-5"/>
        </w:rPr>
        <w:t> </w:t>
      </w:r>
      <w:r>
        <w:rPr/>
        <w:t>10,</w:t>
      </w:r>
      <w:r>
        <w:rPr>
          <w:spacing w:val="-3"/>
        </w:rPr>
        <w:t> </w:t>
      </w:r>
      <w:r>
        <w:rPr/>
        <w:t>donde</w:t>
      </w:r>
      <w:r>
        <w:rPr>
          <w:spacing w:val="-5"/>
        </w:rPr>
        <w:t> </w:t>
      </w:r>
      <w:r>
        <w:rPr/>
        <w:t>0 indica ausencia de confianza y 10 confianza absoluta. Las encuestas fueron aplicadas para evaluar la confianza de 15 instituciones de México, las cuales fueron clasificadas de la forma</w:t>
      </w:r>
      <w:r>
        <w:rPr>
          <w:spacing w:val="-21"/>
        </w:rPr>
        <w:t> </w:t>
      </w:r>
      <w:r>
        <w:rPr/>
        <w:t>siguiente:</w:t>
      </w:r>
    </w:p>
    <w:p>
      <w:pPr>
        <w:pStyle w:val="BodyText"/>
      </w:pPr>
    </w:p>
    <w:p>
      <w:pPr>
        <w:spacing w:line="451" w:lineRule="auto" w:before="139"/>
        <w:ind w:left="3225" w:right="955" w:hanging="2261"/>
        <w:jc w:val="left"/>
        <w:rPr>
          <w:sz w:val="20"/>
        </w:rPr>
      </w:pPr>
      <w:r>
        <w:rPr/>
        <w:pict>
          <v:group style="position:absolute;margin-left:91.625pt;margin-top:93.359886pt;width:412.35pt;height:.4pt;mso-position-horizontal-relative:page;mso-position-vertical-relative:paragraph;z-index:-347128" coordorigin="1833,1867" coordsize="8247,8">
            <v:line style="position:absolute" from="1837,1871" to="3453,1871" stroked="true" strokeweight=".40002pt" strokecolor="#000000"/>
            <v:line style="position:absolute" from="3453,1871" to="3461,1871" stroked="true" strokeweight=".40002pt" strokecolor="#000000"/>
            <v:line style="position:absolute" from="3461,1871" to="5614,1871" stroked="true" strokeweight=".40002pt" strokecolor="#000000"/>
            <v:line style="position:absolute" from="5614,1871" to="5622,1871" stroked="true" strokeweight=".40002pt" strokecolor="#000000"/>
            <v:line style="position:absolute" from="5622,1871" to="5798,1871" stroked="true" strokeweight=".40002pt" strokecolor="#000000"/>
            <v:line style="position:absolute" from="5798,1871" to="5806,1871" stroked="true" strokeweight=".40002pt" strokecolor="#000000"/>
            <v:line style="position:absolute" from="5806,1871" to="6674,1871" stroked="true" strokeweight=".40002pt" strokecolor="#000000"/>
            <v:line style="position:absolute" from="6674,1871" to="6682,1871" stroked="true" strokeweight=".40002pt" strokecolor="#000000"/>
            <v:line style="position:absolute" from="6682,1871" to="7523,1871" stroked="true" strokeweight=".40002pt" strokecolor="#000000"/>
            <v:line style="position:absolute" from="7523,1871" to="7531,1871" stroked="true" strokeweight=".40002pt" strokecolor="#000000"/>
            <v:line style="position:absolute" from="7530,1871" to="8374,1871" stroked="true" strokeweight=".40002pt" strokecolor="#000000"/>
            <v:line style="position:absolute" from="8375,1871" to="8383,1871" stroked="true" strokeweight=".40002pt" strokecolor="#000000"/>
            <v:line style="position:absolute" from="8383,1871" to="9227,1871" stroked="true" strokeweight=".40002pt" strokecolor="#000000"/>
            <v:line style="position:absolute" from="9227,1871" to="9235,1871" stroked="true" strokeweight=".40002pt" strokecolor="#000000"/>
            <v:line style="position:absolute" from="9235,1871" to="10075,1871" stroked="true" strokeweight=".40002pt" strokecolor="#000000"/>
            <w10:wrap type="none"/>
          </v:group>
        </w:pict>
      </w:r>
      <w:bookmarkStart w:name="_bookmark97" w:id="129"/>
      <w:bookmarkEnd w:id="129"/>
      <w:r>
        <w:rPr/>
      </w:r>
      <w:r>
        <w:rPr>
          <w:sz w:val="20"/>
        </w:rPr>
        <w:t>Cuadro 4. 14. Índice de confianza en las instituciones de México, 2008-2012 (Calificaciones promedio)</w:t>
      </w:r>
    </w:p>
    <w:p>
      <w:pPr>
        <w:pStyle w:val="BodyText"/>
        <w:rPr>
          <w:sz w:val="20"/>
        </w:rPr>
      </w:pPr>
    </w:p>
    <w:p>
      <w:pPr>
        <w:pStyle w:val="BodyText"/>
        <w:spacing w:before="11"/>
      </w:pPr>
    </w:p>
    <w:tbl>
      <w:tblPr>
        <w:tblW w:w="0" w:type="auto"/>
        <w:jc w:val="left"/>
        <w:tblInd w:w="23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623"/>
        <w:gridCol w:w="2390"/>
        <w:gridCol w:w="913"/>
        <w:gridCol w:w="852"/>
        <w:gridCol w:w="850"/>
        <w:gridCol w:w="853"/>
        <w:gridCol w:w="763"/>
      </w:tblGrid>
      <w:tr>
        <w:trPr>
          <w:trHeight w:val="432" w:hRule="exact"/>
        </w:trPr>
        <w:tc>
          <w:tcPr>
            <w:tcW w:w="1623" w:type="dxa"/>
            <w:tcBorders>
              <w:left w:val="nil"/>
              <w:right w:val="nil"/>
            </w:tcBorders>
          </w:tcPr>
          <w:p>
            <w:pPr>
              <w:pStyle w:val="TableParagraph"/>
              <w:spacing w:before="74"/>
              <w:ind w:left="73"/>
              <w:rPr>
                <w:sz w:val="16"/>
              </w:rPr>
            </w:pPr>
            <w:r>
              <w:rPr>
                <w:sz w:val="16"/>
              </w:rPr>
              <w:t>Niveles de confianza</w:t>
            </w:r>
          </w:p>
        </w:tc>
        <w:tc>
          <w:tcPr>
            <w:tcW w:w="2390" w:type="dxa"/>
            <w:tcBorders>
              <w:left w:val="nil"/>
              <w:right w:val="nil"/>
            </w:tcBorders>
          </w:tcPr>
          <w:p>
            <w:pPr>
              <w:pStyle w:val="TableParagraph"/>
              <w:spacing w:before="74"/>
              <w:ind w:left="632"/>
              <w:rPr>
                <w:sz w:val="16"/>
              </w:rPr>
            </w:pPr>
            <w:r>
              <w:rPr>
                <w:sz w:val="16"/>
              </w:rPr>
              <w:t>Instituciones</w:t>
            </w:r>
          </w:p>
        </w:tc>
        <w:tc>
          <w:tcPr>
            <w:tcW w:w="913" w:type="dxa"/>
            <w:tcBorders>
              <w:left w:val="nil"/>
              <w:right w:val="nil"/>
            </w:tcBorders>
          </w:tcPr>
          <w:p>
            <w:pPr>
              <w:pStyle w:val="TableParagraph"/>
              <w:spacing w:before="74"/>
              <w:ind w:left="210"/>
              <w:rPr>
                <w:sz w:val="16"/>
              </w:rPr>
            </w:pPr>
            <w:r>
              <w:rPr>
                <w:sz w:val="16"/>
              </w:rPr>
              <w:t>2008</w:t>
            </w:r>
          </w:p>
        </w:tc>
        <w:tc>
          <w:tcPr>
            <w:tcW w:w="852" w:type="dxa"/>
            <w:tcBorders>
              <w:left w:val="nil"/>
              <w:right w:val="nil"/>
            </w:tcBorders>
          </w:tcPr>
          <w:p>
            <w:pPr>
              <w:pStyle w:val="TableParagraph"/>
              <w:spacing w:before="74"/>
              <w:ind w:left="161"/>
              <w:rPr>
                <w:sz w:val="16"/>
              </w:rPr>
            </w:pPr>
            <w:r>
              <w:rPr>
                <w:sz w:val="16"/>
              </w:rPr>
              <w:t>2009</w:t>
            </w:r>
          </w:p>
        </w:tc>
        <w:tc>
          <w:tcPr>
            <w:tcW w:w="850" w:type="dxa"/>
            <w:tcBorders>
              <w:left w:val="nil"/>
              <w:right w:val="nil"/>
            </w:tcBorders>
          </w:tcPr>
          <w:p>
            <w:pPr>
              <w:pStyle w:val="TableParagraph"/>
              <w:spacing w:before="74"/>
              <w:ind w:left="157"/>
              <w:rPr>
                <w:sz w:val="16"/>
              </w:rPr>
            </w:pPr>
            <w:r>
              <w:rPr>
                <w:sz w:val="16"/>
              </w:rPr>
              <w:t>2010</w:t>
            </w:r>
          </w:p>
        </w:tc>
        <w:tc>
          <w:tcPr>
            <w:tcW w:w="853" w:type="dxa"/>
            <w:tcBorders>
              <w:left w:val="nil"/>
              <w:right w:val="nil"/>
            </w:tcBorders>
          </w:tcPr>
          <w:p>
            <w:pPr>
              <w:pStyle w:val="TableParagraph"/>
              <w:spacing w:before="74"/>
              <w:ind w:left="159"/>
              <w:rPr>
                <w:sz w:val="16"/>
              </w:rPr>
            </w:pPr>
            <w:r>
              <w:rPr>
                <w:sz w:val="16"/>
              </w:rPr>
              <w:t>2011</w:t>
            </w:r>
          </w:p>
        </w:tc>
        <w:tc>
          <w:tcPr>
            <w:tcW w:w="763" w:type="dxa"/>
            <w:tcBorders>
              <w:left w:val="nil"/>
              <w:right w:val="nil"/>
            </w:tcBorders>
          </w:tcPr>
          <w:p>
            <w:pPr>
              <w:pStyle w:val="TableParagraph"/>
              <w:spacing w:before="74"/>
              <w:ind w:left="159"/>
              <w:rPr>
                <w:sz w:val="16"/>
              </w:rPr>
            </w:pPr>
            <w:r>
              <w:rPr>
                <w:sz w:val="16"/>
              </w:rPr>
              <w:t>2012</w:t>
            </w:r>
          </w:p>
        </w:tc>
      </w:tr>
      <w:tr>
        <w:trPr>
          <w:trHeight w:val="198" w:hRule="exact"/>
        </w:trPr>
        <w:tc>
          <w:tcPr>
            <w:tcW w:w="1623" w:type="dxa"/>
            <w:vMerge w:val="restart"/>
            <w:tcBorders>
              <w:left w:val="nil"/>
            </w:tcBorders>
            <w:shd w:val="clear" w:color="auto" w:fill="92D050"/>
          </w:tcPr>
          <w:p>
            <w:pPr>
              <w:pStyle w:val="TableParagraph"/>
              <w:rPr>
                <w:sz w:val="16"/>
              </w:rPr>
            </w:pPr>
          </w:p>
          <w:p>
            <w:pPr>
              <w:pStyle w:val="TableParagraph"/>
              <w:spacing w:before="6"/>
              <w:rPr>
                <w:sz w:val="17"/>
              </w:rPr>
            </w:pPr>
          </w:p>
          <w:p>
            <w:pPr>
              <w:pStyle w:val="TableParagraph"/>
              <w:ind w:left="555" w:right="565"/>
              <w:jc w:val="center"/>
              <w:rPr>
                <w:b/>
                <w:sz w:val="16"/>
              </w:rPr>
            </w:pPr>
            <w:r>
              <w:rPr>
                <w:b/>
                <w:sz w:val="16"/>
              </w:rPr>
              <w:t>Alta</w:t>
            </w:r>
          </w:p>
        </w:tc>
        <w:tc>
          <w:tcPr>
            <w:tcW w:w="2390" w:type="dxa"/>
            <w:tcBorders>
              <w:bottom w:val="nil"/>
              <w:right w:val="nil"/>
            </w:tcBorders>
            <w:shd w:val="clear" w:color="auto" w:fill="92D050"/>
          </w:tcPr>
          <w:p>
            <w:pPr>
              <w:pStyle w:val="TableParagraph"/>
              <w:spacing w:line="182" w:lineRule="exact"/>
              <w:ind w:left="63"/>
              <w:rPr>
                <w:b/>
                <w:sz w:val="16"/>
              </w:rPr>
            </w:pPr>
            <w:r>
              <w:rPr>
                <w:b/>
                <w:sz w:val="16"/>
              </w:rPr>
              <w:t>Universidades</w:t>
            </w:r>
          </w:p>
        </w:tc>
        <w:tc>
          <w:tcPr>
            <w:tcW w:w="913" w:type="dxa"/>
            <w:tcBorders>
              <w:left w:val="nil"/>
              <w:bottom w:val="nil"/>
              <w:right w:val="nil"/>
            </w:tcBorders>
            <w:shd w:val="clear" w:color="auto" w:fill="92D050"/>
          </w:tcPr>
          <w:p>
            <w:pPr>
              <w:pStyle w:val="TableParagraph"/>
              <w:spacing w:line="182" w:lineRule="exact"/>
              <w:ind w:right="159"/>
              <w:jc w:val="right"/>
              <w:rPr>
                <w:b/>
                <w:sz w:val="16"/>
              </w:rPr>
            </w:pPr>
            <w:r>
              <w:rPr>
                <w:b/>
                <w:sz w:val="16"/>
              </w:rPr>
              <w:t>7.9</w:t>
            </w:r>
          </w:p>
        </w:tc>
        <w:tc>
          <w:tcPr>
            <w:tcW w:w="852" w:type="dxa"/>
            <w:tcBorders>
              <w:left w:val="nil"/>
              <w:bottom w:val="nil"/>
              <w:right w:val="nil"/>
            </w:tcBorders>
            <w:shd w:val="clear" w:color="auto" w:fill="92D050"/>
          </w:tcPr>
          <w:p>
            <w:pPr>
              <w:pStyle w:val="TableParagraph"/>
              <w:spacing w:line="182" w:lineRule="exact"/>
              <w:ind w:right="155"/>
              <w:jc w:val="right"/>
              <w:rPr>
                <w:b/>
                <w:sz w:val="16"/>
              </w:rPr>
            </w:pPr>
            <w:r>
              <w:rPr>
                <w:b/>
                <w:sz w:val="16"/>
              </w:rPr>
              <w:t>7.8</w:t>
            </w:r>
          </w:p>
        </w:tc>
        <w:tc>
          <w:tcPr>
            <w:tcW w:w="850" w:type="dxa"/>
            <w:tcBorders>
              <w:left w:val="nil"/>
              <w:bottom w:val="nil"/>
              <w:right w:val="nil"/>
            </w:tcBorders>
            <w:shd w:val="clear" w:color="auto" w:fill="92D050"/>
          </w:tcPr>
          <w:p>
            <w:pPr>
              <w:pStyle w:val="TableParagraph"/>
              <w:spacing w:line="182" w:lineRule="exact"/>
              <w:ind w:right="157"/>
              <w:jc w:val="right"/>
              <w:rPr>
                <w:b/>
                <w:sz w:val="16"/>
              </w:rPr>
            </w:pPr>
            <w:r>
              <w:rPr>
                <w:b/>
                <w:sz w:val="16"/>
              </w:rPr>
              <w:t>7.9</w:t>
            </w:r>
          </w:p>
        </w:tc>
        <w:tc>
          <w:tcPr>
            <w:tcW w:w="853" w:type="dxa"/>
            <w:tcBorders>
              <w:left w:val="nil"/>
              <w:bottom w:val="nil"/>
              <w:right w:val="nil"/>
            </w:tcBorders>
            <w:shd w:val="clear" w:color="auto" w:fill="92D050"/>
          </w:tcPr>
          <w:p>
            <w:pPr>
              <w:pStyle w:val="TableParagraph"/>
              <w:spacing w:line="182" w:lineRule="exact"/>
              <w:ind w:right="157"/>
              <w:jc w:val="right"/>
              <w:rPr>
                <w:b/>
                <w:sz w:val="16"/>
              </w:rPr>
            </w:pPr>
            <w:r>
              <w:rPr>
                <w:b/>
                <w:sz w:val="16"/>
              </w:rPr>
              <w:t>7.8</w:t>
            </w:r>
          </w:p>
        </w:tc>
        <w:tc>
          <w:tcPr>
            <w:tcW w:w="763" w:type="dxa"/>
            <w:tcBorders>
              <w:left w:val="nil"/>
              <w:bottom w:val="nil"/>
              <w:right w:val="nil"/>
            </w:tcBorders>
            <w:shd w:val="clear" w:color="auto" w:fill="92D050"/>
          </w:tcPr>
          <w:p>
            <w:pPr>
              <w:pStyle w:val="TableParagraph"/>
              <w:spacing w:line="182" w:lineRule="exact"/>
              <w:ind w:right="68"/>
              <w:jc w:val="right"/>
              <w:rPr>
                <w:b/>
                <w:sz w:val="16"/>
              </w:rPr>
            </w:pPr>
            <w:r>
              <w:rPr>
                <w:b/>
                <w:sz w:val="16"/>
              </w:rPr>
              <w:t>7.8</w:t>
            </w:r>
          </w:p>
        </w:tc>
      </w:tr>
      <w:tr>
        <w:trPr>
          <w:trHeight w:val="194" w:hRule="exact"/>
        </w:trPr>
        <w:tc>
          <w:tcPr>
            <w:tcW w:w="1623" w:type="dxa"/>
            <w:vMerge/>
            <w:tcBorders>
              <w:left w:val="nil"/>
            </w:tcBorders>
            <w:shd w:val="clear" w:color="auto" w:fill="92D050"/>
          </w:tcPr>
          <w:p>
            <w:pPr/>
          </w:p>
        </w:tc>
        <w:tc>
          <w:tcPr>
            <w:tcW w:w="2390" w:type="dxa"/>
            <w:tcBorders>
              <w:top w:val="nil"/>
              <w:bottom w:val="nil"/>
              <w:right w:val="nil"/>
            </w:tcBorders>
            <w:shd w:val="clear" w:color="auto" w:fill="92D050"/>
          </w:tcPr>
          <w:p>
            <w:pPr>
              <w:pStyle w:val="TableParagraph"/>
              <w:spacing w:line="180" w:lineRule="exact"/>
              <w:ind w:left="63"/>
              <w:rPr>
                <w:b/>
                <w:sz w:val="16"/>
              </w:rPr>
            </w:pPr>
            <w:r>
              <w:rPr>
                <w:b/>
                <w:sz w:val="16"/>
              </w:rPr>
              <w:t>Iglesia</w:t>
            </w:r>
          </w:p>
        </w:tc>
        <w:tc>
          <w:tcPr>
            <w:tcW w:w="913" w:type="dxa"/>
            <w:tcBorders>
              <w:top w:val="nil"/>
              <w:left w:val="nil"/>
              <w:bottom w:val="nil"/>
              <w:right w:val="nil"/>
            </w:tcBorders>
            <w:shd w:val="clear" w:color="auto" w:fill="92D050"/>
          </w:tcPr>
          <w:p>
            <w:pPr>
              <w:pStyle w:val="TableParagraph"/>
              <w:spacing w:line="180" w:lineRule="exact"/>
              <w:ind w:right="159"/>
              <w:jc w:val="right"/>
              <w:rPr>
                <w:b/>
                <w:sz w:val="16"/>
              </w:rPr>
            </w:pPr>
            <w:r>
              <w:rPr>
                <w:b/>
                <w:sz w:val="16"/>
              </w:rPr>
              <w:t>8.0</w:t>
            </w:r>
          </w:p>
        </w:tc>
        <w:tc>
          <w:tcPr>
            <w:tcW w:w="852" w:type="dxa"/>
            <w:tcBorders>
              <w:top w:val="nil"/>
              <w:left w:val="nil"/>
              <w:bottom w:val="nil"/>
              <w:right w:val="nil"/>
            </w:tcBorders>
            <w:shd w:val="clear" w:color="auto" w:fill="92D050"/>
          </w:tcPr>
          <w:p>
            <w:pPr>
              <w:pStyle w:val="TableParagraph"/>
              <w:spacing w:line="180" w:lineRule="exact"/>
              <w:ind w:right="155"/>
              <w:jc w:val="right"/>
              <w:rPr>
                <w:b/>
                <w:sz w:val="16"/>
              </w:rPr>
            </w:pPr>
            <w:r>
              <w:rPr>
                <w:b/>
                <w:sz w:val="16"/>
              </w:rPr>
              <w:t>7.8</w:t>
            </w:r>
          </w:p>
        </w:tc>
        <w:tc>
          <w:tcPr>
            <w:tcW w:w="850" w:type="dxa"/>
            <w:tcBorders>
              <w:top w:val="nil"/>
              <w:left w:val="nil"/>
              <w:bottom w:val="nil"/>
              <w:right w:val="nil"/>
            </w:tcBorders>
            <w:shd w:val="clear" w:color="auto" w:fill="92D050"/>
          </w:tcPr>
          <w:p>
            <w:pPr>
              <w:pStyle w:val="TableParagraph"/>
              <w:spacing w:line="180" w:lineRule="exact"/>
              <w:ind w:right="157"/>
              <w:jc w:val="right"/>
              <w:rPr>
                <w:b/>
                <w:sz w:val="16"/>
              </w:rPr>
            </w:pPr>
            <w:r>
              <w:rPr>
                <w:b/>
                <w:sz w:val="16"/>
              </w:rPr>
              <w:t>7.7</w:t>
            </w:r>
          </w:p>
        </w:tc>
        <w:tc>
          <w:tcPr>
            <w:tcW w:w="853" w:type="dxa"/>
            <w:tcBorders>
              <w:top w:val="nil"/>
              <w:left w:val="nil"/>
              <w:bottom w:val="nil"/>
              <w:right w:val="nil"/>
            </w:tcBorders>
            <w:shd w:val="clear" w:color="auto" w:fill="92D050"/>
          </w:tcPr>
          <w:p>
            <w:pPr>
              <w:pStyle w:val="TableParagraph"/>
              <w:spacing w:line="180" w:lineRule="exact"/>
              <w:ind w:right="157"/>
              <w:jc w:val="right"/>
              <w:rPr>
                <w:b/>
                <w:sz w:val="16"/>
              </w:rPr>
            </w:pPr>
            <w:r>
              <w:rPr>
                <w:b/>
                <w:sz w:val="16"/>
              </w:rPr>
              <w:t>7.6</w:t>
            </w:r>
          </w:p>
        </w:tc>
        <w:tc>
          <w:tcPr>
            <w:tcW w:w="763" w:type="dxa"/>
            <w:tcBorders>
              <w:top w:val="nil"/>
              <w:left w:val="nil"/>
              <w:bottom w:val="nil"/>
              <w:right w:val="nil"/>
            </w:tcBorders>
            <w:shd w:val="clear" w:color="auto" w:fill="92D050"/>
          </w:tcPr>
          <w:p>
            <w:pPr>
              <w:pStyle w:val="TableParagraph"/>
              <w:spacing w:line="180" w:lineRule="exact"/>
              <w:ind w:right="68"/>
              <w:jc w:val="right"/>
              <w:rPr>
                <w:b/>
                <w:sz w:val="16"/>
              </w:rPr>
            </w:pPr>
            <w:r>
              <w:rPr>
                <w:b/>
                <w:sz w:val="16"/>
              </w:rPr>
              <w:t>7.6</w:t>
            </w:r>
          </w:p>
        </w:tc>
      </w:tr>
      <w:tr>
        <w:trPr>
          <w:trHeight w:val="194" w:hRule="exact"/>
        </w:trPr>
        <w:tc>
          <w:tcPr>
            <w:tcW w:w="1623" w:type="dxa"/>
            <w:vMerge/>
            <w:tcBorders>
              <w:left w:val="nil"/>
            </w:tcBorders>
            <w:shd w:val="clear" w:color="auto" w:fill="92D050"/>
          </w:tcPr>
          <w:p>
            <w:pPr/>
          </w:p>
        </w:tc>
        <w:tc>
          <w:tcPr>
            <w:tcW w:w="2390" w:type="dxa"/>
            <w:tcBorders>
              <w:top w:val="nil"/>
              <w:bottom w:val="nil"/>
              <w:right w:val="nil"/>
            </w:tcBorders>
            <w:shd w:val="clear" w:color="auto" w:fill="92D050"/>
          </w:tcPr>
          <w:p>
            <w:pPr>
              <w:pStyle w:val="TableParagraph"/>
              <w:spacing w:line="182" w:lineRule="exact"/>
              <w:ind w:left="63"/>
              <w:rPr>
                <w:b/>
                <w:sz w:val="16"/>
              </w:rPr>
            </w:pPr>
            <w:r>
              <w:rPr>
                <w:b/>
                <w:sz w:val="16"/>
              </w:rPr>
              <w:t>Ejército</w:t>
            </w:r>
          </w:p>
        </w:tc>
        <w:tc>
          <w:tcPr>
            <w:tcW w:w="913" w:type="dxa"/>
            <w:tcBorders>
              <w:top w:val="nil"/>
              <w:left w:val="nil"/>
              <w:bottom w:val="nil"/>
              <w:right w:val="nil"/>
            </w:tcBorders>
            <w:shd w:val="clear" w:color="auto" w:fill="92D050"/>
          </w:tcPr>
          <w:p>
            <w:pPr>
              <w:pStyle w:val="TableParagraph"/>
              <w:spacing w:line="182" w:lineRule="exact"/>
              <w:ind w:right="159"/>
              <w:jc w:val="right"/>
              <w:rPr>
                <w:b/>
                <w:sz w:val="16"/>
              </w:rPr>
            </w:pPr>
            <w:r>
              <w:rPr>
                <w:b/>
                <w:sz w:val="16"/>
              </w:rPr>
              <w:t>7.8</w:t>
            </w:r>
          </w:p>
        </w:tc>
        <w:tc>
          <w:tcPr>
            <w:tcW w:w="852" w:type="dxa"/>
            <w:tcBorders>
              <w:top w:val="nil"/>
              <w:left w:val="nil"/>
              <w:bottom w:val="nil"/>
              <w:right w:val="nil"/>
            </w:tcBorders>
            <w:shd w:val="clear" w:color="auto" w:fill="92D050"/>
          </w:tcPr>
          <w:p>
            <w:pPr>
              <w:pStyle w:val="TableParagraph"/>
              <w:spacing w:line="182" w:lineRule="exact"/>
              <w:ind w:right="155"/>
              <w:jc w:val="right"/>
              <w:rPr>
                <w:b/>
                <w:sz w:val="16"/>
              </w:rPr>
            </w:pPr>
            <w:r>
              <w:rPr>
                <w:b/>
                <w:sz w:val="16"/>
              </w:rPr>
              <w:t>7.7</w:t>
            </w:r>
          </w:p>
        </w:tc>
        <w:tc>
          <w:tcPr>
            <w:tcW w:w="850" w:type="dxa"/>
            <w:tcBorders>
              <w:top w:val="nil"/>
              <w:left w:val="nil"/>
              <w:bottom w:val="nil"/>
              <w:right w:val="nil"/>
            </w:tcBorders>
            <w:shd w:val="clear" w:color="auto" w:fill="92D050"/>
          </w:tcPr>
          <w:p>
            <w:pPr>
              <w:pStyle w:val="TableParagraph"/>
              <w:spacing w:line="182" w:lineRule="exact"/>
              <w:ind w:right="157"/>
              <w:jc w:val="right"/>
              <w:rPr>
                <w:b/>
                <w:sz w:val="16"/>
              </w:rPr>
            </w:pPr>
            <w:r>
              <w:rPr>
                <w:b/>
                <w:sz w:val="16"/>
              </w:rPr>
              <w:t>7.6</w:t>
            </w:r>
          </w:p>
        </w:tc>
        <w:tc>
          <w:tcPr>
            <w:tcW w:w="853" w:type="dxa"/>
            <w:tcBorders>
              <w:top w:val="nil"/>
              <w:left w:val="nil"/>
              <w:bottom w:val="nil"/>
              <w:right w:val="nil"/>
            </w:tcBorders>
            <w:shd w:val="clear" w:color="auto" w:fill="92D050"/>
          </w:tcPr>
          <w:p>
            <w:pPr>
              <w:pStyle w:val="TableParagraph"/>
              <w:spacing w:line="182" w:lineRule="exact"/>
              <w:ind w:right="157"/>
              <w:jc w:val="right"/>
              <w:rPr>
                <w:b/>
                <w:sz w:val="16"/>
              </w:rPr>
            </w:pPr>
            <w:r>
              <w:rPr>
                <w:b/>
                <w:sz w:val="16"/>
              </w:rPr>
              <w:t>7.5</w:t>
            </w:r>
          </w:p>
        </w:tc>
        <w:tc>
          <w:tcPr>
            <w:tcW w:w="763" w:type="dxa"/>
            <w:tcBorders>
              <w:top w:val="nil"/>
              <w:left w:val="nil"/>
              <w:bottom w:val="nil"/>
              <w:right w:val="nil"/>
            </w:tcBorders>
            <w:shd w:val="clear" w:color="auto" w:fill="92D050"/>
          </w:tcPr>
          <w:p>
            <w:pPr>
              <w:pStyle w:val="TableParagraph"/>
              <w:spacing w:line="182" w:lineRule="exact"/>
              <w:ind w:right="68"/>
              <w:jc w:val="right"/>
              <w:rPr>
                <w:b/>
                <w:sz w:val="16"/>
              </w:rPr>
            </w:pPr>
            <w:r>
              <w:rPr>
                <w:b/>
                <w:sz w:val="16"/>
              </w:rPr>
              <w:t>7.5</w:t>
            </w:r>
          </w:p>
        </w:tc>
      </w:tr>
      <w:tr>
        <w:trPr>
          <w:trHeight w:val="194" w:hRule="exact"/>
        </w:trPr>
        <w:tc>
          <w:tcPr>
            <w:tcW w:w="1623" w:type="dxa"/>
            <w:vMerge/>
            <w:tcBorders>
              <w:left w:val="nil"/>
            </w:tcBorders>
            <w:shd w:val="clear" w:color="auto" w:fill="92D050"/>
          </w:tcPr>
          <w:p>
            <w:pPr/>
          </w:p>
        </w:tc>
        <w:tc>
          <w:tcPr>
            <w:tcW w:w="2390" w:type="dxa"/>
            <w:tcBorders>
              <w:top w:val="nil"/>
              <w:bottom w:val="nil"/>
              <w:right w:val="nil"/>
            </w:tcBorders>
            <w:shd w:val="clear" w:color="auto" w:fill="92D050"/>
          </w:tcPr>
          <w:p>
            <w:pPr>
              <w:pStyle w:val="TableParagraph"/>
              <w:spacing w:line="179" w:lineRule="exact"/>
              <w:ind w:left="63"/>
              <w:rPr>
                <w:b/>
                <w:sz w:val="16"/>
              </w:rPr>
            </w:pPr>
            <w:r>
              <w:rPr>
                <w:b/>
                <w:sz w:val="16"/>
              </w:rPr>
              <w:t>CNDH</w:t>
            </w:r>
          </w:p>
        </w:tc>
        <w:tc>
          <w:tcPr>
            <w:tcW w:w="913" w:type="dxa"/>
            <w:tcBorders>
              <w:top w:val="nil"/>
              <w:left w:val="nil"/>
              <w:bottom w:val="nil"/>
              <w:right w:val="nil"/>
            </w:tcBorders>
            <w:shd w:val="clear" w:color="auto" w:fill="92D050"/>
          </w:tcPr>
          <w:p>
            <w:pPr>
              <w:pStyle w:val="TableParagraph"/>
              <w:spacing w:line="179" w:lineRule="exact"/>
              <w:ind w:right="159"/>
              <w:jc w:val="right"/>
              <w:rPr>
                <w:b/>
                <w:sz w:val="16"/>
              </w:rPr>
            </w:pPr>
            <w:r>
              <w:rPr>
                <w:b/>
                <w:sz w:val="16"/>
              </w:rPr>
              <w:t>7.5</w:t>
            </w:r>
          </w:p>
        </w:tc>
        <w:tc>
          <w:tcPr>
            <w:tcW w:w="852" w:type="dxa"/>
            <w:tcBorders>
              <w:top w:val="nil"/>
              <w:left w:val="nil"/>
              <w:bottom w:val="nil"/>
              <w:right w:val="nil"/>
            </w:tcBorders>
            <w:shd w:val="clear" w:color="auto" w:fill="92D050"/>
          </w:tcPr>
          <w:p>
            <w:pPr>
              <w:pStyle w:val="TableParagraph"/>
              <w:spacing w:line="179" w:lineRule="exact"/>
              <w:ind w:right="155"/>
              <w:jc w:val="right"/>
              <w:rPr>
                <w:b/>
                <w:sz w:val="16"/>
              </w:rPr>
            </w:pPr>
            <w:r>
              <w:rPr>
                <w:b/>
                <w:sz w:val="16"/>
              </w:rPr>
              <w:t>7.4</w:t>
            </w:r>
          </w:p>
        </w:tc>
        <w:tc>
          <w:tcPr>
            <w:tcW w:w="850" w:type="dxa"/>
            <w:tcBorders>
              <w:top w:val="nil"/>
              <w:left w:val="nil"/>
              <w:bottom w:val="nil"/>
              <w:right w:val="nil"/>
            </w:tcBorders>
            <w:shd w:val="clear" w:color="auto" w:fill="92D050"/>
          </w:tcPr>
          <w:p>
            <w:pPr>
              <w:pStyle w:val="TableParagraph"/>
              <w:spacing w:line="179" w:lineRule="exact"/>
              <w:ind w:right="157"/>
              <w:jc w:val="right"/>
              <w:rPr>
                <w:b/>
                <w:sz w:val="16"/>
              </w:rPr>
            </w:pPr>
            <w:r>
              <w:rPr>
                <w:b/>
                <w:sz w:val="16"/>
              </w:rPr>
              <w:t>7.3</w:t>
            </w:r>
          </w:p>
        </w:tc>
        <w:tc>
          <w:tcPr>
            <w:tcW w:w="853" w:type="dxa"/>
            <w:tcBorders>
              <w:top w:val="nil"/>
              <w:left w:val="nil"/>
              <w:bottom w:val="nil"/>
              <w:right w:val="nil"/>
            </w:tcBorders>
            <w:shd w:val="clear" w:color="auto" w:fill="92D050"/>
          </w:tcPr>
          <w:p>
            <w:pPr>
              <w:pStyle w:val="TableParagraph"/>
              <w:spacing w:line="179" w:lineRule="exact"/>
              <w:ind w:right="157"/>
              <w:jc w:val="right"/>
              <w:rPr>
                <w:b/>
                <w:sz w:val="16"/>
              </w:rPr>
            </w:pPr>
            <w:r>
              <w:rPr>
                <w:b/>
                <w:sz w:val="16"/>
              </w:rPr>
              <w:t>7.3</w:t>
            </w:r>
          </w:p>
        </w:tc>
        <w:tc>
          <w:tcPr>
            <w:tcW w:w="763" w:type="dxa"/>
            <w:tcBorders>
              <w:top w:val="nil"/>
              <w:left w:val="nil"/>
              <w:bottom w:val="nil"/>
              <w:right w:val="nil"/>
            </w:tcBorders>
            <w:shd w:val="clear" w:color="auto" w:fill="92D050"/>
          </w:tcPr>
          <w:p>
            <w:pPr>
              <w:pStyle w:val="TableParagraph"/>
              <w:spacing w:line="179" w:lineRule="exact"/>
              <w:ind w:right="68"/>
              <w:jc w:val="right"/>
              <w:rPr>
                <w:b/>
                <w:sz w:val="16"/>
              </w:rPr>
            </w:pPr>
            <w:r>
              <w:rPr>
                <w:b/>
                <w:sz w:val="16"/>
              </w:rPr>
              <w:t>7.5</w:t>
            </w:r>
          </w:p>
        </w:tc>
      </w:tr>
      <w:tr>
        <w:trPr>
          <w:trHeight w:val="192" w:hRule="exact"/>
        </w:trPr>
        <w:tc>
          <w:tcPr>
            <w:tcW w:w="1623" w:type="dxa"/>
            <w:vMerge/>
            <w:tcBorders>
              <w:left w:val="nil"/>
            </w:tcBorders>
            <w:shd w:val="clear" w:color="auto" w:fill="92D050"/>
          </w:tcPr>
          <w:p>
            <w:pPr/>
          </w:p>
        </w:tc>
        <w:tc>
          <w:tcPr>
            <w:tcW w:w="2390" w:type="dxa"/>
            <w:tcBorders>
              <w:top w:val="nil"/>
              <w:right w:val="nil"/>
            </w:tcBorders>
            <w:shd w:val="clear" w:color="auto" w:fill="92D050"/>
          </w:tcPr>
          <w:p>
            <w:pPr>
              <w:pStyle w:val="TableParagraph"/>
              <w:spacing w:line="182" w:lineRule="exact"/>
              <w:ind w:left="63"/>
              <w:rPr>
                <w:b/>
                <w:sz w:val="16"/>
              </w:rPr>
            </w:pPr>
            <w:r>
              <w:rPr>
                <w:b/>
                <w:sz w:val="16"/>
              </w:rPr>
              <w:t>Medios de Comunicación</w:t>
            </w:r>
          </w:p>
        </w:tc>
        <w:tc>
          <w:tcPr>
            <w:tcW w:w="913" w:type="dxa"/>
            <w:tcBorders>
              <w:top w:val="nil"/>
              <w:left w:val="nil"/>
              <w:right w:val="nil"/>
            </w:tcBorders>
            <w:shd w:val="clear" w:color="auto" w:fill="92D050"/>
          </w:tcPr>
          <w:p>
            <w:pPr>
              <w:pStyle w:val="TableParagraph"/>
              <w:spacing w:line="182" w:lineRule="exact"/>
              <w:ind w:right="159"/>
              <w:jc w:val="right"/>
              <w:rPr>
                <w:b/>
                <w:sz w:val="16"/>
              </w:rPr>
            </w:pPr>
            <w:r>
              <w:rPr>
                <w:b/>
                <w:sz w:val="16"/>
              </w:rPr>
              <w:t>7.6</w:t>
            </w:r>
          </w:p>
        </w:tc>
        <w:tc>
          <w:tcPr>
            <w:tcW w:w="852" w:type="dxa"/>
            <w:tcBorders>
              <w:top w:val="nil"/>
              <w:left w:val="nil"/>
              <w:right w:val="nil"/>
            </w:tcBorders>
            <w:shd w:val="clear" w:color="auto" w:fill="92D050"/>
          </w:tcPr>
          <w:p>
            <w:pPr>
              <w:pStyle w:val="TableParagraph"/>
              <w:spacing w:line="182" w:lineRule="exact"/>
              <w:ind w:right="155"/>
              <w:jc w:val="right"/>
              <w:rPr>
                <w:b/>
                <w:sz w:val="16"/>
              </w:rPr>
            </w:pPr>
            <w:r>
              <w:rPr>
                <w:b/>
                <w:sz w:val="16"/>
              </w:rPr>
              <w:t>7.7</w:t>
            </w:r>
          </w:p>
        </w:tc>
        <w:tc>
          <w:tcPr>
            <w:tcW w:w="850" w:type="dxa"/>
            <w:tcBorders>
              <w:top w:val="nil"/>
              <w:left w:val="nil"/>
              <w:right w:val="nil"/>
            </w:tcBorders>
            <w:shd w:val="clear" w:color="auto" w:fill="92D050"/>
          </w:tcPr>
          <w:p>
            <w:pPr>
              <w:pStyle w:val="TableParagraph"/>
              <w:spacing w:line="182" w:lineRule="exact"/>
              <w:ind w:right="157"/>
              <w:jc w:val="right"/>
              <w:rPr>
                <w:b/>
                <w:sz w:val="16"/>
              </w:rPr>
            </w:pPr>
            <w:r>
              <w:rPr>
                <w:b/>
                <w:sz w:val="16"/>
              </w:rPr>
              <w:t>7.6</w:t>
            </w:r>
          </w:p>
        </w:tc>
        <w:tc>
          <w:tcPr>
            <w:tcW w:w="853" w:type="dxa"/>
            <w:tcBorders>
              <w:top w:val="nil"/>
              <w:left w:val="nil"/>
              <w:right w:val="nil"/>
            </w:tcBorders>
            <w:shd w:val="clear" w:color="auto" w:fill="92D050"/>
          </w:tcPr>
          <w:p>
            <w:pPr>
              <w:pStyle w:val="TableParagraph"/>
              <w:spacing w:line="182" w:lineRule="exact"/>
              <w:ind w:right="157"/>
              <w:jc w:val="right"/>
              <w:rPr>
                <w:b/>
                <w:sz w:val="16"/>
              </w:rPr>
            </w:pPr>
            <w:r>
              <w:rPr>
                <w:b/>
                <w:sz w:val="16"/>
              </w:rPr>
              <w:t>7.4</w:t>
            </w:r>
          </w:p>
        </w:tc>
        <w:tc>
          <w:tcPr>
            <w:tcW w:w="763" w:type="dxa"/>
            <w:tcBorders>
              <w:top w:val="nil"/>
              <w:left w:val="nil"/>
              <w:right w:val="nil"/>
            </w:tcBorders>
            <w:shd w:val="clear" w:color="auto" w:fill="92D050"/>
          </w:tcPr>
          <w:p>
            <w:pPr>
              <w:pStyle w:val="TableParagraph"/>
              <w:spacing w:line="182" w:lineRule="exact"/>
              <w:ind w:right="68"/>
              <w:jc w:val="right"/>
              <w:rPr>
                <w:b/>
                <w:sz w:val="16"/>
              </w:rPr>
            </w:pPr>
            <w:r>
              <w:rPr>
                <w:b/>
                <w:sz w:val="16"/>
              </w:rPr>
              <w:t>7.2</w:t>
            </w:r>
          </w:p>
        </w:tc>
      </w:tr>
      <w:tr>
        <w:trPr>
          <w:trHeight w:val="196" w:hRule="exact"/>
        </w:trPr>
        <w:tc>
          <w:tcPr>
            <w:tcW w:w="1623" w:type="dxa"/>
            <w:vMerge w:val="restart"/>
            <w:tcBorders>
              <w:left w:val="nil"/>
            </w:tcBorders>
            <w:shd w:val="clear" w:color="auto" w:fill="FFFF00"/>
          </w:tcPr>
          <w:p>
            <w:pPr>
              <w:pStyle w:val="TableParagraph"/>
              <w:rPr>
                <w:sz w:val="16"/>
              </w:rPr>
            </w:pPr>
          </w:p>
          <w:p>
            <w:pPr>
              <w:pStyle w:val="TableParagraph"/>
              <w:spacing w:before="2"/>
              <w:rPr>
                <w:sz w:val="17"/>
              </w:rPr>
            </w:pPr>
          </w:p>
          <w:p>
            <w:pPr>
              <w:pStyle w:val="TableParagraph"/>
              <w:ind w:left="559" w:right="565"/>
              <w:jc w:val="center"/>
              <w:rPr>
                <w:b/>
                <w:sz w:val="16"/>
              </w:rPr>
            </w:pPr>
            <w:r>
              <w:rPr>
                <w:b/>
                <w:sz w:val="16"/>
              </w:rPr>
              <w:t>Media</w:t>
            </w:r>
          </w:p>
        </w:tc>
        <w:tc>
          <w:tcPr>
            <w:tcW w:w="2390" w:type="dxa"/>
            <w:tcBorders>
              <w:bottom w:val="nil"/>
              <w:right w:val="nil"/>
            </w:tcBorders>
            <w:shd w:val="clear" w:color="auto" w:fill="FFFF00"/>
          </w:tcPr>
          <w:p>
            <w:pPr>
              <w:pStyle w:val="TableParagraph"/>
              <w:spacing w:line="178" w:lineRule="exact"/>
              <w:ind w:left="63"/>
              <w:rPr>
                <w:b/>
                <w:sz w:val="16"/>
              </w:rPr>
            </w:pPr>
            <w:r>
              <w:rPr>
                <w:b/>
                <w:sz w:val="16"/>
              </w:rPr>
              <w:t>Suprema Corte de Justicia</w:t>
            </w:r>
          </w:p>
        </w:tc>
        <w:tc>
          <w:tcPr>
            <w:tcW w:w="913" w:type="dxa"/>
            <w:tcBorders>
              <w:left w:val="nil"/>
              <w:bottom w:val="nil"/>
              <w:right w:val="nil"/>
            </w:tcBorders>
            <w:shd w:val="clear" w:color="auto" w:fill="FFFF00"/>
          </w:tcPr>
          <w:p>
            <w:pPr>
              <w:pStyle w:val="TableParagraph"/>
              <w:spacing w:line="178" w:lineRule="exact"/>
              <w:ind w:right="159"/>
              <w:jc w:val="right"/>
              <w:rPr>
                <w:b/>
                <w:sz w:val="16"/>
              </w:rPr>
            </w:pPr>
            <w:r>
              <w:rPr>
                <w:b/>
                <w:sz w:val="16"/>
              </w:rPr>
              <w:t>7.0</w:t>
            </w:r>
          </w:p>
        </w:tc>
        <w:tc>
          <w:tcPr>
            <w:tcW w:w="852" w:type="dxa"/>
            <w:tcBorders>
              <w:left w:val="nil"/>
              <w:bottom w:val="nil"/>
              <w:right w:val="nil"/>
            </w:tcBorders>
            <w:shd w:val="clear" w:color="auto" w:fill="FFFF00"/>
          </w:tcPr>
          <w:p>
            <w:pPr>
              <w:pStyle w:val="TableParagraph"/>
              <w:spacing w:line="178" w:lineRule="exact"/>
              <w:ind w:right="155"/>
              <w:jc w:val="right"/>
              <w:rPr>
                <w:b/>
                <w:sz w:val="16"/>
              </w:rPr>
            </w:pPr>
            <w:r>
              <w:rPr>
                <w:b/>
                <w:sz w:val="16"/>
              </w:rPr>
              <w:t>7.2</w:t>
            </w:r>
          </w:p>
        </w:tc>
        <w:tc>
          <w:tcPr>
            <w:tcW w:w="850" w:type="dxa"/>
            <w:tcBorders>
              <w:left w:val="nil"/>
              <w:bottom w:val="nil"/>
              <w:right w:val="nil"/>
            </w:tcBorders>
            <w:shd w:val="clear" w:color="auto" w:fill="FFFF00"/>
          </w:tcPr>
          <w:p>
            <w:pPr>
              <w:pStyle w:val="TableParagraph"/>
              <w:spacing w:line="178" w:lineRule="exact"/>
              <w:ind w:right="157"/>
              <w:jc w:val="right"/>
              <w:rPr>
                <w:b/>
                <w:sz w:val="16"/>
              </w:rPr>
            </w:pPr>
            <w:r>
              <w:rPr>
                <w:b/>
                <w:sz w:val="16"/>
              </w:rPr>
              <w:t>7.0</w:t>
            </w:r>
          </w:p>
        </w:tc>
        <w:tc>
          <w:tcPr>
            <w:tcW w:w="853" w:type="dxa"/>
            <w:tcBorders>
              <w:left w:val="nil"/>
              <w:bottom w:val="nil"/>
              <w:right w:val="nil"/>
            </w:tcBorders>
            <w:shd w:val="clear" w:color="auto" w:fill="FFFF00"/>
          </w:tcPr>
          <w:p>
            <w:pPr>
              <w:pStyle w:val="TableParagraph"/>
              <w:spacing w:line="178" w:lineRule="exact"/>
              <w:ind w:right="157"/>
              <w:jc w:val="right"/>
              <w:rPr>
                <w:b/>
                <w:sz w:val="16"/>
              </w:rPr>
            </w:pPr>
            <w:r>
              <w:rPr>
                <w:b/>
                <w:sz w:val="16"/>
              </w:rPr>
              <w:t>6.6</w:t>
            </w:r>
          </w:p>
        </w:tc>
        <w:tc>
          <w:tcPr>
            <w:tcW w:w="763" w:type="dxa"/>
            <w:tcBorders>
              <w:left w:val="nil"/>
              <w:bottom w:val="nil"/>
              <w:right w:val="nil"/>
            </w:tcBorders>
            <w:shd w:val="clear" w:color="auto" w:fill="FFFF00"/>
          </w:tcPr>
          <w:p>
            <w:pPr>
              <w:pStyle w:val="TableParagraph"/>
              <w:spacing w:line="178" w:lineRule="exact"/>
              <w:ind w:right="68"/>
              <w:jc w:val="right"/>
              <w:rPr>
                <w:b/>
                <w:sz w:val="16"/>
              </w:rPr>
            </w:pPr>
            <w:r>
              <w:rPr>
                <w:b/>
                <w:sz w:val="16"/>
              </w:rPr>
              <w:t>6.9</w:t>
            </w:r>
          </w:p>
        </w:tc>
      </w:tr>
      <w:tr>
        <w:trPr>
          <w:trHeight w:val="194" w:hRule="exact"/>
        </w:trPr>
        <w:tc>
          <w:tcPr>
            <w:tcW w:w="1623" w:type="dxa"/>
            <w:vMerge/>
            <w:tcBorders>
              <w:left w:val="nil"/>
            </w:tcBorders>
            <w:shd w:val="clear" w:color="auto" w:fill="FFFF00"/>
          </w:tcPr>
          <w:p>
            <w:pPr/>
          </w:p>
        </w:tc>
        <w:tc>
          <w:tcPr>
            <w:tcW w:w="2390" w:type="dxa"/>
            <w:tcBorders>
              <w:top w:val="nil"/>
              <w:bottom w:val="nil"/>
              <w:right w:val="nil"/>
            </w:tcBorders>
            <w:shd w:val="clear" w:color="auto" w:fill="FFFF00"/>
          </w:tcPr>
          <w:p>
            <w:pPr>
              <w:pStyle w:val="TableParagraph"/>
              <w:spacing w:line="182" w:lineRule="exact"/>
              <w:ind w:left="63"/>
              <w:rPr>
                <w:b/>
                <w:sz w:val="16"/>
              </w:rPr>
            </w:pPr>
            <w:r>
              <w:rPr>
                <w:b/>
                <w:sz w:val="16"/>
              </w:rPr>
              <w:t>Empresarios</w:t>
            </w:r>
          </w:p>
        </w:tc>
        <w:tc>
          <w:tcPr>
            <w:tcW w:w="913" w:type="dxa"/>
            <w:tcBorders>
              <w:top w:val="nil"/>
              <w:left w:val="nil"/>
              <w:bottom w:val="nil"/>
              <w:right w:val="nil"/>
            </w:tcBorders>
            <w:shd w:val="clear" w:color="auto" w:fill="FFFF00"/>
          </w:tcPr>
          <w:p>
            <w:pPr>
              <w:pStyle w:val="TableParagraph"/>
              <w:spacing w:line="182" w:lineRule="exact"/>
              <w:ind w:right="159"/>
              <w:jc w:val="right"/>
              <w:rPr>
                <w:b/>
                <w:sz w:val="16"/>
              </w:rPr>
            </w:pPr>
            <w:r>
              <w:rPr>
                <w:b/>
                <w:sz w:val="16"/>
              </w:rPr>
              <w:t>6.8</w:t>
            </w:r>
          </w:p>
        </w:tc>
        <w:tc>
          <w:tcPr>
            <w:tcW w:w="852" w:type="dxa"/>
            <w:tcBorders>
              <w:top w:val="nil"/>
              <w:left w:val="nil"/>
              <w:bottom w:val="nil"/>
              <w:right w:val="nil"/>
            </w:tcBorders>
            <w:shd w:val="clear" w:color="auto" w:fill="FFFF00"/>
          </w:tcPr>
          <w:p>
            <w:pPr>
              <w:pStyle w:val="TableParagraph"/>
              <w:spacing w:line="182" w:lineRule="exact"/>
              <w:ind w:right="155"/>
              <w:jc w:val="right"/>
              <w:rPr>
                <w:b/>
                <w:sz w:val="16"/>
              </w:rPr>
            </w:pPr>
            <w:r>
              <w:rPr>
                <w:b/>
                <w:sz w:val="16"/>
              </w:rPr>
              <w:t>7.0</w:t>
            </w:r>
          </w:p>
        </w:tc>
        <w:tc>
          <w:tcPr>
            <w:tcW w:w="850" w:type="dxa"/>
            <w:tcBorders>
              <w:top w:val="nil"/>
              <w:left w:val="nil"/>
              <w:bottom w:val="nil"/>
              <w:right w:val="nil"/>
            </w:tcBorders>
            <w:shd w:val="clear" w:color="auto" w:fill="FFFF00"/>
          </w:tcPr>
          <w:p>
            <w:pPr>
              <w:pStyle w:val="TableParagraph"/>
              <w:spacing w:line="182" w:lineRule="exact"/>
              <w:ind w:right="157"/>
              <w:jc w:val="right"/>
              <w:rPr>
                <w:b/>
                <w:sz w:val="16"/>
              </w:rPr>
            </w:pPr>
            <w:r>
              <w:rPr>
                <w:b/>
                <w:sz w:val="16"/>
              </w:rPr>
              <w:t>7.0</w:t>
            </w:r>
          </w:p>
        </w:tc>
        <w:tc>
          <w:tcPr>
            <w:tcW w:w="853" w:type="dxa"/>
            <w:tcBorders>
              <w:top w:val="nil"/>
              <w:left w:val="nil"/>
              <w:bottom w:val="nil"/>
              <w:right w:val="nil"/>
            </w:tcBorders>
            <w:shd w:val="clear" w:color="auto" w:fill="FFFF00"/>
          </w:tcPr>
          <w:p>
            <w:pPr>
              <w:pStyle w:val="TableParagraph"/>
              <w:spacing w:line="182" w:lineRule="exact"/>
              <w:ind w:right="157"/>
              <w:jc w:val="right"/>
              <w:rPr>
                <w:b/>
                <w:sz w:val="16"/>
              </w:rPr>
            </w:pPr>
            <w:r>
              <w:rPr>
                <w:b/>
                <w:sz w:val="16"/>
              </w:rPr>
              <w:t>6.9</w:t>
            </w:r>
          </w:p>
        </w:tc>
        <w:tc>
          <w:tcPr>
            <w:tcW w:w="763" w:type="dxa"/>
            <w:tcBorders>
              <w:top w:val="nil"/>
              <w:left w:val="nil"/>
              <w:bottom w:val="nil"/>
              <w:right w:val="nil"/>
            </w:tcBorders>
            <w:shd w:val="clear" w:color="auto" w:fill="FFFF00"/>
          </w:tcPr>
          <w:p>
            <w:pPr>
              <w:pStyle w:val="TableParagraph"/>
              <w:spacing w:line="182" w:lineRule="exact"/>
              <w:ind w:right="68"/>
              <w:jc w:val="right"/>
              <w:rPr>
                <w:b/>
                <w:sz w:val="16"/>
              </w:rPr>
            </w:pPr>
            <w:r>
              <w:rPr>
                <w:b/>
                <w:sz w:val="16"/>
              </w:rPr>
              <w:t>6.8</w:t>
            </w:r>
          </w:p>
        </w:tc>
      </w:tr>
      <w:tr>
        <w:trPr>
          <w:trHeight w:val="194" w:hRule="exact"/>
        </w:trPr>
        <w:tc>
          <w:tcPr>
            <w:tcW w:w="1623" w:type="dxa"/>
            <w:vMerge/>
            <w:tcBorders>
              <w:left w:val="nil"/>
            </w:tcBorders>
            <w:shd w:val="clear" w:color="auto" w:fill="FFFF00"/>
          </w:tcPr>
          <w:p>
            <w:pPr/>
          </w:p>
        </w:tc>
        <w:tc>
          <w:tcPr>
            <w:tcW w:w="2390" w:type="dxa"/>
            <w:tcBorders>
              <w:top w:val="nil"/>
              <w:bottom w:val="nil"/>
              <w:right w:val="nil"/>
            </w:tcBorders>
            <w:shd w:val="clear" w:color="auto" w:fill="FFFF00"/>
          </w:tcPr>
          <w:p>
            <w:pPr>
              <w:pStyle w:val="TableParagraph"/>
              <w:spacing w:line="179" w:lineRule="exact"/>
              <w:ind w:left="63"/>
              <w:rPr>
                <w:b/>
                <w:sz w:val="16"/>
              </w:rPr>
            </w:pPr>
            <w:r>
              <w:rPr>
                <w:b/>
                <w:sz w:val="16"/>
              </w:rPr>
              <w:t>Instituto Federal Electoral</w:t>
            </w:r>
          </w:p>
        </w:tc>
        <w:tc>
          <w:tcPr>
            <w:tcW w:w="913" w:type="dxa"/>
            <w:tcBorders>
              <w:top w:val="nil"/>
              <w:left w:val="nil"/>
              <w:bottom w:val="nil"/>
              <w:right w:val="nil"/>
            </w:tcBorders>
            <w:shd w:val="clear" w:color="auto" w:fill="FFFF00"/>
          </w:tcPr>
          <w:p>
            <w:pPr>
              <w:pStyle w:val="TableParagraph"/>
              <w:spacing w:line="179" w:lineRule="exact"/>
              <w:ind w:right="159"/>
              <w:jc w:val="right"/>
              <w:rPr>
                <w:b/>
                <w:sz w:val="16"/>
              </w:rPr>
            </w:pPr>
            <w:r>
              <w:rPr>
                <w:b/>
                <w:sz w:val="16"/>
              </w:rPr>
              <w:t>7.0</w:t>
            </w:r>
          </w:p>
        </w:tc>
        <w:tc>
          <w:tcPr>
            <w:tcW w:w="852" w:type="dxa"/>
            <w:tcBorders>
              <w:top w:val="nil"/>
              <w:left w:val="nil"/>
              <w:bottom w:val="nil"/>
              <w:right w:val="nil"/>
            </w:tcBorders>
            <w:shd w:val="clear" w:color="auto" w:fill="FFFF00"/>
          </w:tcPr>
          <w:p>
            <w:pPr>
              <w:pStyle w:val="TableParagraph"/>
              <w:spacing w:line="179" w:lineRule="exact"/>
              <w:ind w:right="155"/>
              <w:jc w:val="right"/>
              <w:rPr>
                <w:b/>
                <w:sz w:val="16"/>
              </w:rPr>
            </w:pPr>
            <w:r>
              <w:rPr>
                <w:b/>
                <w:sz w:val="16"/>
              </w:rPr>
              <w:t>7.2</w:t>
            </w:r>
          </w:p>
        </w:tc>
        <w:tc>
          <w:tcPr>
            <w:tcW w:w="850" w:type="dxa"/>
            <w:tcBorders>
              <w:top w:val="nil"/>
              <w:left w:val="nil"/>
              <w:bottom w:val="nil"/>
              <w:right w:val="nil"/>
            </w:tcBorders>
            <w:shd w:val="clear" w:color="auto" w:fill="FFFF00"/>
          </w:tcPr>
          <w:p>
            <w:pPr>
              <w:pStyle w:val="TableParagraph"/>
              <w:spacing w:line="179" w:lineRule="exact"/>
              <w:ind w:right="157"/>
              <w:jc w:val="right"/>
              <w:rPr>
                <w:b/>
                <w:sz w:val="16"/>
              </w:rPr>
            </w:pPr>
            <w:r>
              <w:rPr>
                <w:b/>
                <w:sz w:val="16"/>
              </w:rPr>
              <w:t>7.0</w:t>
            </w:r>
          </w:p>
        </w:tc>
        <w:tc>
          <w:tcPr>
            <w:tcW w:w="853" w:type="dxa"/>
            <w:tcBorders>
              <w:top w:val="nil"/>
              <w:left w:val="nil"/>
              <w:bottom w:val="nil"/>
              <w:right w:val="nil"/>
            </w:tcBorders>
            <w:shd w:val="clear" w:color="auto" w:fill="FFFF00"/>
          </w:tcPr>
          <w:p>
            <w:pPr>
              <w:pStyle w:val="TableParagraph"/>
              <w:spacing w:line="179" w:lineRule="exact"/>
              <w:ind w:right="157"/>
              <w:jc w:val="right"/>
              <w:rPr>
                <w:b/>
                <w:sz w:val="16"/>
              </w:rPr>
            </w:pPr>
            <w:r>
              <w:rPr>
                <w:b/>
                <w:sz w:val="16"/>
              </w:rPr>
              <w:t>6.6</w:t>
            </w:r>
          </w:p>
        </w:tc>
        <w:tc>
          <w:tcPr>
            <w:tcW w:w="763" w:type="dxa"/>
            <w:tcBorders>
              <w:top w:val="nil"/>
              <w:left w:val="nil"/>
              <w:bottom w:val="nil"/>
              <w:right w:val="nil"/>
            </w:tcBorders>
            <w:shd w:val="clear" w:color="auto" w:fill="FFFF00"/>
          </w:tcPr>
          <w:p>
            <w:pPr>
              <w:pStyle w:val="TableParagraph"/>
              <w:spacing w:line="179" w:lineRule="exact"/>
              <w:ind w:right="68"/>
              <w:jc w:val="right"/>
              <w:rPr>
                <w:b/>
                <w:sz w:val="16"/>
              </w:rPr>
            </w:pPr>
            <w:r>
              <w:rPr>
                <w:b/>
                <w:sz w:val="16"/>
              </w:rPr>
              <w:t>6.7</w:t>
            </w:r>
          </w:p>
        </w:tc>
      </w:tr>
      <w:tr>
        <w:trPr>
          <w:trHeight w:val="194" w:hRule="exact"/>
        </w:trPr>
        <w:tc>
          <w:tcPr>
            <w:tcW w:w="1623" w:type="dxa"/>
            <w:vMerge/>
            <w:tcBorders>
              <w:left w:val="nil"/>
            </w:tcBorders>
            <w:shd w:val="clear" w:color="auto" w:fill="FFFF00"/>
          </w:tcPr>
          <w:p>
            <w:pPr/>
          </w:p>
        </w:tc>
        <w:tc>
          <w:tcPr>
            <w:tcW w:w="2390" w:type="dxa"/>
            <w:tcBorders>
              <w:top w:val="nil"/>
              <w:bottom w:val="nil"/>
              <w:right w:val="nil"/>
            </w:tcBorders>
            <w:shd w:val="clear" w:color="auto" w:fill="FFFF00"/>
          </w:tcPr>
          <w:p>
            <w:pPr>
              <w:pStyle w:val="TableParagraph"/>
              <w:spacing w:line="182" w:lineRule="exact"/>
              <w:ind w:left="63"/>
              <w:rPr>
                <w:b/>
                <w:sz w:val="16"/>
              </w:rPr>
            </w:pPr>
            <w:r>
              <w:rPr>
                <w:b/>
                <w:sz w:val="16"/>
              </w:rPr>
              <w:t>Bancos</w:t>
            </w:r>
          </w:p>
        </w:tc>
        <w:tc>
          <w:tcPr>
            <w:tcW w:w="913" w:type="dxa"/>
            <w:tcBorders>
              <w:top w:val="nil"/>
              <w:left w:val="nil"/>
              <w:bottom w:val="nil"/>
              <w:right w:val="nil"/>
            </w:tcBorders>
            <w:shd w:val="clear" w:color="auto" w:fill="FFFF00"/>
          </w:tcPr>
          <w:p>
            <w:pPr>
              <w:pStyle w:val="TableParagraph"/>
              <w:spacing w:line="182" w:lineRule="exact"/>
              <w:ind w:right="159"/>
              <w:jc w:val="right"/>
              <w:rPr>
                <w:b/>
                <w:sz w:val="16"/>
              </w:rPr>
            </w:pPr>
            <w:r>
              <w:rPr>
                <w:b/>
                <w:sz w:val="16"/>
              </w:rPr>
              <w:t>6.8</w:t>
            </w:r>
          </w:p>
        </w:tc>
        <w:tc>
          <w:tcPr>
            <w:tcW w:w="852" w:type="dxa"/>
            <w:tcBorders>
              <w:top w:val="nil"/>
              <w:left w:val="nil"/>
              <w:bottom w:val="nil"/>
              <w:right w:val="nil"/>
            </w:tcBorders>
            <w:shd w:val="clear" w:color="auto" w:fill="FFFF00"/>
          </w:tcPr>
          <w:p>
            <w:pPr>
              <w:pStyle w:val="TableParagraph"/>
              <w:spacing w:line="182" w:lineRule="exact"/>
              <w:ind w:right="155"/>
              <w:jc w:val="right"/>
              <w:rPr>
                <w:b/>
                <w:sz w:val="16"/>
              </w:rPr>
            </w:pPr>
            <w:r>
              <w:rPr>
                <w:b/>
                <w:sz w:val="16"/>
              </w:rPr>
              <w:t>7.0</w:t>
            </w:r>
          </w:p>
        </w:tc>
        <w:tc>
          <w:tcPr>
            <w:tcW w:w="850" w:type="dxa"/>
            <w:tcBorders>
              <w:top w:val="nil"/>
              <w:left w:val="nil"/>
              <w:bottom w:val="nil"/>
              <w:right w:val="nil"/>
            </w:tcBorders>
            <w:shd w:val="clear" w:color="auto" w:fill="FFFF00"/>
          </w:tcPr>
          <w:p>
            <w:pPr>
              <w:pStyle w:val="TableParagraph"/>
              <w:spacing w:line="182" w:lineRule="exact"/>
              <w:ind w:right="157"/>
              <w:jc w:val="right"/>
              <w:rPr>
                <w:b/>
                <w:sz w:val="16"/>
              </w:rPr>
            </w:pPr>
            <w:r>
              <w:rPr>
                <w:b/>
                <w:sz w:val="16"/>
              </w:rPr>
              <w:t>6.7</w:t>
            </w:r>
          </w:p>
        </w:tc>
        <w:tc>
          <w:tcPr>
            <w:tcW w:w="853" w:type="dxa"/>
            <w:tcBorders>
              <w:top w:val="nil"/>
              <w:left w:val="nil"/>
              <w:bottom w:val="nil"/>
              <w:right w:val="nil"/>
            </w:tcBorders>
            <w:shd w:val="clear" w:color="auto" w:fill="FFFF00"/>
          </w:tcPr>
          <w:p>
            <w:pPr>
              <w:pStyle w:val="TableParagraph"/>
              <w:spacing w:line="182" w:lineRule="exact"/>
              <w:ind w:right="157"/>
              <w:jc w:val="right"/>
              <w:rPr>
                <w:b/>
                <w:sz w:val="16"/>
              </w:rPr>
            </w:pPr>
            <w:r>
              <w:rPr>
                <w:b/>
                <w:sz w:val="16"/>
              </w:rPr>
              <w:t>6.5</w:t>
            </w:r>
          </w:p>
        </w:tc>
        <w:tc>
          <w:tcPr>
            <w:tcW w:w="763" w:type="dxa"/>
            <w:tcBorders>
              <w:top w:val="nil"/>
              <w:left w:val="nil"/>
              <w:bottom w:val="nil"/>
              <w:right w:val="nil"/>
            </w:tcBorders>
            <w:shd w:val="clear" w:color="auto" w:fill="FFFF00"/>
          </w:tcPr>
          <w:p>
            <w:pPr>
              <w:pStyle w:val="TableParagraph"/>
              <w:spacing w:line="182" w:lineRule="exact"/>
              <w:ind w:right="68"/>
              <w:jc w:val="right"/>
              <w:rPr>
                <w:b/>
                <w:sz w:val="16"/>
              </w:rPr>
            </w:pPr>
            <w:r>
              <w:rPr>
                <w:b/>
                <w:sz w:val="16"/>
              </w:rPr>
              <w:t>6.7</w:t>
            </w:r>
          </w:p>
        </w:tc>
      </w:tr>
      <w:tr>
        <w:trPr>
          <w:trHeight w:val="190" w:hRule="exact"/>
        </w:trPr>
        <w:tc>
          <w:tcPr>
            <w:tcW w:w="1623" w:type="dxa"/>
            <w:vMerge/>
            <w:tcBorders>
              <w:left w:val="nil"/>
            </w:tcBorders>
            <w:shd w:val="clear" w:color="auto" w:fill="FFFF00"/>
          </w:tcPr>
          <w:p>
            <w:pPr/>
          </w:p>
        </w:tc>
        <w:tc>
          <w:tcPr>
            <w:tcW w:w="2390" w:type="dxa"/>
            <w:tcBorders>
              <w:top w:val="nil"/>
              <w:right w:val="nil"/>
            </w:tcBorders>
            <w:shd w:val="clear" w:color="auto" w:fill="FFFF00"/>
          </w:tcPr>
          <w:p>
            <w:pPr>
              <w:pStyle w:val="TableParagraph"/>
              <w:spacing w:line="180" w:lineRule="exact"/>
              <w:ind w:left="63"/>
              <w:rPr>
                <w:b/>
                <w:sz w:val="16"/>
              </w:rPr>
            </w:pPr>
            <w:r>
              <w:rPr>
                <w:b/>
                <w:sz w:val="16"/>
              </w:rPr>
              <w:t>Presidencia de la República</w:t>
            </w:r>
          </w:p>
        </w:tc>
        <w:tc>
          <w:tcPr>
            <w:tcW w:w="913" w:type="dxa"/>
            <w:tcBorders>
              <w:top w:val="nil"/>
              <w:left w:val="nil"/>
              <w:right w:val="nil"/>
            </w:tcBorders>
            <w:shd w:val="clear" w:color="auto" w:fill="FFFF00"/>
          </w:tcPr>
          <w:p>
            <w:pPr>
              <w:pStyle w:val="TableParagraph"/>
              <w:spacing w:line="180" w:lineRule="exact"/>
              <w:ind w:right="159"/>
              <w:jc w:val="right"/>
              <w:rPr>
                <w:b/>
                <w:sz w:val="16"/>
              </w:rPr>
            </w:pPr>
            <w:r>
              <w:rPr>
                <w:b/>
                <w:sz w:val="16"/>
              </w:rPr>
              <w:t>6.9</w:t>
            </w:r>
          </w:p>
        </w:tc>
        <w:tc>
          <w:tcPr>
            <w:tcW w:w="852" w:type="dxa"/>
            <w:tcBorders>
              <w:top w:val="nil"/>
              <w:left w:val="nil"/>
              <w:right w:val="nil"/>
            </w:tcBorders>
            <w:shd w:val="clear" w:color="auto" w:fill="FFFF00"/>
          </w:tcPr>
          <w:p>
            <w:pPr>
              <w:pStyle w:val="TableParagraph"/>
              <w:spacing w:line="180" w:lineRule="exact"/>
              <w:ind w:right="155"/>
              <w:jc w:val="right"/>
              <w:rPr>
                <w:b/>
                <w:sz w:val="16"/>
              </w:rPr>
            </w:pPr>
            <w:r>
              <w:rPr>
                <w:b/>
                <w:sz w:val="16"/>
              </w:rPr>
              <w:t>7.1</w:t>
            </w:r>
          </w:p>
        </w:tc>
        <w:tc>
          <w:tcPr>
            <w:tcW w:w="850" w:type="dxa"/>
            <w:tcBorders>
              <w:top w:val="nil"/>
              <w:left w:val="nil"/>
              <w:right w:val="nil"/>
            </w:tcBorders>
            <w:shd w:val="clear" w:color="auto" w:fill="FFFF00"/>
          </w:tcPr>
          <w:p>
            <w:pPr>
              <w:pStyle w:val="TableParagraph"/>
              <w:spacing w:line="180" w:lineRule="exact"/>
              <w:ind w:right="157"/>
              <w:jc w:val="right"/>
              <w:rPr>
                <w:b/>
                <w:sz w:val="16"/>
              </w:rPr>
            </w:pPr>
            <w:r>
              <w:rPr>
                <w:b/>
                <w:sz w:val="16"/>
              </w:rPr>
              <w:t>6.7</w:t>
            </w:r>
          </w:p>
        </w:tc>
        <w:tc>
          <w:tcPr>
            <w:tcW w:w="853" w:type="dxa"/>
            <w:tcBorders>
              <w:top w:val="nil"/>
              <w:left w:val="nil"/>
              <w:right w:val="nil"/>
            </w:tcBorders>
            <w:shd w:val="clear" w:color="auto" w:fill="FFFF00"/>
          </w:tcPr>
          <w:p>
            <w:pPr>
              <w:pStyle w:val="TableParagraph"/>
              <w:spacing w:line="180" w:lineRule="exact"/>
              <w:ind w:right="157"/>
              <w:jc w:val="right"/>
              <w:rPr>
                <w:b/>
                <w:sz w:val="16"/>
              </w:rPr>
            </w:pPr>
            <w:r>
              <w:rPr>
                <w:b/>
                <w:sz w:val="16"/>
              </w:rPr>
              <w:t>6.5</w:t>
            </w:r>
          </w:p>
        </w:tc>
        <w:tc>
          <w:tcPr>
            <w:tcW w:w="763" w:type="dxa"/>
            <w:tcBorders>
              <w:top w:val="nil"/>
              <w:left w:val="nil"/>
              <w:right w:val="nil"/>
            </w:tcBorders>
            <w:shd w:val="clear" w:color="auto" w:fill="FFFF00"/>
          </w:tcPr>
          <w:p>
            <w:pPr>
              <w:pStyle w:val="TableParagraph"/>
              <w:spacing w:line="180" w:lineRule="exact"/>
              <w:ind w:right="68"/>
              <w:jc w:val="right"/>
              <w:rPr>
                <w:b/>
                <w:sz w:val="16"/>
              </w:rPr>
            </w:pPr>
            <w:r>
              <w:rPr>
                <w:b/>
                <w:sz w:val="16"/>
              </w:rPr>
              <w:t>6.6</w:t>
            </w:r>
          </w:p>
        </w:tc>
      </w:tr>
      <w:tr>
        <w:trPr>
          <w:trHeight w:val="198" w:hRule="exact"/>
        </w:trPr>
        <w:tc>
          <w:tcPr>
            <w:tcW w:w="1623" w:type="dxa"/>
            <w:vMerge w:val="restart"/>
            <w:tcBorders>
              <w:left w:val="nil"/>
            </w:tcBorders>
            <w:shd w:val="clear" w:color="auto" w:fill="FF0000"/>
          </w:tcPr>
          <w:p>
            <w:pPr>
              <w:pStyle w:val="TableParagraph"/>
              <w:rPr>
                <w:sz w:val="16"/>
              </w:rPr>
            </w:pPr>
          </w:p>
          <w:p>
            <w:pPr>
              <w:pStyle w:val="TableParagraph"/>
              <w:spacing w:before="6"/>
              <w:rPr>
                <w:sz w:val="17"/>
              </w:rPr>
            </w:pPr>
          </w:p>
          <w:p>
            <w:pPr>
              <w:pStyle w:val="TableParagraph"/>
              <w:ind w:left="559" w:right="565"/>
              <w:jc w:val="center"/>
              <w:rPr>
                <w:b/>
                <w:sz w:val="16"/>
              </w:rPr>
            </w:pPr>
            <w:r>
              <w:rPr>
                <w:b/>
                <w:color w:val="FFFFFF"/>
                <w:sz w:val="16"/>
              </w:rPr>
              <w:t>Baja</w:t>
            </w:r>
          </w:p>
        </w:tc>
        <w:tc>
          <w:tcPr>
            <w:tcW w:w="2390" w:type="dxa"/>
            <w:tcBorders>
              <w:bottom w:val="nil"/>
              <w:right w:val="nil"/>
            </w:tcBorders>
            <w:shd w:val="clear" w:color="auto" w:fill="FF0000"/>
          </w:tcPr>
          <w:p>
            <w:pPr>
              <w:pStyle w:val="TableParagraph"/>
              <w:spacing w:line="182" w:lineRule="exact"/>
              <w:ind w:left="63"/>
              <w:rPr>
                <w:b/>
                <w:sz w:val="16"/>
              </w:rPr>
            </w:pPr>
            <w:r>
              <w:rPr>
                <w:b/>
                <w:color w:val="FFFFFF"/>
                <w:sz w:val="16"/>
              </w:rPr>
              <w:t>Sindicatos</w:t>
            </w:r>
          </w:p>
        </w:tc>
        <w:tc>
          <w:tcPr>
            <w:tcW w:w="913" w:type="dxa"/>
            <w:tcBorders>
              <w:left w:val="nil"/>
              <w:bottom w:val="nil"/>
              <w:right w:val="nil"/>
            </w:tcBorders>
            <w:shd w:val="clear" w:color="auto" w:fill="FF0000"/>
          </w:tcPr>
          <w:p>
            <w:pPr>
              <w:pStyle w:val="TableParagraph"/>
              <w:spacing w:line="182" w:lineRule="exact"/>
              <w:ind w:right="159"/>
              <w:jc w:val="right"/>
              <w:rPr>
                <w:b/>
                <w:sz w:val="16"/>
              </w:rPr>
            </w:pPr>
            <w:r>
              <w:rPr>
                <w:b/>
                <w:color w:val="FFFFFF"/>
                <w:sz w:val="16"/>
              </w:rPr>
              <w:t>6.0</w:t>
            </w:r>
          </w:p>
        </w:tc>
        <w:tc>
          <w:tcPr>
            <w:tcW w:w="852" w:type="dxa"/>
            <w:tcBorders>
              <w:left w:val="nil"/>
              <w:bottom w:val="nil"/>
              <w:right w:val="nil"/>
            </w:tcBorders>
            <w:shd w:val="clear" w:color="auto" w:fill="FF0000"/>
          </w:tcPr>
          <w:p>
            <w:pPr>
              <w:pStyle w:val="TableParagraph"/>
              <w:spacing w:line="182" w:lineRule="exact"/>
              <w:ind w:right="155"/>
              <w:jc w:val="right"/>
              <w:rPr>
                <w:b/>
                <w:sz w:val="16"/>
              </w:rPr>
            </w:pPr>
            <w:r>
              <w:rPr>
                <w:b/>
                <w:color w:val="FFFFFF"/>
                <w:sz w:val="16"/>
              </w:rPr>
              <w:t>6.3</w:t>
            </w:r>
          </w:p>
        </w:tc>
        <w:tc>
          <w:tcPr>
            <w:tcW w:w="850" w:type="dxa"/>
            <w:tcBorders>
              <w:left w:val="nil"/>
              <w:bottom w:val="nil"/>
              <w:right w:val="nil"/>
            </w:tcBorders>
            <w:shd w:val="clear" w:color="auto" w:fill="FF0000"/>
          </w:tcPr>
          <w:p>
            <w:pPr>
              <w:pStyle w:val="TableParagraph"/>
              <w:spacing w:line="182" w:lineRule="exact"/>
              <w:ind w:right="157"/>
              <w:jc w:val="right"/>
              <w:rPr>
                <w:b/>
                <w:sz w:val="16"/>
              </w:rPr>
            </w:pPr>
            <w:r>
              <w:rPr>
                <w:b/>
                <w:color w:val="FFFFFF"/>
                <w:sz w:val="16"/>
              </w:rPr>
              <w:t>5.9</w:t>
            </w:r>
          </w:p>
        </w:tc>
        <w:tc>
          <w:tcPr>
            <w:tcW w:w="853" w:type="dxa"/>
            <w:tcBorders>
              <w:left w:val="nil"/>
              <w:bottom w:val="nil"/>
              <w:right w:val="nil"/>
            </w:tcBorders>
            <w:shd w:val="clear" w:color="auto" w:fill="FF0000"/>
          </w:tcPr>
          <w:p>
            <w:pPr>
              <w:pStyle w:val="TableParagraph"/>
              <w:spacing w:line="182" w:lineRule="exact"/>
              <w:ind w:right="157"/>
              <w:jc w:val="right"/>
              <w:rPr>
                <w:b/>
                <w:sz w:val="16"/>
              </w:rPr>
            </w:pPr>
            <w:r>
              <w:rPr>
                <w:b/>
                <w:color w:val="FFFFFF"/>
                <w:sz w:val="16"/>
              </w:rPr>
              <w:t>5.7</w:t>
            </w:r>
          </w:p>
        </w:tc>
        <w:tc>
          <w:tcPr>
            <w:tcW w:w="763" w:type="dxa"/>
            <w:tcBorders>
              <w:left w:val="nil"/>
              <w:bottom w:val="nil"/>
              <w:right w:val="nil"/>
            </w:tcBorders>
            <w:shd w:val="clear" w:color="auto" w:fill="FF0000"/>
          </w:tcPr>
          <w:p>
            <w:pPr>
              <w:pStyle w:val="TableParagraph"/>
              <w:spacing w:line="182" w:lineRule="exact"/>
              <w:ind w:right="68"/>
              <w:jc w:val="right"/>
              <w:rPr>
                <w:b/>
                <w:sz w:val="16"/>
              </w:rPr>
            </w:pPr>
            <w:r>
              <w:rPr>
                <w:b/>
                <w:color w:val="FFFFFF"/>
                <w:sz w:val="16"/>
              </w:rPr>
              <w:t>6.0</w:t>
            </w:r>
          </w:p>
        </w:tc>
      </w:tr>
      <w:tr>
        <w:trPr>
          <w:trHeight w:val="194" w:hRule="exact"/>
        </w:trPr>
        <w:tc>
          <w:tcPr>
            <w:tcW w:w="1623" w:type="dxa"/>
            <w:vMerge/>
            <w:tcBorders>
              <w:left w:val="nil"/>
            </w:tcBorders>
            <w:shd w:val="clear" w:color="auto" w:fill="FF0000"/>
          </w:tcPr>
          <w:p>
            <w:pPr/>
          </w:p>
        </w:tc>
        <w:tc>
          <w:tcPr>
            <w:tcW w:w="2390" w:type="dxa"/>
            <w:tcBorders>
              <w:top w:val="nil"/>
              <w:bottom w:val="nil"/>
              <w:right w:val="nil"/>
            </w:tcBorders>
            <w:shd w:val="clear" w:color="auto" w:fill="FF0000"/>
          </w:tcPr>
          <w:p>
            <w:pPr>
              <w:pStyle w:val="TableParagraph"/>
              <w:spacing w:line="180" w:lineRule="exact"/>
              <w:ind w:left="63"/>
              <w:rPr>
                <w:b/>
                <w:sz w:val="16"/>
              </w:rPr>
            </w:pPr>
            <w:r>
              <w:rPr>
                <w:b/>
                <w:color w:val="FFFFFF"/>
                <w:sz w:val="16"/>
              </w:rPr>
              <w:t>Senadores</w:t>
            </w:r>
          </w:p>
        </w:tc>
        <w:tc>
          <w:tcPr>
            <w:tcW w:w="913" w:type="dxa"/>
            <w:tcBorders>
              <w:top w:val="nil"/>
              <w:left w:val="nil"/>
              <w:bottom w:val="nil"/>
              <w:right w:val="nil"/>
            </w:tcBorders>
            <w:shd w:val="clear" w:color="auto" w:fill="FF0000"/>
          </w:tcPr>
          <w:p>
            <w:pPr>
              <w:pStyle w:val="TableParagraph"/>
              <w:spacing w:line="180" w:lineRule="exact"/>
              <w:ind w:right="159"/>
              <w:jc w:val="right"/>
              <w:rPr>
                <w:b/>
                <w:sz w:val="16"/>
              </w:rPr>
            </w:pPr>
            <w:r>
              <w:rPr>
                <w:b/>
                <w:color w:val="FFFFFF"/>
                <w:sz w:val="16"/>
              </w:rPr>
              <w:t>6.1</w:t>
            </w:r>
          </w:p>
        </w:tc>
        <w:tc>
          <w:tcPr>
            <w:tcW w:w="852" w:type="dxa"/>
            <w:tcBorders>
              <w:top w:val="nil"/>
              <w:left w:val="nil"/>
              <w:bottom w:val="nil"/>
              <w:right w:val="nil"/>
            </w:tcBorders>
            <w:shd w:val="clear" w:color="auto" w:fill="FF0000"/>
          </w:tcPr>
          <w:p>
            <w:pPr>
              <w:pStyle w:val="TableParagraph"/>
              <w:spacing w:line="180" w:lineRule="exact"/>
              <w:ind w:right="155"/>
              <w:jc w:val="right"/>
              <w:rPr>
                <w:b/>
                <w:sz w:val="16"/>
              </w:rPr>
            </w:pPr>
            <w:r>
              <w:rPr>
                <w:b/>
                <w:color w:val="FFFFFF"/>
                <w:sz w:val="16"/>
              </w:rPr>
              <w:t>6.8</w:t>
            </w:r>
          </w:p>
        </w:tc>
        <w:tc>
          <w:tcPr>
            <w:tcW w:w="850" w:type="dxa"/>
            <w:tcBorders>
              <w:top w:val="nil"/>
              <w:left w:val="nil"/>
              <w:bottom w:val="nil"/>
              <w:right w:val="nil"/>
            </w:tcBorders>
            <w:shd w:val="clear" w:color="auto" w:fill="FF0000"/>
          </w:tcPr>
          <w:p>
            <w:pPr>
              <w:pStyle w:val="TableParagraph"/>
              <w:spacing w:line="180" w:lineRule="exact"/>
              <w:ind w:right="157"/>
              <w:jc w:val="right"/>
              <w:rPr>
                <w:b/>
                <w:sz w:val="16"/>
              </w:rPr>
            </w:pPr>
            <w:r>
              <w:rPr>
                <w:b/>
                <w:color w:val="FFFFFF"/>
                <w:sz w:val="16"/>
              </w:rPr>
              <w:t>6.0</w:t>
            </w:r>
          </w:p>
        </w:tc>
        <w:tc>
          <w:tcPr>
            <w:tcW w:w="853" w:type="dxa"/>
            <w:tcBorders>
              <w:top w:val="nil"/>
              <w:left w:val="nil"/>
              <w:bottom w:val="nil"/>
              <w:right w:val="nil"/>
            </w:tcBorders>
            <w:shd w:val="clear" w:color="auto" w:fill="FF0000"/>
          </w:tcPr>
          <w:p>
            <w:pPr>
              <w:pStyle w:val="TableParagraph"/>
              <w:spacing w:line="180" w:lineRule="exact"/>
              <w:ind w:right="157"/>
              <w:jc w:val="right"/>
              <w:rPr>
                <w:b/>
                <w:sz w:val="16"/>
              </w:rPr>
            </w:pPr>
            <w:r>
              <w:rPr>
                <w:b/>
                <w:color w:val="FFFFFF"/>
                <w:sz w:val="16"/>
              </w:rPr>
              <w:t>5.9</w:t>
            </w:r>
          </w:p>
        </w:tc>
        <w:tc>
          <w:tcPr>
            <w:tcW w:w="763" w:type="dxa"/>
            <w:tcBorders>
              <w:top w:val="nil"/>
              <w:left w:val="nil"/>
              <w:bottom w:val="nil"/>
              <w:right w:val="nil"/>
            </w:tcBorders>
            <w:shd w:val="clear" w:color="auto" w:fill="FF0000"/>
          </w:tcPr>
          <w:p>
            <w:pPr>
              <w:pStyle w:val="TableParagraph"/>
              <w:spacing w:line="180" w:lineRule="exact"/>
              <w:ind w:right="68"/>
              <w:jc w:val="right"/>
              <w:rPr>
                <w:b/>
                <w:sz w:val="16"/>
              </w:rPr>
            </w:pPr>
            <w:r>
              <w:rPr>
                <w:b/>
                <w:color w:val="FFFFFF"/>
                <w:sz w:val="16"/>
              </w:rPr>
              <w:t>6.0</w:t>
            </w:r>
          </w:p>
        </w:tc>
      </w:tr>
      <w:tr>
        <w:trPr>
          <w:trHeight w:val="194" w:hRule="exact"/>
        </w:trPr>
        <w:tc>
          <w:tcPr>
            <w:tcW w:w="1623" w:type="dxa"/>
            <w:vMerge/>
            <w:tcBorders>
              <w:left w:val="nil"/>
            </w:tcBorders>
            <w:shd w:val="clear" w:color="auto" w:fill="FF0000"/>
          </w:tcPr>
          <w:p>
            <w:pPr/>
          </w:p>
        </w:tc>
        <w:tc>
          <w:tcPr>
            <w:tcW w:w="2390" w:type="dxa"/>
            <w:tcBorders>
              <w:top w:val="nil"/>
              <w:bottom w:val="nil"/>
              <w:right w:val="nil"/>
            </w:tcBorders>
            <w:shd w:val="clear" w:color="auto" w:fill="FF0000"/>
          </w:tcPr>
          <w:p>
            <w:pPr>
              <w:pStyle w:val="TableParagraph"/>
              <w:spacing w:line="182" w:lineRule="exact"/>
              <w:ind w:left="63"/>
              <w:rPr>
                <w:b/>
                <w:sz w:val="16"/>
              </w:rPr>
            </w:pPr>
            <w:r>
              <w:rPr>
                <w:b/>
                <w:color w:val="FFFFFF"/>
                <w:sz w:val="16"/>
              </w:rPr>
              <w:t>Partidos Políticos</w:t>
            </w:r>
          </w:p>
        </w:tc>
        <w:tc>
          <w:tcPr>
            <w:tcW w:w="913" w:type="dxa"/>
            <w:tcBorders>
              <w:top w:val="nil"/>
              <w:left w:val="nil"/>
              <w:bottom w:val="nil"/>
              <w:right w:val="nil"/>
            </w:tcBorders>
            <w:shd w:val="clear" w:color="auto" w:fill="FF0000"/>
          </w:tcPr>
          <w:p>
            <w:pPr>
              <w:pStyle w:val="TableParagraph"/>
              <w:spacing w:line="182" w:lineRule="exact"/>
              <w:ind w:right="159"/>
              <w:jc w:val="right"/>
              <w:rPr>
                <w:b/>
                <w:sz w:val="16"/>
              </w:rPr>
            </w:pPr>
            <w:r>
              <w:rPr>
                <w:b/>
                <w:color w:val="FFFFFF"/>
                <w:sz w:val="16"/>
              </w:rPr>
              <w:t>5.7</w:t>
            </w:r>
          </w:p>
        </w:tc>
        <w:tc>
          <w:tcPr>
            <w:tcW w:w="852" w:type="dxa"/>
            <w:tcBorders>
              <w:top w:val="nil"/>
              <w:left w:val="nil"/>
              <w:bottom w:val="nil"/>
              <w:right w:val="nil"/>
            </w:tcBorders>
            <w:shd w:val="clear" w:color="auto" w:fill="FF0000"/>
          </w:tcPr>
          <w:p>
            <w:pPr>
              <w:pStyle w:val="TableParagraph"/>
              <w:spacing w:line="182" w:lineRule="exact"/>
              <w:ind w:right="155"/>
              <w:jc w:val="right"/>
              <w:rPr>
                <w:b/>
                <w:sz w:val="16"/>
              </w:rPr>
            </w:pPr>
            <w:r>
              <w:rPr>
                <w:b/>
                <w:color w:val="FFFFFF"/>
                <w:sz w:val="16"/>
              </w:rPr>
              <w:t>6.0</w:t>
            </w:r>
          </w:p>
        </w:tc>
        <w:tc>
          <w:tcPr>
            <w:tcW w:w="850" w:type="dxa"/>
            <w:tcBorders>
              <w:top w:val="nil"/>
              <w:left w:val="nil"/>
              <w:bottom w:val="nil"/>
              <w:right w:val="nil"/>
            </w:tcBorders>
            <w:shd w:val="clear" w:color="auto" w:fill="FF0000"/>
          </w:tcPr>
          <w:p>
            <w:pPr>
              <w:pStyle w:val="TableParagraph"/>
              <w:spacing w:line="182" w:lineRule="exact"/>
              <w:ind w:right="157"/>
              <w:jc w:val="right"/>
              <w:rPr>
                <w:b/>
                <w:sz w:val="16"/>
              </w:rPr>
            </w:pPr>
            <w:r>
              <w:rPr>
                <w:b/>
                <w:color w:val="FFFFFF"/>
                <w:sz w:val="16"/>
              </w:rPr>
              <w:t>5.7</w:t>
            </w:r>
          </w:p>
        </w:tc>
        <w:tc>
          <w:tcPr>
            <w:tcW w:w="853" w:type="dxa"/>
            <w:tcBorders>
              <w:top w:val="nil"/>
              <w:left w:val="nil"/>
              <w:bottom w:val="nil"/>
              <w:right w:val="nil"/>
            </w:tcBorders>
            <w:shd w:val="clear" w:color="auto" w:fill="FF0000"/>
          </w:tcPr>
          <w:p>
            <w:pPr>
              <w:pStyle w:val="TableParagraph"/>
              <w:spacing w:line="182" w:lineRule="exact"/>
              <w:ind w:right="157"/>
              <w:jc w:val="right"/>
              <w:rPr>
                <w:b/>
                <w:sz w:val="16"/>
              </w:rPr>
            </w:pPr>
            <w:r>
              <w:rPr>
                <w:b/>
                <w:color w:val="FFFFFF"/>
                <w:sz w:val="16"/>
              </w:rPr>
              <w:t>5.7</w:t>
            </w:r>
          </w:p>
        </w:tc>
        <w:tc>
          <w:tcPr>
            <w:tcW w:w="763" w:type="dxa"/>
            <w:tcBorders>
              <w:top w:val="nil"/>
              <w:left w:val="nil"/>
              <w:bottom w:val="nil"/>
              <w:right w:val="nil"/>
            </w:tcBorders>
            <w:shd w:val="clear" w:color="auto" w:fill="FF0000"/>
          </w:tcPr>
          <w:p>
            <w:pPr>
              <w:pStyle w:val="TableParagraph"/>
              <w:spacing w:line="182" w:lineRule="exact"/>
              <w:ind w:right="68"/>
              <w:jc w:val="right"/>
              <w:rPr>
                <w:b/>
                <w:sz w:val="16"/>
              </w:rPr>
            </w:pPr>
            <w:r>
              <w:rPr>
                <w:b/>
                <w:color w:val="FFFFFF"/>
                <w:sz w:val="16"/>
              </w:rPr>
              <w:t>6.0</w:t>
            </w:r>
          </w:p>
        </w:tc>
      </w:tr>
      <w:tr>
        <w:trPr>
          <w:trHeight w:val="194" w:hRule="exact"/>
        </w:trPr>
        <w:tc>
          <w:tcPr>
            <w:tcW w:w="1623" w:type="dxa"/>
            <w:vMerge/>
            <w:tcBorders>
              <w:left w:val="nil"/>
            </w:tcBorders>
            <w:shd w:val="clear" w:color="auto" w:fill="FF0000"/>
          </w:tcPr>
          <w:p>
            <w:pPr/>
          </w:p>
        </w:tc>
        <w:tc>
          <w:tcPr>
            <w:tcW w:w="2390" w:type="dxa"/>
            <w:tcBorders>
              <w:top w:val="nil"/>
              <w:bottom w:val="nil"/>
              <w:right w:val="nil"/>
            </w:tcBorders>
            <w:shd w:val="clear" w:color="auto" w:fill="FF0000"/>
          </w:tcPr>
          <w:p>
            <w:pPr>
              <w:pStyle w:val="TableParagraph"/>
              <w:spacing w:line="180" w:lineRule="exact"/>
              <w:ind w:left="63"/>
              <w:rPr>
                <w:b/>
                <w:sz w:val="16"/>
              </w:rPr>
            </w:pPr>
            <w:r>
              <w:rPr>
                <w:b/>
                <w:color w:val="FFFFFF"/>
                <w:sz w:val="16"/>
              </w:rPr>
              <w:t>Policía</w:t>
            </w:r>
          </w:p>
        </w:tc>
        <w:tc>
          <w:tcPr>
            <w:tcW w:w="913" w:type="dxa"/>
            <w:tcBorders>
              <w:top w:val="nil"/>
              <w:left w:val="nil"/>
              <w:bottom w:val="nil"/>
              <w:right w:val="nil"/>
            </w:tcBorders>
            <w:shd w:val="clear" w:color="auto" w:fill="FF0000"/>
          </w:tcPr>
          <w:p>
            <w:pPr>
              <w:pStyle w:val="TableParagraph"/>
              <w:spacing w:line="180" w:lineRule="exact"/>
              <w:ind w:right="159"/>
              <w:jc w:val="right"/>
              <w:rPr>
                <w:b/>
                <w:sz w:val="16"/>
              </w:rPr>
            </w:pPr>
            <w:r>
              <w:rPr>
                <w:b/>
                <w:color w:val="FFFFFF"/>
                <w:sz w:val="16"/>
              </w:rPr>
              <w:t>6.1</w:t>
            </w:r>
          </w:p>
        </w:tc>
        <w:tc>
          <w:tcPr>
            <w:tcW w:w="852" w:type="dxa"/>
            <w:tcBorders>
              <w:top w:val="nil"/>
              <w:left w:val="nil"/>
              <w:bottom w:val="nil"/>
              <w:right w:val="nil"/>
            </w:tcBorders>
            <w:shd w:val="clear" w:color="auto" w:fill="FF0000"/>
          </w:tcPr>
          <w:p>
            <w:pPr>
              <w:pStyle w:val="TableParagraph"/>
              <w:spacing w:line="180" w:lineRule="exact"/>
              <w:ind w:right="155"/>
              <w:jc w:val="right"/>
              <w:rPr>
                <w:b/>
                <w:sz w:val="16"/>
              </w:rPr>
            </w:pPr>
            <w:r>
              <w:rPr>
                <w:b/>
                <w:color w:val="FFFFFF"/>
                <w:sz w:val="16"/>
              </w:rPr>
              <w:t>6.0</w:t>
            </w:r>
          </w:p>
        </w:tc>
        <w:tc>
          <w:tcPr>
            <w:tcW w:w="850" w:type="dxa"/>
            <w:tcBorders>
              <w:top w:val="nil"/>
              <w:left w:val="nil"/>
              <w:bottom w:val="nil"/>
              <w:right w:val="nil"/>
            </w:tcBorders>
            <w:shd w:val="clear" w:color="auto" w:fill="FF0000"/>
          </w:tcPr>
          <w:p>
            <w:pPr>
              <w:pStyle w:val="TableParagraph"/>
              <w:spacing w:line="180" w:lineRule="exact"/>
              <w:ind w:right="157"/>
              <w:jc w:val="right"/>
              <w:rPr>
                <w:b/>
                <w:sz w:val="16"/>
              </w:rPr>
            </w:pPr>
            <w:r>
              <w:rPr>
                <w:b/>
                <w:color w:val="FFFFFF"/>
                <w:sz w:val="16"/>
              </w:rPr>
              <w:t>5.8</w:t>
            </w:r>
          </w:p>
        </w:tc>
        <w:tc>
          <w:tcPr>
            <w:tcW w:w="853" w:type="dxa"/>
            <w:tcBorders>
              <w:top w:val="nil"/>
              <w:left w:val="nil"/>
              <w:bottom w:val="nil"/>
              <w:right w:val="nil"/>
            </w:tcBorders>
            <w:shd w:val="clear" w:color="auto" w:fill="FF0000"/>
          </w:tcPr>
          <w:p>
            <w:pPr>
              <w:pStyle w:val="TableParagraph"/>
              <w:spacing w:line="180" w:lineRule="exact"/>
              <w:ind w:right="157"/>
              <w:jc w:val="right"/>
              <w:rPr>
                <w:b/>
                <w:sz w:val="16"/>
              </w:rPr>
            </w:pPr>
            <w:r>
              <w:rPr>
                <w:b/>
                <w:color w:val="FFFFFF"/>
                <w:sz w:val="16"/>
              </w:rPr>
              <w:t>5.6</w:t>
            </w:r>
          </w:p>
        </w:tc>
        <w:tc>
          <w:tcPr>
            <w:tcW w:w="763" w:type="dxa"/>
            <w:tcBorders>
              <w:top w:val="nil"/>
              <w:left w:val="nil"/>
              <w:bottom w:val="nil"/>
              <w:right w:val="nil"/>
            </w:tcBorders>
            <w:shd w:val="clear" w:color="auto" w:fill="FF0000"/>
          </w:tcPr>
          <w:p>
            <w:pPr>
              <w:pStyle w:val="TableParagraph"/>
              <w:spacing w:line="180" w:lineRule="exact"/>
              <w:ind w:right="68"/>
              <w:jc w:val="right"/>
              <w:rPr>
                <w:b/>
                <w:sz w:val="16"/>
              </w:rPr>
            </w:pPr>
            <w:r>
              <w:rPr>
                <w:b/>
                <w:color w:val="FFFFFF"/>
                <w:sz w:val="16"/>
              </w:rPr>
              <w:t>5.9</w:t>
            </w:r>
          </w:p>
        </w:tc>
      </w:tr>
      <w:tr>
        <w:trPr>
          <w:trHeight w:val="192" w:hRule="exact"/>
        </w:trPr>
        <w:tc>
          <w:tcPr>
            <w:tcW w:w="1623" w:type="dxa"/>
            <w:vMerge/>
            <w:tcBorders>
              <w:left w:val="nil"/>
            </w:tcBorders>
            <w:shd w:val="clear" w:color="auto" w:fill="FF0000"/>
          </w:tcPr>
          <w:p>
            <w:pPr/>
          </w:p>
        </w:tc>
        <w:tc>
          <w:tcPr>
            <w:tcW w:w="2390" w:type="dxa"/>
            <w:tcBorders>
              <w:top w:val="nil"/>
              <w:right w:val="nil"/>
            </w:tcBorders>
            <w:shd w:val="clear" w:color="auto" w:fill="FF0000"/>
          </w:tcPr>
          <w:p>
            <w:pPr>
              <w:pStyle w:val="TableParagraph"/>
              <w:spacing w:line="182" w:lineRule="exact"/>
              <w:ind w:left="63"/>
              <w:rPr>
                <w:b/>
                <w:sz w:val="16"/>
              </w:rPr>
            </w:pPr>
            <w:r>
              <w:rPr>
                <w:b/>
                <w:color w:val="FFFFFF"/>
                <w:sz w:val="16"/>
              </w:rPr>
              <w:t>Diputados</w:t>
            </w:r>
          </w:p>
        </w:tc>
        <w:tc>
          <w:tcPr>
            <w:tcW w:w="913" w:type="dxa"/>
            <w:tcBorders>
              <w:top w:val="nil"/>
              <w:left w:val="nil"/>
              <w:right w:val="nil"/>
            </w:tcBorders>
            <w:shd w:val="clear" w:color="auto" w:fill="FF0000"/>
          </w:tcPr>
          <w:p>
            <w:pPr>
              <w:pStyle w:val="TableParagraph"/>
              <w:spacing w:line="182" w:lineRule="exact"/>
              <w:ind w:right="159"/>
              <w:jc w:val="right"/>
              <w:rPr>
                <w:b/>
                <w:sz w:val="16"/>
              </w:rPr>
            </w:pPr>
            <w:r>
              <w:rPr>
                <w:b/>
                <w:color w:val="FFFFFF"/>
                <w:sz w:val="16"/>
              </w:rPr>
              <w:t>5.7</w:t>
            </w:r>
          </w:p>
        </w:tc>
        <w:tc>
          <w:tcPr>
            <w:tcW w:w="852" w:type="dxa"/>
            <w:tcBorders>
              <w:top w:val="nil"/>
              <w:left w:val="nil"/>
              <w:right w:val="nil"/>
            </w:tcBorders>
            <w:shd w:val="clear" w:color="auto" w:fill="FF0000"/>
          </w:tcPr>
          <w:p>
            <w:pPr>
              <w:pStyle w:val="TableParagraph"/>
              <w:spacing w:line="182" w:lineRule="exact"/>
              <w:ind w:right="155"/>
              <w:jc w:val="right"/>
              <w:rPr>
                <w:b/>
                <w:sz w:val="16"/>
              </w:rPr>
            </w:pPr>
            <w:r>
              <w:rPr>
                <w:b/>
                <w:color w:val="FFFFFF"/>
                <w:sz w:val="16"/>
              </w:rPr>
              <w:t>6.0</w:t>
            </w:r>
          </w:p>
        </w:tc>
        <w:tc>
          <w:tcPr>
            <w:tcW w:w="850" w:type="dxa"/>
            <w:tcBorders>
              <w:top w:val="nil"/>
              <w:left w:val="nil"/>
              <w:right w:val="nil"/>
            </w:tcBorders>
            <w:shd w:val="clear" w:color="auto" w:fill="FF0000"/>
          </w:tcPr>
          <w:p>
            <w:pPr>
              <w:pStyle w:val="TableParagraph"/>
              <w:spacing w:line="182" w:lineRule="exact"/>
              <w:ind w:right="157"/>
              <w:jc w:val="right"/>
              <w:rPr>
                <w:b/>
                <w:sz w:val="16"/>
              </w:rPr>
            </w:pPr>
            <w:r>
              <w:rPr>
                <w:b/>
                <w:color w:val="FFFFFF"/>
                <w:sz w:val="16"/>
              </w:rPr>
              <w:t>5.7</w:t>
            </w:r>
          </w:p>
        </w:tc>
        <w:tc>
          <w:tcPr>
            <w:tcW w:w="853" w:type="dxa"/>
            <w:tcBorders>
              <w:top w:val="nil"/>
              <w:left w:val="nil"/>
              <w:right w:val="nil"/>
            </w:tcBorders>
            <w:shd w:val="clear" w:color="auto" w:fill="FF0000"/>
          </w:tcPr>
          <w:p>
            <w:pPr>
              <w:pStyle w:val="TableParagraph"/>
              <w:spacing w:line="182" w:lineRule="exact"/>
              <w:ind w:right="157"/>
              <w:jc w:val="right"/>
              <w:rPr>
                <w:b/>
                <w:sz w:val="16"/>
              </w:rPr>
            </w:pPr>
            <w:r>
              <w:rPr>
                <w:b/>
                <w:color w:val="FFFFFF"/>
                <w:sz w:val="16"/>
              </w:rPr>
              <w:t>5.6</w:t>
            </w:r>
          </w:p>
        </w:tc>
        <w:tc>
          <w:tcPr>
            <w:tcW w:w="763" w:type="dxa"/>
            <w:tcBorders>
              <w:top w:val="nil"/>
              <w:left w:val="nil"/>
              <w:right w:val="nil"/>
            </w:tcBorders>
            <w:shd w:val="clear" w:color="auto" w:fill="FF0000"/>
          </w:tcPr>
          <w:p>
            <w:pPr>
              <w:pStyle w:val="TableParagraph"/>
              <w:spacing w:line="182" w:lineRule="exact"/>
              <w:ind w:right="68"/>
              <w:jc w:val="right"/>
              <w:rPr>
                <w:b/>
                <w:sz w:val="16"/>
              </w:rPr>
            </w:pPr>
            <w:r>
              <w:rPr>
                <w:b/>
                <w:color w:val="FFFFFF"/>
                <w:sz w:val="16"/>
              </w:rPr>
              <w:t>5.9</w:t>
            </w:r>
          </w:p>
        </w:tc>
      </w:tr>
      <w:tr>
        <w:trPr>
          <w:trHeight w:val="196" w:hRule="exact"/>
        </w:trPr>
        <w:tc>
          <w:tcPr>
            <w:tcW w:w="8245" w:type="dxa"/>
            <w:gridSpan w:val="7"/>
            <w:tcBorders>
              <w:left w:val="nil"/>
              <w:right w:val="nil"/>
            </w:tcBorders>
          </w:tcPr>
          <w:p>
            <w:pPr/>
          </w:p>
        </w:tc>
      </w:tr>
    </w:tbl>
    <w:p>
      <w:pPr>
        <w:pStyle w:val="BodyText"/>
        <w:spacing w:before="2"/>
        <w:rPr>
          <w:sz w:val="15"/>
        </w:rPr>
      </w:pPr>
    </w:p>
    <w:p>
      <w:pPr>
        <w:spacing w:before="85"/>
        <w:ind w:left="809" w:right="385" w:firstLine="0"/>
        <w:jc w:val="left"/>
        <w:rPr>
          <w:sz w:val="12"/>
        </w:rPr>
      </w:pPr>
      <w:r>
        <w:rPr>
          <w:sz w:val="12"/>
        </w:rPr>
        <w:t>FUENTE:     Consulta Mitofsky, </w:t>
      </w:r>
      <w:r>
        <w:rPr>
          <w:i/>
          <w:sz w:val="12"/>
        </w:rPr>
        <w:t>Confianza en las Instituciones, Baja Generalizada, Encuesta Nacional de Viviendas</w:t>
      </w:r>
      <w:r>
        <w:rPr>
          <w:sz w:val="12"/>
        </w:rPr>
        <w:t>, p. 12.</w:t>
      </w:r>
    </w:p>
    <w:p>
      <w:pPr>
        <w:spacing w:line="271" w:lineRule="auto" w:before="22"/>
        <w:ind w:left="1517" w:right="3641" w:firstLine="0"/>
        <w:jc w:val="left"/>
        <w:rPr>
          <w:sz w:val="12"/>
        </w:rPr>
      </w:pPr>
      <w:r>
        <w:rPr>
          <w:sz w:val="12"/>
        </w:rPr>
        <w:t>Disponible en: </w:t>
      </w:r>
      <w:hyperlink r:id="rId223">
        <w:r>
          <w:rPr>
            <w:sz w:val="12"/>
          </w:rPr>
          <w:t>http://www.consulta.mx/Estudios.aspx?Categoria=1</w:t>
        </w:r>
      </w:hyperlink>
      <w:r>
        <w:rPr>
          <w:sz w:val="12"/>
        </w:rPr>
        <w:t> [Fecha de consulta: 10 de septiembre, 2015]</w:t>
      </w:r>
    </w:p>
    <w:p>
      <w:pPr>
        <w:spacing w:after="0" w:line="271" w:lineRule="auto"/>
        <w:jc w:val="left"/>
        <w:rPr>
          <w:sz w:val="12"/>
        </w:rPr>
        <w:sectPr>
          <w:pgSz w:w="11910" w:h="16840"/>
          <w:pgMar w:header="0" w:footer="998" w:top="1420" w:bottom="1180" w:left="1600" w:right="1600"/>
        </w:sectPr>
      </w:pPr>
    </w:p>
    <w:p>
      <w:pPr>
        <w:pStyle w:val="ListParagraph"/>
        <w:numPr>
          <w:ilvl w:val="1"/>
          <w:numId w:val="93"/>
        </w:numPr>
        <w:tabs>
          <w:tab w:pos="821" w:val="left" w:leader="none"/>
        </w:tabs>
        <w:spacing w:line="360" w:lineRule="auto" w:before="39" w:after="0"/>
        <w:ind w:left="821" w:right="107" w:hanging="361"/>
        <w:jc w:val="both"/>
        <w:rPr>
          <w:sz w:val="24"/>
        </w:rPr>
      </w:pPr>
      <w:r>
        <w:rPr>
          <w:sz w:val="24"/>
        </w:rPr>
        <w:t>Confianza alta, con calificación de 7.1 a 10.0: Universidades, Iglesia, Ejército, Comisión Nacional de Derechos Humanos y Medios de Comunicación.</w:t>
      </w:r>
    </w:p>
    <w:p>
      <w:pPr>
        <w:pStyle w:val="ListParagraph"/>
        <w:numPr>
          <w:ilvl w:val="1"/>
          <w:numId w:val="93"/>
        </w:numPr>
        <w:tabs>
          <w:tab w:pos="889" w:val="left" w:leader="none"/>
        </w:tabs>
        <w:spacing w:line="360" w:lineRule="auto" w:before="6" w:after="0"/>
        <w:ind w:left="821" w:right="109" w:hanging="361"/>
        <w:jc w:val="both"/>
        <w:rPr>
          <w:sz w:val="24"/>
        </w:rPr>
      </w:pPr>
      <w:r>
        <w:rPr>
          <w:sz w:val="24"/>
        </w:rPr>
        <w:t>Confianza media, con calificación entre 6.1 y 7.0: Suprema Corte de Justicia, Empresarios, Instituto Federal Electoral, Bancos y Presidencia de la</w:t>
      </w:r>
      <w:r>
        <w:rPr>
          <w:spacing w:val="-12"/>
          <w:sz w:val="24"/>
        </w:rPr>
        <w:t> </w:t>
      </w:r>
      <w:r>
        <w:rPr>
          <w:sz w:val="24"/>
        </w:rPr>
        <w:t>República.</w:t>
      </w:r>
    </w:p>
    <w:p>
      <w:pPr>
        <w:pStyle w:val="ListParagraph"/>
        <w:numPr>
          <w:ilvl w:val="1"/>
          <w:numId w:val="93"/>
        </w:numPr>
        <w:tabs>
          <w:tab w:pos="809" w:val="left" w:leader="none"/>
        </w:tabs>
        <w:spacing w:line="362" w:lineRule="auto" w:before="2" w:after="0"/>
        <w:ind w:left="809" w:right="107" w:hanging="425"/>
        <w:jc w:val="both"/>
        <w:rPr>
          <w:sz w:val="24"/>
        </w:rPr>
      </w:pPr>
      <w:r>
        <w:rPr>
          <w:sz w:val="24"/>
        </w:rPr>
        <w:t>Confianza</w:t>
      </w:r>
      <w:r>
        <w:rPr>
          <w:spacing w:val="-14"/>
          <w:sz w:val="24"/>
        </w:rPr>
        <w:t> </w:t>
      </w:r>
      <w:r>
        <w:rPr>
          <w:sz w:val="24"/>
        </w:rPr>
        <w:t>baja,</w:t>
      </w:r>
      <w:r>
        <w:rPr>
          <w:spacing w:val="-12"/>
          <w:sz w:val="24"/>
        </w:rPr>
        <w:t> </w:t>
      </w:r>
      <w:r>
        <w:rPr>
          <w:sz w:val="24"/>
        </w:rPr>
        <w:t>calificación</w:t>
      </w:r>
      <w:r>
        <w:rPr>
          <w:spacing w:val="-14"/>
          <w:sz w:val="24"/>
        </w:rPr>
        <w:t> </w:t>
      </w:r>
      <w:r>
        <w:rPr>
          <w:sz w:val="24"/>
        </w:rPr>
        <w:t>inferior</w:t>
      </w:r>
      <w:r>
        <w:rPr>
          <w:spacing w:val="-13"/>
          <w:sz w:val="24"/>
        </w:rPr>
        <w:t> </w:t>
      </w:r>
      <w:r>
        <w:rPr>
          <w:sz w:val="24"/>
        </w:rPr>
        <w:t>a</w:t>
      </w:r>
      <w:r>
        <w:rPr>
          <w:spacing w:val="-14"/>
          <w:sz w:val="24"/>
        </w:rPr>
        <w:t> </w:t>
      </w:r>
      <w:r>
        <w:rPr>
          <w:sz w:val="24"/>
        </w:rPr>
        <w:t>6.1:</w:t>
      </w:r>
      <w:r>
        <w:rPr>
          <w:spacing w:val="-12"/>
          <w:sz w:val="24"/>
        </w:rPr>
        <w:t> </w:t>
      </w:r>
      <w:r>
        <w:rPr>
          <w:sz w:val="24"/>
        </w:rPr>
        <w:t>Sindicatos,</w:t>
      </w:r>
      <w:r>
        <w:rPr>
          <w:spacing w:val="-12"/>
          <w:sz w:val="24"/>
        </w:rPr>
        <w:t> </w:t>
      </w:r>
      <w:r>
        <w:rPr>
          <w:sz w:val="24"/>
        </w:rPr>
        <w:t>Senadores,</w:t>
      </w:r>
      <w:r>
        <w:rPr>
          <w:spacing w:val="-12"/>
          <w:sz w:val="24"/>
        </w:rPr>
        <w:t> </w:t>
      </w:r>
      <w:r>
        <w:rPr>
          <w:sz w:val="24"/>
        </w:rPr>
        <w:t>Partidos Políticos, Policía y</w:t>
      </w:r>
      <w:r>
        <w:rPr>
          <w:spacing w:val="-21"/>
          <w:sz w:val="24"/>
        </w:rPr>
        <w:t> </w:t>
      </w:r>
      <w:r>
        <w:rPr>
          <w:sz w:val="24"/>
        </w:rPr>
        <w:t>Diputados.</w:t>
      </w:r>
    </w:p>
    <w:p>
      <w:pPr>
        <w:pStyle w:val="BodyText"/>
      </w:pPr>
    </w:p>
    <w:p>
      <w:pPr>
        <w:pStyle w:val="BodyText"/>
        <w:spacing w:line="360" w:lineRule="auto" w:before="139"/>
        <w:ind w:left="100" w:right="105" w:firstLine="427"/>
        <w:jc w:val="both"/>
      </w:pPr>
      <w:r>
        <w:rPr/>
        <w:t>Los principales resultados del Índice de Confianza en las Instituciones de México indicaron una baja en los índices de confianza en 2011 con respecto a 2008. Los ciudadanos disminuyeron su nivel de confianza en las universidades (7.9 a 7.8), en la iglesia (8.0 a 7.6), en el ejército (3 décimas), la Suprema Corte de Justicia y el Instituto Federal Electoral (4 décimas) y en la Presidencia de la República (6.9 a 6.5).</w:t>
      </w:r>
    </w:p>
    <w:p>
      <w:pPr>
        <w:pStyle w:val="BodyText"/>
        <w:spacing w:line="360" w:lineRule="auto" w:before="5"/>
        <w:ind w:left="100" w:right="106" w:firstLine="427"/>
        <w:jc w:val="both"/>
      </w:pPr>
      <w:r>
        <w:rPr/>
        <w:t>La escasa confianza en la Policía y en los Diputados, los sitúa en los dos últimos escalones, la Policía mostró el retroceso más grande (5 décimas).</w:t>
      </w:r>
    </w:p>
    <w:p>
      <w:pPr>
        <w:spacing w:after="0" w:line="360" w:lineRule="auto"/>
        <w:jc w:val="both"/>
        <w:sectPr>
          <w:pgSz w:w="11910" w:h="16840"/>
          <w:pgMar w:header="0" w:footer="998" w:top="1360" w:bottom="1180" w:left="1600" w:right="1600"/>
        </w:sectPr>
      </w:pPr>
    </w:p>
    <w:p>
      <w:pPr>
        <w:pStyle w:val="Heading1"/>
        <w:spacing w:before="54"/>
        <w:ind w:left="362" w:right="380"/>
      </w:pPr>
      <w:bookmarkStart w:name="_bookmark98" w:id="130"/>
      <w:bookmarkEnd w:id="130"/>
      <w:r>
        <w:rPr>
          <w:b w:val="0"/>
        </w:rPr>
      </w:r>
      <w:r>
        <w:rPr/>
        <w:t>CONCLUSIONES</w:t>
      </w:r>
    </w:p>
    <w:p>
      <w:pPr>
        <w:pStyle w:val="BodyText"/>
        <w:spacing w:before="10"/>
        <w:rPr>
          <w:b/>
          <w:sz w:val="38"/>
        </w:rPr>
      </w:pPr>
    </w:p>
    <w:p>
      <w:pPr>
        <w:pStyle w:val="BodyText"/>
        <w:ind w:left="100" w:right="86"/>
      </w:pPr>
      <w:r>
        <w:rPr/>
        <w:t>Las principales implicaciones de esta investigación se resumen como sigue:</w:t>
      </w:r>
    </w:p>
    <w:p>
      <w:pPr>
        <w:pStyle w:val="BodyText"/>
        <w:spacing w:line="360" w:lineRule="auto" w:before="136"/>
        <w:ind w:left="100" w:right="123" w:firstLine="708"/>
        <w:jc w:val="both"/>
      </w:pPr>
      <w:r>
        <w:rPr/>
        <w:t>Similitud de problemas: Este trabajo concluye que los países avanzados y emergentes suele compartir similares problemas de corrupción, aunque en distinta magnitud. En México la clase política monopoliza el poder con una marcada ausencia de un Estado de Derecho y de gobernabilidad, por los vicios históricos</w:t>
      </w:r>
      <w:r>
        <w:rPr>
          <w:spacing w:val="-7"/>
        </w:rPr>
        <w:t> </w:t>
      </w:r>
      <w:r>
        <w:rPr/>
        <w:t>y</w:t>
      </w:r>
      <w:r>
        <w:rPr>
          <w:spacing w:val="-14"/>
        </w:rPr>
        <w:t> </w:t>
      </w:r>
      <w:r>
        <w:rPr/>
        <w:t>actuales.</w:t>
      </w:r>
      <w:r>
        <w:rPr>
          <w:spacing w:val="-10"/>
        </w:rPr>
        <w:t> </w:t>
      </w:r>
      <w:r>
        <w:rPr/>
        <w:t>Este</w:t>
      </w:r>
      <w:r>
        <w:rPr>
          <w:spacing w:val="-13"/>
        </w:rPr>
        <w:t> </w:t>
      </w:r>
      <w:r>
        <w:rPr/>
        <w:t>trabajo</w:t>
      </w:r>
      <w:r>
        <w:rPr>
          <w:spacing w:val="-13"/>
        </w:rPr>
        <w:t> </w:t>
      </w:r>
      <w:r>
        <w:rPr/>
        <w:t>concluye</w:t>
      </w:r>
      <w:r>
        <w:rPr>
          <w:spacing w:val="-13"/>
        </w:rPr>
        <w:t> </w:t>
      </w:r>
      <w:r>
        <w:rPr/>
        <w:t>que</w:t>
      </w:r>
      <w:r>
        <w:rPr>
          <w:spacing w:val="-13"/>
        </w:rPr>
        <w:t> </w:t>
      </w:r>
      <w:r>
        <w:rPr/>
        <w:t>las</w:t>
      </w:r>
      <w:r>
        <w:rPr>
          <w:spacing w:val="-11"/>
        </w:rPr>
        <w:t> </w:t>
      </w:r>
      <w:r>
        <w:rPr/>
        <w:t>soluciones</w:t>
      </w:r>
      <w:r>
        <w:rPr>
          <w:spacing w:val="-11"/>
        </w:rPr>
        <w:t> </w:t>
      </w:r>
      <w:r>
        <w:rPr/>
        <w:t>a</w:t>
      </w:r>
      <w:r>
        <w:rPr>
          <w:spacing w:val="-13"/>
        </w:rPr>
        <w:t> </w:t>
      </w:r>
      <w:r>
        <w:rPr/>
        <w:t>la</w:t>
      </w:r>
      <w:r>
        <w:rPr>
          <w:spacing w:val="-13"/>
        </w:rPr>
        <w:t> </w:t>
      </w:r>
      <w:r>
        <w:rPr/>
        <w:t>corrupción</w:t>
      </w:r>
      <w:r>
        <w:rPr>
          <w:spacing w:val="-13"/>
        </w:rPr>
        <w:t> </w:t>
      </w:r>
      <w:r>
        <w:rPr/>
        <w:t>no deben asumirse</w:t>
      </w:r>
      <w:r>
        <w:rPr>
          <w:spacing w:val="-16"/>
        </w:rPr>
        <w:t> </w:t>
      </w:r>
      <w:r>
        <w:rPr/>
        <w:t>universales.</w:t>
      </w:r>
    </w:p>
    <w:p>
      <w:pPr>
        <w:pStyle w:val="BodyText"/>
        <w:spacing w:line="360" w:lineRule="auto" w:before="2"/>
        <w:ind w:left="100" w:right="121" w:firstLine="708"/>
        <w:jc w:val="both"/>
      </w:pPr>
      <w:r>
        <w:rPr/>
        <w:t>Freno al abuso de poder: Esta tesis concluye también que muchos políticos</w:t>
      </w:r>
      <w:r>
        <w:rPr>
          <w:spacing w:val="-6"/>
        </w:rPr>
        <w:t> </w:t>
      </w:r>
      <w:r>
        <w:rPr/>
        <w:t>se</w:t>
      </w:r>
      <w:r>
        <w:rPr>
          <w:spacing w:val="-8"/>
        </w:rPr>
        <w:t> </w:t>
      </w:r>
      <w:r>
        <w:rPr/>
        <w:t>corrompen,</w:t>
      </w:r>
      <w:r>
        <w:rPr>
          <w:spacing w:val="-5"/>
        </w:rPr>
        <w:t> </w:t>
      </w:r>
      <w:r>
        <w:rPr/>
        <w:t>usando</w:t>
      </w:r>
      <w:r>
        <w:rPr>
          <w:spacing w:val="-4"/>
        </w:rPr>
        <w:t> </w:t>
      </w:r>
      <w:r>
        <w:rPr/>
        <w:t>el</w:t>
      </w:r>
      <w:r>
        <w:rPr>
          <w:spacing w:val="-4"/>
        </w:rPr>
        <w:t> </w:t>
      </w:r>
      <w:r>
        <w:rPr/>
        <w:t>presupuesto</w:t>
      </w:r>
      <w:r>
        <w:rPr>
          <w:spacing w:val="-8"/>
        </w:rPr>
        <w:t> </w:t>
      </w:r>
      <w:r>
        <w:rPr/>
        <w:t>público</w:t>
      </w:r>
      <w:r>
        <w:rPr>
          <w:spacing w:val="-8"/>
        </w:rPr>
        <w:t> </w:t>
      </w:r>
      <w:r>
        <w:rPr/>
        <w:t>para</w:t>
      </w:r>
      <w:r>
        <w:rPr>
          <w:spacing w:val="-8"/>
        </w:rPr>
        <w:t> </w:t>
      </w:r>
      <w:r>
        <w:rPr/>
        <w:t>su</w:t>
      </w:r>
      <w:r>
        <w:rPr>
          <w:spacing w:val="-8"/>
        </w:rPr>
        <w:t> </w:t>
      </w:r>
      <w:r>
        <w:rPr/>
        <w:t>propio</w:t>
      </w:r>
      <w:r>
        <w:rPr>
          <w:spacing w:val="-4"/>
        </w:rPr>
        <w:t> </w:t>
      </w:r>
      <w:r>
        <w:rPr/>
        <w:t>provecho. Este</w:t>
      </w:r>
      <w:r>
        <w:rPr>
          <w:spacing w:val="-12"/>
        </w:rPr>
        <w:t> </w:t>
      </w:r>
      <w:r>
        <w:rPr/>
        <w:t>trabajo</w:t>
      </w:r>
      <w:r>
        <w:rPr>
          <w:spacing w:val="-8"/>
        </w:rPr>
        <w:t> </w:t>
      </w:r>
      <w:r>
        <w:rPr/>
        <w:t>detectó</w:t>
      </w:r>
      <w:r>
        <w:rPr>
          <w:spacing w:val="-8"/>
        </w:rPr>
        <w:t> </w:t>
      </w:r>
      <w:r>
        <w:rPr/>
        <w:t>que</w:t>
      </w:r>
      <w:r>
        <w:rPr>
          <w:spacing w:val="-8"/>
        </w:rPr>
        <w:t> </w:t>
      </w:r>
      <w:r>
        <w:rPr/>
        <w:t>debe</w:t>
      </w:r>
      <w:r>
        <w:rPr>
          <w:spacing w:val="-12"/>
        </w:rPr>
        <w:t> </w:t>
      </w:r>
      <w:r>
        <w:rPr/>
        <w:t>contarse</w:t>
      </w:r>
      <w:r>
        <w:rPr>
          <w:spacing w:val="-12"/>
        </w:rPr>
        <w:t> </w:t>
      </w:r>
      <w:r>
        <w:rPr/>
        <w:t>con</w:t>
      </w:r>
      <w:r>
        <w:rPr>
          <w:spacing w:val="-12"/>
        </w:rPr>
        <w:t> </w:t>
      </w:r>
      <w:r>
        <w:rPr/>
        <w:t>un</w:t>
      </w:r>
      <w:r>
        <w:rPr>
          <w:spacing w:val="-12"/>
        </w:rPr>
        <w:t> </w:t>
      </w:r>
      <w:r>
        <w:rPr/>
        <w:t>diseño</w:t>
      </w:r>
      <w:r>
        <w:rPr>
          <w:spacing w:val="-12"/>
        </w:rPr>
        <w:t> </w:t>
      </w:r>
      <w:r>
        <w:rPr/>
        <w:t>institucional</w:t>
      </w:r>
      <w:r>
        <w:rPr>
          <w:spacing w:val="-11"/>
        </w:rPr>
        <w:t> </w:t>
      </w:r>
      <w:r>
        <w:rPr/>
        <w:t>sólido</w:t>
      </w:r>
      <w:r>
        <w:rPr>
          <w:spacing w:val="-12"/>
        </w:rPr>
        <w:t> </w:t>
      </w:r>
      <w:r>
        <w:rPr/>
        <w:t>(marco legal</w:t>
      </w:r>
      <w:r>
        <w:rPr>
          <w:spacing w:val="-8"/>
        </w:rPr>
        <w:t> </w:t>
      </w:r>
      <w:r>
        <w:rPr/>
        <w:t>y</w:t>
      </w:r>
      <w:r>
        <w:rPr>
          <w:spacing w:val="-15"/>
        </w:rPr>
        <w:t> </w:t>
      </w:r>
      <w:r>
        <w:rPr/>
        <w:t>normativo)</w:t>
      </w:r>
      <w:r>
        <w:rPr>
          <w:spacing w:val="-11"/>
        </w:rPr>
        <w:t> </w:t>
      </w:r>
      <w:r>
        <w:rPr/>
        <w:t>que</w:t>
      </w:r>
      <w:r>
        <w:rPr>
          <w:spacing w:val="-9"/>
        </w:rPr>
        <w:t> </w:t>
      </w:r>
      <w:r>
        <w:rPr/>
        <w:t>limite</w:t>
      </w:r>
      <w:r>
        <w:rPr>
          <w:spacing w:val="-13"/>
        </w:rPr>
        <w:t> </w:t>
      </w:r>
      <w:r>
        <w:rPr/>
        <w:t>la</w:t>
      </w:r>
      <w:r>
        <w:rPr>
          <w:spacing w:val="-13"/>
        </w:rPr>
        <w:t> </w:t>
      </w:r>
      <w:r>
        <w:rPr/>
        <w:t>alta</w:t>
      </w:r>
      <w:r>
        <w:rPr>
          <w:spacing w:val="-13"/>
        </w:rPr>
        <w:t> </w:t>
      </w:r>
      <w:r>
        <w:rPr/>
        <w:t>discrecionalidad</w:t>
      </w:r>
      <w:r>
        <w:rPr>
          <w:spacing w:val="-13"/>
        </w:rPr>
        <w:t> </w:t>
      </w:r>
      <w:r>
        <w:rPr/>
        <w:t>de</w:t>
      </w:r>
      <w:r>
        <w:rPr>
          <w:spacing w:val="-13"/>
        </w:rPr>
        <w:t> </w:t>
      </w:r>
      <w:r>
        <w:rPr/>
        <w:t>las</w:t>
      </w:r>
      <w:r>
        <w:rPr>
          <w:spacing w:val="-7"/>
        </w:rPr>
        <w:t> </w:t>
      </w:r>
      <w:r>
        <w:rPr/>
        <w:t>decisiones</w:t>
      </w:r>
      <w:r>
        <w:rPr>
          <w:spacing w:val="-11"/>
        </w:rPr>
        <w:t> </w:t>
      </w:r>
      <w:r>
        <w:rPr/>
        <w:t>de</w:t>
      </w:r>
      <w:r>
        <w:rPr>
          <w:spacing w:val="-13"/>
        </w:rPr>
        <w:t> </w:t>
      </w:r>
      <w:r>
        <w:rPr/>
        <w:t>la</w:t>
      </w:r>
      <w:r>
        <w:rPr>
          <w:spacing w:val="-13"/>
        </w:rPr>
        <w:t> </w:t>
      </w:r>
      <w:r>
        <w:rPr/>
        <w:t>clase política mediante la ética</w:t>
      </w:r>
      <w:r>
        <w:rPr>
          <w:spacing w:val="-25"/>
        </w:rPr>
        <w:t> </w:t>
      </w:r>
      <w:r>
        <w:rPr/>
        <w:t>pública.</w:t>
      </w:r>
    </w:p>
    <w:p>
      <w:pPr>
        <w:pStyle w:val="BodyText"/>
        <w:spacing w:line="360" w:lineRule="auto" w:before="6"/>
        <w:ind w:left="100" w:right="117" w:firstLine="708"/>
        <w:jc w:val="both"/>
      </w:pPr>
      <w:r>
        <w:rPr/>
        <w:t>Las conclusiones amplias de esta tesis son que la ética sí puede garantizar que el colectivo de individuos (gobernantes y gobernados) alcance el máximo beneficio social al menor costo posible. La contribución clave de este trabajo asegura que la conducta del grupo político debe ser moldeada por la institución representada; y que, a cambio, la sociedad debe ser altamente participativa y exigir que esa conducta se traduzca en beneficios sociales, mediante evaluación del desempeño del Estado vía rendición de cuentas.</w:t>
      </w:r>
    </w:p>
    <w:p>
      <w:pPr>
        <w:pStyle w:val="BodyText"/>
        <w:spacing w:line="360" w:lineRule="auto" w:before="2"/>
        <w:ind w:left="100" w:right="118" w:firstLine="708"/>
        <w:jc w:val="both"/>
      </w:pPr>
      <w:r>
        <w:rPr/>
        <w:t>Adopción de modelos políticos internacionales: La tesis afirma que, aunque los países avanzados analizados cuentan con instituciones evolucionadas y sistemas políticos sólidos de gobernabilidad y gobernanza; las mejores instituciones para México son las que reflejan la naturalidad política, y no modelos institucionales copiados u adoptados.</w:t>
      </w:r>
    </w:p>
    <w:p>
      <w:pPr>
        <w:pStyle w:val="BodyText"/>
        <w:spacing w:line="360" w:lineRule="auto" w:before="6"/>
        <w:ind w:left="100" w:right="120" w:firstLine="708"/>
        <w:jc w:val="both"/>
      </w:pPr>
      <w:r>
        <w:rPr/>
        <w:t>Autorregulación de poderes: Otra conclusión obtenida por este trabajo es que la baja credibilidad en las instituciones en México radica en que son políticamente débiles, lo que genera corrupción. Para subsanar este problema se detectó que se requiere que el mismo Estado logre que los poderes de la Unión se regulen a sí mismos y se equilibren.</w:t>
      </w:r>
    </w:p>
    <w:p>
      <w:pPr>
        <w:pStyle w:val="BodyText"/>
      </w:pPr>
    </w:p>
    <w:p>
      <w:pPr>
        <w:pStyle w:val="BodyText"/>
        <w:spacing w:line="357" w:lineRule="auto" w:before="142"/>
        <w:ind w:left="100" w:right="125" w:firstLine="708"/>
        <w:jc w:val="both"/>
      </w:pPr>
      <w:r>
        <w:rPr/>
        <w:t>Este trabajo probó que el equilibrio de poderes sólo puede lograrse cuando</w:t>
      </w:r>
      <w:r>
        <w:rPr>
          <w:spacing w:val="-7"/>
        </w:rPr>
        <w:t> </w:t>
      </w:r>
      <w:r>
        <w:rPr/>
        <w:t>existe</w:t>
      </w:r>
      <w:r>
        <w:rPr>
          <w:spacing w:val="-8"/>
        </w:rPr>
        <w:t> </w:t>
      </w:r>
      <w:r>
        <w:rPr/>
        <w:t>la</w:t>
      </w:r>
      <w:r>
        <w:rPr>
          <w:spacing w:val="-8"/>
        </w:rPr>
        <w:t> </w:t>
      </w:r>
      <w:r>
        <w:rPr/>
        <w:t>voluntad</w:t>
      </w:r>
      <w:r>
        <w:rPr>
          <w:spacing w:val="-4"/>
        </w:rPr>
        <w:t> </w:t>
      </w:r>
      <w:r>
        <w:rPr/>
        <w:t>política</w:t>
      </w:r>
      <w:r>
        <w:rPr>
          <w:spacing w:val="-4"/>
        </w:rPr>
        <w:t> </w:t>
      </w:r>
      <w:r>
        <w:rPr/>
        <w:t>de</w:t>
      </w:r>
      <w:r>
        <w:rPr>
          <w:spacing w:val="-8"/>
        </w:rPr>
        <w:t> </w:t>
      </w:r>
      <w:r>
        <w:rPr/>
        <w:t>respetar</w:t>
      </w:r>
      <w:r>
        <w:rPr>
          <w:spacing w:val="-6"/>
        </w:rPr>
        <w:t> </w:t>
      </w:r>
      <w:r>
        <w:rPr/>
        <w:t>la</w:t>
      </w:r>
      <w:r>
        <w:rPr>
          <w:spacing w:val="-8"/>
        </w:rPr>
        <w:t> </w:t>
      </w:r>
      <w:r>
        <w:rPr/>
        <w:t>división</w:t>
      </w:r>
      <w:r>
        <w:rPr>
          <w:spacing w:val="-8"/>
        </w:rPr>
        <w:t> </w:t>
      </w:r>
      <w:r>
        <w:rPr/>
        <w:t>de</w:t>
      </w:r>
      <w:r>
        <w:rPr>
          <w:spacing w:val="-8"/>
        </w:rPr>
        <w:t> </w:t>
      </w:r>
      <w:r>
        <w:rPr/>
        <w:t>los</w:t>
      </w:r>
      <w:r>
        <w:rPr>
          <w:spacing w:val="-2"/>
        </w:rPr>
        <w:t> </w:t>
      </w:r>
      <w:r>
        <w:rPr/>
        <w:t>poderes.</w:t>
      </w:r>
      <w:r>
        <w:rPr>
          <w:spacing w:val="-5"/>
        </w:rPr>
        <w:t> </w:t>
      </w:r>
      <w:r>
        <w:rPr/>
        <w:t>La</w:t>
      </w:r>
      <w:r>
        <w:rPr>
          <w:spacing w:val="-8"/>
        </w:rPr>
        <w:t> </w:t>
      </w:r>
      <w:r>
        <w:rPr/>
        <w:t>tesis</w:t>
      </w:r>
    </w:p>
    <w:p>
      <w:pPr>
        <w:spacing w:after="0" w:line="357" w:lineRule="auto"/>
        <w:jc w:val="both"/>
        <w:sectPr>
          <w:pgSz w:w="11910" w:h="16840"/>
          <w:pgMar w:header="0" w:footer="998" w:top="1340" w:bottom="1180" w:left="1600" w:right="1580"/>
        </w:sectPr>
      </w:pPr>
    </w:p>
    <w:p>
      <w:pPr>
        <w:pStyle w:val="BodyText"/>
        <w:spacing w:line="360" w:lineRule="auto" w:before="39"/>
        <w:ind w:left="100" w:right="103"/>
        <w:jc w:val="both"/>
      </w:pPr>
      <w:r>
        <w:rPr/>
        <w:t>fundamental de este trabajo es la gobernanza, ésta implica que el Estado no gobierna solo, sino que incluye a los sectores público, social y privado en la elaboración</w:t>
      </w:r>
      <w:r>
        <w:rPr>
          <w:spacing w:val="-18"/>
        </w:rPr>
        <w:t> </w:t>
      </w:r>
      <w:r>
        <w:rPr/>
        <w:t>de</w:t>
      </w:r>
      <w:r>
        <w:rPr>
          <w:spacing w:val="-18"/>
        </w:rPr>
        <w:t> </w:t>
      </w:r>
      <w:r>
        <w:rPr/>
        <w:t>las</w:t>
      </w:r>
      <w:r>
        <w:rPr>
          <w:spacing w:val="-16"/>
        </w:rPr>
        <w:t> </w:t>
      </w:r>
      <w:r>
        <w:rPr/>
        <w:t>políticas</w:t>
      </w:r>
      <w:r>
        <w:rPr>
          <w:spacing w:val="-16"/>
        </w:rPr>
        <w:t> </w:t>
      </w:r>
      <w:r>
        <w:rPr/>
        <w:t>públicas.</w:t>
      </w:r>
      <w:r>
        <w:rPr>
          <w:spacing w:val="-15"/>
        </w:rPr>
        <w:t> </w:t>
      </w:r>
      <w:r>
        <w:rPr/>
        <w:t>La</w:t>
      </w:r>
      <w:r>
        <w:rPr>
          <w:spacing w:val="-18"/>
        </w:rPr>
        <w:t> </w:t>
      </w:r>
      <w:r>
        <w:rPr/>
        <w:t>gobernanza</w:t>
      </w:r>
      <w:r>
        <w:rPr>
          <w:spacing w:val="-18"/>
        </w:rPr>
        <w:t> </w:t>
      </w:r>
      <w:r>
        <w:rPr/>
        <w:t>permite</w:t>
      </w:r>
      <w:r>
        <w:rPr>
          <w:spacing w:val="-18"/>
        </w:rPr>
        <w:t> </w:t>
      </w:r>
      <w:r>
        <w:rPr/>
        <w:t>la</w:t>
      </w:r>
      <w:r>
        <w:rPr>
          <w:spacing w:val="-18"/>
        </w:rPr>
        <w:t> </w:t>
      </w:r>
      <w:r>
        <w:rPr/>
        <w:t>colectividad,</w:t>
      </w:r>
      <w:r>
        <w:rPr>
          <w:spacing w:val="-12"/>
        </w:rPr>
        <w:t> </w:t>
      </w:r>
      <w:r>
        <w:rPr/>
        <w:t>pero a la vez hace prevalecer el poder</w:t>
      </w:r>
      <w:r>
        <w:rPr>
          <w:spacing w:val="-24"/>
        </w:rPr>
        <w:t> </w:t>
      </w:r>
      <w:r>
        <w:rPr/>
        <w:t>estatal.</w:t>
      </w:r>
    </w:p>
    <w:p>
      <w:pPr>
        <w:pStyle w:val="BodyText"/>
        <w:spacing w:line="360" w:lineRule="auto" w:before="2"/>
        <w:ind w:left="100" w:right="104" w:firstLine="708"/>
        <w:jc w:val="both"/>
      </w:pPr>
      <w:r>
        <w:rPr/>
        <w:t>Intervención y regulación del Estado: Esta tesis también concluye que en México se requiere que el Estado que decida de forma inteligente por antonomasia, su grado de incidencia en la economía y, por ende, el nivel de desarrollo humano de la población de México.</w:t>
      </w:r>
    </w:p>
    <w:p>
      <w:pPr>
        <w:pStyle w:val="BodyText"/>
        <w:spacing w:line="360" w:lineRule="auto" w:before="2"/>
        <w:ind w:left="100" w:right="104" w:firstLine="708"/>
        <w:jc w:val="both"/>
      </w:pPr>
      <w:r>
        <w:rPr/>
        <w:t>Idealización</w:t>
      </w:r>
      <w:r>
        <w:rPr>
          <w:spacing w:val="-8"/>
        </w:rPr>
        <w:t> </w:t>
      </w:r>
      <w:r>
        <w:rPr/>
        <w:t>del</w:t>
      </w:r>
      <w:r>
        <w:rPr>
          <w:spacing w:val="-7"/>
        </w:rPr>
        <w:t> </w:t>
      </w:r>
      <w:r>
        <w:rPr/>
        <w:t>Estado</w:t>
      </w:r>
      <w:r>
        <w:rPr>
          <w:spacing w:val="-4"/>
        </w:rPr>
        <w:t> </w:t>
      </w:r>
      <w:r>
        <w:rPr/>
        <w:t>mexicano:</w:t>
      </w:r>
      <w:r>
        <w:rPr>
          <w:spacing w:val="-2"/>
        </w:rPr>
        <w:t> </w:t>
      </w:r>
      <w:r>
        <w:rPr/>
        <w:t>Tanto</w:t>
      </w:r>
      <w:r>
        <w:rPr>
          <w:spacing w:val="-8"/>
        </w:rPr>
        <w:t> </w:t>
      </w:r>
      <w:r>
        <w:rPr/>
        <w:t>la</w:t>
      </w:r>
      <w:r>
        <w:rPr>
          <w:spacing w:val="-8"/>
        </w:rPr>
        <w:t> </w:t>
      </w:r>
      <w:r>
        <w:rPr/>
        <w:t>teoría</w:t>
      </w:r>
      <w:r>
        <w:rPr>
          <w:spacing w:val="-8"/>
        </w:rPr>
        <w:t> </w:t>
      </w:r>
      <w:r>
        <w:rPr/>
        <w:t>de</w:t>
      </w:r>
      <w:r>
        <w:rPr>
          <w:spacing w:val="-8"/>
        </w:rPr>
        <w:t> </w:t>
      </w:r>
      <w:r>
        <w:rPr/>
        <w:t>la</w:t>
      </w:r>
      <w:r>
        <w:rPr>
          <w:spacing w:val="-4"/>
        </w:rPr>
        <w:t> </w:t>
      </w:r>
      <w:r>
        <w:rPr/>
        <w:t>gobernanza</w:t>
      </w:r>
      <w:r>
        <w:rPr>
          <w:spacing w:val="-4"/>
        </w:rPr>
        <w:t> </w:t>
      </w:r>
      <w:r>
        <w:rPr/>
        <w:t>como los resultados de los indicadores del desempeño del Estado convergen en que éste debe ser más</w:t>
      </w:r>
      <w:r>
        <w:rPr>
          <w:spacing w:val="-17"/>
        </w:rPr>
        <w:t> </w:t>
      </w:r>
      <w:r>
        <w:rPr/>
        <w:t>racional.</w:t>
      </w:r>
    </w:p>
    <w:p>
      <w:pPr>
        <w:pStyle w:val="BodyText"/>
        <w:spacing w:line="360" w:lineRule="auto" w:before="6"/>
        <w:ind w:left="100" w:right="99" w:firstLine="708"/>
        <w:jc w:val="both"/>
      </w:pPr>
      <w:r>
        <w:rPr/>
        <w:t>Una conclusión fuerte es que se deben alcanzar esfuerzos coordinados para subsanar la fragmentación de las políticas públicas, sobre todo aquellas relacionadas con áreas susceptibles de corromperse. Uno de los mecanismos es el Sistema Nacional de Fiscalización, que implica la coordinación de los tres órdenes de gobierno, las instituciones públicas y privadas y la academia.</w:t>
      </w:r>
    </w:p>
    <w:p>
      <w:pPr>
        <w:spacing w:after="0" w:line="360" w:lineRule="auto"/>
        <w:jc w:val="both"/>
        <w:sectPr>
          <w:pgSz w:w="11910" w:h="16840"/>
          <w:pgMar w:header="0" w:footer="998" w:top="1360" w:bottom="1180" w:left="1600" w:right="1600"/>
        </w:sectPr>
      </w:pPr>
    </w:p>
    <w:p>
      <w:pPr>
        <w:pStyle w:val="Heading1"/>
        <w:spacing w:before="54"/>
        <w:ind w:left="2917" w:right="2917"/>
      </w:pPr>
      <w:bookmarkStart w:name="_bookmark99" w:id="131"/>
      <w:bookmarkEnd w:id="131"/>
      <w:r>
        <w:rPr>
          <w:b w:val="0"/>
        </w:rPr>
      </w:r>
      <w:r>
        <w:rPr/>
        <w:t>PROPUESTA</w:t>
      </w:r>
    </w:p>
    <w:p>
      <w:pPr>
        <w:pStyle w:val="BodyText"/>
        <w:spacing w:before="10"/>
        <w:rPr>
          <w:b/>
          <w:sz w:val="38"/>
        </w:rPr>
      </w:pPr>
    </w:p>
    <w:p>
      <w:pPr>
        <w:pStyle w:val="BodyText"/>
        <w:spacing w:line="360" w:lineRule="auto"/>
        <w:ind w:left="100" w:right="102"/>
        <w:jc w:val="both"/>
      </w:pPr>
      <w:r>
        <w:rPr/>
        <w:t>El análisis del desempeño del Estado mexicano sugiere que hay defectos fundamentales en el sistema político, lo que incide directamente en las condiciones de vida de la población </w:t>
      </w:r>
      <w:r>
        <w:rPr>
          <w:rFonts w:ascii="Cambria" w:hAnsi="Cambria"/>
        </w:rPr>
        <w:t>y en la confianza de ésta en las instituciones públicas. </w:t>
      </w:r>
      <w:r>
        <w:rPr/>
        <w:t>Se requiere una visión de aprendizaje de los errores (históricos y actuales) para evitar mayor pobreza, inestabilidad política y corrupción.</w:t>
      </w:r>
    </w:p>
    <w:p>
      <w:pPr>
        <w:pStyle w:val="BodyText"/>
      </w:pPr>
    </w:p>
    <w:p>
      <w:pPr>
        <w:pStyle w:val="BodyText"/>
        <w:spacing w:line="357" w:lineRule="auto" w:before="142"/>
        <w:ind w:left="100" w:right="385" w:firstLine="708"/>
      </w:pPr>
      <w:r>
        <w:rPr/>
        <w:t>Las propuestas más relevantes que pueden coadyuvar en un mejor desempeño del Estado son las siguientes:</w:t>
      </w:r>
    </w:p>
    <w:p>
      <w:pPr>
        <w:pStyle w:val="BodyText"/>
      </w:pPr>
    </w:p>
    <w:p>
      <w:pPr>
        <w:pStyle w:val="ListParagraph"/>
        <w:numPr>
          <w:ilvl w:val="2"/>
          <w:numId w:val="93"/>
        </w:numPr>
        <w:tabs>
          <w:tab w:pos="821" w:val="left" w:leader="none"/>
        </w:tabs>
        <w:spacing w:line="360" w:lineRule="auto" w:before="145" w:after="0"/>
        <w:ind w:left="821" w:right="101" w:hanging="361"/>
        <w:jc w:val="both"/>
        <w:rPr>
          <w:sz w:val="24"/>
        </w:rPr>
      </w:pPr>
      <w:r>
        <w:rPr>
          <w:sz w:val="24"/>
        </w:rPr>
        <w:t>Diseño,</w:t>
      </w:r>
      <w:r>
        <w:rPr>
          <w:spacing w:val="-16"/>
          <w:sz w:val="24"/>
        </w:rPr>
        <w:t> </w:t>
      </w:r>
      <w:r>
        <w:rPr>
          <w:sz w:val="24"/>
        </w:rPr>
        <w:t>implementación,</w:t>
      </w:r>
      <w:r>
        <w:rPr>
          <w:spacing w:val="-16"/>
          <w:sz w:val="24"/>
        </w:rPr>
        <w:t> </w:t>
      </w:r>
      <w:r>
        <w:rPr>
          <w:sz w:val="24"/>
        </w:rPr>
        <w:t>resultados</w:t>
      </w:r>
      <w:r>
        <w:rPr>
          <w:spacing w:val="-13"/>
          <w:sz w:val="24"/>
        </w:rPr>
        <w:t> </w:t>
      </w:r>
      <w:r>
        <w:rPr>
          <w:sz w:val="24"/>
        </w:rPr>
        <w:t>y</w:t>
      </w:r>
      <w:r>
        <w:rPr>
          <w:spacing w:val="-17"/>
          <w:sz w:val="24"/>
        </w:rPr>
        <w:t> </w:t>
      </w:r>
      <w:r>
        <w:rPr>
          <w:sz w:val="24"/>
        </w:rPr>
        <w:t>evaluación</w:t>
      </w:r>
      <w:r>
        <w:rPr>
          <w:spacing w:val="-19"/>
          <w:sz w:val="24"/>
        </w:rPr>
        <w:t> </w:t>
      </w:r>
      <w:r>
        <w:rPr>
          <w:sz w:val="24"/>
        </w:rPr>
        <w:t>de</w:t>
      </w:r>
      <w:r>
        <w:rPr>
          <w:spacing w:val="-19"/>
          <w:sz w:val="24"/>
        </w:rPr>
        <w:t> </w:t>
      </w:r>
      <w:r>
        <w:rPr>
          <w:sz w:val="24"/>
        </w:rPr>
        <w:t>las</w:t>
      </w:r>
      <w:r>
        <w:rPr>
          <w:spacing w:val="-13"/>
          <w:sz w:val="24"/>
        </w:rPr>
        <w:t> </w:t>
      </w:r>
      <w:r>
        <w:rPr>
          <w:sz w:val="24"/>
        </w:rPr>
        <w:t>políticas</w:t>
      </w:r>
      <w:r>
        <w:rPr>
          <w:spacing w:val="-13"/>
          <w:sz w:val="24"/>
        </w:rPr>
        <w:t> </w:t>
      </w:r>
      <w:r>
        <w:rPr>
          <w:sz w:val="24"/>
        </w:rPr>
        <w:t>públicas: Si bien las instituciones deben ejecutar las políticas para atender las necesidades de la población, muchas de ellas omiten precisar la población</w:t>
      </w:r>
      <w:r>
        <w:rPr>
          <w:spacing w:val="-8"/>
          <w:sz w:val="24"/>
        </w:rPr>
        <w:t> </w:t>
      </w:r>
      <w:r>
        <w:rPr>
          <w:sz w:val="24"/>
        </w:rPr>
        <w:t>potencialmente</w:t>
      </w:r>
      <w:r>
        <w:rPr>
          <w:spacing w:val="-8"/>
          <w:sz w:val="24"/>
        </w:rPr>
        <w:t> </w:t>
      </w:r>
      <w:r>
        <w:rPr>
          <w:sz w:val="24"/>
        </w:rPr>
        <w:t>beneficiaria,</w:t>
      </w:r>
      <w:r>
        <w:rPr>
          <w:spacing w:val="-5"/>
          <w:sz w:val="24"/>
        </w:rPr>
        <w:t> </w:t>
      </w:r>
      <w:r>
        <w:rPr>
          <w:sz w:val="24"/>
        </w:rPr>
        <w:t>y</w:t>
      </w:r>
      <w:r>
        <w:rPr>
          <w:spacing w:val="-10"/>
          <w:sz w:val="24"/>
        </w:rPr>
        <w:t> </w:t>
      </w:r>
      <w:r>
        <w:rPr>
          <w:sz w:val="24"/>
        </w:rPr>
        <w:t>en</w:t>
      </w:r>
      <w:r>
        <w:rPr>
          <w:spacing w:val="-8"/>
          <w:sz w:val="24"/>
        </w:rPr>
        <w:t> </w:t>
      </w:r>
      <w:r>
        <w:rPr>
          <w:sz w:val="24"/>
        </w:rPr>
        <w:t>los</w:t>
      </w:r>
      <w:r>
        <w:rPr>
          <w:spacing w:val="-6"/>
          <w:sz w:val="24"/>
        </w:rPr>
        <w:t> </w:t>
      </w:r>
      <w:r>
        <w:rPr>
          <w:sz w:val="24"/>
        </w:rPr>
        <w:t>casos</w:t>
      </w:r>
      <w:r>
        <w:rPr>
          <w:spacing w:val="-6"/>
          <w:sz w:val="24"/>
        </w:rPr>
        <w:t> </w:t>
      </w:r>
      <w:r>
        <w:rPr>
          <w:sz w:val="24"/>
        </w:rPr>
        <w:t>en</w:t>
      </w:r>
      <w:r>
        <w:rPr>
          <w:spacing w:val="-8"/>
          <w:sz w:val="24"/>
        </w:rPr>
        <w:t> </w:t>
      </w:r>
      <w:r>
        <w:rPr>
          <w:sz w:val="24"/>
        </w:rPr>
        <w:t>los</w:t>
      </w:r>
      <w:r>
        <w:rPr>
          <w:spacing w:val="-2"/>
          <w:sz w:val="24"/>
        </w:rPr>
        <w:t> </w:t>
      </w:r>
      <w:r>
        <w:rPr>
          <w:sz w:val="24"/>
        </w:rPr>
        <w:t>que</w:t>
      </w:r>
      <w:r>
        <w:rPr>
          <w:spacing w:val="-8"/>
          <w:sz w:val="24"/>
        </w:rPr>
        <w:t> </w:t>
      </w:r>
      <w:r>
        <w:rPr>
          <w:sz w:val="24"/>
        </w:rPr>
        <w:t>sí lo</w:t>
      </w:r>
      <w:r>
        <w:rPr>
          <w:spacing w:val="-7"/>
          <w:sz w:val="24"/>
        </w:rPr>
        <w:t> </w:t>
      </w:r>
      <w:r>
        <w:rPr>
          <w:sz w:val="24"/>
        </w:rPr>
        <w:t>han hecho, no siempre existe un compromiso social para asegurar que la población</w:t>
      </w:r>
      <w:r>
        <w:rPr>
          <w:spacing w:val="-6"/>
          <w:sz w:val="24"/>
        </w:rPr>
        <w:t> </w:t>
      </w:r>
      <w:r>
        <w:rPr>
          <w:sz w:val="24"/>
        </w:rPr>
        <w:t>haya</w:t>
      </w:r>
      <w:r>
        <w:rPr>
          <w:spacing w:val="-6"/>
          <w:sz w:val="24"/>
        </w:rPr>
        <w:t> </w:t>
      </w:r>
      <w:r>
        <w:rPr>
          <w:sz w:val="24"/>
        </w:rPr>
        <w:t>sido</w:t>
      </w:r>
      <w:r>
        <w:rPr>
          <w:spacing w:val="-6"/>
          <w:sz w:val="24"/>
        </w:rPr>
        <w:t> </w:t>
      </w:r>
      <w:r>
        <w:rPr>
          <w:sz w:val="24"/>
        </w:rPr>
        <w:t>atendida.</w:t>
      </w:r>
      <w:r>
        <w:rPr>
          <w:spacing w:val="-4"/>
          <w:sz w:val="24"/>
        </w:rPr>
        <w:t> </w:t>
      </w:r>
      <w:r>
        <w:rPr>
          <w:sz w:val="24"/>
        </w:rPr>
        <w:t>Se</w:t>
      </w:r>
      <w:r>
        <w:rPr>
          <w:spacing w:val="-6"/>
          <w:sz w:val="24"/>
        </w:rPr>
        <w:t> </w:t>
      </w:r>
      <w:r>
        <w:rPr>
          <w:sz w:val="24"/>
        </w:rPr>
        <w:t>sugiere</w:t>
      </w:r>
      <w:r>
        <w:rPr>
          <w:spacing w:val="-6"/>
          <w:sz w:val="24"/>
        </w:rPr>
        <w:t> </w:t>
      </w:r>
      <w:r>
        <w:rPr>
          <w:sz w:val="24"/>
        </w:rPr>
        <w:t>que,</w:t>
      </w:r>
      <w:r>
        <w:rPr>
          <w:spacing w:val="-4"/>
          <w:sz w:val="24"/>
        </w:rPr>
        <w:t> </w:t>
      </w:r>
      <w:r>
        <w:rPr>
          <w:sz w:val="24"/>
        </w:rPr>
        <w:t>al</w:t>
      </w:r>
      <w:r>
        <w:rPr>
          <w:spacing w:val="-6"/>
          <w:sz w:val="24"/>
        </w:rPr>
        <w:t> </w:t>
      </w:r>
      <w:r>
        <w:rPr>
          <w:sz w:val="24"/>
        </w:rPr>
        <w:t>momento</w:t>
      </w:r>
      <w:r>
        <w:rPr>
          <w:spacing w:val="-6"/>
          <w:sz w:val="24"/>
        </w:rPr>
        <w:t> </w:t>
      </w:r>
      <w:r>
        <w:rPr>
          <w:sz w:val="24"/>
        </w:rPr>
        <w:t>de</w:t>
      </w:r>
      <w:r>
        <w:rPr>
          <w:spacing w:val="-6"/>
          <w:sz w:val="24"/>
        </w:rPr>
        <w:t> </w:t>
      </w:r>
      <w:r>
        <w:rPr>
          <w:sz w:val="24"/>
        </w:rPr>
        <w:t>diseñar</w:t>
      </w:r>
      <w:r>
        <w:rPr>
          <w:spacing w:val="-4"/>
          <w:sz w:val="24"/>
        </w:rPr>
        <w:t> </w:t>
      </w:r>
      <w:r>
        <w:rPr>
          <w:sz w:val="24"/>
        </w:rPr>
        <w:t>las políticas públicas, los intereses de todos los involucrados sean ponderados, sobre todo los de la población </w:t>
      </w:r>
      <w:r>
        <w:rPr>
          <w:spacing w:val="-2"/>
          <w:sz w:val="24"/>
        </w:rPr>
        <w:t>más</w:t>
      </w:r>
      <w:r>
        <w:rPr>
          <w:spacing w:val="-27"/>
          <w:sz w:val="24"/>
        </w:rPr>
        <w:t> </w:t>
      </w:r>
      <w:r>
        <w:rPr>
          <w:sz w:val="24"/>
        </w:rPr>
        <w:t>vulnerable.</w:t>
      </w:r>
    </w:p>
    <w:p>
      <w:pPr>
        <w:pStyle w:val="BodyText"/>
        <w:spacing w:line="360" w:lineRule="auto" w:before="2"/>
        <w:ind w:left="821" w:right="103"/>
        <w:jc w:val="both"/>
      </w:pPr>
      <w:r>
        <w:rPr/>
        <w:t>La corrupción causa pobreza y un deterioro de los índices de desarrollo humano en el corto y largo plazos; por ello se sugiere realizar esfuerzos coordinados de instituciones, clase política y sociedad, basados en valores de ética y de política para subsanar la fragmentación de las políticas.</w:t>
      </w:r>
    </w:p>
    <w:p>
      <w:pPr>
        <w:pStyle w:val="BodyText"/>
        <w:spacing w:line="360" w:lineRule="auto" w:before="6"/>
        <w:ind w:left="809" w:right="104"/>
        <w:jc w:val="both"/>
      </w:pPr>
      <w:r>
        <w:rPr/>
        <w:t>Debido a que los problemas que causa la corrupción están interrelacionados, se requieren políticas colectivas (transversales) en los tres</w:t>
      </w:r>
      <w:r>
        <w:rPr>
          <w:spacing w:val="-11"/>
        </w:rPr>
        <w:t> </w:t>
      </w:r>
      <w:r>
        <w:rPr/>
        <w:t>órdenes</w:t>
      </w:r>
      <w:r>
        <w:rPr>
          <w:spacing w:val="-11"/>
        </w:rPr>
        <w:t> </w:t>
      </w:r>
      <w:r>
        <w:rPr/>
        <w:t>de</w:t>
      </w:r>
      <w:r>
        <w:rPr>
          <w:spacing w:val="-13"/>
        </w:rPr>
        <w:t> </w:t>
      </w:r>
      <w:r>
        <w:rPr/>
        <w:t>gobierno</w:t>
      </w:r>
      <w:r>
        <w:rPr>
          <w:spacing w:val="-9"/>
        </w:rPr>
        <w:t> </w:t>
      </w:r>
      <w:r>
        <w:rPr/>
        <w:t>y</w:t>
      </w:r>
      <w:r>
        <w:rPr>
          <w:spacing w:val="-15"/>
        </w:rPr>
        <w:t> </w:t>
      </w:r>
      <w:r>
        <w:rPr/>
        <w:t>los</w:t>
      </w:r>
      <w:r>
        <w:rPr>
          <w:spacing w:val="-11"/>
        </w:rPr>
        <w:t> </w:t>
      </w:r>
      <w:r>
        <w:rPr/>
        <w:t>tres</w:t>
      </w:r>
      <w:r>
        <w:rPr>
          <w:spacing w:val="-11"/>
        </w:rPr>
        <w:t> </w:t>
      </w:r>
      <w:r>
        <w:rPr/>
        <w:t>poderes</w:t>
      </w:r>
      <w:r>
        <w:rPr>
          <w:spacing w:val="-11"/>
        </w:rPr>
        <w:t> </w:t>
      </w:r>
      <w:r>
        <w:rPr/>
        <w:t>de</w:t>
      </w:r>
      <w:r>
        <w:rPr>
          <w:spacing w:val="-13"/>
        </w:rPr>
        <w:t> </w:t>
      </w:r>
      <w:r>
        <w:rPr/>
        <w:t>la</w:t>
      </w:r>
      <w:r>
        <w:rPr>
          <w:spacing w:val="-13"/>
        </w:rPr>
        <w:t> </w:t>
      </w:r>
      <w:r>
        <w:rPr/>
        <w:t>Unión.</w:t>
      </w:r>
      <w:r>
        <w:rPr>
          <w:spacing w:val="-10"/>
        </w:rPr>
        <w:t> </w:t>
      </w:r>
      <w:r>
        <w:rPr/>
        <w:t>Este</w:t>
      </w:r>
      <w:r>
        <w:rPr>
          <w:spacing w:val="-13"/>
        </w:rPr>
        <w:t> </w:t>
      </w:r>
      <w:r>
        <w:rPr/>
        <w:t>trabajo</w:t>
      </w:r>
      <w:r>
        <w:rPr>
          <w:spacing w:val="-13"/>
        </w:rPr>
        <w:t> </w:t>
      </w:r>
      <w:r>
        <w:rPr/>
        <w:t>hace la recomendación de diseñar e implementar medidas de política coordinada.</w:t>
      </w:r>
    </w:p>
    <w:p>
      <w:pPr>
        <w:pStyle w:val="BodyText"/>
        <w:spacing w:line="360" w:lineRule="auto" w:before="2"/>
        <w:ind w:left="809" w:right="99"/>
        <w:jc w:val="both"/>
      </w:pPr>
      <w:r>
        <w:rPr/>
        <w:t>El desarrollo de México consiste en crear, implementar y evaluar los resultados de las políticas públicas con base en principios científico- políticos, para lograr un Estado más equitativo y democrático.</w:t>
      </w:r>
    </w:p>
    <w:p>
      <w:pPr>
        <w:spacing w:after="0" w:line="360" w:lineRule="auto"/>
        <w:jc w:val="both"/>
        <w:sectPr>
          <w:footerReference w:type="default" r:id="rId224"/>
          <w:pgSz w:w="11910" w:h="16840"/>
          <w:pgMar w:footer="998" w:header="0" w:top="1340" w:bottom="1180" w:left="1600" w:right="1600"/>
        </w:sectPr>
      </w:pPr>
    </w:p>
    <w:p>
      <w:pPr>
        <w:pStyle w:val="BodyText"/>
        <w:spacing w:line="360" w:lineRule="auto" w:before="39"/>
        <w:ind w:left="729" w:right="108"/>
        <w:jc w:val="both"/>
      </w:pPr>
      <w:r>
        <w:rPr/>
        <w:t>Se sugiere orientar esfuerzos hacia “educar en ética y en política” desde la infancia, ya que esto tiene un impacto decisivo en su carácter futuro, por ser los próximos representantes de la clase política.</w:t>
      </w:r>
    </w:p>
    <w:p>
      <w:pPr>
        <w:pStyle w:val="ListParagraph"/>
        <w:numPr>
          <w:ilvl w:val="2"/>
          <w:numId w:val="93"/>
        </w:numPr>
        <w:tabs>
          <w:tab w:pos="741" w:val="left" w:leader="none"/>
        </w:tabs>
        <w:spacing w:line="360" w:lineRule="auto" w:before="6" w:after="0"/>
        <w:ind w:left="729" w:right="103" w:hanging="349"/>
        <w:jc w:val="left"/>
        <w:rPr>
          <w:sz w:val="24"/>
        </w:rPr>
      </w:pPr>
      <w:r>
        <w:rPr>
          <w:sz w:val="24"/>
        </w:rPr>
        <w:t>Intervención del Estado: Estado mexicano interviene y regula el mercado por antonomasia </w:t>
      </w:r>
      <w:r>
        <w:rPr>
          <w:spacing w:val="-3"/>
          <w:sz w:val="24"/>
        </w:rPr>
        <w:t>y, </w:t>
      </w:r>
      <w:r>
        <w:rPr>
          <w:sz w:val="24"/>
        </w:rPr>
        <w:t>por ende, incide en el nivel de desarrollo humano de la</w:t>
      </w:r>
      <w:r>
        <w:rPr>
          <w:spacing w:val="-14"/>
          <w:sz w:val="24"/>
        </w:rPr>
        <w:t> </w:t>
      </w:r>
      <w:r>
        <w:rPr>
          <w:sz w:val="24"/>
        </w:rPr>
        <w:t>población.</w:t>
      </w:r>
      <w:r>
        <w:rPr>
          <w:spacing w:val="-11"/>
          <w:sz w:val="24"/>
        </w:rPr>
        <w:t> </w:t>
      </w:r>
      <w:r>
        <w:rPr>
          <w:sz w:val="24"/>
        </w:rPr>
        <w:t>Las</w:t>
      </w:r>
      <w:r>
        <w:rPr>
          <w:spacing w:val="-12"/>
          <w:sz w:val="24"/>
        </w:rPr>
        <w:t> </w:t>
      </w:r>
      <w:r>
        <w:rPr>
          <w:sz w:val="24"/>
        </w:rPr>
        <w:t>políticas</w:t>
      </w:r>
      <w:r>
        <w:rPr>
          <w:spacing w:val="-12"/>
          <w:sz w:val="24"/>
        </w:rPr>
        <w:t> </w:t>
      </w:r>
      <w:r>
        <w:rPr>
          <w:sz w:val="24"/>
        </w:rPr>
        <w:t>afectan</w:t>
      </w:r>
      <w:r>
        <w:rPr>
          <w:spacing w:val="-14"/>
          <w:sz w:val="24"/>
        </w:rPr>
        <w:t> </w:t>
      </w:r>
      <w:r>
        <w:rPr>
          <w:sz w:val="24"/>
        </w:rPr>
        <w:t>de</w:t>
      </w:r>
      <w:r>
        <w:rPr>
          <w:spacing w:val="-14"/>
          <w:sz w:val="24"/>
        </w:rPr>
        <w:t> </w:t>
      </w:r>
      <w:r>
        <w:rPr>
          <w:sz w:val="24"/>
        </w:rPr>
        <w:t>modo</w:t>
      </w:r>
      <w:r>
        <w:rPr>
          <w:spacing w:val="-14"/>
          <w:sz w:val="24"/>
        </w:rPr>
        <w:t> </w:t>
      </w:r>
      <w:r>
        <w:rPr>
          <w:sz w:val="24"/>
        </w:rPr>
        <w:t>desigual</w:t>
      </w:r>
      <w:r>
        <w:rPr>
          <w:spacing w:val="-13"/>
          <w:sz w:val="24"/>
        </w:rPr>
        <w:t> </w:t>
      </w:r>
      <w:r>
        <w:rPr>
          <w:sz w:val="24"/>
        </w:rPr>
        <w:t>a</w:t>
      </w:r>
      <w:r>
        <w:rPr>
          <w:spacing w:val="-14"/>
          <w:sz w:val="24"/>
        </w:rPr>
        <w:t> </w:t>
      </w:r>
      <w:r>
        <w:rPr>
          <w:sz w:val="24"/>
        </w:rPr>
        <w:t>los</w:t>
      </w:r>
      <w:r>
        <w:rPr>
          <w:spacing w:val="-12"/>
          <w:sz w:val="24"/>
        </w:rPr>
        <w:t> </w:t>
      </w:r>
      <w:r>
        <w:rPr>
          <w:sz w:val="24"/>
        </w:rPr>
        <w:t>distintos</w:t>
      </w:r>
      <w:r>
        <w:rPr>
          <w:spacing w:val="-12"/>
          <w:sz w:val="24"/>
        </w:rPr>
        <w:t> </w:t>
      </w:r>
      <w:r>
        <w:rPr>
          <w:sz w:val="24"/>
        </w:rPr>
        <w:t>grupos sociales. El papel del Estado es subsanar estas desigualdades y generar equidad, justicia y estabilidad social. Debe cuidar que no tener una sobrerregulación o escasa intervención, pues esto ha sido un factor importante de corrupción. El Estado debe actuar con </w:t>
      </w:r>
      <w:r>
        <w:rPr>
          <w:spacing w:val="-2"/>
          <w:sz w:val="24"/>
        </w:rPr>
        <w:t>más </w:t>
      </w:r>
      <w:r>
        <w:rPr>
          <w:sz w:val="24"/>
        </w:rPr>
        <w:t>humanidad.  Se</w:t>
      </w:r>
      <w:r>
        <w:rPr>
          <w:spacing w:val="-18"/>
          <w:sz w:val="24"/>
        </w:rPr>
        <w:t> </w:t>
      </w:r>
      <w:r>
        <w:rPr>
          <w:sz w:val="24"/>
        </w:rPr>
        <w:t>propone</w:t>
      </w:r>
      <w:r>
        <w:rPr>
          <w:spacing w:val="-18"/>
          <w:sz w:val="24"/>
        </w:rPr>
        <w:t> </w:t>
      </w:r>
      <w:r>
        <w:rPr>
          <w:sz w:val="24"/>
        </w:rPr>
        <w:t>adoptar</w:t>
      </w:r>
      <w:r>
        <w:rPr>
          <w:spacing w:val="-17"/>
          <w:sz w:val="24"/>
        </w:rPr>
        <w:t> </w:t>
      </w:r>
      <w:r>
        <w:rPr>
          <w:sz w:val="24"/>
        </w:rPr>
        <w:t>una</w:t>
      </w:r>
      <w:r>
        <w:rPr>
          <w:spacing w:val="-18"/>
          <w:sz w:val="24"/>
        </w:rPr>
        <w:t> </w:t>
      </w:r>
      <w:r>
        <w:rPr>
          <w:sz w:val="24"/>
        </w:rPr>
        <w:t>visión</w:t>
      </w:r>
      <w:r>
        <w:rPr>
          <w:spacing w:val="-18"/>
          <w:sz w:val="24"/>
        </w:rPr>
        <w:t> </w:t>
      </w:r>
      <w:r>
        <w:rPr>
          <w:sz w:val="24"/>
        </w:rPr>
        <w:t>científica</w:t>
      </w:r>
      <w:r>
        <w:rPr>
          <w:spacing w:val="-18"/>
          <w:sz w:val="24"/>
        </w:rPr>
        <w:t> </w:t>
      </w:r>
      <w:r>
        <w:rPr>
          <w:sz w:val="24"/>
        </w:rPr>
        <w:t>para</w:t>
      </w:r>
      <w:r>
        <w:rPr>
          <w:spacing w:val="-18"/>
          <w:sz w:val="24"/>
        </w:rPr>
        <w:t> </w:t>
      </w:r>
      <w:r>
        <w:rPr>
          <w:sz w:val="24"/>
        </w:rPr>
        <w:t>identificar</w:t>
      </w:r>
      <w:r>
        <w:rPr>
          <w:spacing w:val="-17"/>
          <w:sz w:val="24"/>
        </w:rPr>
        <w:t> </w:t>
      </w:r>
      <w:r>
        <w:rPr>
          <w:sz w:val="24"/>
        </w:rPr>
        <w:t>aquellas</w:t>
      </w:r>
      <w:r>
        <w:rPr>
          <w:spacing w:val="-17"/>
          <w:sz w:val="24"/>
        </w:rPr>
        <w:t> </w:t>
      </w:r>
      <w:r>
        <w:rPr>
          <w:sz w:val="24"/>
        </w:rPr>
        <w:t>variables que </w:t>
      </w:r>
      <w:r>
        <w:rPr>
          <w:spacing w:val="-2"/>
          <w:sz w:val="24"/>
        </w:rPr>
        <w:t>más </w:t>
      </w:r>
      <w:r>
        <w:rPr>
          <w:sz w:val="24"/>
        </w:rPr>
        <w:t>afectan los resultados. El Estado debe imponerse mediante juicios políticos, no en ideologías, lo cual otorga una visión más equilibrada sobre sus alcances y</w:t>
      </w:r>
      <w:r>
        <w:rPr>
          <w:spacing w:val="-21"/>
          <w:sz w:val="24"/>
        </w:rPr>
        <w:t> </w:t>
      </w:r>
      <w:r>
        <w:rPr>
          <w:sz w:val="24"/>
        </w:rPr>
        <w:t>límites.</w:t>
      </w:r>
    </w:p>
    <w:p>
      <w:pPr>
        <w:pStyle w:val="BodyText"/>
      </w:pPr>
    </w:p>
    <w:p>
      <w:pPr>
        <w:pStyle w:val="ListParagraph"/>
        <w:numPr>
          <w:ilvl w:val="2"/>
          <w:numId w:val="93"/>
        </w:numPr>
        <w:tabs>
          <w:tab w:pos="741" w:val="left" w:leader="none"/>
        </w:tabs>
        <w:spacing w:line="360" w:lineRule="auto" w:before="141" w:after="0"/>
        <w:ind w:left="741" w:right="106" w:hanging="361"/>
        <w:jc w:val="both"/>
        <w:rPr>
          <w:sz w:val="24"/>
        </w:rPr>
      </w:pPr>
      <w:r>
        <w:rPr>
          <w:sz w:val="24"/>
        </w:rPr>
        <w:t>Rendición de cuentas: La sociedad requiere que el Congreso realice con mayor profundidad su tarea de revisión de cuentas. Se requiere que los representantes de la sociedad sean más sensibles a los problemas de la población, ya que, aunque son elegidos por consenso, no se percibe que asuman una responsabilidad directa con la</w:t>
      </w:r>
      <w:r>
        <w:rPr>
          <w:spacing w:val="-29"/>
          <w:sz w:val="24"/>
        </w:rPr>
        <w:t> </w:t>
      </w:r>
      <w:r>
        <w:rPr>
          <w:sz w:val="24"/>
        </w:rPr>
        <w:t>sociedad.</w:t>
      </w:r>
    </w:p>
    <w:p>
      <w:pPr>
        <w:pStyle w:val="BodyText"/>
        <w:spacing w:line="360" w:lineRule="auto" w:before="2"/>
        <w:ind w:left="729" w:right="102"/>
        <w:jc w:val="both"/>
      </w:pPr>
      <w:r>
        <w:rPr/>
        <w:t>En la medida el Congreso actúe de forma transparente y que el trabajo legislativo tenga efectos positivos en la población, aumentarán las contribuciones que dan sustento a las políticas públicas y, por tanto, puede lograrse un mayor desarrollo humano. La transparencia y la rendición de cuentas pueden coadyuvar a que la sociedad cambie su precepción sobre su gobierno.</w:t>
      </w:r>
    </w:p>
    <w:p>
      <w:pPr>
        <w:pStyle w:val="BodyText"/>
        <w:spacing w:line="360" w:lineRule="auto" w:before="2"/>
        <w:ind w:left="741" w:right="99"/>
        <w:jc w:val="both"/>
      </w:pPr>
      <w:r>
        <w:rPr/>
        <w:t>Se</w:t>
      </w:r>
      <w:r>
        <w:rPr>
          <w:spacing w:val="-17"/>
        </w:rPr>
        <w:t> </w:t>
      </w:r>
      <w:r>
        <w:rPr/>
        <w:t>requiere</w:t>
      </w:r>
      <w:r>
        <w:rPr>
          <w:spacing w:val="-17"/>
        </w:rPr>
        <w:t> </w:t>
      </w:r>
      <w:r>
        <w:rPr/>
        <w:t>un</w:t>
      </w:r>
      <w:r>
        <w:rPr>
          <w:spacing w:val="-13"/>
        </w:rPr>
        <w:t> </w:t>
      </w:r>
      <w:r>
        <w:rPr/>
        <w:t>mayor</w:t>
      </w:r>
      <w:r>
        <w:rPr>
          <w:spacing w:val="-15"/>
        </w:rPr>
        <w:t> </w:t>
      </w:r>
      <w:r>
        <w:rPr/>
        <w:t>interés</w:t>
      </w:r>
      <w:r>
        <w:rPr>
          <w:spacing w:val="-15"/>
        </w:rPr>
        <w:t> </w:t>
      </w:r>
      <w:r>
        <w:rPr/>
        <w:t>y</w:t>
      </w:r>
      <w:r>
        <w:rPr>
          <w:spacing w:val="-19"/>
        </w:rPr>
        <w:t> </w:t>
      </w:r>
      <w:r>
        <w:rPr/>
        <w:t>participación</w:t>
      </w:r>
      <w:r>
        <w:rPr>
          <w:spacing w:val="-17"/>
        </w:rPr>
        <w:t> </w:t>
      </w:r>
      <w:r>
        <w:rPr/>
        <w:t>de</w:t>
      </w:r>
      <w:r>
        <w:rPr>
          <w:spacing w:val="-17"/>
        </w:rPr>
        <w:t> </w:t>
      </w:r>
      <w:r>
        <w:rPr/>
        <w:t>la</w:t>
      </w:r>
      <w:r>
        <w:rPr>
          <w:spacing w:val="-17"/>
        </w:rPr>
        <w:t> </w:t>
      </w:r>
      <w:r>
        <w:rPr/>
        <w:t>ciudadanía</w:t>
      </w:r>
      <w:r>
        <w:rPr>
          <w:spacing w:val="-17"/>
        </w:rPr>
        <w:t> </w:t>
      </w:r>
      <w:r>
        <w:rPr/>
        <w:t>para</w:t>
      </w:r>
      <w:r>
        <w:rPr>
          <w:spacing w:val="-17"/>
        </w:rPr>
        <w:t> </w:t>
      </w:r>
      <w:r>
        <w:rPr/>
        <w:t>evaluar al Estado. Esto no sólo se trata de eficientar a las instituciones, sino cambiar esquemas mentales hacia formas científicas de pensar. Es necesario fortalecer las instituciones, ya que su debilidad causa impunidad, lo que subsidia la</w:t>
      </w:r>
      <w:r>
        <w:rPr>
          <w:spacing w:val="-22"/>
        </w:rPr>
        <w:t> </w:t>
      </w:r>
      <w:r>
        <w:rPr/>
        <w:t>corrupción.</w:t>
      </w:r>
    </w:p>
    <w:p>
      <w:pPr>
        <w:pStyle w:val="BodyText"/>
      </w:pPr>
    </w:p>
    <w:p>
      <w:pPr>
        <w:pStyle w:val="BodyText"/>
        <w:spacing w:line="357" w:lineRule="auto" w:before="142"/>
        <w:ind w:left="741" w:right="101"/>
        <w:jc w:val="both"/>
      </w:pPr>
      <w:r>
        <w:rPr/>
        <w:t>La sociedad debe hacerse cargo de su propio destino, por lo que es responsabilidad  individual  y  colectiva  buscar  los  mecanismos      que</w:t>
      </w:r>
    </w:p>
    <w:p>
      <w:pPr>
        <w:spacing w:after="0" w:line="357" w:lineRule="auto"/>
        <w:jc w:val="both"/>
        <w:sectPr>
          <w:footerReference w:type="default" r:id="rId225"/>
          <w:pgSz w:w="11910" w:h="16840"/>
          <w:pgMar w:footer="998" w:header="0" w:top="1360" w:bottom="1180" w:left="1680" w:right="1600"/>
          <w:pgNumType w:start="171"/>
        </w:sectPr>
      </w:pPr>
    </w:p>
    <w:p>
      <w:pPr>
        <w:pStyle w:val="BodyText"/>
        <w:spacing w:line="362" w:lineRule="auto" w:before="39"/>
        <w:ind w:left="821" w:right="91"/>
      </w:pPr>
      <w:r>
        <w:rPr/>
        <w:t>permitan mejorar la rendición de cuentas. La participación de la sociedad en exigir cuentas es esencial para un cambio político.</w:t>
      </w:r>
    </w:p>
    <w:p>
      <w:pPr>
        <w:pStyle w:val="BodyText"/>
        <w:spacing w:line="360" w:lineRule="auto"/>
        <w:ind w:left="100" w:right="101" w:firstLine="708"/>
        <w:jc w:val="both"/>
      </w:pPr>
      <w:r>
        <w:rPr/>
        <w:t>Es probable que la gobernanza permita la colectividad y a la vez pueda hacer prevalecer el poder estatal y eliminar la fragmentación de las políticas públicas. Aunque se analizó que la gobernanza no necesariamente refleja políticas eficientes, es posible subsanar la fragmentación de las políticas públicas cuando se cuenta con la voluntad de regirse por los principios de la ciencia política y la participación de la sociedad, lo que genera un compromiso personal</w:t>
      </w:r>
      <w:r>
        <w:rPr>
          <w:spacing w:val="-12"/>
        </w:rPr>
        <w:t> </w:t>
      </w:r>
      <w:r>
        <w:rPr/>
        <w:t>y</w:t>
      </w:r>
      <w:r>
        <w:rPr>
          <w:spacing w:val="-18"/>
        </w:rPr>
        <w:t> </w:t>
      </w:r>
      <w:r>
        <w:rPr/>
        <w:t>social.</w:t>
      </w:r>
      <w:r>
        <w:rPr>
          <w:spacing w:val="-12"/>
        </w:rPr>
        <w:t> </w:t>
      </w:r>
      <w:r>
        <w:rPr/>
        <w:t>Orientarse</w:t>
      </w:r>
      <w:r>
        <w:rPr>
          <w:spacing w:val="-16"/>
        </w:rPr>
        <w:t> </w:t>
      </w:r>
      <w:r>
        <w:rPr/>
        <w:t>hacia</w:t>
      </w:r>
      <w:r>
        <w:rPr>
          <w:spacing w:val="-16"/>
        </w:rPr>
        <w:t> </w:t>
      </w:r>
      <w:r>
        <w:rPr/>
        <w:t>el</w:t>
      </w:r>
      <w:r>
        <w:rPr>
          <w:spacing w:val="-15"/>
        </w:rPr>
        <w:t> </w:t>
      </w:r>
      <w:r>
        <w:rPr/>
        <w:t>buen</w:t>
      </w:r>
      <w:r>
        <w:rPr>
          <w:spacing w:val="-16"/>
        </w:rPr>
        <w:t> </w:t>
      </w:r>
      <w:r>
        <w:rPr/>
        <w:t>gobierno</w:t>
      </w:r>
      <w:r>
        <w:rPr>
          <w:spacing w:val="-16"/>
        </w:rPr>
        <w:t> </w:t>
      </w:r>
      <w:r>
        <w:rPr/>
        <w:t>debe</w:t>
      </w:r>
      <w:r>
        <w:rPr>
          <w:spacing w:val="-16"/>
        </w:rPr>
        <w:t> </w:t>
      </w:r>
      <w:r>
        <w:rPr/>
        <w:t>ser</w:t>
      </w:r>
      <w:r>
        <w:rPr>
          <w:spacing w:val="-14"/>
        </w:rPr>
        <w:t> </w:t>
      </w:r>
      <w:r>
        <w:rPr/>
        <w:t>el</w:t>
      </w:r>
      <w:r>
        <w:rPr>
          <w:spacing w:val="-15"/>
        </w:rPr>
        <w:t> </w:t>
      </w:r>
      <w:r>
        <w:rPr/>
        <w:t>objetivo</w:t>
      </w:r>
      <w:r>
        <w:rPr>
          <w:spacing w:val="-16"/>
        </w:rPr>
        <w:t> </w:t>
      </w:r>
      <w:r>
        <w:rPr/>
        <w:t>principal de</w:t>
      </w:r>
      <w:r>
        <w:rPr>
          <w:spacing w:val="-10"/>
        </w:rPr>
        <w:t> </w:t>
      </w:r>
      <w:r>
        <w:rPr/>
        <w:t>todos.</w:t>
      </w:r>
    </w:p>
    <w:p>
      <w:pPr>
        <w:spacing w:after="0" w:line="360" w:lineRule="auto"/>
        <w:jc w:val="both"/>
        <w:sectPr>
          <w:pgSz w:w="11910" w:h="16840"/>
          <w:pgMar w:header="0" w:footer="998" w:top="1360" w:bottom="1180" w:left="1600" w:right="1600"/>
        </w:sectPr>
      </w:pPr>
    </w:p>
    <w:p>
      <w:pPr>
        <w:pStyle w:val="Heading1"/>
        <w:spacing w:before="54"/>
        <w:ind w:left="3539" w:right="3643"/>
      </w:pPr>
      <w:bookmarkStart w:name="_bookmark100" w:id="132"/>
      <w:bookmarkEnd w:id="132"/>
      <w:r>
        <w:rPr>
          <w:b w:val="0"/>
        </w:rPr>
      </w:r>
      <w:r>
        <w:rPr/>
        <w:t>Referencias</w:t>
      </w:r>
    </w:p>
    <w:p>
      <w:pPr>
        <w:pStyle w:val="BodyText"/>
        <w:rPr>
          <w:b/>
          <w:sz w:val="28"/>
        </w:rPr>
      </w:pPr>
    </w:p>
    <w:p>
      <w:pPr>
        <w:pStyle w:val="BodyText"/>
        <w:rPr>
          <w:b/>
          <w:sz w:val="38"/>
        </w:rPr>
      </w:pPr>
    </w:p>
    <w:p>
      <w:pPr>
        <w:spacing w:line="362" w:lineRule="auto" w:before="0"/>
        <w:ind w:left="384" w:right="201" w:hanging="284"/>
        <w:jc w:val="both"/>
        <w:rPr>
          <w:sz w:val="24"/>
        </w:rPr>
      </w:pPr>
      <w:r>
        <w:rPr>
          <w:sz w:val="24"/>
        </w:rPr>
        <w:t>Ackerman, M. John. (2006). </w:t>
      </w:r>
      <w:r>
        <w:rPr>
          <w:i/>
          <w:sz w:val="24"/>
        </w:rPr>
        <w:t>La estructura institucional para la rendición de </w:t>
      </w:r>
      <w:r>
        <w:rPr>
          <w:i/>
          <w:sz w:val="24"/>
        </w:rPr>
        <w:t>cuentas: lecciones internacionales y reformas futuras. </w:t>
      </w:r>
      <w:r>
        <w:rPr>
          <w:sz w:val="24"/>
        </w:rPr>
        <w:t>Cámara de Diputados, LX Legislatura. Auditoria Superior de la Federación. Serie: Cultura de la rendición de cuentas. México.</w:t>
      </w:r>
    </w:p>
    <w:p>
      <w:pPr>
        <w:pStyle w:val="BodyText"/>
        <w:spacing w:before="8"/>
        <w:rPr>
          <w:sz w:val="35"/>
        </w:rPr>
      </w:pPr>
    </w:p>
    <w:p>
      <w:pPr>
        <w:spacing w:line="357" w:lineRule="auto" w:before="1"/>
        <w:ind w:left="384" w:right="204" w:hanging="284"/>
        <w:jc w:val="both"/>
        <w:rPr>
          <w:sz w:val="24"/>
        </w:rPr>
      </w:pPr>
      <w:r>
        <w:rPr>
          <w:sz w:val="24"/>
        </w:rPr>
        <w:t>Ayala Espino, José. (2000). </w:t>
      </w:r>
      <w:r>
        <w:rPr>
          <w:i/>
          <w:sz w:val="24"/>
        </w:rPr>
        <w:t>Diccionario Moderno de la Economía del Sector </w:t>
      </w:r>
      <w:r>
        <w:rPr>
          <w:i/>
          <w:sz w:val="24"/>
        </w:rPr>
        <w:t>Público</w:t>
      </w:r>
      <w:r>
        <w:rPr>
          <w:sz w:val="24"/>
        </w:rPr>
        <w:t>. Editorial Diana. Primera edición. México.</w:t>
      </w:r>
    </w:p>
    <w:p>
      <w:pPr>
        <w:pStyle w:val="BodyText"/>
      </w:pPr>
    </w:p>
    <w:p>
      <w:pPr>
        <w:spacing w:line="362" w:lineRule="auto" w:before="145"/>
        <w:ind w:left="384" w:right="208" w:hanging="284"/>
        <w:jc w:val="both"/>
        <w:rPr>
          <w:sz w:val="24"/>
        </w:rPr>
      </w:pPr>
      <w:r>
        <w:rPr>
          <w:sz w:val="24"/>
        </w:rPr>
        <w:t>ASF. (2004). </w:t>
      </w:r>
      <w:r>
        <w:rPr>
          <w:i/>
          <w:sz w:val="24"/>
        </w:rPr>
        <w:t>1824-2004, 180 años de rendición de cuentas y fiscalización en </w:t>
      </w:r>
      <w:r>
        <w:rPr>
          <w:i/>
          <w:sz w:val="24"/>
        </w:rPr>
        <w:t>México</w:t>
      </w:r>
      <w:r>
        <w:rPr>
          <w:sz w:val="24"/>
        </w:rPr>
        <w:t>. México.</w:t>
      </w:r>
    </w:p>
    <w:p>
      <w:pPr>
        <w:pStyle w:val="BodyText"/>
      </w:pPr>
    </w:p>
    <w:p>
      <w:pPr>
        <w:spacing w:line="357" w:lineRule="auto" w:before="139"/>
        <w:ind w:left="384" w:right="109" w:hanging="284"/>
        <w:jc w:val="both"/>
        <w:rPr>
          <w:sz w:val="24"/>
        </w:rPr>
      </w:pPr>
      <w:r>
        <w:rPr>
          <w:sz w:val="24"/>
        </w:rPr>
        <w:t>ASF.</w:t>
      </w:r>
      <w:r>
        <w:rPr>
          <w:spacing w:val="-5"/>
          <w:sz w:val="24"/>
        </w:rPr>
        <w:t> </w:t>
      </w:r>
      <w:r>
        <w:rPr>
          <w:sz w:val="24"/>
        </w:rPr>
        <w:t>(2005).</w:t>
      </w:r>
      <w:r>
        <w:rPr>
          <w:spacing w:val="-4"/>
          <w:sz w:val="24"/>
        </w:rPr>
        <w:t> </w:t>
      </w:r>
      <w:r>
        <w:rPr>
          <w:i/>
          <w:sz w:val="24"/>
        </w:rPr>
        <w:t>Acervo</w:t>
      </w:r>
      <w:r>
        <w:rPr>
          <w:i/>
          <w:spacing w:val="-8"/>
          <w:sz w:val="24"/>
        </w:rPr>
        <w:t> </w:t>
      </w:r>
      <w:r>
        <w:rPr>
          <w:i/>
          <w:sz w:val="24"/>
        </w:rPr>
        <w:t>jurídico</w:t>
      </w:r>
      <w:r>
        <w:rPr>
          <w:i/>
          <w:spacing w:val="-4"/>
          <w:sz w:val="24"/>
        </w:rPr>
        <w:t> </w:t>
      </w:r>
      <w:r>
        <w:rPr>
          <w:i/>
          <w:sz w:val="24"/>
        </w:rPr>
        <w:t>de</w:t>
      </w:r>
      <w:r>
        <w:rPr>
          <w:i/>
          <w:spacing w:val="-8"/>
          <w:sz w:val="24"/>
        </w:rPr>
        <w:t> </w:t>
      </w:r>
      <w:r>
        <w:rPr>
          <w:i/>
          <w:sz w:val="24"/>
        </w:rPr>
        <w:t>la</w:t>
      </w:r>
      <w:r>
        <w:rPr>
          <w:i/>
          <w:spacing w:val="-8"/>
          <w:sz w:val="24"/>
        </w:rPr>
        <w:t> </w:t>
      </w:r>
      <w:r>
        <w:rPr>
          <w:i/>
          <w:sz w:val="24"/>
        </w:rPr>
        <w:t>Rendición</w:t>
      </w:r>
      <w:r>
        <w:rPr>
          <w:i/>
          <w:spacing w:val="-8"/>
          <w:sz w:val="24"/>
        </w:rPr>
        <w:t> </w:t>
      </w:r>
      <w:r>
        <w:rPr>
          <w:i/>
          <w:sz w:val="24"/>
        </w:rPr>
        <w:t>de</w:t>
      </w:r>
      <w:r>
        <w:rPr>
          <w:i/>
          <w:spacing w:val="-2"/>
          <w:sz w:val="24"/>
        </w:rPr>
        <w:t> </w:t>
      </w:r>
      <w:r>
        <w:rPr>
          <w:i/>
          <w:sz w:val="24"/>
        </w:rPr>
        <w:t>Cuentas</w:t>
      </w:r>
      <w:r>
        <w:rPr>
          <w:i/>
          <w:spacing w:val="-6"/>
          <w:sz w:val="24"/>
        </w:rPr>
        <w:t> </w:t>
      </w:r>
      <w:r>
        <w:rPr>
          <w:i/>
          <w:sz w:val="24"/>
        </w:rPr>
        <w:t>y</w:t>
      </w:r>
      <w:r>
        <w:rPr>
          <w:i/>
          <w:spacing w:val="-6"/>
          <w:sz w:val="24"/>
        </w:rPr>
        <w:t> </w:t>
      </w:r>
      <w:r>
        <w:rPr>
          <w:i/>
          <w:sz w:val="24"/>
        </w:rPr>
        <w:t>Fiscalización</w:t>
      </w:r>
      <w:r>
        <w:rPr>
          <w:i/>
          <w:spacing w:val="-8"/>
          <w:sz w:val="24"/>
        </w:rPr>
        <w:t> </w:t>
      </w:r>
      <w:r>
        <w:rPr>
          <w:i/>
          <w:sz w:val="24"/>
        </w:rPr>
        <w:t>Superior </w:t>
      </w:r>
      <w:r>
        <w:rPr>
          <w:i/>
          <w:sz w:val="24"/>
        </w:rPr>
        <w:t>en México. O</w:t>
      </w:r>
      <w:r>
        <w:rPr>
          <w:sz w:val="24"/>
        </w:rPr>
        <w:t>ctubre 1824-abril 2005.</w:t>
      </w:r>
      <w:r>
        <w:rPr>
          <w:spacing w:val="-21"/>
          <w:sz w:val="24"/>
        </w:rPr>
        <w:t> </w:t>
      </w:r>
      <w:r>
        <w:rPr>
          <w:sz w:val="24"/>
        </w:rPr>
        <w:t>México</w:t>
      </w:r>
    </w:p>
    <w:p>
      <w:pPr>
        <w:pStyle w:val="BodyText"/>
      </w:pPr>
    </w:p>
    <w:p>
      <w:pPr>
        <w:spacing w:line="362" w:lineRule="auto" w:before="145"/>
        <w:ind w:left="384" w:right="203" w:hanging="284"/>
        <w:jc w:val="both"/>
        <w:rPr>
          <w:sz w:val="24"/>
        </w:rPr>
      </w:pPr>
      <w:r>
        <w:rPr>
          <w:sz w:val="24"/>
        </w:rPr>
        <w:t>ASF. (2009). Fiscalización superior en México. </w:t>
      </w:r>
      <w:r>
        <w:rPr>
          <w:i/>
          <w:sz w:val="24"/>
        </w:rPr>
        <w:t>Reformas a la Constitución </w:t>
      </w:r>
      <w:r>
        <w:rPr>
          <w:i/>
          <w:sz w:val="24"/>
        </w:rPr>
        <w:t>Política de los Estados Unidos Mexicanos y a la ley reglamentaria</w:t>
      </w:r>
      <w:r>
        <w:rPr>
          <w:sz w:val="24"/>
        </w:rPr>
        <w:t>. México</w:t>
      </w:r>
    </w:p>
    <w:p>
      <w:pPr>
        <w:pStyle w:val="BodyText"/>
      </w:pPr>
    </w:p>
    <w:p>
      <w:pPr>
        <w:spacing w:line="360" w:lineRule="auto" w:before="139"/>
        <w:ind w:left="384" w:right="205" w:hanging="284"/>
        <w:jc w:val="both"/>
        <w:rPr>
          <w:sz w:val="24"/>
        </w:rPr>
      </w:pPr>
      <w:r>
        <w:rPr>
          <w:sz w:val="24"/>
        </w:rPr>
        <w:t>ASF. (2009). </w:t>
      </w:r>
      <w:r>
        <w:rPr>
          <w:i/>
          <w:sz w:val="24"/>
        </w:rPr>
        <w:t>Fiscalización superior en México. Reformas a la Constitución </w:t>
      </w:r>
      <w:r>
        <w:rPr>
          <w:i/>
          <w:sz w:val="24"/>
        </w:rPr>
        <w:t>Política de los Estados Unidos Mexicanos y a la ley reglamentaria</w:t>
      </w:r>
      <w:r>
        <w:rPr>
          <w:sz w:val="24"/>
        </w:rPr>
        <w:t>. México.</w:t>
      </w:r>
    </w:p>
    <w:p>
      <w:pPr>
        <w:pStyle w:val="BodyText"/>
      </w:pPr>
    </w:p>
    <w:p>
      <w:pPr>
        <w:pStyle w:val="BodyText"/>
        <w:spacing w:before="146"/>
        <w:ind w:left="100" w:right="19"/>
      </w:pPr>
      <w:r>
        <w:rPr/>
        <w:t>Auditoría Superior de la Federación. Auditoría Especial de Desempeño  (2009).</w:t>
      </w:r>
    </w:p>
    <w:p>
      <w:pPr>
        <w:spacing w:before="136"/>
        <w:ind w:left="100" w:right="19" w:firstLine="0"/>
        <w:jc w:val="left"/>
        <w:rPr>
          <w:sz w:val="24"/>
        </w:rPr>
      </w:pPr>
      <w:r>
        <w:rPr>
          <w:i/>
          <w:sz w:val="24"/>
        </w:rPr>
        <w:t>Elaboración de las políticas públicas</w:t>
      </w:r>
      <w:r>
        <w:rPr>
          <w:sz w:val="24"/>
        </w:rPr>
        <w:t>, lecturas para auditores. México.</w:t>
      </w:r>
    </w:p>
    <w:p>
      <w:pPr>
        <w:pStyle w:val="BodyText"/>
      </w:pPr>
    </w:p>
    <w:p>
      <w:pPr>
        <w:pStyle w:val="BodyText"/>
      </w:pPr>
    </w:p>
    <w:p>
      <w:pPr>
        <w:spacing w:before="0"/>
        <w:ind w:left="100" w:right="19" w:firstLine="0"/>
        <w:jc w:val="left"/>
        <w:rPr>
          <w:sz w:val="24"/>
        </w:rPr>
      </w:pPr>
      <w:r>
        <w:rPr>
          <w:sz w:val="24"/>
        </w:rPr>
        <w:t>ASF/AED. </w:t>
      </w:r>
      <w:r>
        <w:rPr>
          <w:i/>
          <w:sz w:val="24"/>
        </w:rPr>
        <w:t>Indicadores de Desempeño </w:t>
      </w:r>
      <w:r>
        <w:rPr>
          <w:sz w:val="24"/>
        </w:rPr>
        <w:t>(2009). Serie: Lecturas para auditores.</w:t>
      </w:r>
    </w:p>
    <w:p>
      <w:pPr>
        <w:pStyle w:val="BodyText"/>
        <w:spacing w:before="140"/>
        <w:ind w:left="384" w:right="19"/>
      </w:pPr>
      <w:r>
        <w:rPr/>
        <w:t>México.</w:t>
      </w:r>
    </w:p>
    <w:p>
      <w:pPr>
        <w:pStyle w:val="BodyText"/>
      </w:pPr>
    </w:p>
    <w:p>
      <w:pPr>
        <w:pStyle w:val="BodyText"/>
        <w:spacing w:before="7"/>
        <w:rPr>
          <w:sz w:val="23"/>
        </w:rPr>
      </w:pPr>
    </w:p>
    <w:p>
      <w:pPr>
        <w:spacing w:line="720" w:lineRule="auto" w:before="0"/>
        <w:ind w:left="100" w:right="19" w:firstLine="0"/>
        <w:jc w:val="left"/>
        <w:rPr>
          <w:sz w:val="24"/>
        </w:rPr>
      </w:pPr>
      <w:r>
        <w:rPr>
          <w:sz w:val="24"/>
        </w:rPr>
        <w:t>ASF/AED. </w:t>
      </w:r>
      <w:r>
        <w:rPr>
          <w:i/>
          <w:sz w:val="24"/>
        </w:rPr>
        <w:t>Marco operativo </w:t>
      </w:r>
      <w:r>
        <w:rPr>
          <w:sz w:val="24"/>
        </w:rPr>
        <w:t>(2009). Serie: Lecturas para auditores. México. ASF/AED/Merino Mauricio. </w:t>
      </w:r>
      <w:r>
        <w:rPr>
          <w:i/>
          <w:sz w:val="24"/>
        </w:rPr>
        <w:t>Sobre la evaluación de las políticas públicas</w:t>
      </w:r>
      <w:r>
        <w:rPr>
          <w:sz w:val="24"/>
        </w:rPr>
        <w:t>. (2009).</w:t>
      </w:r>
    </w:p>
    <w:p>
      <w:pPr>
        <w:spacing w:after="0" w:line="720" w:lineRule="auto"/>
        <w:jc w:val="left"/>
        <w:rPr>
          <w:sz w:val="24"/>
        </w:rPr>
        <w:sectPr>
          <w:pgSz w:w="11910" w:h="16840"/>
          <w:pgMar w:header="0" w:footer="998" w:top="1340" w:bottom="1180" w:left="1600" w:right="1500"/>
        </w:sectPr>
      </w:pPr>
    </w:p>
    <w:p>
      <w:pPr>
        <w:spacing w:line="364" w:lineRule="auto" w:before="55"/>
        <w:ind w:left="100" w:right="44" w:firstLine="0"/>
        <w:jc w:val="left"/>
        <w:rPr>
          <w:sz w:val="24"/>
        </w:rPr>
      </w:pPr>
      <w:r>
        <w:rPr>
          <w:sz w:val="24"/>
        </w:rPr>
        <w:t>Bahena Paz, Guillermina. (2006). </w:t>
      </w:r>
      <w:r>
        <w:rPr>
          <w:i/>
          <w:sz w:val="24"/>
        </w:rPr>
        <w:t>Metodología de la investigación</w:t>
      </w:r>
      <w:r>
        <w:rPr>
          <w:sz w:val="24"/>
        </w:rPr>
        <w:t>, publicaciones culturales. México.</w:t>
      </w:r>
    </w:p>
    <w:p>
      <w:pPr>
        <w:pStyle w:val="BodyText"/>
        <w:spacing w:line="362" w:lineRule="auto" w:before="196"/>
        <w:ind w:left="384" w:right="130" w:hanging="284"/>
        <w:jc w:val="both"/>
      </w:pPr>
      <w:r>
        <w:rPr/>
        <w:t>Bobbio Norberto y Matteucci Nicola. (1981). Diccionario de Política. Editorial Siglo XXI. México. Primera edición.</w:t>
      </w:r>
    </w:p>
    <w:p>
      <w:pPr>
        <w:pStyle w:val="BodyText"/>
        <w:spacing w:line="360" w:lineRule="auto" w:before="200"/>
        <w:ind w:left="384" w:right="121" w:hanging="284"/>
        <w:jc w:val="both"/>
      </w:pPr>
      <w:r>
        <w:rPr/>
        <w:t>Buchanan, James y Tullock Gordon. (1980). El cálculo del consenso, fundamentos lógicos de la democracia constitucional, Espasa-Calpe, S.A. Madrid.</w:t>
      </w:r>
    </w:p>
    <w:p>
      <w:pPr>
        <w:pStyle w:val="BodyText"/>
        <w:spacing w:line="357" w:lineRule="auto" w:before="206"/>
        <w:ind w:left="100" w:right="44"/>
      </w:pPr>
      <w:r>
        <w:rPr/>
        <w:t>Caminal Badia Miquel Ed. (1999). Manual de Ciencia Política. Tecnos. Segunda edición. España.</w:t>
      </w:r>
    </w:p>
    <w:p>
      <w:pPr>
        <w:spacing w:before="205"/>
        <w:ind w:left="100" w:right="86" w:firstLine="0"/>
        <w:jc w:val="left"/>
        <w:rPr>
          <w:sz w:val="24"/>
        </w:rPr>
      </w:pPr>
      <w:r>
        <w:rPr>
          <w:sz w:val="24"/>
        </w:rPr>
        <w:t>CMH. (1997). </w:t>
      </w:r>
      <w:r>
        <w:rPr>
          <w:i/>
          <w:sz w:val="24"/>
        </w:rPr>
        <w:t>Las entidades fiscalizadoras superiores. </w:t>
      </w:r>
      <w:r>
        <w:rPr>
          <w:sz w:val="24"/>
        </w:rPr>
        <w:t>México.</w:t>
      </w:r>
    </w:p>
    <w:p>
      <w:pPr>
        <w:pStyle w:val="BodyText"/>
        <w:spacing w:before="2"/>
        <w:rPr>
          <w:sz w:val="29"/>
        </w:rPr>
      </w:pPr>
    </w:p>
    <w:p>
      <w:pPr>
        <w:spacing w:line="362" w:lineRule="auto" w:before="0"/>
        <w:ind w:left="384" w:right="127" w:hanging="284"/>
        <w:jc w:val="both"/>
        <w:rPr>
          <w:sz w:val="24"/>
        </w:rPr>
      </w:pPr>
      <w:r>
        <w:rPr>
          <w:sz w:val="24"/>
        </w:rPr>
        <w:t>CMH. (1998). </w:t>
      </w:r>
      <w:r>
        <w:rPr>
          <w:i/>
          <w:sz w:val="24"/>
        </w:rPr>
        <w:t>Época actual, origen y evolución de la Contaduría Mayor de </w:t>
      </w:r>
      <w:r>
        <w:rPr>
          <w:i/>
          <w:sz w:val="24"/>
        </w:rPr>
        <w:t>Hacienda</w:t>
      </w:r>
      <w:r>
        <w:rPr>
          <w:sz w:val="24"/>
        </w:rPr>
        <w:t>. México.</w:t>
      </w:r>
    </w:p>
    <w:p>
      <w:pPr>
        <w:pStyle w:val="BodyText"/>
      </w:pPr>
    </w:p>
    <w:p>
      <w:pPr>
        <w:spacing w:before="139"/>
        <w:ind w:left="100" w:right="86" w:firstLine="0"/>
        <w:jc w:val="left"/>
        <w:rPr>
          <w:sz w:val="24"/>
        </w:rPr>
      </w:pPr>
      <w:r>
        <w:rPr>
          <w:sz w:val="24"/>
        </w:rPr>
        <w:t>CMH. (2000). </w:t>
      </w:r>
      <w:r>
        <w:rPr>
          <w:i/>
          <w:sz w:val="24"/>
        </w:rPr>
        <w:t>La Contaduría Mayor de Hacienda de México</w:t>
      </w:r>
      <w:r>
        <w:rPr>
          <w:sz w:val="24"/>
        </w:rPr>
        <w:t>. México.</w:t>
      </w:r>
    </w:p>
    <w:p>
      <w:pPr>
        <w:pStyle w:val="BodyText"/>
      </w:pPr>
    </w:p>
    <w:p>
      <w:pPr>
        <w:pStyle w:val="BodyText"/>
      </w:pPr>
    </w:p>
    <w:p>
      <w:pPr>
        <w:spacing w:line="360" w:lineRule="auto" w:before="0"/>
        <w:ind w:left="384" w:right="116" w:hanging="284"/>
        <w:jc w:val="both"/>
        <w:rPr>
          <w:sz w:val="24"/>
        </w:rPr>
      </w:pPr>
      <w:r>
        <w:rPr>
          <w:sz w:val="24"/>
        </w:rPr>
        <w:t>CVASF/UEC. (2005). </w:t>
      </w:r>
      <w:r>
        <w:rPr>
          <w:i/>
          <w:sz w:val="24"/>
        </w:rPr>
        <w:t>Fiscalización superior comparada. Una aproximación al </w:t>
      </w:r>
      <w:r>
        <w:rPr>
          <w:i/>
          <w:sz w:val="24"/>
        </w:rPr>
        <w:t>estudio de los modelos de fiscalización superior en el mundo</w:t>
      </w:r>
      <w:r>
        <w:rPr>
          <w:sz w:val="24"/>
        </w:rPr>
        <w:t>. Biblioteca de Fiscalización Superior I. LIV Legislatura de la Cámara de Diputados del H. H. Congreso de la Unión. México.</w:t>
      </w:r>
    </w:p>
    <w:p>
      <w:pPr>
        <w:pStyle w:val="BodyText"/>
      </w:pPr>
    </w:p>
    <w:p>
      <w:pPr>
        <w:pStyle w:val="BodyText"/>
        <w:spacing w:line="360" w:lineRule="auto" w:before="142"/>
        <w:ind w:left="384" w:right="125" w:hanging="284"/>
        <w:jc w:val="both"/>
      </w:pPr>
      <w:r>
        <w:rPr/>
        <w:t>Crespo,</w:t>
      </w:r>
      <w:r>
        <w:rPr>
          <w:spacing w:val="-14"/>
        </w:rPr>
        <w:t> </w:t>
      </w:r>
      <w:r>
        <w:rPr/>
        <w:t>José</w:t>
      </w:r>
      <w:r>
        <w:rPr>
          <w:spacing w:val="-17"/>
        </w:rPr>
        <w:t> </w:t>
      </w:r>
      <w:r>
        <w:rPr/>
        <w:t>Antonio.</w:t>
      </w:r>
      <w:r>
        <w:rPr>
          <w:spacing w:val="-14"/>
        </w:rPr>
        <w:t> </w:t>
      </w:r>
      <w:r>
        <w:rPr/>
        <w:t>(2001).</w:t>
      </w:r>
      <w:r>
        <w:rPr>
          <w:spacing w:val="-14"/>
        </w:rPr>
        <w:t> </w:t>
      </w:r>
      <w:r>
        <w:rPr/>
        <w:t>Fundamentos</w:t>
      </w:r>
      <w:r>
        <w:rPr>
          <w:spacing w:val="-15"/>
        </w:rPr>
        <w:t> </w:t>
      </w:r>
      <w:r>
        <w:rPr/>
        <w:t>políticos</w:t>
      </w:r>
      <w:r>
        <w:rPr>
          <w:spacing w:val="-11"/>
        </w:rPr>
        <w:t> </w:t>
      </w:r>
      <w:r>
        <w:rPr/>
        <w:t>de</w:t>
      </w:r>
      <w:r>
        <w:rPr>
          <w:spacing w:val="-17"/>
        </w:rPr>
        <w:t> </w:t>
      </w:r>
      <w:r>
        <w:rPr/>
        <w:t>la</w:t>
      </w:r>
      <w:r>
        <w:rPr>
          <w:spacing w:val="-17"/>
        </w:rPr>
        <w:t> </w:t>
      </w:r>
      <w:r>
        <w:rPr/>
        <w:t>rendición</w:t>
      </w:r>
      <w:r>
        <w:rPr>
          <w:spacing w:val="-13"/>
        </w:rPr>
        <w:t> </w:t>
      </w:r>
      <w:r>
        <w:rPr/>
        <w:t>de</w:t>
      </w:r>
      <w:r>
        <w:rPr>
          <w:spacing w:val="-17"/>
        </w:rPr>
        <w:t> </w:t>
      </w:r>
      <w:r>
        <w:rPr/>
        <w:t>cuentas. En: Auditoría Superior de la Federación. Serie Cultura de la Rendición de Cuentas Número 1.</w:t>
      </w:r>
      <w:r>
        <w:rPr>
          <w:spacing w:val="-18"/>
        </w:rPr>
        <w:t> </w:t>
      </w:r>
      <w:r>
        <w:rPr/>
        <w:t>México.</w:t>
      </w:r>
    </w:p>
    <w:p>
      <w:pPr>
        <w:pStyle w:val="BodyText"/>
      </w:pPr>
    </w:p>
    <w:p>
      <w:pPr>
        <w:pStyle w:val="BodyText"/>
        <w:spacing w:line="362" w:lineRule="auto" w:before="142"/>
        <w:ind w:left="384" w:right="130" w:hanging="284"/>
        <w:jc w:val="both"/>
      </w:pPr>
      <w:r>
        <w:rPr/>
        <w:t>Córdova Arnaldo. (1972). La formación del poder político en México. Editorial Bolsillo Era. México.</w:t>
      </w:r>
    </w:p>
    <w:p>
      <w:pPr>
        <w:pStyle w:val="BodyText"/>
        <w:spacing w:before="8"/>
        <w:rPr>
          <w:sz w:val="35"/>
        </w:rPr>
      </w:pPr>
    </w:p>
    <w:p>
      <w:pPr>
        <w:spacing w:before="1"/>
        <w:ind w:left="100" w:right="86" w:firstLine="0"/>
        <w:jc w:val="left"/>
        <w:rPr>
          <w:sz w:val="24"/>
        </w:rPr>
      </w:pPr>
      <w:r>
        <w:rPr>
          <w:sz w:val="24"/>
        </w:rPr>
        <w:t>De Tocqueville Alexis. (1831).  </w:t>
      </w:r>
      <w:r>
        <w:rPr>
          <w:i/>
          <w:sz w:val="24"/>
        </w:rPr>
        <w:t>La democracia en América</w:t>
      </w:r>
      <w:r>
        <w:rPr>
          <w:sz w:val="24"/>
        </w:rPr>
        <w:t>. FCE.</w:t>
      </w:r>
    </w:p>
    <w:p>
      <w:pPr>
        <w:pStyle w:val="BodyText"/>
      </w:pPr>
    </w:p>
    <w:p>
      <w:pPr>
        <w:pStyle w:val="BodyText"/>
        <w:spacing w:before="7"/>
        <w:rPr>
          <w:sz w:val="23"/>
        </w:rPr>
      </w:pPr>
    </w:p>
    <w:p>
      <w:pPr>
        <w:spacing w:line="364" w:lineRule="auto" w:before="0"/>
        <w:ind w:left="100" w:right="86" w:firstLine="0"/>
        <w:jc w:val="left"/>
        <w:rPr>
          <w:sz w:val="24"/>
        </w:rPr>
      </w:pPr>
      <w:r>
        <w:rPr>
          <w:sz w:val="24"/>
        </w:rPr>
        <w:t>García Rivas, Heriberto. (1990). </w:t>
      </w:r>
      <w:r>
        <w:rPr>
          <w:i/>
          <w:sz w:val="24"/>
        </w:rPr>
        <w:t>150 biografías de mexicanos ilustres</w:t>
      </w:r>
      <w:r>
        <w:rPr>
          <w:sz w:val="24"/>
        </w:rPr>
        <w:t>. Editorial Universo. México.</w:t>
      </w:r>
    </w:p>
    <w:p>
      <w:pPr>
        <w:spacing w:after="0" w:line="364" w:lineRule="auto"/>
        <w:jc w:val="left"/>
        <w:rPr>
          <w:sz w:val="24"/>
        </w:rPr>
        <w:sectPr>
          <w:pgSz w:w="11910" w:h="16840"/>
          <w:pgMar w:header="0" w:footer="998" w:top="1340" w:bottom="1180" w:left="1600" w:right="1580"/>
        </w:sectPr>
      </w:pPr>
    </w:p>
    <w:p>
      <w:pPr>
        <w:pStyle w:val="BodyText"/>
        <w:spacing w:before="5"/>
        <w:rPr>
          <w:sz w:val="14"/>
        </w:rPr>
      </w:pPr>
    </w:p>
    <w:p>
      <w:pPr>
        <w:pStyle w:val="BodyText"/>
        <w:spacing w:line="357" w:lineRule="auto" w:before="69"/>
        <w:ind w:left="384" w:right="86" w:hanging="284"/>
      </w:pPr>
      <w:r>
        <w:rPr/>
        <w:t>Gómez de Silva. (1992) Breve diccionario etimológico de la lengua española, Fondo de Cultura Económica.</w:t>
      </w:r>
    </w:p>
    <w:p>
      <w:pPr>
        <w:pStyle w:val="BodyText"/>
      </w:pPr>
    </w:p>
    <w:p>
      <w:pPr>
        <w:pStyle w:val="BodyText"/>
        <w:spacing w:line="362" w:lineRule="auto" w:before="145"/>
        <w:ind w:left="100" w:right="86"/>
      </w:pPr>
      <w:r>
        <w:rPr/>
        <w:t>Easton David. (1999). Esquema para el sistema político. Amorrortu editores. Argentina.</w:t>
      </w:r>
    </w:p>
    <w:p>
      <w:pPr>
        <w:pStyle w:val="BodyText"/>
        <w:spacing w:before="8"/>
        <w:rPr>
          <w:sz w:val="35"/>
        </w:rPr>
      </w:pPr>
    </w:p>
    <w:p>
      <w:pPr>
        <w:spacing w:line="357" w:lineRule="auto" w:before="1"/>
        <w:ind w:left="384" w:right="86" w:hanging="284"/>
        <w:jc w:val="left"/>
        <w:rPr>
          <w:sz w:val="24"/>
        </w:rPr>
      </w:pPr>
      <w:r>
        <w:rPr>
          <w:sz w:val="24"/>
        </w:rPr>
        <w:t>Eigen Peter. (2003). </w:t>
      </w:r>
      <w:r>
        <w:rPr>
          <w:i/>
          <w:sz w:val="24"/>
        </w:rPr>
        <w:t>Las redes de la corrupción, la sociedad civil contra los </w:t>
      </w:r>
      <w:r>
        <w:rPr>
          <w:i/>
          <w:sz w:val="24"/>
        </w:rPr>
        <w:t>abusos del poder</w:t>
      </w:r>
      <w:r>
        <w:rPr>
          <w:sz w:val="24"/>
        </w:rPr>
        <w:t>. Planeta colombiana. Bogotá.</w:t>
      </w:r>
    </w:p>
    <w:p>
      <w:pPr>
        <w:pStyle w:val="BodyText"/>
      </w:pPr>
    </w:p>
    <w:p>
      <w:pPr>
        <w:pStyle w:val="BodyText"/>
        <w:spacing w:before="149"/>
        <w:ind w:left="100" w:right="86"/>
      </w:pPr>
      <w:r>
        <w:rPr/>
        <w:t>Fraga Gabino. (1996).  Derecho administrativo. Editorial Porrúa. S.A.</w:t>
      </w:r>
    </w:p>
    <w:p>
      <w:pPr>
        <w:pStyle w:val="BodyText"/>
      </w:pPr>
    </w:p>
    <w:p>
      <w:pPr>
        <w:pStyle w:val="BodyText"/>
        <w:spacing w:before="7"/>
        <w:rPr>
          <w:sz w:val="23"/>
        </w:rPr>
      </w:pPr>
    </w:p>
    <w:p>
      <w:pPr>
        <w:spacing w:line="362" w:lineRule="auto" w:before="0"/>
        <w:ind w:left="384" w:right="86" w:hanging="284"/>
        <w:jc w:val="left"/>
        <w:rPr>
          <w:sz w:val="24"/>
        </w:rPr>
      </w:pPr>
      <w:r>
        <w:rPr>
          <w:sz w:val="24"/>
        </w:rPr>
        <w:t>H. Cámara de Diputados. ASF. (2004). </w:t>
      </w:r>
      <w:r>
        <w:rPr>
          <w:i/>
          <w:sz w:val="24"/>
        </w:rPr>
        <w:t>1824-2004. 180 años de rendición de </w:t>
      </w:r>
      <w:r>
        <w:rPr>
          <w:i/>
          <w:sz w:val="24"/>
        </w:rPr>
        <w:t>cuentas y fiscalización superior en México</w:t>
      </w:r>
      <w:r>
        <w:rPr>
          <w:sz w:val="24"/>
        </w:rPr>
        <w:t>. México.</w:t>
      </w:r>
    </w:p>
    <w:p>
      <w:pPr>
        <w:pStyle w:val="BodyText"/>
      </w:pPr>
    </w:p>
    <w:p>
      <w:pPr>
        <w:pStyle w:val="BodyText"/>
        <w:spacing w:line="360" w:lineRule="auto" w:before="143"/>
        <w:ind w:left="384" w:right="44" w:hanging="284"/>
      </w:pPr>
      <w:r>
        <w:rPr/>
        <w:t>Hobbes Thomas. (1651). Leviatán o la Materia Forma y Poder de una República Eclesiástica y Civil. Fondo de Cultura Económica. México.</w:t>
      </w:r>
    </w:p>
    <w:p>
      <w:pPr>
        <w:pStyle w:val="BodyText"/>
        <w:spacing w:before="11"/>
        <w:rPr>
          <w:sz w:val="35"/>
        </w:rPr>
      </w:pPr>
    </w:p>
    <w:p>
      <w:pPr>
        <w:tabs>
          <w:tab w:pos="1143" w:val="left" w:leader="none"/>
          <w:tab w:pos="1615" w:val="left" w:leader="none"/>
          <w:tab w:pos="3474" w:val="left" w:leader="none"/>
          <w:tab w:pos="4709" w:val="left" w:leader="none"/>
          <w:tab w:pos="5233" w:val="left" w:leader="none"/>
          <w:tab w:pos="6202" w:val="left" w:leader="none"/>
          <w:tab w:pos="7766" w:val="left" w:leader="none"/>
        </w:tabs>
        <w:spacing w:line="362" w:lineRule="auto" w:before="0"/>
        <w:ind w:left="384" w:right="122" w:hanging="284"/>
        <w:jc w:val="left"/>
        <w:rPr>
          <w:sz w:val="24"/>
        </w:rPr>
      </w:pPr>
      <w:r>
        <w:rPr>
          <w:sz w:val="24"/>
        </w:rPr>
        <w:t>Instituto</w:t>
        <w:tab/>
        <w:t>de</w:t>
        <w:tab/>
        <w:t>Investigaciones</w:t>
        <w:tab/>
        <w:t>Jurídicas,</w:t>
        <w:tab/>
        <w:t>IIJ.</w:t>
        <w:tab/>
        <w:t>(2002).</w:t>
        <w:tab/>
      </w:r>
      <w:r>
        <w:rPr>
          <w:i/>
          <w:sz w:val="24"/>
        </w:rPr>
        <w:t>Enciclopedia</w:t>
        <w:tab/>
      </w:r>
      <w:r>
        <w:rPr>
          <w:i/>
          <w:spacing w:val="-1"/>
          <w:sz w:val="24"/>
        </w:rPr>
        <w:t>Jurídica </w:t>
      </w:r>
      <w:r>
        <w:rPr>
          <w:i/>
          <w:sz w:val="24"/>
        </w:rPr>
        <w:t>Mexicana</w:t>
      </w:r>
      <w:r>
        <w:rPr>
          <w:sz w:val="24"/>
        </w:rPr>
        <w:t>. Tomos IV y VI. Editorial Porrúa y UNAM.</w:t>
      </w:r>
      <w:r>
        <w:rPr>
          <w:spacing w:val="-30"/>
          <w:sz w:val="24"/>
        </w:rPr>
        <w:t> </w:t>
      </w:r>
      <w:r>
        <w:rPr>
          <w:sz w:val="24"/>
        </w:rPr>
        <w:t>México.</w:t>
      </w:r>
    </w:p>
    <w:p>
      <w:pPr>
        <w:pStyle w:val="BodyText"/>
      </w:pPr>
    </w:p>
    <w:p>
      <w:pPr>
        <w:pStyle w:val="BodyText"/>
        <w:spacing w:line="357" w:lineRule="auto" w:before="143"/>
        <w:ind w:left="384" w:right="86" w:hanging="284"/>
      </w:pPr>
      <w:r>
        <w:rPr/>
        <w:t>Kelsen, Hans. (1980). Compendio de Teoría General de Estado. Editorial Nacional, S.A. México</w:t>
      </w:r>
    </w:p>
    <w:p>
      <w:pPr>
        <w:pStyle w:val="BodyText"/>
      </w:pPr>
    </w:p>
    <w:p>
      <w:pPr>
        <w:spacing w:before="141"/>
        <w:ind w:left="100" w:right="86" w:firstLine="0"/>
        <w:jc w:val="left"/>
        <w:rPr>
          <w:i/>
          <w:sz w:val="24"/>
        </w:rPr>
      </w:pPr>
      <w:r>
        <w:rPr>
          <w:sz w:val="24"/>
        </w:rPr>
        <w:t>Konetzke, Richard. (1986). </w:t>
      </w:r>
      <w:r>
        <w:rPr>
          <w:i/>
          <w:sz w:val="24"/>
        </w:rPr>
        <w:t>La encomienda, lecturas de la historia de México.</w:t>
      </w:r>
    </w:p>
    <w:p>
      <w:pPr>
        <w:pStyle w:val="BodyText"/>
        <w:spacing w:before="144"/>
        <w:ind w:left="362" w:right="1525"/>
        <w:jc w:val="center"/>
      </w:pPr>
      <w:r>
        <w:rPr/>
        <w:t>Tomo I. Editorial Pueblo Nuevo. Decimotercera edición. México.</w:t>
      </w:r>
    </w:p>
    <w:p>
      <w:pPr>
        <w:pStyle w:val="BodyText"/>
      </w:pPr>
    </w:p>
    <w:p>
      <w:pPr>
        <w:pStyle w:val="BodyText"/>
      </w:pPr>
    </w:p>
    <w:p>
      <w:pPr>
        <w:pStyle w:val="BodyText"/>
        <w:spacing w:line="357" w:lineRule="auto"/>
        <w:ind w:left="384" w:right="86" w:hanging="284"/>
      </w:pPr>
      <w:r>
        <w:rPr/>
        <w:t>Lewis, W. Arthur (1974). Teoría del desarrollo económico. Fondo de Cultura Económica.</w:t>
      </w:r>
    </w:p>
    <w:p>
      <w:pPr>
        <w:pStyle w:val="BodyText"/>
      </w:pPr>
    </w:p>
    <w:p>
      <w:pPr>
        <w:spacing w:line="357" w:lineRule="auto" w:before="140"/>
        <w:ind w:left="384" w:right="45" w:hanging="284"/>
        <w:jc w:val="left"/>
        <w:rPr>
          <w:sz w:val="24"/>
        </w:rPr>
      </w:pPr>
      <w:r>
        <w:rPr>
          <w:sz w:val="24"/>
        </w:rPr>
        <w:t>León-Portilla, Miguel. (1976). </w:t>
      </w:r>
      <w:r>
        <w:rPr>
          <w:i/>
          <w:sz w:val="24"/>
        </w:rPr>
        <w:t>Los antiguos mexicanos a través de sus crónicas y </w:t>
      </w:r>
      <w:r>
        <w:rPr>
          <w:i/>
          <w:sz w:val="24"/>
        </w:rPr>
        <w:t>cantares</w:t>
      </w:r>
      <w:r>
        <w:rPr>
          <w:sz w:val="24"/>
        </w:rPr>
        <w:t>. Fondo de Cultura Económica. México.</w:t>
      </w:r>
    </w:p>
    <w:p>
      <w:pPr>
        <w:spacing w:after="0" w:line="357" w:lineRule="auto"/>
        <w:jc w:val="left"/>
        <w:rPr>
          <w:sz w:val="24"/>
        </w:rPr>
        <w:sectPr>
          <w:pgSz w:w="11910" w:h="16840"/>
          <w:pgMar w:header="0" w:footer="998" w:top="1580" w:bottom="1180" w:left="1600" w:right="1580"/>
        </w:sectPr>
      </w:pPr>
    </w:p>
    <w:p>
      <w:pPr>
        <w:pStyle w:val="BodyText"/>
        <w:spacing w:line="362" w:lineRule="auto" w:before="39"/>
        <w:ind w:left="100" w:right="19"/>
      </w:pPr>
      <w:r>
        <w:rPr/>
        <w:t>Lesswell, Harold. (1971). Thee merging conception of thepolicy sciences, policy sciences.</w:t>
      </w:r>
    </w:p>
    <w:p>
      <w:pPr>
        <w:pStyle w:val="BodyText"/>
        <w:spacing w:before="8"/>
        <w:rPr>
          <w:sz w:val="35"/>
        </w:rPr>
      </w:pPr>
    </w:p>
    <w:p>
      <w:pPr>
        <w:spacing w:line="362" w:lineRule="auto" w:before="0"/>
        <w:ind w:left="384" w:right="200" w:hanging="284"/>
        <w:jc w:val="both"/>
        <w:rPr>
          <w:sz w:val="24"/>
        </w:rPr>
      </w:pPr>
      <w:r>
        <w:rPr>
          <w:sz w:val="24"/>
        </w:rPr>
        <w:t>Manjarrez Rivera, Jorge. (2002). </w:t>
      </w:r>
      <w:r>
        <w:rPr>
          <w:i/>
          <w:sz w:val="24"/>
        </w:rPr>
        <w:t>La construcción institucional de la fiscalización </w:t>
      </w:r>
      <w:r>
        <w:rPr>
          <w:i/>
          <w:sz w:val="24"/>
        </w:rPr>
        <w:t>y la rendición de cuentas en México: 1997-2001</w:t>
      </w:r>
      <w:r>
        <w:rPr>
          <w:sz w:val="24"/>
        </w:rPr>
        <w:t>. Tesis de Doctorado en Ciencias Políticas. No publicada. UNAM, México.</w:t>
      </w:r>
    </w:p>
    <w:p>
      <w:pPr>
        <w:pStyle w:val="BodyText"/>
      </w:pPr>
    </w:p>
    <w:p>
      <w:pPr>
        <w:pStyle w:val="BodyText"/>
        <w:spacing w:line="360" w:lineRule="auto" w:before="139"/>
        <w:ind w:left="384" w:right="200" w:hanging="284"/>
        <w:jc w:val="both"/>
      </w:pPr>
      <w:r>
        <w:rPr/>
        <w:t>Manjarrez</w:t>
      </w:r>
      <w:r>
        <w:rPr>
          <w:spacing w:val="-10"/>
        </w:rPr>
        <w:t> </w:t>
      </w:r>
      <w:r>
        <w:rPr/>
        <w:t>Rivera,</w:t>
      </w:r>
      <w:r>
        <w:rPr>
          <w:spacing w:val="-6"/>
        </w:rPr>
        <w:t> </w:t>
      </w:r>
      <w:r>
        <w:rPr/>
        <w:t>Jorge.</w:t>
      </w:r>
      <w:r>
        <w:rPr>
          <w:spacing w:val="-6"/>
        </w:rPr>
        <w:t> </w:t>
      </w:r>
      <w:r>
        <w:rPr/>
        <w:t>(2003).</w:t>
      </w:r>
      <w:r>
        <w:rPr>
          <w:spacing w:val="-6"/>
        </w:rPr>
        <w:t> </w:t>
      </w:r>
      <w:r>
        <w:rPr/>
        <w:t>La</w:t>
      </w:r>
      <w:r>
        <w:rPr>
          <w:spacing w:val="-9"/>
        </w:rPr>
        <w:t> </w:t>
      </w:r>
      <w:r>
        <w:rPr/>
        <w:t>construcción</w:t>
      </w:r>
      <w:r>
        <w:rPr>
          <w:spacing w:val="-5"/>
        </w:rPr>
        <w:t> </w:t>
      </w:r>
      <w:r>
        <w:rPr/>
        <w:t>democrática</w:t>
      </w:r>
      <w:r>
        <w:rPr>
          <w:spacing w:val="-9"/>
        </w:rPr>
        <w:t> </w:t>
      </w:r>
      <w:r>
        <w:rPr/>
        <w:t>de</w:t>
      </w:r>
      <w:r>
        <w:rPr>
          <w:spacing w:val="-9"/>
        </w:rPr>
        <w:t> </w:t>
      </w:r>
      <w:r>
        <w:rPr/>
        <w:t>la</w:t>
      </w:r>
      <w:r>
        <w:rPr>
          <w:spacing w:val="-9"/>
        </w:rPr>
        <w:t> </w:t>
      </w:r>
      <w:r>
        <w:rPr/>
        <w:t>rendición</w:t>
      </w:r>
      <w:r>
        <w:rPr>
          <w:spacing w:val="-5"/>
        </w:rPr>
        <w:t> </w:t>
      </w:r>
      <w:r>
        <w:rPr/>
        <w:t>de cuentas y la fiscalización en la administración pública de México: 1997-2001. INAP.</w:t>
      </w:r>
      <w:r>
        <w:rPr>
          <w:spacing w:val="-10"/>
        </w:rPr>
        <w:t> </w:t>
      </w:r>
      <w:r>
        <w:rPr/>
        <w:t>México.</w:t>
      </w:r>
    </w:p>
    <w:p>
      <w:pPr>
        <w:pStyle w:val="BodyText"/>
      </w:pPr>
    </w:p>
    <w:p>
      <w:pPr>
        <w:pStyle w:val="BodyText"/>
        <w:spacing w:before="142"/>
        <w:ind w:left="100" w:right="19"/>
      </w:pPr>
      <w:r>
        <w:rPr/>
        <w:t>Merino, Mauricio (2007). El régimen municipal de los Estados Unidos Mexicanos.</w:t>
      </w:r>
    </w:p>
    <w:p>
      <w:pPr>
        <w:pStyle w:val="BodyText"/>
        <w:spacing w:before="136"/>
        <w:ind w:left="384" w:right="19"/>
      </w:pPr>
      <w:r>
        <w:rPr/>
        <w:t>Serie Para entender. Nostra Ediciones</w:t>
      </w:r>
    </w:p>
    <w:p>
      <w:pPr>
        <w:pStyle w:val="BodyText"/>
      </w:pPr>
    </w:p>
    <w:p>
      <w:pPr>
        <w:pStyle w:val="BodyText"/>
        <w:spacing w:before="7"/>
        <w:rPr>
          <w:sz w:val="23"/>
        </w:rPr>
      </w:pPr>
    </w:p>
    <w:p>
      <w:pPr>
        <w:spacing w:line="360" w:lineRule="auto" w:before="0"/>
        <w:ind w:left="384" w:right="110" w:hanging="284"/>
        <w:jc w:val="both"/>
        <w:rPr>
          <w:sz w:val="24"/>
        </w:rPr>
      </w:pPr>
      <w:r>
        <w:rPr>
          <w:sz w:val="24"/>
        </w:rPr>
        <w:t>Michel Padilla, Roberto. (2009). </w:t>
      </w:r>
      <w:r>
        <w:rPr>
          <w:i/>
          <w:sz w:val="24"/>
        </w:rPr>
        <w:t>Transición y modernización de la fiscalización </w:t>
      </w:r>
      <w:r>
        <w:rPr>
          <w:i/>
          <w:sz w:val="24"/>
        </w:rPr>
        <w:t>superior en México. Hacia un nuevo modelo que asegure la calidad del gasto público e impulse el desarrollo económico con calidad</w:t>
      </w:r>
      <w:r>
        <w:rPr>
          <w:sz w:val="24"/>
        </w:rPr>
        <w:t>. México.</w:t>
      </w:r>
    </w:p>
    <w:p>
      <w:pPr>
        <w:pStyle w:val="BodyText"/>
      </w:pPr>
    </w:p>
    <w:p>
      <w:pPr>
        <w:pStyle w:val="BodyText"/>
        <w:spacing w:line="362" w:lineRule="auto" w:before="146"/>
        <w:ind w:left="384" w:right="209" w:hanging="284"/>
        <w:jc w:val="both"/>
      </w:pPr>
      <w:r>
        <w:rPr/>
        <w:t>North Douglass Cecil. (1995). Instituciones, cambio institucional y desempeño económico. Colección economía contemporánea. FCE. México.</w:t>
      </w:r>
    </w:p>
    <w:p>
      <w:pPr>
        <w:pStyle w:val="BodyText"/>
      </w:pPr>
    </w:p>
    <w:p>
      <w:pPr>
        <w:pStyle w:val="BodyText"/>
        <w:spacing w:line="360" w:lineRule="auto" w:before="139"/>
        <w:ind w:left="384" w:right="200" w:hanging="284"/>
        <w:jc w:val="both"/>
      </w:pPr>
      <w:r>
        <w:rPr/>
        <w:t>O´Donnell, Guillermo and Scmitter, Phillipe (1979). Prospects for democracy: transition from Authorirarian rule, a proposal for a series of discussion. En: Woodr wow Wilson, International Center for Scholars.</w:t>
      </w:r>
    </w:p>
    <w:p>
      <w:pPr>
        <w:pStyle w:val="BodyText"/>
      </w:pPr>
    </w:p>
    <w:p>
      <w:pPr>
        <w:pStyle w:val="BodyText"/>
        <w:spacing w:before="141"/>
        <w:ind w:left="100" w:right="19"/>
      </w:pPr>
      <w:r>
        <w:rPr/>
        <w:t>Oficina del Alto Comisionado para los Derechos Humanos en México.    (2003).</w:t>
      </w:r>
    </w:p>
    <w:p>
      <w:pPr>
        <w:pStyle w:val="BodyText"/>
        <w:spacing w:before="136"/>
        <w:ind w:left="384" w:right="19"/>
      </w:pPr>
      <w:hyperlink r:id="rId226">
        <w:r>
          <w:rPr/>
          <w:t>Diagnóstico</w:t>
        </w:r>
      </w:hyperlink>
      <w:r>
        <w:rPr/>
        <w:t> de los derechos humanos en México. México.</w:t>
      </w:r>
    </w:p>
    <w:p>
      <w:pPr>
        <w:pStyle w:val="BodyText"/>
      </w:pPr>
    </w:p>
    <w:p>
      <w:pPr>
        <w:pStyle w:val="BodyText"/>
        <w:spacing w:before="7"/>
        <w:rPr>
          <w:sz w:val="23"/>
        </w:rPr>
      </w:pPr>
    </w:p>
    <w:p>
      <w:pPr>
        <w:spacing w:before="0"/>
        <w:ind w:left="100" w:right="19" w:firstLine="0"/>
        <w:jc w:val="left"/>
        <w:rPr>
          <w:i/>
          <w:sz w:val="24"/>
        </w:rPr>
      </w:pPr>
      <w:r>
        <w:rPr>
          <w:sz w:val="24"/>
        </w:rPr>
        <w:t>Olivares, Enrique. (2011). </w:t>
      </w:r>
      <w:r>
        <w:rPr>
          <w:i/>
          <w:sz w:val="24"/>
        </w:rPr>
        <w:t>El presidencialismo mexicano y Enrique Peña  Nieto.</w:t>
      </w:r>
    </w:p>
    <w:p>
      <w:pPr>
        <w:pStyle w:val="BodyText"/>
        <w:spacing w:before="140"/>
        <w:ind w:left="384" w:right="19"/>
      </w:pPr>
      <w:r>
        <w:rPr/>
        <w:t>Plaza y Valores Editores. México.</w:t>
      </w:r>
    </w:p>
    <w:p>
      <w:pPr>
        <w:pStyle w:val="BodyText"/>
      </w:pPr>
    </w:p>
    <w:p>
      <w:pPr>
        <w:pStyle w:val="BodyText"/>
        <w:spacing w:before="7"/>
        <w:rPr>
          <w:sz w:val="23"/>
        </w:rPr>
      </w:pPr>
    </w:p>
    <w:p>
      <w:pPr>
        <w:spacing w:line="362" w:lineRule="auto" w:before="0"/>
        <w:ind w:left="384" w:right="204" w:hanging="284"/>
        <w:jc w:val="both"/>
        <w:rPr>
          <w:sz w:val="24"/>
        </w:rPr>
      </w:pPr>
      <w:r>
        <w:rPr>
          <w:sz w:val="24"/>
        </w:rPr>
        <w:t>Peters, B. Guy. (1994). </w:t>
      </w:r>
      <w:r>
        <w:rPr>
          <w:i/>
          <w:sz w:val="24"/>
        </w:rPr>
        <w:t>Cambios en la naturaleza de la administración pública: </w:t>
      </w:r>
      <w:r>
        <w:rPr>
          <w:i/>
          <w:sz w:val="24"/>
        </w:rPr>
        <w:t>de</w:t>
      </w:r>
      <w:r>
        <w:rPr>
          <w:i/>
          <w:spacing w:val="55"/>
          <w:sz w:val="24"/>
        </w:rPr>
        <w:t> </w:t>
      </w:r>
      <w:r>
        <w:rPr>
          <w:i/>
          <w:sz w:val="24"/>
        </w:rPr>
        <w:t>las</w:t>
      </w:r>
      <w:r>
        <w:rPr>
          <w:i/>
          <w:spacing w:val="57"/>
          <w:sz w:val="24"/>
        </w:rPr>
        <w:t> </w:t>
      </w:r>
      <w:r>
        <w:rPr>
          <w:i/>
          <w:sz w:val="24"/>
        </w:rPr>
        <w:t>preguntas</w:t>
      </w:r>
      <w:r>
        <w:rPr>
          <w:i/>
          <w:spacing w:val="57"/>
          <w:sz w:val="24"/>
        </w:rPr>
        <w:t> </w:t>
      </w:r>
      <w:r>
        <w:rPr>
          <w:i/>
          <w:sz w:val="24"/>
        </w:rPr>
        <w:t>sencillas</w:t>
      </w:r>
      <w:r>
        <w:rPr>
          <w:i/>
          <w:spacing w:val="57"/>
          <w:sz w:val="24"/>
        </w:rPr>
        <w:t> </w:t>
      </w:r>
      <w:r>
        <w:rPr>
          <w:i/>
          <w:sz w:val="24"/>
        </w:rPr>
        <w:t>a</w:t>
      </w:r>
      <w:r>
        <w:rPr>
          <w:i/>
          <w:spacing w:val="55"/>
          <w:sz w:val="24"/>
        </w:rPr>
        <w:t> </w:t>
      </w:r>
      <w:r>
        <w:rPr>
          <w:i/>
          <w:sz w:val="24"/>
        </w:rPr>
        <w:t>las</w:t>
      </w:r>
      <w:r>
        <w:rPr>
          <w:i/>
          <w:spacing w:val="57"/>
          <w:sz w:val="24"/>
        </w:rPr>
        <w:t> </w:t>
      </w:r>
      <w:r>
        <w:rPr>
          <w:i/>
          <w:sz w:val="24"/>
        </w:rPr>
        <w:t>respuestas</w:t>
      </w:r>
      <w:r>
        <w:rPr>
          <w:i/>
          <w:spacing w:val="57"/>
          <w:sz w:val="24"/>
        </w:rPr>
        <w:t> </w:t>
      </w:r>
      <w:r>
        <w:rPr>
          <w:i/>
          <w:sz w:val="24"/>
        </w:rPr>
        <w:t>difíciles</w:t>
      </w:r>
      <w:r>
        <w:rPr>
          <w:sz w:val="24"/>
        </w:rPr>
        <w:t>.</w:t>
      </w:r>
      <w:r>
        <w:rPr>
          <w:spacing w:val="58"/>
          <w:sz w:val="24"/>
        </w:rPr>
        <w:t> </w:t>
      </w:r>
      <w:r>
        <w:rPr>
          <w:sz w:val="24"/>
        </w:rPr>
        <w:t>En:</w:t>
      </w:r>
      <w:r>
        <w:rPr>
          <w:spacing w:val="58"/>
          <w:sz w:val="24"/>
        </w:rPr>
        <w:t> </w:t>
      </w:r>
      <w:r>
        <w:rPr>
          <w:sz w:val="24"/>
        </w:rPr>
        <w:t>Pardo,</w:t>
      </w:r>
      <w:r>
        <w:rPr>
          <w:spacing w:val="58"/>
          <w:sz w:val="24"/>
        </w:rPr>
        <w:t> </w:t>
      </w:r>
      <w:r>
        <w:rPr>
          <w:spacing w:val="-2"/>
          <w:sz w:val="24"/>
        </w:rPr>
        <w:t>Ma.</w:t>
      </w:r>
      <w:r>
        <w:rPr>
          <w:spacing w:val="58"/>
          <w:sz w:val="24"/>
        </w:rPr>
        <w:t> </w:t>
      </w:r>
      <w:r>
        <w:rPr>
          <w:sz w:val="24"/>
        </w:rPr>
        <w:t>del</w:t>
      </w:r>
    </w:p>
    <w:p>
      <w:pPr>
        <w:spacing w:after="0" w:line="362" w:lineRule="auto"/>
        <w:jc w:val="both"/>
        <w:rPr>
          <w:sz w:val="24"/>
        </w:rPr>
        <w:sectPr>
          <w:pgSz w:w="11910" w:h="16840"/>
          <w:pgMar w:header="0" w:footer="998" w:top="1360" w:bottom="1180" w:left="1600" w:right="1500"/>
        </w:sectPr>
      </w:pPr>
    </w:p>
    <w:p>
      <w:pPr>
        <w:pStyle w:val="BodyText"/>
        <w:spacing w:line="362" w:lineRule="auto" w:before="39"/>
        <w:ind w:left="384" w:right="201"/>
      </w:pPr>
      <w:r>
        <w:rPr/>
        <w:t>Carmen (Comp.) De la administración pública a la gobernanza. El Colegio de México. Primera Edición. México.</w:t>
      </w:r>
    </w:p>
    <w:p>
      <w:pPr>
        <w:pStyle w:val="BodyText"/>
        <w:spacing w:before="8"/>
        <w:rPr>
          <w:sz w:val="35"/>
        </w:rPr>
      </w:pPr>
    </w:p>
    <w:p>
      <w:pPr>
        <w:spacing w:line="357" w:lineRule="auto" w:before="0"/>
        <w:ind w:left="384" w:right="112" w:hanging="284"/>
        <w:jc w:val="left"/>
        <w:rPr>
          <w:sz w:val="24"/>
        </w:rPr>
      </w:pPr>
      <w:r>
        <w:rPr>
          <w:sz w:val="24"/>
        </w:rPr>
        <w:t>Peters, B. Guy. (2003). </w:t>
      </w:r>
      <w:r>
        <w:rPr>
          <w:i/>
          <w:sz w:val="24"/>
        </w:rPr>
        <w:t>El nuevo institucionalismo, Teoría institucional en ciencia </w:t>
      </w:r>
      <w:r>
        <w:rPr>
          <w:i/>
          <w:sz w:val="24"/>
        </w:rPr>
        <w:t>política</w:t>
      </w:r>
      <w:r>
        <w:rPr>
          <w:sz w:val="24"/>
        </w:rPr>
        <w:t>. Gedisa Editorial, Primera edición. Barcelona.</w:t>
      </w:r>
    </w:p>
    <w:p>
      <w:pPr>
        <w:pStyle w:val="BodyText"/>
      </w:pPr>
    </w:p>
    <w:p>
      <w:pPr>
        <w:spacing w:line="364" w:lineRule="auto" w:before="145"/>
        <w:ind w:left="384" w:right="19" w:hanging="284"/>
        <w:jc w:val="left"/>
        <w:rPr>
          <w:sz w:val="24"/>
        </w:rPr>
      </w:pPr>
      <w:r>
        <w:rPr>
          <w:sz w:val="24"/>
        </w:rPr>
        <w:t>Peters B. Guy. (1999). </w:t>
      </w:r>
      <w:r>
        <w:rPr>
          <w:i/>
          <w:sz w:val="24"/>
        </w:rPr>
        <w:t>La política de la burocracia</w:t>
      </w:r>
      <w:r>
        <w:rPr>
          <w:sz w:val="24"/>
        </w:rPr>
        <w:t>, Nuevas lecturas de política y gobierno. FCE. México.</w:t>
      </w:r>
    </w:p>
    <w:p>
      <w:pPr>
        <w:pStyle w:val="BodyText"/>
        <w:spacing w:before="6"/>
        <w:rPr>
          <w:sz w:val="35"/>
        </w:rPr>
      </w:pPr>
    </w:p>
    <w:p>
      <w:pPr>
        <w:spacing w:before="0"/>
        <w:ind w:left="100" w:right="19" w:firstLine="0"/>
        <w:jc w:val="left"/>
        <w:rPr>
          <w:sz w:val="24"/>
        </w:rPr>
      </w:pPr>
      <w:r>
        <w:rPr>
          <w:sz w:val="24"/>
        </w:rPr>
        <w:t>Pimentel Álvarez, Julio. (2004). </w:t>
      </w:r>
      <w:r>
        <w:rPr>
          <w:i/>
          <w:sz w:val="24"/>
        </w:rPr>
        <w:t>Diccionario Latín-Español-Latín</w:t>
      </w:r>
      <w:r>
        <w:rPr>
          <w:sz w:val="24"/>
        </w:rPr>
        <w:t>. Editorial Porrúa.</w:t>
      </w:r>
    </w:p>
    <w:p>
      <w:pPr>
        <w:pStyle w:val="BodyText"/>
        <w:spacing w:before="140"/>
        <w:ind w:left="384" w:right="19"/>
      </w:pPr>
      <w:r>
        <w:rPr/>
        <w:t>Sexta edición. México.</w:t>
      </w:r>
    </w:p>
    <w:p>
      <w:pPr>
        <w:pStyle w:val="BodyText"/>
      </w:pPr>
    </w:p>
    <w:p>
      <w:pPr>
        <w:pStyle w:val="BodyText"/>
        <w:spacing w:before="7"/>
        <w:rPr>
          <w:sz w:val="23"/>
        </w:rPr>
      </w:pPr>
    </w:p>
    <w:p>
      <w:pPr>
        <w:spacing w:line="362" w:lineRule="auto" w:before="0"/>
        <w:ind w:left="668" w:right="19" w:hanging="568"/>
        <w:jc w:val="left"/>
        <w:rPr>
          <w:sz w:val="24"/>
        </w:rPr>
      </w:pPr>
      <w:r>
        <w:rPr>
          <w:sz w:val="24"/>
        </w:rPr>
        <w:t>Prats i Catalá Joans. (2001). </w:t>
      </w:r>
      <w:r>
        <w:rPr>
          <w:i/>
          <w:sz w:val="24"/>
        </w:rPr>
        <w:t>Gobernabilidad democrática para el desarrollo </w:t>
      </w:r>
      <w:r>
        <w:rPr>
          <w:i/>
          <w:sz w:val="24"/>
        </w:rPr>
        <w:t>humano. Marco conceptual y analítico</w:t>
      </w:r>
      <w:r>
        <w:rPr>
          <w:sz w:val="24"/>
        </w:rPr>
        <w:t>. México.</w:t>
      </w:r>
    </w:p>
    <w:p>
      <w:pPr>
        <w:pStyle w:val="BodyText"/>
      </w:pPr>
    </w:p>
    <w:p>
      <w:pPr>
        <w:pStyle w:val="BodyText"/>
        <w:spacing w:before="143"/>
        <w:ind w:left="100" w:right="19"/>
      </w:pPr>
      <w:r>
        <w:rPr/>
        <w:t>Salazar Medina, Julián (2008) Elementos básicos de la administración municipal.</w:t>
      </w:r>
    </w:p>
    <w:p>
      <w:pPr>
        <w:pStyle w:val="BodyText"/>
        <w:spacing w:before="136"/>
        <w:ind w:left="384" w:right="19"/>
      </w:pPr>
      <w:r>
        <w:rPr/>
        <w:t>IAPEM.</w:t>
      </w:r>
    </w:p>
    <w:p>
      <w:pPr>
        <w:pStyle w:val="BodyText"/>
      </w:pPr>
    </w:p>
    <w:p>
      <w:pPr>
        <w:pStyle w:val="BodyText"/>
      </w:pPr>
    </w:p>
    <w:p>
      <w:pPr>
        <w:pStyle w:val="BodyText"/>
        <w:ind w:left="100" w:right="19"/>
      </w:pPr>
      <w:r>
        <w:rPr/>
        <w:t>Sabine, George. (1994). Historia de la teoría política, FCE. México.</w:t>
      </w:r>
    </w:p>
    <w:p>
      <w:pPr>
        <w:pStyle w:val="BodyText"/>
      </w:pPr>
    </w:p>
    <w:p>
      <w:pPr>
        <w:pStyle w:val="BodyText"/>
        <w:spacing w:before="7"/>
        <w:rPr>
          <w:sz w:val="23"/>
        </w:rPr>
      </w:pPr>
    </w:p>
    <w:p>
      <w:pPr>
        <w:spacing w:line="362" w:lineRule="auto" w:before="0"/>
        <w:ind w:left="384" w:right="19" w:hanging="284"/>
        <w:jc w:val="left"/>
        <w:rPr>
          <w:sz w:val="24"/>
        </w:rPr>
      </w:pPr>
      <w:r>
        <w:rPr>
          <w:sz w:val="24"/>
        </w:rPr>
        <w:t>Salinas de Gortari, Carlos. (2011). </w:t>
      </w:r>
      <w:r>
        <w:rPr>
          <w:i/>
          <w:sz w:val="24"/>
        </w:rPr>
        <w:t>Democracia Republicana, Ni Estado ni </w:t>
      </w:r>
      <w:r>
        <w:rPr>
          <w:i/>
          <w:sz w:val="24"/>
        </w:rPr>
        <w:t>mercado: una alternativa ciudadana</w:t>
      </w:r>
      <w:r>
        <w:rPr>
          <w:sz w:val="24"/>
        </w:rPr>
        <w:t>.  Debate. México.</w:t>
      </w:r>
    </w:p>
    <w:p>
      <w:pPr>
        <w:pStyle w:val="BodyText"/>
      </w:pPr>
    </w:p>
    <w:p>
      <w:pPr>
        <w:spacing w:line="362" w:lineRule="auto" w:before="139"/>
        <w:ind w:left="384" w:right="19" w:hanging="284"/>
        <w:jc w:val="left"/>
        <w:rPr>
          <w:sz w:val="24"/>
        </w:rPr>
      </w:pPr>
      <w:r>
        <w:rPr>
          <w:sz w:val="24"/>
        </w:rPr>
        <w:t>Sánchez Daza, Alfredo. (1993). </w:t>
      </w:r>
      <w:r>
        <w:rPr>
          <w:i/>
          <w:sz w:val="24"/>
        </w:rPr>
        <w:t>México: Estrategia antiinflacionaria</w:t>
      </w:r>
      <w:r>
        <w:rPr>
          <w:sz w:val="24"/>
        </w:rPr>
        <w:t>, UAM-A. Departamento de Economía, México.</w:t>
      </w:r>
    </w:p>
    <w:p>
      <w:pPr>
        <w:pStyle w:val="BodyText"/>
        <w:spacing w:before="9"/>
        <w:rPr>
          <w:sz w:val="35"/>
        </w:rPr>
      </w:pPr>
    </w:p>
    <w:p>
      <w:pPr>
        <w:spacing w:before="0"/>
        <w:ind w:left="100" w:right="19" w:firstLine="0"/>
        <w:jc w:val="left"/>
        <w:rPr>
          <w:sz w:val="24"/>
        </w:rPr>
      </w:pPr>
      <w:r>
        <w:rPr>
          <w:sz w:val="24"/>
        </w:rPr>
        <w:t>Sartori, Giovanni. (1994). </w:t>
      </w:r>
      <w:r>
        <w:rPr>
          <w:i/>
          <w:sz w:val="24"/>
        </w:rPr>
        <w:t>Ingeniería constitucional comparada. </w:t>
      </w:r>
      <w:r>
        <w:rPr>
          <w:sz w:val="24"/>
        </w:rPr>
        <w:t>FCE, México.</w:t>
      </w:r>
    </w:p>
    <w:p>
      <w:pPr>
        <w:pStyle w:val="BodyText"/>
      </w:pPr>
    </w:p>
    <w:p>
      <w:pPr>
        <w:pStyle w:val="BodyText"/>
      </w:pPr>
    </w:p>
    <w:p>
      <w:pPr>
        <w:spacing w:line="362" w:lineRule="auto" w:before="0"/>
        <w:ind w:left="384" w:right="19" w:hanging="284"/>
        <w:jc w:val="left"/>
        <w:rPr>
          <w:sz w:val="24"/>
        </w:rPr>
      </w:pPr>
      <w:r>
        <w:rPr>
          <w:sz w:val="24"/>
        </w:rPr>
        <w:t>Sartori Giovanni (2002). </w:t>
      </w:r>
      <w:r>
        <w:rPr>
          <w:i/>
          <w:sz w:val="24"/>
        </w:rPr>
        <w:t>La política, lógica y método en las ciencias sociales</w:t>
      </w:r>
      <w:r>
        <w:rPr>
          <w:sz w:val="24"/>
        </w:rPr>
        <w:t>, FCE. Tercera Edición. México.</w:t>
      </w:r>
    </w:p>
    <w:p>
      <w:pPr>
        <w:pStyle w:val="BodyText"/>
      </w:pPr>
    </w:p>
    <w:p>
      <w:pPr>
        <w:pStyle w:val="BodyText"/>
        <w:spacing w:line="362" w:lineRule="auto" w:before="139"/>
        <w:ind w:left="384" w:right="19" w:hanging="284"/>
      </w:pPr>
      <w:r>
        <w:rPr/>
        <w:t>Schedler, Andreas. (2004) ¿Qué es la rendición de cuentas?, Cuadernos de transparencia, No. 3, IFAI. México.</w:t>
      </w:r>
    </w:p>
    <w:p>
      <w:pPr>
        <w:spacing w:after="0" w:line="362" w:lineRule="auto"/>
        <w:sectPr>
          <w:pgSz w:w="11910" w:h="16840"/>
          <w:pgMar w:header="0" w:footer="998" w:top="1360" w:bottom="1180" w:left="1600" w:right="1500"/>
        </w:sectPr>
      </w:pPr>
    </w:p>
    <w:p>
      <w:pPr>
        <w:pStyle w:val="BodyText"/>
        <w:spacing w:line="362" w:lineRule="auto" w:before="39"/>
        <w:ind w:left="384" w:right="431" w:hanging="284"/>
        <w:jc w:val="both"/>
      </w:pPr>
      <w:r>
        <w:rPr/>
        <w:t>Stiglitz Joseph (2002) El malestar en la globalización, Punto de lectura, primera edición, México.</w:t>
      </w:r>
    </w:p>
    <w:p>
      <w:pPr>
        <w:pStyle w:val="BodyText"/>
      </w:pPr>
    </w:p>
    <w:p>
      <w:pPr>
        <w:pStyle w:val="BodyText"/>
        <w:spacing w:line="360" w:lineRule="auto" w:before="139"/>
        <w:ind w:left="384" w:right="426" w:hanging="284"/>
        <w:jc w:val="both"/>
      </w:pPr>
      <w:r>
        <w:rPr/>
        <w:t>SFP. (2008). Comisión Intersecretarial para la Transparencia y Combate a la Corrupción. Participación ciudadana ¿Para qué?, hacia una política de participación ciudadana en el gobierno federal. México.</w:t>
      </w:r>
    </w:p>
    <w:p>
      <w:pPr>
        <w:pStyle w:val="BodyText"/>
        <w:spacing w:before="11"/>
        <w:rPr>
          <w:sz w:val="35"/>
        </w:rPr>
      </w:pPr>
    </w:p>
    <w:p>
      <w:pPr>
        <w:spacing w:before="0"/>
        <w:ind w:left="100" w:right="0" w:firstLine="0"/>
        <w:jc w:val="left"/>
        <w:rPr>
          <w:sz w:val="24"/>
        </w:rPr>
      </w:pPr>
      <w:r>
        <w:rPr>
          <w:sz w:val="24"/>
        </w:rPr>
        <w:t>SHCP/UNAM. (2012). </w:t>
      </w:r>
      <w:r>
        <w:rPr>
          <w:i/>
          <w:sz w:val="24"/>
        </w:rPr>
        <w:t>Diplomado de presupuesto basado en resultados</w:t>
      </w:r>
      <w:r>
        <w:rPr>
          <w:sz w:val="24"/>
        </w:rPr>
        <w:t>, Módulo</w:t>
      </w:r>
    </w:p>
    <w:p>
      <w:pPr>
        <w:pStyle w:val="BodyText"/>
        <w:spacing w:before="140"/>
        <w:ind w:left="100"/>
      </w:pPr>
      <w:r>
        <w:rPr/>
        <w:t>2. México.</w:t>
      </w:r>
    </w:p>
    <w:p>
      <w:pPr>
        <w:pStyle w:val="BodyText"/>
      </w:pPr>
    </w:p>
    <w:p>
      <w:pPr>
        <w:pStyle w:val="BodyText"/>
        <w:spacing w:before="8"/>
        <w:rPr>
          <w:sz w:val="23"/>
        </w:rPr>
      </w:pPr>
    </w:p>
    <w:p>
      <w:pPr>
        <w:spacing w:line="364" w:lineRule="auto" w:before="0"/>
        <w:ind w:left="384" w:right="423" w:hanging="284"/>
        <w:jc w:val="both"/>
        <w:rPr>
          <w:sz w:val="24"/>
        </w:rPr>
      </w:pPr>
      <w:r>
        <w:rPr>
          <w:sz w:val="24"/>
        </w:rPr>
        <w:t>Sierra Rojas, Andrés. (2001). </w:t>
      </w:r>
      <w:r>
        <w:rPr>
          <w:i/>
          <w:sz w:val="24"/>
        </w:rPr>
        <w:t>Diccionario de Ciencia Política. </w:t>
      </w:r>
      <w:r>
        <w:rPr>
          <w:sz w:val="24"/>
        </w:rPr>
        <w:t>Tomo I. Facultad de Derecho de la UNAM y Fondo de Cultura Económica. México.</w:t>
      </w:r>
    </w:p>
    <w:p>
      <w:pPr>
        <w:pStyle w:val="BodyText"/>
        <w:spacing w:before="6"/>
        <w:rPr>
          <w:sz w:val="35"/>
        </w:rPr>
      </w:pPr>
    </w:p>
    <w:p>
      <w:pPr>
        <w:spacing w:line="357" w:lineRule="auto" w:before="0"/>
        <w:ind w:left="384" w:right="427" w:hanging="284"/>
        <w:jc w:val="both"/>
        <w:rPr>
          <w:sz w:val="24"/>
        </w:rPr>
      </w:pPr>
      <w:r>
        <w:rPr>
          <w:sz w:val="24"/>
        </w:rPr>
        <w:t>Solares Mendiola, Manuel. (2004). </w:t>
      </w:r>
      <w:r>
        <w:rPr>
          <w:i/>
          <w:sz w:val="24"/>
        </w:rPr>
        <w:t>La Auditoría Superior de la Federación: </w:t>
      </w:r>
      <w:r>
        <w:rPr>
          <w:i/>
          <w:sz w:val="24"/>
        </w:rPr>
        <w:t>antecedentes y perspectiva jurídica</w:t>
      </w:r>
      <w:r>
        <w:rPr>
          <w:sz w:val="24"/>
        </w:rPr>
        <w:t>. UNAM. México.</w:t>
      </w:r>
    </w:p>
    <w:p>
      <w:pPr>
        <w:pStyle w:val="BodyText"/>
      </w:pPr>
    </w:p>
    <w:p>
      <w:pPr>
        <w:pStyle w:val="BodyText"/>
        <w:spacing w:before="149"/>
        <w:ind w:left="100"/>
      </w:pPr>
      <w:r>
        <w:rPr/>
        <w:t>Tamayo  y Tamayo,  Mario.  (2003).  El proceso de la investigación   </w:t>
      </w:r>
      <w:r>
        <w:rPr>
          <w:spacing w:val="66"/>
        </w:rPr>
        <w:t> </w:t>
      </w:r>
      <w:r>
        <w:rPr/>
        <w:t>científica.</w:t>
      </w:r>
    </w:p>
    <w:p>
      <w:pPr>
        <w:pStyle w:val="BodyText"/>
        <w:spacing w:before="140"/>
        <w:ind w:left="384"/>
      </w:pPr>
      <w:r>
        <w:rPr/>
        <w:t>Limusa. Cuarta edición. México.</w:t>
      </w:r>
    </w:p>
    <w:p>
      <w:pPr>
        <w:pStyle w:val="BodyText"/>
      </w:pPr>
    </w:p>
    <w:p>
      <w:pPr>
        <w:pStyle w:val="BodyText"/>
      </w:pPr>
    </w:p>
    <w:p>
      <w:pPr>
        <w:pStyle w:val="BodyText"/>
        <w:spacing w:line="360" w:lineRule="auto"/>
        <w:ind w:left="384" w:right="425" w:hanging="284"/>
        <w:jc w:val="both"/>
      </w:pPr>
      <w:r>
        <w:rPr/>
        <w:t>Ugalde Ramírez, Luis Carlos. (2002). La rendición de cuentas en los gobiernos estatales</w:t>
      </w:r>
      <w:r>
        <w:rPr>
          <w:spacing w:val="-4"/>
        </w:rPr>
        <w:t> </w:t>
      </w:r>
      <w:r>
        <w:rPr/>
        <w:t>y</w:t>
      </w:r>
      <w:r>
        <w:rPr>
          <w:spacing w:val="-8"/>
        </w:rPr>
        <w:t> </w:t>
      </w:r>
      <w:r>
        <w:rPr/>
        <w:t>municipales,</w:t>
      </w:r>
      <w:r>
        <w:rPr>
          <w:spacing w:val="-6"/>
        </w:rPr>
        <w:t> </w:t>
      </w:r>
      <w:r>
        <w:rPr/>
        <w:t>En</w:t>
      </w:r>
      <w:r>
        <w:rPr>
          <w:spacing w:val="-9"/>
        </w:rPr>
        <w:t> </w:t>
      </w:r>
      <w:r>
        <w:rPr/>
        <w:t>Auditoría</w:t>
      </w:r>
      <w:r>
        <w:rPr>
          <w:spacing w:val="-5"/>
        </w:rPr>
        <w:t> </w:t>
      </w:r>
      <w:r>
        <w:rPr/>
        <w:t>Superior</w:t>
      </w:r>
      <w:r>
        <w:rPr>
          <w:spacing w:val="-7"/>
        </w:rPr>
        <w:t> </w:t>
      </w:r>
      <w:r>
        <w:rPr/>
        <w:t>de</w:t>
      </w:r>
      <w:r>
        <w:rPr>
          <w:spacing w:val="-9"/>
        </w:rPr>
        <w:t> </w:t>
      </w:r>
      <w:r>
        <w:rPr/>
        <w:t>la</w:t>
      </w:r>
      <w:r>
        <w:rPr>
          <w:spacing w:val="-9"/>
        </w:rPr>
        <w:t> </w:t>
      </w:r>
      <w:r>
        <w:rPr/>
        <w:t>Federación.</w:t>
      </w:r>
      <w:r>
        <w:rPr>
          <w:spacing w:val="-6"/>
        </w:rPr>
        <w:t> </w:t>
      </w:r>
      <w:r>
        <w:rPr/>
        <w:t>Cultura</w:t>
      </w:r>
      <w:r>
        <w:rPr>
          <w:spacing w:val="-9"/>
        </w:rPr>
        <w:t> </w:t>
      </w:r>
      <w:r>
        <w:rPr/>
        <w:t>de</w:t>
      </w:r>
      <w:r>
        <w:rPr>
          <w:spacing w:val="-5"/>
        </w:rPr>
        <w:t> </w:t>
      </w:r>
      <w:r>
        <w:rPr/>
        <w:t>la rendición de cuentas. No. 4.</w:t>
      </w:r>
      <w:r>
        <w:rPr>
          <w:spacing w:val="-24"/>
        </w:rPr>
        <w:t> </w:t>
      </w:r>
      <w:r>
        <w:rPr/>
        <w:t>México.</w:t>
      </w:r>
    </w:p>
    <w:p>
      <w:pPr>
        <w:pStyle w:val="BodyText"/>
      </w:pPr>
    </w:p>
    <w:p>
      <w:pPr>
        <w:spacing w:line="357" w:lineRule="auto" w:before="138"/>
        <w:ind w:left="384" w:right="417" w:hanging="284"/>
        <w:jc w:val="both"/>
        <w:rPr>
          <w:sz w:val="24"/>
        </w:rPr>
      </w:pPr>
      <w:r>
        <w:rPr>
          <w:sz w:val="24"/>
        </w:rPr>
        <w:t>Ugalde Ramírez, Luis Carlos. (2002b). </w:t>
      </w:r>
      <w:r>
        <w:rPr>
          <w:i/>
          <w:sz w:val="24"/>
        </w:rPr>
        <w:t>Rendición de Cuentas y Democracia. El </w:t>
      </w:r>
      <w:r>
        <w:rPr>
          <w:i/>
          <w:sz w:val="24"/>
        </w:rPr>
        <w:t>caso de México</w:t>
      </w:r>
      <w:r>
        <w:rPr>
          <w:sz w:val="24"/>
        </w:rPr>
        <w:t>. Instituto Federal Electoral, primera edición. México.</w:t>
      </w:r>
    </w:p>
    <w:p>
      <w:pPr>
        <w:pStyle w:val="BodyText"/>
      </w:pPr>
    </w:p>
    <w:p>
      <w:pPr>
        <w:tabs>
          <w:tab w:pos="1940" w:val="left" w:leader="none"/>
        </w:tabs>
        <w:spacing w:before="144"/>
        <w:ind w:left="100" w:right="0" w:firstLine="0"/>
        <w:jc w:val="left"/>
        <w:rPr>
          <w:i/>
          <w:sz w:val="24"/>
        </w:rPr>
      </w:pPr>
      <w:r>
        <w:rPr>
          <w:sz w:val="24"/>
        </w:rPr>
        <w:t>UNESCO/</w:t>
      </w:r>
      <w:r>
        <w:rPr>
          <w:spacing w:val="36"/>
          <w:sz w:val="24"/>
        </w:rPr>
        <w:t> </w:t>
      </w:r>
      <w:r>
        <w:rPr>
          <w:sz w:val="24"/>
        </w:rPr>
        <w:t>IIPI.</w:t>
        <w:tab/>
        <w:t>(2009).</w:t>
      </w:r>
      <w:r>
        <w:rPr>
          <w:i/>
          <w:sz w:val="24"/>
        </w:rPr>
        <w:t>Écoles corrompues, universités corrompues: ¿qué  </w:t>
      </w:r>
      <w:r>
        <w:rPr>
          <w:i/>
          <w:spacing w:val="48"/>
          <w:sz w:val="24"/>
        </w:rPr>
        <w:t> </w:t>
      </w:r>
      <w:r>
        <w:rPr>
          <w:i/>
          <w:sz w:val="24"/>
        </w:rPr>
        <w:t>faire?</w:t>
      </w:r>
    </w:p>
    <w:p>
      <w:pPr>
        <w:pStyle w:val="BodyText"/>
        <w:spacing w:before="144"/>
        <w:ind w:left="100"/>
      </w:pPr>
      <w:r>
        <w:rPr/>
        <w:t>Francia.</w:t>
      </w:r>
    </w:p>
    <w:p>
      <w:pPr>
        <w:pStyle w:val="BodyText"/>
        <w:tabs>
          <w:tab w:pos="1540" w:val="left" w:leader="none"/>
          <w:tab w:pos="2199" w:val="left" w:leader="none"/>
        </w:tabs>
        <w:spacing w:line="357" w:lineRule="auto" w:before="136"/>
        <w:ind w:left="100" w:right="433"/>
      </w:pPr>
      <w:r>
        <w:rPr/>
        <w:t>Disponible</w:t>
        <w:tab/>
        <w:t>en:</w:t>
        <w:tab/>
      </w:r>
      <w:hyperlink r:id="rId227">
        <w:r>
          <w:rPr>
            <w:spacing w:val="-1"/>
          </w:rPr>
          <w:t>http://unesdoc.unesco.org/images/0015/001502/150259f.pdf</w:t>
        </w:r>
      </w:hyperlink>
      <w:r>
        <w:rPr>
          <w:spacing w:val="-1"/>
        </w:rPr>
        <w:t> </w:t>
      </w:r>
      <w:r>
        <w:rPr/>
        <w:t>[Fecha de consulta: 20 de abril,</w:t>
      </w:r>
      <w:r>
        <w:rPr>
          <w:spacing w:val="-27"/>
        </w:rPr>
        <w:t> </w:t>
      </w:r>
      <w:r>
        <w:rPr/>
        <w:t>2012]</w:t>
      </w:r>
    </w:p>
    <w:p>
      <w:pPr>
        <w:pStyle w:val="BodyText"/>
      </w:pPr>
    </w:p>
    <w:p>
      <w:pPr>
        <w:spacing w:line="364" w:lineRule="auto" w:before="140"/>
        <w:ind w:left="100" w:right="433" w:firstLine="0"/>
        <w:jc w:val="left"/>
        <w:rPr>
          <w:sz w:val="24"/>
        </w:rPr>
      </w:pPr>
      <w:r>
        <w:rPr>
          <w:sz w:val="24"/>
        </w:rPr>
        <w:t>Weber, Max. (1964) </w:t>
      </w:r>
      <w:r>
        <w:rPr>
          <w:i/>
          <w:sz w:val="24"/>
        </w:rPr>
        <w:t>Economía y Sociedad</w:t>
      </w:r>
      <w:r>
        <w:rPr>
          <w:sz w:val="24"/>
        </w:rPr>
        <w:t>, Fondo de Cultura Económica. México.</w:t>
      </w:r>
    </w:p>
    <w:p>
      <w:pPr>
        <w:spacing w:after="0" w:line="364" w:lineRule="auto"/>
        <w:jc w:val="left"/>
        <w:rPr>
          <w:sz w:val="24"/>
        </w:rPr>
        <w:sectPr>
          <w:pgSz w:w="11910" w:h="16840"/>
          <w:pgMar w:header="0" w:footer="998" w:top="1360" w:bottom="1180" w:left="1600" w:right="1280"/>
        </w:sectPr>
      </w:pPr>
    </w:p>
    <w:p>
      <w:pPr>
        <w:spacing w:line="362" w:lineRule="auto" w:before="55"/>
        <w:ind w:left="100" w:right="117" w:firstLine="0"/>
        <w:jc w:val="both"/>
        <w:rPr>
          <w:sz w:val="24"/>
        </w:rPr>
      </w:pPr>
      <w:r>
        <w:rPr>
          <w:sz w:val="24"/>
        </w:rPr>
        <w:t>World Bank (2008). Bank Information Center, </w:t>
      </w:r>
      <w:r>
        <w:rPr>
          <w:i/>
          <w:sz w:val="24"/>
        </w:rPr>
        <w:t>Rendición de cuentas y </w:t>
      </w:r>
      <w:r>
        <w:rPr>
          <w:i/>
          <w:sz w:val="24"/>
        </w:rPr>
        <w:t>participación en el diseño de proyectos del Banco Mundial y del Banco Interamericano de Desarrollo: De la retórica a las acciones</w:t>
      </w:r>
      <w:r>
        <w:rPr>
          <w:sz w:val="24"/>
        </w:rPr>
        <w:t>, 2008, Washington D.C.</w:t>
      </w:r>
    </w:p>
    <w:p>
      <w:pPr>
        <w:pStyle w:val="BodyText"/>
      </w:pPr>
    </w:p>
    <w:p>
      <w:pPr>
        <w:pStyle w:val="BodyText"/>
        <w:spacing w:before="11"/>
        <w:rPr>
          <w:sz w:val="28"/>
        </w:rPr>
      </w:pPr>
    </w:p>
    <w:p>
      <w:pPr>
        <w:pStyle w:val="Heading2"/>
        <w:ind w:left="100" w:right="86" w:firstLine="0"/>
        <w:jc w:val="left"/>
      </w:pPr>
      <w:bookmarkStart w:name="_bookmark101" w:id="133"/>
      <w:bookmarkEnd w:id="133"/>
      <w:r>
        <w:rPr>
          <w:b w:val="0"/>
        </w:rPr>
      </w:r>
      <w:r>
        <w:rPr/>
        <w:t>Consultas en línea</w:t>
      </w:r>
    </w:p>
    <w:p>
      <w:pPr>
        <w:pStyle w:val="BodyText"/>
        <w:spacing w:before="6"/>
        <w:rPr>
          <w:b/>
          <w:sz w:val="30"/>
        </w:rPr>
      </w:pPr>
    </w:p>
    <w:p>
      <w:pPr>
        <w:spacing w:line="362" w:lineRule="auto" w:before="1"/>
        <w:ind w:left="100" w:right="1245" w:firstLine="0"/>
        <w:jc w:val="left"/>
        <w:rPr>
          <w:sz w:val="24"/>
        </w:rPr>
      </w:pPr>
      <w:r>
        <w:rPr>
          <w:sz w:val="24"/>
        </w:rPr>
        <w:t>Aguilar F. Luis. (2010). </w:t>
      </w:r>
      <w:r>
        <w:rPr>
          <w:i/>
          <w:sz w:val="24"/>
        </w:rPr>
        <w:t>Gobernanza: El nuevo proceso de gobernar </w:t>
      </w:r>
      <w:r>
        <w:rPr>
          <w:sz w:val="24"/>
        </w:rPr>
        <w:t>Disponible en: </w:t>
      </w:r>
      <w:hyperlink r:id="rId228">
        <w:r>
          <w:rPr>
            <w:color w:val="0000FF"/>
            <w:sz w:val="24"/>
            <w:u w:val="single" w:color="0000FF"/>
          </w:rPr>
          <w:t>www.facebook.com/note.php?note_id=385499133141</w:t>
        </w:r>
      </w:hyperlink>
      <w:r>
        <w:rPr>
          <w:color w:val="0000FF"/>
          <w:sz w:val="24"/>
          <w:u w:val="single" w:color="0000FF"/>
        </w:rPr>
        <w:t> </w:t>
      </w:r>
      <w:r>
        <w:rPr>
          <w:sz w:val="24"/>
        </w:rPr>
        <w:t>[Fecha de consulta: 30 de diciembre, 2015]</w:t>
      </w:r>
    </w:p>
    <w:p>
      <w:pPr>
        <w:pStyle w:val="BodyText"/>
        <w:spacing w:before="9"/>
        <w:rPr>
          <w:sz w:val="35"/>
        </w:rPr>
      </w:pPr>
    </w:p>
    <w:p>
      <w:pPr>
        <w:spacing w:line="362" w:lineRule="auto" w:before="0"/>
        <w:ind w:left="100" w:right="122" w:firstLine="0"/>
        <w:jc w:val="both"/>
        <w:rPr>
          <w:sz w:val="24"/>
        </w:rPr>
      </w:pPr>
      <w:r>
        <w:rPr>
          <w:sz w:val="24"/>
        </w:rPr>
        <w:t>Aguirre Botello, Manuel. (Consulta en línea). </w:t>
      </w:r>
      <w:r>
        <w:rPr>
          <w:i/>
          <w:sz w:val="24"/>
        </w:rPr>
        <w:t>La historia de un voto, seis años </w:t>
      </w:r>
      <w:r>
        <w:rPr>
          <w:i/>
          <w:sz w:val="24"/>
        </w:rPr>
        <w:t>después. El gobierno del Presidente Vicente Fox Quesada, 2000-2006</w:t>
      </w:r>
      <w:r>
        <w:rPr>
          <w:sz w:val="24"/>
        </w:rPr>
        <w:t>, cuarta parte.</w:t>
      </w:r>
    </w:p>
    <w:p>
      <w:pPr>
        <w:pStyle w:val="BodyText"/>
        <w:spacing w:line="362" w:lineRule="auto"/>
        <w:ind w:left="100" w:right="2433"/>
      </w:pPr>
      <w:r>
        <w:rPr/>
        <w:t>Disponible en: </w:t>
      </w:r>
      <w:hyperlink r:id="rId229">
        <w:r>
          <w:rPr>
            <w:color w:val="0000FF"/>
            <w:u w:val="single" w:color="0000FF"/>
          </w:rPr>
          <w:t>http://mexicomagico.org/Voto/4A/fox4a.htm</w:t>
        </w:r>
      </w:hyperlink>
      <w:r>
        <w:rPr>
          <w:color w:val="0000FF"/>
          <w:u w:val="single" w:color="0000FF"/>
        </w:rPr>
        <w:t> </w:t>
      </w:r>
      <w:r>
        <w:rPr/>
        <w:t>[Fecha de consulta: 30 de diciembre, 2015]</w:t>
      </w:r>
    </w:p>
    <w:p>
      <w:pPr>
        <w:pStyle w:val="BodyText"/>
      </w:pPr>
    </w:p>
    <w:p>
      <w:pPr>
        <w:pStyle w:val="BodyText"/>
        <w:spacing w:before="140"/>
        <w:ind w:left="100" w:right="86"/>
      </w:pPr>
      <w:r>
        <w:rPr/>
        <w:t>Antecedentes Históricos de la SHCP.</w:t>
      </w:r>
    </w:p>
    <w:p>
      <w:pPr>
        <w:pStyle w:val="BodyText"/>
        <w:spacing w:line="362" w:lineRule="auto" w:before="136"/>
        <w:ind w:left="100" w:right="86"/>
      </w:pPr>
      <w:r>
        <w:rPr/>
        <w:t>Disponible en: </w:t>
      </w:r>
      <w:hyperlink r:id="rId230">
        <w:r>
          <w:rPr>
            <w:color w:val="0000FF"/>
            <w:u w:val="single" w:color="0000FF"/>
          </w:rPr>
          <w:t>http://www.shcp.gob.mx/LASHCP/Documents/antecedentes.pdf</w:t>
        </w:r>
      </w:hyperlink>
      <w:r>
        <w:rPr>
          <w:color w:val="0000FF"/>
          <w:u w:val="single" w:color="0000FF"/>
        </w:rPr>
        <w:t> </w:t>
      </w:r>
      <w:r>
        <w:rPr/>
        <w:t>[Fecha de consulta: 15 de mayo, 2012]</w:t>
      </w:r>
    </w:p>
    <w:p>
      <w:pPr>
        <w:pStyle w:val="BodyText"/>
        <w:spacing w:before="9"/>
        <w:rPr>
          <w:sz w:val="35"/>
        </w:rPr>
      </w:pPr>
    </w:p>
    <w:p>
      <w:pPr>
        <w:spacing w:before="0"/>
        <w:ind w:left="100" w:right="86" w:firstLine="0"/>
        <w:jc w:val="left"/>
        <w:rPr>
          <w:sz w:val="24"/>
        </w:rPr>
      </w:pPr>
      <w:r>
        <w:rPr>
          <w:sz w:val="24"/>
        </w:rPr>
        <w:t>Aristóteles, (s.f.). </w:t>
      </w:r>
      <w:r>
        <w:rPr>
          <w:i/>
          <w:sz w:val="24"/>
        </w:rPr>
        <w:t>La política</w:t>
      </w:r>
      <w:r>
        <w:rPr>
          <w:sz w:val="24"/>
        </w:rPr>
        <w:t>.</w:t>
      </w:r>
    </w:p>
    <w:p>
      <w:pPr>
        <w:pStyle w:val="BodyText"/>
        <w:spacing w:line="362" w:lineRule="auto" w:before="140"/>
        <w:ind w:left="100" w:right="2186"/>
      </w:pPr>
      <w:r>
        <w:rPr/>
        <w:t>Disponible en: </w:t>
      </w:r>
      <w:hyperlink r:id="rId231">
        <w:r>
          <w:rPr/>
          <w:t>http://www.filosofia.org/ave/001/a240.htm</w:t>
        </w:r>
      </w:hyperlink>
      <w:r>
        <w:rPr/>
        <w:t> [Fecha de consulta: 30 de diciembre, 2015]</w:t>
      </w:r>
    </w:p>
    <w:p>
      <w:pPr>
        <w:pStyle w:val="BodyText"/>
        <w:spacing w:before="8"/>
        <w:rPr>
          <w:sz w:val="35"/>
        </w:rPr>
      </w:pPr>
    </w:p>
    <w:p>
      <w:pPr>
        <w:spacing w:line="360" w:lineRule="auto" w:before="0"/>
        <w:ind w:left="100" w:right="86" w:firstLine="0"/>
        <w:jc w:val="left"/>
        <w:rPr>
          <w:sz w:val="24"/>
        </w:rPr>
      </w:pPr>
      <w:r>
        <w:rPr>
          <w:sz w:val="24"/>
        </w:rPr>
        <w:t>Cerrillo i Martínez, Agustí. Coord. (2005). </w:t>
      </w:r>
      <w:r>
        <w:rPr>
          <w:i/>
          <w:sz w:val="24"/>
        </w:rPr>
        <w:t>Gobernanza hoy: 10 textos de </w:t>
      </w:r>
      <w:r>
        <w:rPr>
          <w:i/>
          <w:sz w:val="24"/>
        </w:rPr>
        <w:t>referencia</w:t>
      </w:r>
      <w:r>
        <w:rPr>
          <w:sz w:val="24"/>
        </w:rPr>
        <w:t>, IIG/INAP. Madrid.</w:t>
      </w:r>
    </w:p>
    <w:p>
      <w:pPr>
        <w:pStyle w:val="BodyText"/>
        <w:spacing w:line="360" w:lineRule="auto" w:before="10"/>
        <w:ind w:left="100" w:right="243"/>
      </w:pPr>
      <w:r>
        <w:rPr/>
        <w:t>Disponible en: </w:t>
      </w:r>
      <w:hyperlink r:id="rId232">
        <w:r>
          <w:rPr/>
          <w:t>http://www.inap.org.mx/portal/images/RAP/la%20gobernanza%20hoy.pdf</w:t>
        </w:r>
      </w:hyperlink>
      <w:r>
        <w:rPr/>
        <w:t> [Fecha de consulta: 30 de diciembre, 2015]</w:t>
      </w:r>
    </w:p>
    <w:p>
      <w:pPr>
        <w:pStyle w:val="BodyText"/>
        <w:spacing w:before="11"/>
        <w:rPr>
          <w:sz w:val="35"/>
        </w:rPr>
      </w:pPr>
    </w:p>
    <w:p>
      <w:pPr>
        <w:spacing w:line="357" w:lineRule="auto" w:before="0"/>
        <w:ind w:left="100" w:right="86" w:firstLine="0"/>
        <w:jc w:val="left"/>
        <w:rPr>
          <w:sz w:val="24"/>
        </w:rPr>
      </w:pPr>
      <w:r>
        <w:rPr>
          <w:sz w:val="24"/>
        </w:rPr>
        <w:t>Astudillo Moya Marcela. (2002). </w:t>
      </w:r>
      <w:r>
        <w:rPr>
          <w:i/>
          <w:sz w:val="24"/>
        </w:rPr>
        <w:t>Algunas consideraciones sobre la nueva </w:t>
      </w:r>
      <w:r>
        <w:rPr>
          <w:i/>
          <w:sz w:val="24"/>
        </w:rPr>
        <w:t>hacienda pública ¿Distributiva?, </w:t>
      </w:r>
      <w:r>
        <w:rPr>
          <w:sz w:val="24"/>
        </w:rPr>
        <w:t>Momento Económico</w:t>
      </w:r>
    </w:p>
    <w:p>
      <w:pPr>
        <w:pStyle w:val="BodyText"/>
        <w:spacing w:before="12"/>
        <w:ind w:left="100" w:right="86"/>
      </w:pPr>
      <w:r>
        <w:rPr/>
        <w:t>Disponible en: </w:t>
      </w:r>
      <w:hyperlink r:id="rId233">
        <w:r>
          <w:rPr>
            <w:color w:val="0000FF"/>
            <w:u w:val="single" w:color="0000FF"/>
          </w:rPr>
          <w:t>http://www.ejournal.unam.mx/moe/no119/MOE11903.pdf</w:t>
        </w:r>
      </w:hyperlink>
    </w:p>
    <w:p>
      <w:pPr>
        <w:spacing w:after="0"/>
        <w:sectPr>
          <w:pgSz w:w="11910" w:h="16840"/>
          <w:pgMar w:header="0" w:footer="998" w:top="1340" w:bottom="1180" w:left="1600" w:right="1580"/>
        </w:sectPr>
      </w:pPr>
    </w:p>
    <w:p>
      <w:pPr>
        <w:pStyle w:val="BodyText"/>
        <w:spacing w:before="39"/>
        <w:ind w:left="100" w:right="385"/>
      </w:pPr>
      <w:r>
        <w:rPr/>
        <w:t>[Fecha de consulta: 30 de diciembre, 2015]</w:t>
      </w:r>
    </w:p>
    <w:p>
      <w:pPr>
        <w:pStyle w:val="BodyText"/>
      </w:pPr>
    </w:p>
    <w:p>
      <w:pPr>
        <w:pStyle w:val="BodyText"/>
        <w:spacing w:before="7"/>
        <w:rPr>
          <w:sz w:val="23"/>
        </w:rPr>
      </w:pPr>
    </w:p>
    <w:p>
      <w:pPr>
        <w:spacing w:line="362" w:lineRule="auto" w:before="0"/>
        <w:ind w:left="100" w:right="38" w:firstLine="0"/>
        <w:jc w:val="left"/>
        <w:rPr>
          <w:sz w:val="24"/>
        </w:rPr>
      </w:pPr>
      <w:r>
        <w:rPr>
          <w:sz w:val="24"/>
        </w:rPr>
        <w:t>ASF. (2002). </w:t>
      </w:r>
      <w:r>
        <w:rPr>
          <w:i/>
          <w:sz w:val="24"/>
        </w:rPr>
        <w:t>Informe del Resultado de la Revisión y Fiscalización Superior de la </w:t>
      </w:r>
      <w:r>
        <w:rPr>
          <w:i/>
          <w:sz w:val="24"/>
        </w:rPr>
        <w:t>Cuenta Pública 2000</w:t>
      </w:r>
      <w:r>
        <w:rPr>
          <w:sz w:val="24"/>
        </w:rPr>
        <w:t>, Tomo III.</w:t>
      </w:r>
    </w:p>
    <w:p>
      <w:pPr>
        <w:pStyle w:val="BodyText"/>
        <w:spacing w:line="362" w:lineRule="auto" w:before="3"/>
        <w:ind w:left="100" w:right="906"/>
      </w:pPr>
      <w:r>
        <w:rPr/>
        <w:t>Disponible en: </w:t>
      </w:r>
      <w:hyperlink r:id="rId235">
        <w:r>
          <w:rPr/>
          <w:t>http://www.asf.gob.mx/Trans/Informes/IR2000i/indice.htm</w:t>
        </w:r>
      </w:hyperlink>
      <w:r>
        <w:rPr/>
        <w:t> [Fecha de consulta: 30 de diciembre, 2015]</w:t>
      </w:r>
    </w:p>
    <w:p>
      <w:pPr>
        <w:pStyle w:val="BodyText"/>
        <w:spacing w:before="8"/>
        <w:rPr>
          <w:sz w:val="35"/>
        </w:rPr>
      </w:pPr>
    </w:p>
    <w:p>
      <w:pPr>
        <w:spacing w:line="357" w:lineRule="auto" w:before="1"/>
        <w:ind w:left="100" w:right="38" w:firstLine="0"/>
        <w:jc w:val="left"/>
        <w:rPr>
          <w:sz w:val="24"/>
        </w:rPr>
      </w:pPr>
      <w:r>
        <w:rPr>
          <w:sz w:val="24"/>
        </w:rPr>
        <w:t>ASF. (2003). </w:t>
      </w:r>
      <w:r>
        <w:rPr>
          <w:i/>
          <w:sz w:val="24"/>
        </w:rPr>
        <w:t>Informe del Resultado de la Revisión y Fiscalización Superior de la </w:t>
      </w:r>
      <w:r>
        <w:rPr>
          <w:i/>
          <w:sz w:val="24"/>
        </w:rPr>
        <w:t>Cuenta Pública 2001</w:t>
      </w:r>
      <w:r>
        <w:rPr>
          <w:sz w:val="24"/>
        </w:rPr>
        <w:t>, Tomo X Parte 2</w:t>
      </w:r>
    </w:p>
    <w:p>
      <w:pPr>
        <w:pStyle w:val="BodyText"/>
        <w:tabs>
          <w:tab w:pos="8270" w:val="left" w:leader="none"/>
        </w:tabs>
        <w:spacing w:before="12"/>
        <w:ind w:left="100" w:right="38"/>
      </w:pPr>
      <w:r>
        <w:rPr/>
        <w:t>Disponible</w:t>
        <w:tab/>
        <w:t>en:</w:t>
      </w:r>
    </w:p>
    <w:p>
      <w:pPr>
        <w:pStyle w:val="BodyText"/>
        <w:spacing w:line="362" w:lineRule="auto" w:before="136"/>
        <w:ind w:left="100" w:right="955"/>
      </w:pPr>
      <w:hyperlink r:id="rId236">
        <w:r>
          <w:rPr/>
          <w:t>http://www.asf.gob.mx/Trans/Informes/IR2001i/indice/Ejecutivo.htm</w:t>
        </w:r>
      </w:hyperlink>
      <w:r>
        <w:rPr/>
        <w:t> [Fecha de consulta: 30 de diciembre, 2015]</w:t>
      </w:r>
    </w:p>
    <w:p>
      <w:pPr>
        <w:pStyle w:val="BodyText"/>
        <w:spacing w:before="8"/>
        <w:rPr>
          <w:sz w:val="35"/>
        </w:rPr>
      </w:pPr>
    </w:p>
    <w:p>
      <w:pPr>
        <w:spacing w:line="357" w:lineRule="auto" w:before="1"/>
        <w:ind w:left="100" w:right="38" w:firstLine="0"/>
        <w:jc w:val="left"/>
        <w:rPr>
          <w:sz w:val="24"/>
        </w:rPr>
      </w:pPr>
      <w:r>
        <w:rPr>
          <w:sz w:val="24"/>
        </w:rPr>
        <w:t>ASF. (2004</w:t>
      </w:r>
      <w:r>
        <w:rPr>
          <w:i/>
          <w:sz w:val="24"/>
        </w:rPr>
        <w:t>). Informe del Resultado de la Revisión y Fiscalización Superior de la </w:t>
      </w:r>
      <w:r>
        <w:rPr>
          <w:i/>
          <w:sz w:val="24"/>
        </w:rPr>
        <w:t>Cuenta Pública 2002</w:t>
      </w:r>
      <w:r>
        <w:rPr>
          <w:sz w:val="24"/>
        </w:rPr>
        <w:t>, Ramo General 33 Tomo X parte 2</w:t>
      </w:r>
    </w:p>
    <w:p>
      <w:pPr>
        <w:pStyle w:val="BodyText"/>
        <w:spacing w:line="360" w:lineRule="auto" w:before="12"/>
        <w:ind w:left="100" w:right="906"/>
      </w:pPr>
      <w:r>
        <w:rPr/>
        <w:t>Disponible en: </w:t>
      </w:r>
      <w:hyperlink r:id="rId237">
        <w:r>
          <w:rPr/>
          <w:t>http://www.asf.gob.mx/Trans/Informes/IR2002i/indice.htm</w:t>
        </w:r>
      </w:hyperlink>
      <w:r>
        <w:rPr/>
        <w:t> [Fecha de consulta: 30 de diciembre, 2015]</w:t>
      </w:r>
    </w:p>
    <w:p>
      <w:pPr>
        <w:pStyle w:val="BodyText"/>
      </w:pPr>
    </w:p>
    <w:p>
      <w:pPr>
        <w:pStyle w:val="BodyText"/>
      </w:pPr>
    </w:p>
    <w:p>
      <w:pPr>
        <w:pStyle w:val="BodyText"/>
        <w:spacing w:before="2"/>
      </w:pPr>
    </w:p>
    <w:p>
      <w:pPr>
        <w:spacing w:line="357" w:lineRule="auto" w:before="0"/>
        <w:ind w:left="100" w:right="38" w:firstLine="0"/>
        <w:jc w:val="left"/>
        <w:rPr>
          <w:sz w:val="24"/>
        </w:rPr>
      </w:pPr>
      <w:r>
        <w:rPr>
          <w:sz w:val="24"/>
        </w:rPr>
        <w:t>ASF. (2005). </w:t>
      </w:r>
      <w:r>
        <w:rPr>
          <w:i/>
          <w:sz w:val="24"/>
        </w:rPr>
        <w:t>Informe del Resultado de la Revisión y Fiscalización Superior de la </w:t>
      </w:r>
      <w:r>
        <w:rPr>
          <w:i/>
          <w:sz w:val="24"/>
        </w:rPr>
        <w:t>Cuenta Pública 2003</w:t>
      </w:r>
      <w:r>
        <w:rPr>
          <w:sz w:val="24"/>
        </w:rPr>
        <w:t>, Tomo Ejecutivo.</w:t>
      </w:r>
    </w:p>
    <w:p>
      <w:pPr>
        <w:pStyle w:val="BodyText"/>
        <w:tabs>
          <w:tab w:pos="8270" w:val="left" w:leader="none"/>
        </w:tabs>
        <w:spacing w:before="13"/>
        <w:ind w:left="100" w:right="38"/>
      </w:pPr>
      <w:r>
        <w:rPr/>
        <w:t>Disponible</w:t>
        <w:tab/>
        <w:t>en:</w:t>
      </w:r>
    </w:p>
    <w:p>
      <w:pPr>
        <w:pStyle w:val="BodyText"/>
        <w:spacing w:line="362" w:lineRule="auto" w:before="136"/>
        <w:ind w:left="100" w:right="1440"/>
      </w:pPr>
      <w:hyperlink r:id="rId198">
        <w:r>
          <w:rPr/>
          <w:t>http://www.asf.gob.mx/Trans/Informes/IR2003i/Indice/Ejecutivo.htm</w:t>
        </w:r>
      </w:hyperlink>
      <w:r>
        <w:rPr/>
        <w:t> [Fecha de consulta: 30 de diciembre, 2015]</w:t>
      </w:r>
    </w:p>
    <w:p>
      <w:pPr>
        <w:pStyle w:val="BodyText"/>
        <w:spacing w:before="8"/>
        <w:rPr>
          <w:sz w:val="35"/>
        </w:rPr>
      </w:pPr>
    </w:p>
    <w:p>
      <w:pPr>
        <w:spacing w:line="357" w:lineRule="auto" w:before="1"/>
        <w:ind w:left="100" w:right="38" w:firstLine="0"/>
        <w:jc w:val="left"/>
        <w:rPr>
          <w:sz w:val="24"/>
        </w:rPr>
      </w:pPr>
      <w:r>
        <w:rPr>
          <w:sz w:val="24"/>
        </w:rPr>
        <w:t>ASF. (2005). </w:t>
      </w:r>
      <w:r>
        <w:rPr>
          <w:i/>
          <w:sz w:val="24"/>
        </w:rPr>
        <w:t>Informe del Resultado de la Revisión y Fiscalización Superior de la </w:t>
      </w:r>
      <w:r>
        <w:rPr>
          <w:i/>
          <w:sz w:val="24"/>
        </w:rPr>
        <w:t>Cuenta Pública 2003</w:t>
      </w:r>
      <w:r>
        <w:rPr>
          <w:sz w:val="24"/>
        </w:rPr>
        <w:t>, Tomo III</w:t>
      </w:r>
    </w:p>
    <w:p>
      <w:pPr>
        <w:pStyle w:val="BodyText"/>
        <w:tabs>
          <w:tab w:pos="8270" w:val="left" w:leader="none"/>
        </w:tabs>
        <w:spacing w:before="13"/>
        <w:ind w:left="100" w:right="38"/>
      </w:pPr>
      <w:r>
        <w:rPr/>
        <w:t>Disponible</w:t>
        <w:tab/>
        <w:t>en:</w:t>
      </w:r>
    </w:p>
    <w:p>
      <w:pPr>
        <w:pStyle w:val="BodyText"/>
        <w:spacing w:line="357" w:lineRule="auto" w:before="136"/>
        <w:ind w:left="100" w:right="1440"/>
      </w:pPr>
      <w:hyperlink r:id="rId198">
        <w:r>
          <w:rPr/>
          <w:t>http://www.asf.gob.mx/Trans/Informes/IR2003i/Indice/Ejecutivo.htm</w:t>
        </w:r>
      </w:hyperlink>
      <w:r>
        <w:rPr/>
        <w:t> [Fecha de consulta: 30 de diciembre, 2015]</w:t>
      </w:r>
    </w:p>
    <w:p>
      <w:pPr>
        <w:pStyle w:val="BodyText"/>
      </w:pPr>
    </w:p>
    <w:p>
      <w:pPr>
        <w:spacing w:line="362" w:lineRule="auto" w:before="140"/>
        <w:ind w:left="100" w:right="82" w:firstLine="0"/>
        <w:jc w:val="left"/>
        <w:rPr>
          <w:sz w:val="24"/>
        </w:rPr>
      </w:pPr>
      <w:r>
        <w:rPr>
          <w:sz w:val="24"/>
        </w:rPr>
        <w:t>ASF. (2005). </w:t>
      </w:r>
      <w:r>
        <w:rPr>
          <w:i/>
          <w:sz w:val="24"/>
        </w:rPr>
        <w:t>Memoria del Foro Internacional sobre la Fiscalización Superior en </w:t>
      </w:r>
      <w:r>
        <w:rPr>
          <w:i/>
          <w:sz w:val="24"/>
        </w:rPr>
        <w:t>México y el Mundo </w:t>
      </w:r>
      <w:r>
        <w:rPr>
          <w:sz w:val="24"/>
        </w:rPr>
        <w:t>www3.diputados.gob.mx/camara/content/.../memoria_foro05.pdf</w:t>
      </w:r>
    </w:p>
    <w:p>
      <w:pPr>
        <w:spacing w:after="0" w:line="362" w:lineRule="auto"/>
        <w:jc w:val="left"/>
        <w:rPr>
          <w:sz w:val="24"/>
        </w:rPr>
        <w:sectPr>
          <w:footerReference w:type="default" r:id="rId234"/>
          <w:pgSz w:w="11910" w:h="16840"/>
          <w:pgMar w:footer="998" w:header="0" w:top="1360" w:bottom="1180" w:left="1600" w:right="1600"/>
        </w:sectPr>
      </w:pPr>
    </w:p>
    <w:p>
      <w:pPr>
        <w:pStyle w:val="BodyText"/>
        <w:spacing w:before="39"/>
        <w:ind w:left="100" w:right="385"/>
      </w:pPr>
      <w:r>
        <w:rPr/>
        <w:t>[Fecha de consulta: 30 de diciembre, 2015]</w:t>
      </w:r>
    </w:p>
    <w:p>
      <w:pPr>
        <w:pStyle w:val="BodyText"/>
      </w:pPr>
    </w:p>
    <w:p>
      <w:pPr>
        <w:pStyle w:val="BodyText"/>
        <w:spacing w:before="7"/>
        <w:rPr>
          <w:sz w:val="23"/>
        </w:rPr>
      </w:pPr>
    </w:p>
    <w:p>
      <w:pPr>
        <w:spacing w:line="362" w:lineRule="auto" w:before="0"/>
        <w:ind w:left="100" w:right="99" w:firstLine="0"/>
        <w:jc w:val="both"/>
        <w:rPr>
          <w:sz w:val="24"/>
        </w:rPr>
      </w:pPr>
      <w:r>
        <w:rPr>
          <w:sz w:val="24"/>
        </w:rPr>
        <w:t>ASF.</w:t>
      </w:r>
      <w:r>
        <w:rPr>
          <w:spacing w:val="-5"/>
          <w:sz w:val="24"/>
        </w:rPr>
        <w:t> </w:t>
      </w:r>
      <w:r>
        <w:rPr>
          <w:sz w:val="24"/>
        </w:rPr>
        <w:t>(2006).</w:t>
      </w:r>
      <w:r>
        <w:rPr>
          <w:spacing w:val="-4"/>
          <w:sz w:val="24"/>
        </w:rPr>
        <w:t> </w:t>
      </w:r>
      <w:r>
        <w:rPr>
          <w:i/>
          <w:sz w:val="24"/>
        </w:rPr>
        <w:t>Informe</w:t>
      </w:r>
      <w:r>
        <w:rPr>
          <w:i/>
          <w:spacing w:val="-7"/>
          <w:sz w:val="24"/>
        </w:rPr>
        <w:t> </w:t>
      </w:r>
      <w:r>
        <w:rPr>
          <w:i/>
          <w:sz w:val="24"/>
        </w:rPr>
        <w:t>del</w:t>
      </w:r>
      <w:r>
        <w:rPr>
          <w:i/>
          <w:spacing w:val="-7"/>
          <w:sz w:val="24"/>
        </w:rPr>
        <w:t> </w:t>
      </w:r>
      <w:r>
        <w:rPr>
          <w:i/>
          <w:sz w:val="24"/>
        </w:rPr>
        <w:t>Resultado</w:t>
      </w:r>
      <w:r>
        <w:rPr>
          <w:i/>
          <w:spacing w:val="-8"/>
          <w:sz w:val="24"/>
        </w:rPr>
        <w:t> </w:t>
      </w:r>
      <w:r>
        <w:rPr>
          <w:i/>
          <w:sz w:val="24"/>
        </w:rPr>
        <w:t>de</w:t>
      </w:r>
      <w:r>
        <w:rPr>
          <w:i/>
          <w:spacing w:val="-8"/>
          <w:sz w:val="24"/>
        </w:rPr>
        <w:t> </w:t>
      </w:r>
      <w:r>
        <w:rPr>
          <w:i/>
          <w:sz w:val="24"/>
        </w:rPr>
        <w:t>la</w:t>
      </w:r>
      <w:r>
        <w:rPr>
          <w:i/>
          <w:spacing w:val="-8"/>
          <w:sz w:val="24"/>
        </w:rPr>
        <w:t> </w:t>
      </w:r>
      <w:r>
        <w:rPr>
          <w:i/>
          <w:sz w:val="24"/>
        </w:rPr>
        <w:t>Revisión</w:t>
      </w:r>
      <w:r>
        <w:rPr>
          <w:i/>
          <w:spacing w:val="-8"/>
          <w:sz w:val="24"/>
        </w:rPr>
        <w:t> </w:t>
      </w:r>
      <w:r>
        <w:rPr>
          <w:i/>
          <w:sz w:val="24"/>
        </w:rPr>
        <w:t>y</w:t>
      </w:r>
      <w:r>
        <w:rPr>
          <w:i/>
          <w:spacing w:val="-6"/>
          <w:sz w:val="24"/>
        </w:rPr>
        <w:t> </w:t>
      </w:r>
      <w:r>
        <w:rPr>
          <w:i/>
          <w:sz w:val="24"/>
        </w:rPr>
        <w:t>Fiscalización</w:t>
      </w:r>
      <w:r>
        <w:rPr>
          <w:i/>
          <w:spacing w:val="-8"/>
          <w:sz w:val="24"/>
        </w:rPr>
        <w:t> </w:t>
      </w:r>
      <w:r>
        <w:rPr>
          <w:i/>
          <w:sz w:val="24"/>
        </w:rPr>
        <w:t>Superior</w:t>
      </w:r>
      <w:r>
        <w:rPr>
          <w:i/>
          <w:spacing w:val="-2"/>
          <w:sz w:val="24"/>
        </w:rPr>
        <w:t> </w:t>
      </w:r>
      <w:r>
        <w:rPr>
          <w:i/>
          <w:sz w:val="24"/>
        </w:rPr>
        <w:t>de</w:t>
      </w:r>
      <w:r>
        <w:rPr>
          <w:i/>
          <w:spacing w:val="-8"/>
          <w:sz w:val="24"/>
        </w:rPr>
        <w:t> </w:t>
      </w:r>
      <w:r>
        <w:rPr>
          <w:i/>
          <w:sz w:val="24"/>
        </w:rPr>
        <w:t>la </w:t>
      </w:r>
      <w:r>
        <w:rPr>
          <w:i/>
          <w:sz w:val="24"/>
        </w:rPr>
        <w:t>Cuenta</w:t>
      </w:r>
      <w:r>
        <w:rPr>
          <w:i/>
          <w:spacing w:val="-9"/>
          <w:sz w:val="24"/>
        </w:rPr>
        <w:t> </w:t>
      </w:r>
      <w:r>
        <w:rPr>
          <w:i/>
          <w:sz w:val="24"/>
        </w:rPr>
        <w:t>Pública</w:t>
      </w:r>
      <w:r>
        <w:rPr>
          <w:i/>
          <w:spacing w:val="-9"/>
          <w:sz w:val="24"/>
        </w:rPr>
        <w:t> </w:t>
      </w:r>
      <w:r>
        <w:rPr>
          <w:i/>
          <w:sz w:val="24"/>
        </w:rPr>
        <w:t>2004</w:t>
      </w:r>
      <w:r>
        <w:rPr>
          <w:sz w:val="24"/>
        </w:rPr>
        <w:t>,</w:t>
      </w:r>
      <w:r>
        <w:rPr>
          <w:spacing w:val="-10"/>
          <w:sz w:val="24"/>
        </w:rPr>
        <w:t> </w:t>
      </w:r>
      <w:r>
        <w:rPr>
          <w:sz w:val="24"/>
        </w:rPr>
        <w:t>Tomo</w:t>
      </w:r>
      <w:r>
        <w:rPr>
          <w:spacing w:val="-9"/>
          <w:sz w:val="24"/>
        </w:rPr>
        <w:t> </w:t>
      </w:r>
      <w:r>
        <w:rPr>
          <w:sz w:val="24"/>
        </w:rPr>
        <w:t>de</w:t>
      </w:r>
      <w:r>
        <w:rPr>
          <w:spacing w:val="-9"/>
          <w:sz w:val="24"/>
        </w:rPr>
        <w:t> </w:t>
      </w:r>
      <w:r>
        <w:rPr>
          <w:sz w:val="24"/>
        </w:rPr>
        <w:t>Resultados</w:t>
      </w:r>
      <w:r>
        <w:rPr>
          <w:spacing w:val="-7"/>
          <w:sz w:val="24"/>
        </w:rPr>
        <w:t> </w:t>
      </w:r>
      <w:r>
        <w:rPr>
          <w:sz w:val="24"/>
        </w:rPr>
        <w:t>Generales</w:t>
      </w:r>
      <w:r>
        <w:rPr>
          <w:spacing w:val="-3"/>
          <w:sz w:val="24"/>
        </w:rPr>
        <w:t> </w:t>
      </w:r>
      <w:r>
        <w:rPr>
          <w:sz w:val="24"/>
        </w:rPr>
        <w:t>y</w:t>
      </w:r>
      <w:r>
        <w:rPr>
          <w:spacing w:val="-11"/>
          <w:sz w:val="24"/>
        </w:rPr>
        <w:t> </w:t>
      </w:r>
      <w:r>
        <w:rPr>
          <w:sz w:val="24"/>
        </w:rPr>
        <w:t>Tomo</w:t>
      </w:r>
      <w:r>
        <w:rPr>
          <w:spacing w:val="-9"/>
          <w:sz w:val="24"/>
        </w:rPr>
        <w:t> </w:t>
      </w:r>
      <w:r>
        <w:rPr>
          <w:sz w:val="24"/>
        </w:rPr>
        <w:t>III,</w:t>
      </w:r>
      <w:r>
        <w:rPr>
          <w:spacing w:val="-6"/>
          <w:sz w:val="24"/>
        </w:rPr>
        <w:t> </w:t>
      </w:r>
      <w:r>
        <w:rPr>
          <w:sz w:val="24"/>
        </w:rPr>
        <w:t>volúmenes</w:t>
      </w:r>
      <w:r>
        <w:rPr>
          <w:spacing w:val="-7"/>
          <w:sz w:val="24"/>
        </w:rPr>
        <w:t> </w:t>
      </w:r>
      <w:r>
        <w:rPr>
          <w:sz w:val="24"/>
        </w:rPr>
        <w:t>3</w:t>
      </w:r>
      <w:r>
        <w:rPr>
          <w:spacing w:val="-9"/>
          <w:sz w:val="24"/>
        </w:rPr>
        <w:t> </w:t>
      </w:r>
      <w:r>
        <w:rPr>
          <w:sz w:val="24"/>
        </w:rPr>
        <w:t>y 4</w:t>
      </w:r>
    </w:p>
    <w:p>
      <w:pPr>
        <w:pStyle w:val="BodyText"/>
        <w:spacing w:line="360" w:lineRule="auto" w:before="3"/>
        <w:ind w:left="100" w:right="1547"/>
      </w:pPr>
      <w:r>
        <w:rPr/>
        <w:t>Disponible en: </w:t>
      </w:r>
      <w:hyperlink r:id="rId239">
        <w:r>
          <w:rPr/>
          <w:t>http://www.asf.gob.mx/Trans/Informes/ir2004i/Indice/Ejecutivo.htm</w:t>
        </w:r>
      </w:hyperlink>
      <w:r>
        <w:rPr/>
        <w:t> [Fecha de consulta: 30 de diciembre, 2015]</w:t>
      </w:r>
    </w:p>
    <w:p>
      <w:pPr>
        <w:pStyle w:val="BodyText"/>
      </w:pPr>
    </w:p>
    <w:p>
      <w:pPr>
        <w:pStyle w:val="BodyText"/>
        <w:spacing w:line="360" w:lineRule="auto" w:before="142"/>
        <w:ind w:left="100" w:right="38"/>
      </w:pPr>
      <w:r>
        <w:rPr/>
        <w:t>ASF. (2007). Informe del Resultado de la Revisión y Fiscalización Superior de la Cuenta Pública 2005, Tomo X Volumen 3 </w:t>
      </w:r>
      <w:hyperlink r:id="rId240">
        <w:r>
          <w:rPr/>
          <w:t>http://www.asf.gob.mx/Trans/Informes/ir2005i/Indice/Ejecutivo.htm</w:t>
        </w:r>
      </w:hyperlink>
    </w:p>
    <w:p>
      <w:pPr>
        <w:pStyle w:val="BodyText"/>
        <w:spacing w:before="2"/>
        <w:ind w:left="100" w:right="385"/>
      </w:pPr>
      <w:r>
        <w:rPr/>
        <w:t>[Fecha de consulta: 18 de mayo, 2015]</w:t>
      </w:r>
    </w:p>
    <w:p>
      <w:pPr>
        <w:pStyle w:val="BodyText"/>
      </w:pPr>
    </w:p>
    <w:p>
      <w:pPr>
        <w:pStyle w:val="BodyText"/>
      </w:pPr>
    </w:p>
    <w:p>
      <w:pPr>
        <w:spacing w:line="360" w:lineRule="auto" w:before="0"/>
        <w:ind w:left="100" w:right="100" w:firstLine="0"/>
        <w:jc w:val="both"/>
        <w:rPr>
          <w:sz w:val="24"/>
        </w:rPr>
      </w:pPr>
      <w:r>
        <w:rPr>
          <w:sz w:val="24"/>
        </w:rPr>
        <w:t>ASF. (2007). Mensaje del C.C.P. Arturo González de Aragón, Auditor Superior de la Federación. Seminario: “</w:t>
      </w:r>
      <w:r>
        <w:rPr>
          <w:i/>
          <w:sz w:val="24"/>
        </w:rPr>
        <w:t>Control y Fiscalización Municipal 2006- 2009</w:t>
      </w:r>
      <w:r>
        <w:rPr>
          <w:sz w:val="24"/>
        </w:rPr>
        <w:t>”. México.</w:t>
      </w:r>
    </w:p>
    <w:p>
      <w:pPr>
        <w:pStyle w:val="BodyText"/>
        <w:spacing w:before="6"/>
        <w:ind w:left="100" w:right="385"/>
      </w:pPr>
      <w:r>
        <w:rPr/>
        <w:t>Disponible en: </w:t>
      </w:r>
      <w:hyperlink r:id="rId156">
        <w:r>
          <w:rPr>
            <w:color w:val="0000FF"/>
            <w:u w:val="single" w:color="0000FF"/>
          </w:rPr>
          <w:t>www.asf.gob.mx </w:t>
        </w:r>
      </w:hyperlink>
      <w:r>
        <w:rPr/>
        <w:t>[Fecha de consulta: 4 de abril, 2015]</w:t>
      </w:r>
    </w:p>
    <w:p>
      <w:pPr>
        <w:pStyle w:val="BodyText"/>
        <w:rPr>
          <w:sz w:val="20"/>
        </w:rPr>
      </w:pPr>
    </w:p>
    <w:p>
      <w:pPr>
        <w:pStyle w:val="BodyText"/>
        <w:spacing w:before="11"/>
        <w:rPr>
          <w:sz w:val="21"/>
        </w:rPr>
      </w:pPr>
    </w:p>
    <w:p>
      <w:pPr>
        <w:pStyle w:val="BodyText"/>
        <w:spacing w:line="357" w:lineRule="auto" w:before="69"/>
        <w:ind w:left="100" w:right="38"/>
      </w:pPr>
      <w:r>
        <w:rPr/>
        <w:t>ASF. (2008). Informe del Resultado de la Revisión y Fiscalización Superior de la Cuenta Pública 2006, Tomo de Resultados Generales.</w:t>
      </w:r>
    </w:p>
    <w:p>
      <w:pPr>
        <w:pStyle w:val="BodyText"/>
        <w:tabs>
          <w:tab w:pos="8270" w:val="left" w:leader="none"/>
        </w:tabs>
        <w:spacing w:before="9"/>
        <w:ind w:left="100" w:right="38"/>
      </w:pPr>
      <w:r>
        <w:rPr/>
        <w:t>Disponible</w:t>
        <w:tab/>
        <w:t>en:</w:t>
      </w:r>
    </w:p>
    <w:p>
      <w:pPr>
        <w:pStyle w:val="BodyText"/>
        <w:spacing w:line="362" w:lineRule="auto" w:before="136"/>
        <w:ind w:left="100" w:right="955"/>
      </w:pPr>
      <w:hyperlink r:id="rId199">
        <w:r>
          <w:rPr/>
          <w:t>http://www.asf.gob.mx/Trans/Informes/ir2006i/Indice/Ejecutivo.htm</w:t>
        </w:r>
      </w:hyperlink>
      <w:r>
        <w:rPr/>
        <w:t> [Fecha de consulta: 21 de mayo, 2015]</w:t>
      </w:r>
    </w:p>
    <w:p>
      <w:pPr>
        <w:pStyle w:val="BodyText"/>
        <w:spacing w:before="8"/>
        <w:rPr>
          <w:sz w:val="35"/>
        </w:rPr>
      </w:pPr>
    </w:p>
    <w:p>
      <w:pPr>
        <w:spacing w:line="362" w:lineRule="auto" w:before="1"/>
        <w:ind w:left="100" w:right="4107" w:firstLine="0"/>
        <w:jc w:val="left"/>
        <w:rPr>
          <w:sz w:val="24"/>
        </w:rPr>
      </w:pPr>
      <w:r>
        <w:rPr>
          <w:sz w:val="24"/>
        </w:rPr>
        <w:t>ASF. (2011). </w:t>
      </w:r>
      <w:r>
        <w:rPr>
          <w:i/>
          <w:sz w:val="24"/>
        </w:rPr>
        <w:t>Autonomía e independencia</w:t>
      </w:r>
      <w:r>
        <w:rPr>
          <w:sz w:val="24"/>
        </w:rPr>
        <w:t>. Disponible en:</w:t>
      </w:r>
    </w:p>
    <w:p>
      <w:pPr>
        <w:pStyle w:val="BodyText"/>
        <w:spacing w:line="357" w:lineRule="auto" w:before="3"/>
        <w:ind w:left="100" w:right="82" w:firstLine="68"/>
      </w:pPr>
      <w:hyperlink r:id="rId164">
        <w:r>
          <w:rPr/>
          <w:t>http://www.asf.gob.mx/uploads/61_Publicaciones_tecnicas/Autonomia_web.pdf</w:t>
        </w:r>
      </w:hyperlink>
      <w:r>
        <w:rPr/>
        <w:t> [Fecha de consulta: 15 de abril, 2015]</w:t>
      </w:r>
    </w:p>
    <w:p>
      <w:pPr>
        <w:pStyle w:val="BodyText"/>
        <w:spacing w:line="362" w:lineRule="auto" w:before="204"/>
        <w:ind w:left="100" w:right="385"/>
      </w:pPr>
      <w:r>
        <w:rPr/>
        <w:t>ASF. (2011). Segunda Reunión del Sistema Nacional de Fiscalización, 5 de diciembre, 2011</w:t>
      </w:r>
    </w:p>
    <w:p>
      <w:pPr>
        <w:pStyle w:val="BodyText"/>
        <w:ind w:left="100" w:right="385"/>
      </w:pPr>
      <w:r>
        <w:rPr/>
        <w:t>Disponible en:</w:t>
      </w:r>
    </w:p>
    <w:p>
      <w:pPr>
        <w:spacing w:after="0"/>
        <w:sectPr>
          <w:footerReference w:type="default" r:id="rId238"/>
          <w:pgSz w:w="11910" w:h="16840"/>
          <w:pgMar w:footer="998" w:header="0" w:top="1360" w:bottom="1180" w:left="1600" w:right="1600"/>
          <w:pgNumType w:start="181"/>
        </w:sectPr>
      </w:pPr>
    </w:p>
    <w:p>
      <w:pPr>
        <w:pStyle w:val="BodyText"/>
        <w:spacing w:line="362" w:lineRule="auto" w:before="39"/>
        <w:ind w:left="100" w:right="82"/>
      </w:pPr>
      <w:hyperlink r:id="rId241">
        <w:r>
          <w:rPr/>
          <w:t>http://www.asf.gob.mx/uploads/74_Mensajes_del_Titular/02_Mensaje_Auditor_</w:t>
        </w:r>
      </w:hyperlink>
      <w:r>
        <w:rPr/>
        <w:t> </w:t>
      </w:r>
      <w:hyperlink r:id="rId241">
        <w:r>
          <w:rPr/>
          <w:t>Superior.pdf</w:t>
        </w:r>
      </w:hyperlink>
    </w:p>
    <w:p>
      <w:pPr>
        <w:pStyle w:val="BodyText"/>
        <w:spacing w:line="275" w:lineRule="exact"/>
        <w:ind w:left="100" w:right="385"/>
      </w:pPr>
      <w:r>
        <w:rPr/>
        <w:t>[Fecha de consulta: 3 de junio, 2015]</w:t>
      </w:r>
    </w:p>
    <w:p>
      <w:pPr>
        <w:pStyle w:val="BodyText"/>
      </w:pPr>
    </w:p>
    <w:p>
      <w:pPr>
        <w:pStyle w:val="BodyText"/>
      </w:pPr>
    </w:p>
    <w:p>
      <w:pPr>
        <w:pStyle w:val="BodyText"/>
        <w:spacing w:line="362" w:lineRule="auto"/>
        <w:ind w:left="100" w:right="82"/>
      </w:pPr>
      <w:r>
        <w:rPr/>
        <w:t>ASF. (2012). Informe del Resultado de la Fiscalización Superior de la Cuenta Pública 2010</w:t>
      </w:r>
    </w:p>
    <w:p>
      <w:pPr>
        <w:pStyle w:val="BodyText"/>
        <w:tabs>
          <w:tab w:pos="8270" w:val="left" w:leader="none"/>
        </w:tabs>
        <w:spacing w:line="275" w:lineRule="exact"/>
        <w:ind w:left="100" w:right="38"/>
      </w:pPr>
      <w:r>
        <w:rPr/>
        <w:t>Disponible</w:t>
        <w:tab/>
        <w:t>en:</w:t>
      </w:r>
    </w:p>
    <w:p>
      <w:pPr>
        <w:pStyle w:val="BodyText"/>
        <w:spacing w:line="357" w:lineRule="auto" w:before="140"/>
        <w:ind w:left="100" w:right="955"/>
      </w:pPr>
      <w:hyperlink r:id="rId242">
        <w:r>
          <w:rPr/>
          <w:t>http://www.asf.gob.mx/Trans/Informes/IR2010i/Indice/Ejecutivo.htm</w:t>
        </w:r>
      </w:hyperlink>
      <w:r>
        <w:rPr/>
        <w:t> [Fecha de consulta: 21 de mayo, 2015]</w:t>
      </w:r>
    </w:p>
    <w:p>
      <w:pPr>
        <w:pStyle w:val="BodyText"/>
      </w:pPr>
    </w:p>
    <w:p>
      <w:pPr>
        <w:pStyle w:val="BodyText"/>
        <w:spacing w:line="362" w:lineRule="auto" w:before="145"/>
        <w:ind w:left="100" w:right="38"/>
      </w:pPr>
      <w:r>
        <w:rPr/>
        <w:t>ASF. (2013). Informe del Resultado de la Revisión y Fiscalización Superior de la Cuenta Pública 2011, Tomo de Resultados Generales.</w:t>
      </w:r>
    </w:p>
    <w:p>
      <w:pPr>
        <w:pStyle w:val="BodyText"/>
        <w:tabs>
          <w:tab w:pos="8270" w:val="left" w:leader="none"/>
        </w:tabs>
        <w:spacing w:line="275" w:lineRule="exact"/>
        <w:ind w:left="100" w:right="38"/>
      </w:pPr>
      <w:r>
        <w:rPr/>
        <w:t>Disponible</w:t>
        <w:tab/>
        <w:t>en:</w:t>
      </w:r>
    </w:p>
    <w:p>
      <w:pPr>
        <w:pStyle w:val="BodyText"/>
        <w:spacing w:before="140"/>
        <w:ind w:left="100" w:right="385"/>
      </w:pPr>
      <w:hyperlink r:id="rId243">
        <w:r>
          <w:rPr/>
          <w:t>http://www.asf.gob.mx/Trans/Informes/IR2011i/Indice/iGeneral.htm</w:t>
        </w:r>
      </w:hyperlink>
    </w:p>
    <w:p>
      <w:pPr>
        <w:pStyle w:val="BodyText"/>
      </w:pPr>
    </w:p>
    <w:p>
      <w:pPr>
        <w:pStyle w:val="BodyText"/>
        <w:spacing w:before="11"/>
        <w:rPr>
          <w:sz w:val="23"/>
        </w:rPr>
      </w:pPr>
    </w:p>
    <w:p>
      <w:pPr>
        <w:pStyle w:val="BodyText"/>
        <w:spacing w:line="360" w:lineRule="auto"/>
        <w:ind w:left="100" w:right="385"/>
      </w:pPr>
      <w:r>
        <w:rPr/>
        <w:t>Cancela Outeda Celso. (s.f.). Constitución Europea, déficit democrático y parlamentos Nacionales</w:t>
      </w:r>
    </w:p>
    <w:p>
      <w:pPr>
        <w:pStyle w:val="BodyText"/>
        <w:spacing w:line="360" w:lineRule="auto" w:before="6"/>
        <w:ind w:left="100" w:right="152"/>
      </w:pPr>
      <w:r>
        <w:rPr/>
        <w:t>Disponible en: </w:t>
      </w:r>
      <w:hyperlink r:id="rId244">
        <w:r>
          <w:rPr/>
          <w:t>http://www.aecpa.es/uploads/files/congresos/congreso_07/area05/GT20/CANC</w:t>
        </w:r>
      </w:hyperlink>
      <w:r>
        <w:rPr/>
        <w:t> </w:t>
      </w:r>
      <w:hyperlink r:id="rId244">
        <w:r>
          <w:rPr/>
          <w:t>ELA-OUTEDA-Celso(UVI).pdf</w:t>
        </w:r>
      </w:hyperlink>
    </w:p>
    <w:p>
      <w:pPr>
        <w:pStyle w:val="BodyText"/>
        <w:spacing w:before="2"/>
        <w:ind w:left="100" w:right="385"/>
      </w:pPr>
      <w:r>
        <w:rPr/>
        <w:t>[Fecha de consulta: 28 de mayo, 2015]</w:t>
      </w:r>
    </w:p>
    <w:p>
      <w:pPr>
        <w:pStyle w:val="BodyText"/>
      </w:pPr>
    </w:p>
    <w:p>
      <w:pPr>
        <w:pStyle w:val="BodyText"/>
      </w:pPr>
    </w:p>
    <w:p>
      <w:pPr>
        <w:pStyle w:val="BodyText"/>
        <w:spacing w:before="10"/>
        <w:rPr>
          <w:sz w:val="35"/>
        </w:rPr>
      </w:pPr>
    </w:p>
    <w:p>
      <w:pPr>
        <w:spacing w:line="362" w:lineRule="auto" w:before="0"/>
        <w:ind w:left="100" w:right="2480" w:firstLine="0"/>
        <w:jc w:val="left"/>
        <w:rPr>
          <w:sz w:val="24"/>
        </w:rPr>
      </w:pPr>
      <w:r>
        <w:rPr>
          <w:sz w:val="24"/>
        </w:rPr>
        <w:t>CIDE/COMAIP. (2011). </w:t>
      </w:r>
      <w:r>
        <w:rPr>
          <w:i/>
          <w:sz w:val="24"/>
        </w:rPr>
        <w:t>Métrica de la transparencia 2010</w:t>
      </w:r>
      <w:r>
        <w:rPr>
          <w:sz w:val="24"/>
        </w:rPr>
        <w:t>. Disponible en:</w:t>
      </w:r>
    </w:p>
    <w:p>
      <w:pPr>
        <w:pStyle w:val="BodyText"/>
        <w:spacing w:line="360" w:lineRule="auto" w:before="3"/>
        <w:ind w:left="100" w:right="82"/>
      </w:pPr>
      <w:hyperlink r:id="rId245">
        <w:r>
          <w:rPr>
            <w:color w:val="0000FF"/>
            <w:u w:val="single" w:color="0000FF"/>
          </w:rPr>
          <w:t>http://www.funcionpublica.gob.mx/images/doctos/transparencia/focalizada/indic</w:t>
        </w:r>
      </w:hyperlink>
      <w:r>
        <w:rPr>
          <w:color w:val="0000FF"/>
          <w:u w:val="single" w:color="0000FF"/>
        </w:rPr>
        <w:t> </w:t>
      </w:r>
      <w:hyperlink r:id="rId245">
        <w:r>
          <w:rPr>
            <w:color w:val="0000FF"/>
            <w:u w:val="single" w:color="0000FF"/>
          </w:rPr>
          <w:t>es/metrica_de_la_transparencia/metrica_de_la_transparencia_2010_cide.pdf</w:t>
        </w:r>
      </w:hyperlink>
      <w:r>
        <w:rPr>
          <w:color w:val="0000FF"/>
          <w:u w:val="single" w:color="0000FF"/>
        </w:rPr>
        <w:t> </w:t>
      </w:r>
      <w:r>
        <w:rPr/>
        <w:t>[Fecha de consulta: 18 de mayo, 2015]</w:t>
      </w:r>
    </w:p>
    <w:p>
      <w:pPr>
        <w:pStyle w:val="BodyText"/>
        <w:spacing w:before="11"/>
        <w:rPr>
          <w:sz w:val="35"/>
        </w:rPr>
      </w:pPr>
    </w:p>
    <w:p>
      <w:pPr>
        <w:pStyle w:val="BodyText"/>
        <w:spacing w:line="362" w:lineRule="auto"/>
        <w:ind w:left="100" w:right="2480"/>
      </w:pPr>
      <w:r>
        <w:rPr>
          <w:color w:val="0000FF"/>
          <w:u w:val="single" w:color="0000FF"/>
        </w:rPr>
        <w:t>CLAD, Una Nueva Gestión Pública para América Latina Disponible en:</w:t>
      </w:r>
    </w:p>
    <w:p>
      <w:pPr>
        <w:pStyle w:val="BodyText"/>
        <w:spacing w:line="362" w:lineRule="auto"/>
        <w:ind w:left="100" w:right="82"/>
      </w:pPr>
      <w:r>
        <w:rPr>
          <w:color w:val="0000FF"/>
          <w:w w:val="100"/>
          <w:u w:val="single" w:color="0000FF"/>
        </w:rPr>
        <w:t> </w:t>
      </w:r>
      <w:hyperlink r:id="rId246">
        <w:r>
          <w:rPr>
            <w:color w:val="0000FF"/>
            <w:u w:val="single" w:color="0000FF"/>
          </w:rPr>
          <w:t>http://bresserpereira.org.br/Documents%5CMARE%5CCLAD%5Cngpesp.pdf</w:t>
        </w:r>
      </w:hyperlink>
      <w:r>
        <w:rPr>
          <w:color w:val="0000FF"/>
          <w:u w:val="single" w:color="0000FF"/>
        </w:rPr>
        <w:t> [Fecha de Consulta: 15 de marzo, 2015]</w:t>
      </w:r>
    </w:p>
    <w:p>
      <w:pPr>
        <w:spacing w:after="0" w:line="362" w:lineRule="auto"/>
        <w:sectPr>
          <w:pgSz w:w="11910" w:h="16840"/>
          <w:pgMar w:header="0" w:footer="998" w:top="1360" w:bottom="1180" w:left="1600" w:right="1600"/>
        </w:sectPr>
      </w:pPr>
    </w:p>
    <w:p>
      <w:pPr>
        <w:spacing w:before="55"/>
        <w:ind w:left="100" w:right="385" w:firstLine="0"/>
        <w:jc w:val="left"/>
        <w:rPr>
          <w:i/>
          <w:sz w:val="24"/>
        </w:rPr>
      </w:pPr>
      <w:r>
        <w:rPr>
          <w:color w:val="0000FF"/>
          <w:sz w:val="24"/>
          <w:u w:val="single" w:color="0000FF"/>
        </w:rPr>
        <w:t>Closa Montero, Carlos. (2003). </w:t>
      </w:r>
      <w:r>
        <w:rPr>
          <w:i/>
          <w:color w:val="0000FF"/>
          <w:sz w:val="24"/>
          <w:u w:val="single" w:color="0000FF"/>
        </w:rPr>
        <w:t>El libro blanco sobre la gobernanza</w:t>
      </w:r>
    </w:p>
    <w:p>
      <w:pPr>
        <w:pStyle w:val="BodyText"/>
        <w:spacing w:line="357" w:lineRule="auto" w:before="144"/>
        <w:ind w:left="100" w:right="82"/>
      </w:pPr>
      <w:r>
        <w:rPr>
          <w:color w:val="0000FF"/>
          <w:u w:val="single" w:color="0000FF"/>
        </w:rPr>
        <w:t>Disponible en: </w:t>
      </w:r>
      <w:hyperlink r:id="rId247">
        <w:r>
          <w:rPr>
            <w:color w:val="0000FF"/>
            <w:u w:val="single" w:color="0000FF"/>
          </w:rPr>
          <w:t>http://www.google.com/search?q=Closa Montero, Carlos, El libro</w:t>
        </w:r>
      </w:hyperlink>
      <w:r>
        <w:rPr>
          <w:color w:val="0000FF"/>
          <w:u w:val="single" w:color="0000FF"/>
        </w:rPr>
        <w:t> blanco sobre la gobernanza</w:t>
      </w:r>
    </w:p>
    <w:p>
      <w:pPr>
        <w:pStyle w:val="BodyText"/>
        <w:spacing w:before="8"/>
        <w:ind w:left="100" w:right="385"/>
      </w:pPr>
      <w:r>
        <w:rPr>
          <w:color w:val="0000FF"/>
          <w:u w:val="single" w:color="0000FF"/>
        </w:rPr>
        <w:t>[Fecha de consulta: 5 de marzo, 2015]</w:t>
      </w:r>
    </w:p>
    <w:p>
      <w:pPr>
        <w:pStyle w:val="BodyText"/>
        <w:rPr>
          <w:sz w:val="20"/>
        </w:rPr>
      </w:pPr>
    </w:p>
    <w:p>
      <w:pPr>
        <w:pStyle w:val="BodyText"/>
        <w:rPr>
          <w:sz w:val="22"/>
        </w:rPr>
      </w:pPr>
    </w:p>
    <w:p>
      <w:pPr>
        <w:pStyle w:val="BodyText"/>
        <w:spacing w:line="360" w:lineRule="auto" w:before="69"/>
        <w:ind w:left="100" w:right="2000"/>
      </w:pPr>
      <w:r>
        <w:rPr/>
        <w:t>Controversias constitucionales </w:t>
      </w:r>
      <w:hyperlink r:id="rId248">
        <w:r>
          <w:rPr/>
          <w:t>http://www.diputados.gob.mx/LeyesBiblio/compila/controv.htm</w:t>
        </w:r>
      </w:hyperlink>
      <w:r>
        <w:rPr/>
        <w:t> [Fecha de consulta: 14 de mayo, 2015]</w:t>
      </w:r>
    </w:p>
    <w:p>
      <w:pPr>
        <w:pStyle w:val="BodyText"/>
        <w:spacing w:before="11"/>
        <w:rPr>
          <w:sz w:val="35"/>
        </w:rPr>
      </w:pPr>
    </w:p>
    <w:p>
      <w:pPr>
        <w:spacing w:before="0"/>
        <w:ind w:left="100" w:right="385" w:firstLine="0"/>
        <w:jc w:val="left"/>
        <w:rPr>
          <w:i/>
          <w:sz w:val="24"/>
        </w:rPr>
      </w:pPr>
      <w:r>
        <w:rPr>
          <w:sz w:val="24"/>
        </w:rPr>
        <w:t>Dahl A. Robert. (1992). </w:t>
      </w:r>
      <w:r>
        <w:rPr>
          <w:i/>
          <w:sz w:val="24"/>
        </w:rPr>
        <w:t>La poliarquía</w:t>
      </w:r>
    </w:p>
    <w:p>
      <w:pPr>
        <w:pStyle w:val="BodyText"/>
        <w:spacing w:line="362" w:lineRule="auto" w:before="140"/>
        <w:ind w:left="100" w:right="132"/>
      </w:pPr>
      <w:r>
        <w:rPr/>
        <w:t>Disponible en: </w:t>
      </w:r>
      <w:hyperlink r:id="rId249">
        <w:r>
          <w:rPr>
            <w:color w:val="0000FF"/>
            <w:u w:val="single" w:color="0000FF"/>
          </w:rPr>
          <w:t>http://www.ucm.es/info/cpuno/asoc/profesores/lecturas/dahl2.pdf</w:t>
        </w:r>
      </w:hyperlink>
      <w:r>
        <w:rPr>
          <w:color w:val="0000FF"/>
          <w:u w:val="single" w:color="0000FF"/>
        </w:rPr>
        <w:t> </w:t>
      </w:r>
      <w:r>
        <w:rPr/>
        <w:t>[Fecha de consulta: 23 de marzo, 2015]</w:t>
      </w:r>
    </w:p>
    <w:p>
      <w:pPr>
        <w:pStyle w:val="BodyText"/>
        <w:spacing w:before="8"/>
        <w:rPr>
          <w:sz w:val="35"/>
        </w:rPr>
      </w:pPr>
    </w:p>
    <w:p>
      <w:pPr>
        <w:pStyle w:val="BodyText"/>
        <w:spacing w:line="362" w:lineRule="auto" w:before="1"/>
        <w:ind w:left="100" w:right="2000"/>
      </w:pPr>
      <w:r>
        <w:rPr/>
        <w:t>Delgado Carrillo, Fortino. (s.f.). </w:t>
      </w:r>
      <w:r>
        <w:rPr>
          <w:i/>
        </w:rPr>
        <w:t>Equilibrio de poderes</w:t>
      </w:r>
      <w:r>
        <w:rPr/>
        <w:t>. Disponible en: </w:t>
      </w:r>
      <w:hyperlink r:id="rId250">
        <w:r>
          <w:rPr>
            <w:color w:val="0000FF"/>
            <w:u w:val="single" w:color="0000FF"/>
          </w:rPr>
          <w:t>http://www.bibliojuridica.org/libros/1/93/10.pdf</w:t>
        </w:r>
      </w:hyperlink>
      <w:r>
        <w:rPr>
          <w:color w:val="0000FF"/>
          <w:u w:val="single" w:color="0000FF"/>
        </w:rPr>
        <w:t> </w:t>
      </w:r>
      <w:r>
        <w:rPr/>
        <w:t>[Fecha de consulta: 6 de abril, 2015]</w:t>
      </w:r>
    </w:p>
    <w:p>
      <w:pPr>
        <w:spacing w:line="364" w:lineRule="auto" w:before="196"/>
        <w:ind w:left="100" w:right="385" w:firstLine="0"/>
        <w:jc w:val="left"/>
        <w:rPr>
          <w:sz w:val="24"/>
        </w:rPr>
      </w:pPr>
      <w:r>
        <w:rPr>
          <w:sz w:val="24"/>
        </w:rPr>
        <w:t>Easton David. (1999). </w:t>
      </w:r>
      <w:r>
        <w:rPr>
          <w:i/>
          <w:sz w:val="24"/>
        </w:rPr>
        <w:t>Esquema para el sistema político</w:t>
      </w:r>
      <w:r>
        <w:rPr>
          <w:sz w:val="24"/>
        </w:rPr>
        <w:t>, Amorrortu editores. Argentina.</w:t>
      </w:r>
    </w:p>
    <w:p>
      <w:pPr>
        <w:pStyle w:val="BodyText"/>
        <w:spacing w:line="273" w:lineRule="exact"/>
        <w:ind w:left="100" w:right="385"/>
      </w:pPr>
      <w:r>
        <w:rPr/>
        <w:t>Disponible en:</w:t>
      </w:r>
    </w:p>
    <w:p>
      <w:pPr>
        <w:pStyle w:val="BodyText"/>
        <w:spacing w:line="357" w:lineRule="auto" w:before="140"/>
        <w:ind w:left="100" w:right="1284"/>
      </w:pPr>
      <w:r>
        <w:rPr>
          <w:color w:val="0000FF"/>
          <w:u w:val="single" w:color="0000FF"/>
        </w:rPr>
        <w:t>http://10.0.1.2:15871/cgi-bin/blockpage.cgi?ws-session=1427478891 </w:t>
      </w:r>
      <w:r>
        <w:rPr/>
        <w:t>Fecha de consulta: 14 de marzo, 2015]</w:t>
      </w:r>
    </w:p>
    <w:p>
      <w:pPr>
        <w:spacing w:line="362" w:lineRule="auto" w:before="5"/>
        <w:ind w:left="100" w:right="106" w:firstLine="0"/>
        <w:jc w:val="both"/>
        <w:rPr>
          <w:sz w:val="24"/>
        </w:rPr>
      </w:pPr>
      <w:r>
        <w:rPr>
          <w:sz w:val="24"/>
        </w:rPr>
        <w:t>Espinoza Toledo, Ricardo. (s.f.). </w:t>
      </w:r>
      <w:r>
        <w:rPr>
          <w:i/>
          <w:sz w:val="24"/>
        </w:rPr>
        <w:t>Sistemas parlamentarios, presidencial y semi </w:t>
      </w:r>
      <w:r>
        <w:rPr>
          <w:i/>
          <w:sz w:val="24"/>
        </w:rPr>
        <w:t>presidencial</w:t>
      </w:r>
      <w:r>
        <w:rPr>
          <w:sz w:val="24"/>
        </w:rPr>
        <w:t>, Cuadernos de divulgación de la cultura democrática No. 20, Instituto Federal Electoral.</w:t>
      </w:r>
    </w:p>
    <w:p>
      <w:pPr>
        <w:pStyle w:val="BodyText"/>
        <w:spacing w:line="360" w:lineRule="auto"/>
        <w:ind w:left="100" w:right="667"/>
      </w:pPr>
      <w:r>
        <w:rPr/>
        <w:t>Disponible en: </w:t>
      </w:r>
      <w:hyperlink r:id="rId251">
        <w:r>
          <w:rPr/>
          <w:t>http://www.ife.org.mx/documentos/DECEYEC/sistemas_parlamentario.htm</w:t>
        </w:r>
      </w:hyperlink>
      <w:r>
        <w:rPr/>
        <w:t> [Fecha de consulta: 4 de abril, 2015]</w:t>
      </w:r>
    </w:p>
    <w:p>
      <w:pPr>
        <w:spacing w:line="360" w:lineRule="auto" w:before="202"/>
        <w:ind w:left="100" w:right="100" w:firstLine="0"/>
        <w:jc w:val="both"/>
        <w:rPr>
          <w:sz w:val="24"/>
        </w:rPr>
      </w:pPr>
      <w:r>
        <w:rPr>
          <w:sz w:val="24"/>
        </w:rPr>
        <w:t>European Commission. (2004). </w:t>
      </w:r>
      <w:r>
        <w:rPr>
          <w:i/>
          <w:sz w:val="24"/>
        </w:rPr>
        <w:t>EU reseach on social sciencesand humanities, </w:t>
      </w:r>
      <w:r>
        <w:rPr>
          <w:i/>
          <w:sz w:val="24"/>
        </w:rPr>
        <w:t>analysing public accountability proceditures in temporary European context</w:t>
      </w:r>
      <w:r>
        <w:rPr>
          <w:sz w:val="24"/>
        </w:rPr>
        <w:t>, PubAcc</w:t>
      </w:r>
    </w:p>
    <w:p>
      <w:pPr>
        <w:pStyle w:val="BodyText"/>
        <w:spacing w:line="360" w:lineRule="auto" w:before="6"/>
        <w:ind w:left="100" w:right="385"/>
      </w:pPr>
      <w:r>
        <w:rPr/>
        <w:t>Disponible en: </w:t>
      </w:r>
      <w:hyperlink r:id="rId152">
        <w:r>
          <w:rPr/>
          <w:t>http://cordis.europa.eu/documents/documentlibrary/100123971EN6.pdf</w:t>
        </w:r>
      </w:hyperlink>
      <w:r>
        <w:rPr/>
        <w:t> [Fecha de consulta: 16 de abril, 2015]</w:t>
      </w:r>
    </w:p>
    <w:p>
      <w:pPr>
        <w:spacing w:after="0" w:line="360" w:lineRule="auto"/>
        <w:sectPr>
          <w:pgSz w:w="11910" w:h="16840"/>
          <w:pgMar w:header="0" w:footer="998" w:top="1340" w:bottom="1180" w:left="1600" w:right="1600"/>
        </w:sectPr>
      </w:pPr>
    </w:p>
    <w:p>
      <w:pPr>
        <w:pStyle w:val="BodyText"/>
        <w:spacing w:before="1"/>
        <w:rPr>
          <w:sz w:val="14"/>
        </w:rPr>
      </w:pPr>
    </w:p>
    <w:p>
      <w:pPr>
        <w:spacing w:line="360" w:lineRule="auto" w:before="69"/>
        <w:ind w:left="100" w:right="2012" w:firstLine="0"/>
        <w:jc w:val="left"/>
        <w:rPr>
          <w:sz w:val="24"/>
        </w:rPr>
      </w:pPr>
      <w:r>
        <w:rPr>
          <w:i/>
          <w:sz w:val="24"/>
        </w:rPr>
        <w:t>Features and functions of supreme audit institutions </w:t>
      </w:r>
      <w:r>
        <w:rPr>
          <w:sz w:val="24"/>
        </w:rPr>
        <w:t>Disponible en: </w:t>
      </w:r>
      <w:hyperlink r:id="rId38">
        <w:r>
          <w:rPr>
            <w:sz w:val="24"/>
          </w:rPr>
          <w:t>http://www1.worldbank.org/prem/PREMNotes/premnote59.pdf</w:t>
        </w:r>
      </w:hyperlink>
      <w:r>
        <w:rPr>
          <w:sz w:val="24"/>
        </w:rPr>
        <w:t> [Fecha de consulta: 27 de mayo, 2015].</w:t>
      </w:r>
    </w:p>
    <w:p>
      <w:pPr>
        <w:pStyle w:val="BodyText"/>
      </w:pPr>
    </w:p>
    <w:p>
      <w:pPr>
        <w:pStyle w:val="BodyText"/>
        <w:spacing w:line="362" w:lineRule="auto" w:before="142"/>
        <w:ind w:left="100" w:right="385"/>
      </w:pPr>
      <w:r>
        <w:rPr/>
        <w:t>Figueroa Neri, Aimé. (2007). La Auditoría Superior de la Federación en el horizonte internacional de la fiscalización superior.</w:t>
      </w:r>
    </w:p>
    <w:p>
      <w:pPr>
        <w:pStyle w:val="BodyText"/>
        <w:spacing w:line="360" w:lineRule="auto"/>
        <w:ind w:left="100" w:right="82"/>
      </w:pPr>
      <w:r>
        <w:rPr/>
        <w:t>Disponible en: </w:t>
      </w:r>
      <w:hyperlink r:id="rId252">
        <w:r>
          <w:rPr>
            <w:color w:val="0000FF"/>
            <w:u w:val="single" w:color="0000FF"/>
          </w:rPr>
          <w:t>http://www.asf.gob.mx/uploads/47_Estudios_especializados/Aimee_doctocomp.</w:t>
        </w:r>
      </w:hyperlink>
      <w:r>
        <w:rPr>
          <w:color w:val="0000FF"/>
          <w:u w:val="single" w:color="0000FF"/>
        </w:rPr>
        <w:t> </w:t>
      </w:r>
      <w:hyperlink r:id="rId252">
        <w:r>
          <w:rPr>
            <w:color w:val="0000FF"/>
            <w:u w:val="single" w:color="0000FF"/>
          </w:rPr>
          <w:t>pdf </w:t>
        </w:r>
      </w:hyperlink>
      <w:r>
        <w:rPr/>
        <w:t>[Fecha de consulta: 6 de abril, 2015]</w:t>
      </w:r>
    </w:p>
    <w:p>
      <w:pPr>
        <w:pStyle w:val="BodyText"/>
        <w:spacing w:before="11"/>
        <w:rPr>
          <w:sz w:val="29"/>
        </w:rPr>
      </w:pPr>
    </w:p>
    <w:p>
      <w:pPr>
        <w:spacing w:line="362" w:lineRule="auto" w:before="69"/>
        <w:ind w:left="100" w:right="99" w:firstLine="0"/>
        <w:jc w:val="both"/>
        <w:rPr>
          <w:sz w:val="24"/>
        </w:rPr>
      </w:pPr>
      <w:r>
        <w:rPr>
          <w:sz w:val="24"/>
        </w:rPr>
        <w:t>Figueroa Nery, Aimé. (2009). </w:t>
      </w:r>
      <w:r>
        <w:rPr>
          <w:i/>
          <w:sz w:val="24"/>
        </w:rPr>
        <w:t>Cuenta Pública en México. Evaluación de la </w:t>
      </w:r>
      <w:r>
        <w:rPr>
          <w:i/>
          <w:sz w:val="24"/>
        </w:rPr>
        <w:t>Legislación en Materia de Fiscalización Superior en México</w:t>
      </w:r>
      <w:r>
        <w:rPr>
          <w:sz w:val="24"/>
        </w:rPr>
        <w:t>. Universidad de Guadalajara y Consultora Orienta Agenda Pública.</w:t>
      </w:r>
    </w:p>
    <w:p>
      <w:pPr>
        <w:pStyle w:val="BodyText"/>
        <w:tabs>
          <w:tab w:pos="8270" w:val="left" w:leader="none"/>
        </w:tabs>
        <w:spacing w:before="3"/>
        <w:ind w:left="100" w:right="38"/>
      </w:pPr>
      <w:r>
        <w:rPr/>
        <w:t>Disponible</w:t>
        <w:tab/>
        <w:t>en:</w:t>
      </w:r>
    </w:p>
    <w:p>
      <w:pPr>
        <w:pStyle w:val="BodyText"/>
        <w:spacing w:line="362" w:lineRule="auto" w:before="136"/>
        <w:ind w:left="100" w:right="955"/>
      </w:pPr>
      <w:hyperlink r:id="rId221">
        <w:r>
          <w:rPr/>
          <w:t>http://www.asf.gob.mx/pags/OTROS/CPMEX/Eval2009_abril09.pdf</w:t>
        </w:r>
      </w:hyperlink>
      <w:r>
        <w:rPr/>
        <w:t> [Fecha de consulta: 11 de junio, 2015]</w:t>
      </w:r>
    </w:p>
    <w:p>
      <w:pPr>
        <w:pStyle w:val="BodyText"/>
        <w:spacing w:before="8"/>
        <w:rPr>
          <w:sz w:val="35"/>
        </w:rPr>
      </w:pPr>
    </w:p>
    <w:p>
      <w:pPr>
        <w:spacing w:line="357" w:lineRule="auto" w:before="1"/>
        <w:ind w:left="100" w:right="385" w:firstLine="0"/>
        <w:jc w:val="left"/>
        <w:rPr>
          <w:i/>
          <w:sz w:val="24"/>
        </w:rPr>
      </w:pPr>
      <w:r>
        <w:rPr>
          <w:sz w:val="24"/>
        </w:rPr>
        <w:t>International Monetary Fund, </w:t>
      </w:r>
      <w:r>
        <w:rPr>
          <w:i/>
          <w:sz w:val="24"/>
        </w:rPr>
        <w:t>World Economic Outlook Database, September </w:t>
      </w:r>
      <w:r>
        <w:rPr>
          <w:i/>
          <w:sz w:val="24"/>
        </w:rPr>
        <w:t>2011.</w:t>
      </w:r>
    </w:p>
    <w:p>
      <w:pPr>
        <w:pStyle w:val="BodyText"/>
        <w:spacing w:line="360" w:lineRule="auto" w:before="13"/>
        <w:ind w:left="100" w:right="955"/>
      </w:pPr>
      <w:r>
        <w:rPr/>
        <w:t>Disponible en: </w:t>
      </w:r>
      <w:hyperlink r:id="rId253">
        <w:r>
          <w:rPr/>
          <w:t>http://www.imf.org/external/pubs/ft/weo/2011/02/weodata/index.aspx</w:t>
        </w:r>
      </w:hyperlink>
      <w:r>
        <w:rPr/>
        <w:t> [Fecha de consulta: 3 de abril, 2015].</w:t>
      </w:r>
    </w:p>
    <w:p>
      <w:pPr>
        <w:pStyle w:val="BodyText"/>
        <w:spacing w:line="360" w:lineRule="auto" w:before="201"/>
        <w:ind w:left="100" w:right="1095"/>
      </w:pPr>
      <w:r>
        <w:rPr/>
        <w:t>International Organization of Supreme Audit Institutions (INTOSAI) Disponible en: </w:t>
      </w:r>
      <w:hyperlink r:id="rId254">
        <w:r>
          <w:rPr/>
          <w:t>http://www.intosai.org/es/documentos/intosai/documentos-</w:t>
        </w:r>
      </w:hyperlink>
      <w:r>
        <w:rPr/>
        <w:t> basicos/declaraciones-de-lima-y-mexico/declaracion-de-mexico-sobre-</w:t>
      </w:r>
    </w:p>
    <w:p>
      <w:pPr>
        <w:pStyle w:val="BodyText"/>
        <w:spacing w:line="357" w:lineRule="auto" w:before="2"/>
        <w:ind w:left="100" w:right="385"/>
      </w:pPr>
      <w:r>
        <w:rPr/>
        <w:t>independencia-de-la-efs.html </w:t>
      </w:r>
      <w:hyperlink r:id="rId161">
        <w:r>
          <w:rPr>
            <w:color w:val="0000FF"/>
            <w:u w:val="single" w:color="0000FF"/>
          </w:rPr>
          <w:t>http://www.incosai2007.org.mx/infogral.html</w:t>
        </w:r>
      </w:hyperlink>
      <w:r>
        <w:rPr>
          <w:color w:val="0000FF"/>
          <w:u w:val="single" w:color="0000FF"/>
        </w:rPr>
        <w:t> </w:t>
      </w:r>
      <w:r>
        <w:rPr/>
        <w:t>[Fecha de consulta: 13 de abril, 2015]</w:t>
      </w:r>
    </w:p>
    <w:p>
      <w:pPr>
        <w:pStyle w:val="BodyText"/>
      </w:pPr>
    </w:p>
    <w:p>
      <w:pPr>
        <w:spacing w:line="357" w:lineRule="auto" w:before="145"/>
        <w:ind w:left="100" w:right="82" w:firstLine="0"/>
        <w:jc w:val="left"/>
        <w:rPr>
          <w:i/>
          <w:sz w:val="24"/>
        </w:rPr>
      </w:pPr>
      <w:r>
        <w:rPr>
          <w:sz w:val="24"/>
        </w:rPr>
        <w:t>International</w:t>
      </w:r>
      <w:r>
        <w:rPr>
          <w:spacing w:val="-18"/>
          <w:sz w:val="24"/>
        </w:rPr>
        <w:t> </w:t>
      </w:r>
      <w:r>
        <w:rPr>
          <w:sz w:val="24"/>
        </w:rPr>
        <w:t>Organization</w:t>
      </w:r>
      <w:r>
        <w:rPr>
          <w:spacing w:val="-19"/>
          <w:sz w:val="24"/>
        </w:rPr>
        <w:t> </w:t>
      </w:r>
      <w:r>
        <w:rPr>
          <w:sz w:val="24"/>
        </w:rPr>
        <w:t>of</w:t>
      </w:r>
      <w:r>
        <w:rPr>
          <w:spacing w:val="-16"/>
          <w:sz w:val="24"/>
        </w:rPr>
        <w:t> </w:t>
      </w:r>
      <w:r>
        <w:rPr>
          <w:sz w:val="24"/>
        </w:rPr>
        <w:t>Supreme</w:t>
      </w:r>
      <w:r>
        <w:rPr>
          <w:spacing w:val="-19"/>
          <w:sz w:val="24"/>
        </w:rPr>
        <w:t> </w:t>
      </w:r>
      <w:r>
        <w:rPr>
          <w:sz w:val="24"/>
        </w:rPr>
        <w:t>Audit</w:t>
      </w:r>
      <w:r>
        <w:rPr>
          <w:spacing w:val="-16"/>
          <w:sz w:val="24"/>
        </w:rPr>
        <w:t> </w:t>
      </w:r>
      <w:r>
        <w:rPr>
          <w:sz w:val="24"/>
        </w:rPr>
        <w:t>Institutions</w:t>
      </w:r>
      <w:r>
        <w:rPr>
          <w:spacing w:val="-17"/>
          <w:sz w:val="24"/>
        </w:rPr>
        <w:t> </w:t>
      </w:r>
      <w:r>
        <w:rPr>
          <w:sz w:val="24"/>
        </w:rPr>
        <w:t>(INTOSAI),</w:t>
      </w:r>
      <w:r>
        <w:rPr>
          <w:spacing w:val="-16"/>
          <w:sz w:val="24"/>
        </w:rPr>
        <w:t> </w:t>
      </w:r>
      <w:r>
        <w:rPr>
          <w:sz w:val="24"/>
        </w:rPr>
        <w:t>IX</w:t>
      </w:r>
      <w:r>
        <w:rPr>
          <w:spacing w:val="-21"/>
          <w:sz w:val="24"/>
        </w:rPr>
        <w:t> </w:t>
      </w:r>
      <w:r>
        <w:rPr>
          <w:sz w:val="24"/>
        </w:rPr>
        <w:t>Congreso. (1977). </w:t>
      </w:r>
      <w:r>
        <w:rPr>
          <w:i/>
          <w:sz w:val="24"/>
        </w:rPr>
        <w:t>Declaración de Lima sobre las Líneas Básicas de la</w:t>
      </w:r>
      <w:r>
        <w:rPr>
          <w:i/>
          <w:spacing w:val="-41"/>
          <w:sz w:val="24"/>
        </w:rPr>
        <w:t> </w:t>
      </w:r>
      <w:r>
        <w:rPr>
          <w:i/>
          <w:sz w:val="24"/>
        </w:rPr>
        <w:t>Fiscalización.</w:t>
      </w:r>
    </w:p>
    <w:p>
      <w:pPr>
        <w:spacing w:after="0" w:line="357" w:lineRule="auto"/>
        <w:jc w:val="left"/>
        <w:rPr>
          <w:sz w:val="24"/>
        </w:rPr>
        <w:sectPr>
          <w:pgSz w:w="11910" w:h="16840"/>
          <w:pgMar w:header="0" w:footer="998" w:top="1580" w:bottom="1180" w:left="1600" w:right="1600"/>
        </w:sectPr>
      </w:pPr>
    </w:p>
    <w:p>
      <w:pPr>
        <w:pStyle w:val="BodyText"/>
        <w:spacing w:line="362" w:lineRule="auto" w:before="39"/>
        <w:ind w:left="100" w:right="1340"/>
      </w:pPr>
      <w:r>
        <w:rPr/>
        <w:t>Disponible en: </w:t>
      </w:r>
      <w:hyperlink r:id="rId153">
        <w:r>
          <w:rPr>
            <w:color w:val="0000FF"/>
            <w:u w:val="single" w:color="0000FF"/>
          </w:rPr>
          <w:t>http://biblio.juridicas.unam.mx/libros/4/1611/15.pdf</w:t>
        </w:r>
      </w:hyperlink>
      <w:r>
        <w:rPr>
          <w:color w:val="0000FF"/>
          <w:u w:val="single" w:color="0000FF"/>
        </w:rPr>
        <w:t> </w:t>
      </w:r>
      <w:r>
        <w:rPr/>
        <w:t>[Fecha de consulta: 13 de abril, 2015]</w:t>
      </w:r>
    </w:p>
    <w:p>
      <w:pPr>
        <w:pStyle w:val="BodyText"/>
      </w:pPr>
    </w:p>
    <w:p>
      <w:pPr>
        <w:pStyle w:val="BodyText"/>
        <w:tabs>
          <w:tab w:pos="1243" w:val="left" w:leader="none"/>
          <w:tab w:pos="2366" w:val="left" w:leader="none"/>
          <w:tab w:pos="3673" w:val="left" w:leader="none"/>
          <w:tab w:pos="4532" w:val="left" w:leader="none"/>
          <w:tab w:pos="5823" w:val="left" w:leader="none"/>
          <w:tab w:pos="7010" w:val="left" w:leader="none"/>
          <w:tab w:pos="7438" w:val="left" w:leader="none"/>
        </w:tabs>
        <w:spacing w:line="357" w:lineRule="auto" w:before="139"/>
        <w:ind w:left="100" w:right="131"/>
      </w:pPr>
      <w:r>
        <w:rPr/>
        <w:t>Instituto</w:t>
        <w:tab/>
        <w:t>Federal</w:t>
        <w:tab/>
        <w:t>Electoral.</w:t>
        <w:tab/>
        <w:t>(s.f.).</w:t>
        <w:tab/>
        <w:t>Sistemas</w:t>
        <w:tab/>
        <w:t>políticos</w:t>
        <w:tab/>
        <w:t>y</w:t>
        <w:tab/>
      </w:r>
      <w:r>
        <w:rPr>
          <w:spacing w:val="-1"/>
        </w:rPr>
        <w:t>electorales </w:t>
      </w:r>
      <w:r>
        <w:rPr/>
        <w:t>contemporáneos</w:t>
      </w:r>
    </w:p>
    <w:p>
      <w:pPr>
        <w:pStyle w:val="BodyText"/>
        <w:spacing w:line="360" w:lineRule="auto" w:before="9"/>
        <w:ind w:left="100" w:right="1245"/>
      </w:pPr>
      <w:r>
        <w:rPr/>
        <w:t>Disponible en: </w:t>
      </w:r>
      <w:hyperlink r:id="rId255">
        <w:r>
          <w:rPr/>
          <w:t>http://www.ife.org.mx/documentos/DECEYEC/sistemas_politicos.htm</w:t>
        </w:r>
      </w:hyperlink>
      <w:r>
        <w:rPr/>
        <w:t> [Fecha de consulta: 9 de abril, 2015]</w:t>
      </w:r>
    </w:p>
    <w:p>
      <w:pPr>
        <w:pStyle w:val="BodyText"/>
        <w:spacing w:before="11"/>
        <w:rPr>
          <w:sz w:val="35"/>
        </w:rPr>
      </w:pPr>
    </w:p>
    <w:p>
      <w:pPr>
        <w:spacing w:line="360" w:lineRule="auto" w:before="0"/>
        <w:ind w:left="100" w:right="546" w:firstLine="0"/>
        <w:jc w:val="left"/>
        <w:rPr>
          <w:sz w:val="24"/>
        </w:rPr>
      </w:pPr>
      <w:r>
        <w:rPr>
          <w:sz w:val="24"/>
        </w:rPr>
        <w:t>Joan Prats i Català. </w:t>
      </w:r>
      <w:r>
        <w:rPr>
          <w:i/>
          <w:sz w:val="24"/>
        </w:rPr>
        <w:t>Gobernabilidad democrática para el desarrollo</w:t>
      </w:r>
      <w:r>
        <w:rPr>
          <w:i/>
          <w:spacing w:val="-35"/>
          <w:sz w:val="24"/>
        </w:rPr>
        <w:t> </w:t>
      </w:r>
      <w:r>
        <w:rPr>
          <w:i/>
          <w:sz w:val="24"/>
        </w:rPr>
        <w:t>humano. </w:t>
      </w:r>
      <w:r>
        <w:rPr>
          <w:i/>
          <w:sz w:val="24"/>
        </w:rPr>
        <w:t>Marco conceptual y analítico. Disponible en: </w:t>
      </w:r>
      <w:hyperlink r:id="rId256">
        <w:r>
          <w:rPr>
            <w:color w:val="0000FF"/>
            <w:sz w:val="24"/>
            <w:u w:val="single" w:color="0000FF"/>
          </w:rPr>
          <w:t>http://www.hegoa.ehu.es/dossierra/gobernanza/3-Prats2001.pdf</w:t>
        </w:r>
      </w:hyperlink>
      <w:r>
        <w:rPr>
          <w:color w:val="0000FF"/>
          <w:sz w:val="24"/>
          <w:u w:val="single" w:color="0000FF"/>
        </w:rPr>
        <w:t>         [Fecha de consulta: 18 de marzo,</w:t>
      </w:r>
      <w:r>
        <w:rPr>
          <w:color w:val="0000FF"/>
          <w:spacing w:val="-19"/>
          <w:sz w:val="24"/>
          <w:u w:val="single" w:color="0000FF"/>
        </w:rPr>
        <w:t> </w:t>
      </w:r>
      <w:r>
        <w:rPr>
          <w:color w:val="0000FF"/>
          <w:sz w:val="24"/>
          <w:u w:val="single" w:color="0000FF"/>
        </w:rPr>
        <w:t>2015]</w:t>
      </w:r>
    </w:p>
    <w:p>
      <w:pPr>
        <w:pStyle w:val="BodyText"/>
        <w:spacing w:before="10"/>
        <w:rPr>
          <w:sz w:val="29"/>
        </w:rPr>
      </w:pPr>
    </w:p>
    <w:p>
      <w:pPr>
        <w:spacing w:line="362" w:lineRule="auto" w:before="70"/>
        <w:ind w:left="100" w:right="1245" w:firstLine="0"/>
        <w:jc w:val="left"/>
        <w:rPr>
          <w:sz w:val="24"/>
        </w:rPr>
      </w:pPr>
      <w:r>
        <w:rPr>
          <w:sz w:val="24"/>
        </w:rPr>
        <w:t>Joan Prats Oriol. (s.f.). </w:t>
      </w:r>
      <w:r>
        <w:rPr>
          <w:i/>
          <w:sz w:val="24"/>
        </w:rPr>
        <w:t>El concepto y análisis de la gobernabilidad </w:t>
      </w:r>
      <w:r>
        <w:rPr>
          <w:sz w:val="24"/>
        </w:rPr>
        <w:t>Disponible en: </w:t>
      </w:r>
      <w:hyperlink r:id="rId257">
        <w:r>
          <w:rPr>
            <w:color w:val="0000FF"/>
            <w:sz w:val="24"/>
            <w:u w:val="single" w:color="0000FF"/>
          </w:rPr>
          <w:t>http://www.grupochorlavi.org/php/doc/documentos/Elconceptoyel.pdf</w:t>
        </w:r>
      </w:hyperlink>
      <w:r>
        <w:rPr>
          <w:color w:val="0000FF"/>
          <w:sz w:val="24"/>
          <w:u w:val="single" w:color="0000FF"/>
        </w:rPr>
        <w:t> </w:t>
      </w:r>
      <w:r>
        <w:rPr>
          <w:sz w:val="24"/>
        </w:rPr>
        <w:t>[Fecha de consulta: 20 de marzo, 2015]</w:t>
      </w:r>
    </w:p>
    <w:p>
      <w:pPr>
        <w:pStyle w:val="BodyText"/>
        <w:spacing w:before="8"/>
        <w:rPr>
          <w:sz w:val="35"/>
        </w:rPr>
      </w:pPr>
    </w:p>
    <w:p>
      <w:pPr>
        <w:spacing w:line="357" w:lineRule="auto" w:before="1"/>
        <w:ind w:left="100" w:right="86" w:firstLine="0"/>
        <w:jc w:val="left"/>
        <w:rPr>
          <w:sz w:val="24"/>
        </w:rPr>
      </w:pPr>
      <w:r>
        <w:rPr>
          <w:sz w:val="24"/>
        </w:rPr>
        <w:t>Kaufmann Daniel, KraayAart y Zoido-Lobatón Pablo. (2000). </w:t>
      </w:r>
      <w:r>
        <w:rPr>
          <w:i/>
          <w:sz w:val="24"/>
        </w:rPr>
        <w:t>La gobernabilidad </w:t>
      </w:r>
      <w:r>
        <w:rPr>
          <w:i/>
          <w:sz w:val="24"/>
        </w:rPr>
        <w:t>es fundamental, del análisis a la acción</w:t>
      </w:r>
      <w:r>
        <w:rPr>
          <w:sz w:val="24"/>
        </w:rPr>
        <w:t>.</w:t>
      </w:r>
    </w:p>
    <w:p>
      <w:pPr>
        <w:pStyle w:val="BodyText"/>
        <w:spacing w:line="360" w:lineRule="auto" w:before="13"/>
        <w:ind w:left="100" w:right="86"/>
      </w:pPr>
      <w:r>
        <w:rPr/>
        <w:t>Disponible en: </w:t>
      </w:r>
      <w:hyperlink r:id="rId258">
        <w:r>
          <w:rPr>
            <w:color w:val="0000FF"/>
            <w:u w:val="single" w:color="0000FF"/>
          </w:rPr>
          <w:t>http://siteresources.worldbank.org/INTWBIGOVANTCOR/Resources/fandd_spa</w:t>
        </w:r>
      </w:hyperlink>
      <w:r>
        <w:rPr>
          <w:color w:val="0000FF"/>
          <w:u w:val="single" w:color="0000FF"/>
        </w:rPr>
        <w:t> </w:t>
      </w:r>
      <w:hyperlink r:id="rId258">
        <w:r>
          <w:rPr>
            <w:color w:val="0000FF"/>
            <w:u w:val="single" w:color="0000FF"/>
          </w:rPr>
          <w:t>nish.pdf </w:t>
        </w:r>
      </w:hyperlink>
      <w:r>
        <w:rPr/>
        <w:t>[Fecha de consulta: 22 de marzo, 2015]</w:t>
      </w:r>
    </w:p>
    <w:p>
      <w:pPr>
        <w:pStyle w:val="BodyText"/>
        <w:spacing w:before="11"/>
        <w:rPr>
          <w:sz w:val="29"/>
        </w:rPr>
      </w:pPr>
    </w:p>
    <w:p>
      <w:pPr>
        <w:spacing w:line="357" w:lineRule="auto" w:before="69"/>
        <w:ind w:left="100" w:right="86" w:firstLine="0"/>
        <w:jc w:val="left"/>
        <w:rPr>
          <w:sz w:val="24"/>
        </w:rPr>
      </w:pPr>
      <w:r>
        <w:rPr>
          <w:sz w:val="24"/>
        </w:rPr>
        <w:t>Lanz Cárdenas José Trinidad. (1993). </w:t>
      </w:r>
      <w:r>
        <w:rPr>
          <w:i/>
          <w:sz w:val="24"/>
        </w:rPr>
        <w:t>La contraloría y el control interno en </w:t>
      </w:r>
      <w:r>
        <w:rPr>
          <w:i/>
          <w:sz w:val="24"/>
        </w:rPr>
        <w:t>México</w:t>
      </w:r>
      <w:r>
        <w:rPr>
          <w:sz w:val="24"/>
        </w:rPr>
        <w:t>. FCE.</w:t>
      </w:r>
    </w:p>
    <w:p>
      <w:pPr>
        <w:pStyle w:val="BodyText"/>
        <w:spacing w:line="357" w:lineRule="auto" w:before="13"/>
        <w:ind w:left="100" w:right="99"/>
      </w:pPr>
      <w:r>
        <w:rPr/>
        <w:t>Disponible en: </w:t>
      </w:r>
      <w:hyperlink r:id="rId259">
        <w:r>
          <w:rPr/>
          <w:t>http://www.iapqroo.org.mx/website/biblioteca/LA%20CONTRALORIA%20Y%20</w:t>
        </w:r>
      </w:hyperlink>
      <w:r>
        <w:rPr/>
        <w:t> EL%20CONTROL%20INTERNO%20EN%20MEXICO.pdf [Fecha de consulta: 2</w:t>
      </w:r>
    </w:p>
    <w:p>
      <w:pPr>
        <w:pStyle w:val="BodyText"/>
        <w:spacing w:before="8"/>
        <w:ind w:left="100" w:right="86"/>
      </w:pPr>
      <w:r>
        <w:rPr/>
        <w:t>de mayo, 2012]</w:t>
      </w:r>
    </w:p>
    <w:p>
      <w:pPr>
        <w:pStyle w:val="BodyText"/>
      </w:pPr>
    </w:p>
    <w:p>
      <w:pPr>
        <w:pStyle w:val="BodyText"/>
      </w:pPr>
    </w:p>
    <w:p>
      <w:pPr>
        <w:pStyle w:val="BodyText"/>
        <w:spacing w:line="357" w:lineRule="auto"/>
        <w:ind w:left="100" w:right="3741"/>
      </w:pPr>
      <w:r>
        <w:rPr/>
        <w:t>Los sistemas fiscales de México del Siglo XIX Disponible en:</w:t>
      </w:r>
    </w:p>
    <w:p>
      <w:pPr>
        <w:spacing w:after="0" w:line="357" w:lineRule="auto"/>
        <w:sectPr>
          <w:pgSz w:w="11910" w:h="16840"/>
          <w:pgMar w:header="0" w:footer="998" w:top="1360" w:bottom="1180" w:left="1600" w:right="1580"/>
        </w:sectPr>
      </w:pPr>
    </w:p>
    <w:p>
      <w:pPr>
        <w:pStyle w:val="BodyText"/>
        <w:spacing w:line="362" w:lineRule="auto" w:before="39"/>
        <w:ind w:left="100" w:right="155"/>
      </w:pPr>
      <w:hyperlink r:id="rId260">
        <w:r>
          <w:rPr>
            <w:spacing w:val="-1"/>
          </w:rPr>
          <w:t>http://www.sat.gob.mx/civismo_fiscal/contenidos/pdfs/cap2_sistemas_fm_xix.pd</w:t>
        </w:r>
      </w:hyperlink>
      <w:r>
        <w:rPr>
          <w:spacing w:val="-1"/>
        </w:rPr>
        <w:t> </w:t>
      </w:r>
      <w:hyperlink r:id="rId260">
        <w:r>
          <w:rPr/>
          <w:t>f</w:t>
        </w:r>
      </w:hyperlink>
    </w:p>
    <w:p>
      <w:pPr>
        <w:pStyle w:val="BodyText"/>
        <w:spacing w:line="275" w:lineRule="exact"/>
        <w:ind w:left="100" w:right="86"/>
      </w:pPr>
      <w:r>
        <w:rPr/>
        <w:t>[Fecha de consulta: 24 de mayo, 2015]</w:t>
      </w:r>
    </w:p>
    <w:p>
      <w:pPr>
        <w:pStyle w:val="BodyText"/>
      </w:pPr>
    </w:p>
    <w:p>
      <w:pPr>
        <w:pStyle w:val="BodyText"/>
      </w:pPr>
    </w:p>
    <w:p>
      <w:pPr>
        <w:pStyle w:val="BodyText"/>
        <w:spacing w:line="362" w:lineRule="auto"/>
        <w:ind w:left="100" w:right="86"/>
      </w:pPr>
      <w:r>
        <w:rPr/>
        <w:t>Manual de Organización General de la Secretaría de la Función Pública. Publicado en el D.O.F. el 10 de abril de 2012.</w:t>
      </w:r>
    </w:p>
    <w:p>
      <w:pPr>
        <w:pStyle w:val="BodyText"/>
        <w:spacing w:line="362" w:lineRule="auto"/>
        <w:ind w:left="100" w:right="86"/>
      </w:pPr>
      <w:r>
        <w:rPr/>
        <w:t>Disponible en: </w:t>
      </w:r>
      <w:hyperlink r:id="rId261">
        <w:r>
          <w:rPr>
            <w:color w:val="0000FF"/>
            <w:u w:val="single" w:color="0000FF"/>
          </w:rPr>
          <w:t>http://www.diputados.gob.mx/LeyesBiblio/regla/n280.pdf</w:t>
        </w:r>
      </w:hyperlink>
      <w:r>
        <w:rPr>
          <w:color w:val="0000FF"/>
          <w:u w:val="single" w:color="0000FF"/>
        </w:rPr>
        <w:t> </w:t>
      </w:r>
      <w:r>
        <w:rPr/>
        <w:t>[Fecha de consulta: 15 de mayo, 2015]</w:t>
      </w:r>
    </w:p>
    <w:p>
      <w:pPr>
        <w:pStyle w:val="BodyText"/>
      </w:pPr>
    </w:p>
    <w:p>
      <w:pPr>
        <w:pStyle w:val="BodyText"/>
        <w:spacing w:line="360" w:lineRule="auto" w:before="139"/>
        <w:ind w:left="100" w:right="86"/>
      </w:pPr>
      <w:r>
        <w:rPr/>
        <w:t>Maquiavelo, Nicolás. (1512-1517). Discursos sobre la primera década de Tito Livio</w:t>
      </w:r>
    </w:p>
    <w:p>
      <w:pPr>
        <w:pStyle w:val="BodyText"/>
        <w:spacing w:before="6"/>
        <w:ind w:left="100" w:right="86"/>
      </w:pPr>
      <w:r>
        <w:rPr/>
        <w:t>Disponible en:</w:t>
      </w:r>
    </w:p>
    <w:p>
      <w:pPr>
        <w:pStyle w:val="BodyText"/>
        <w:spacing w:line="362" w:lineRule="auto" w:before="136"/>
        <w:ind w:left="100" w:right="551"/>
      </w:pPr>
      <w:hyperlink r:id="rId262">
        <w:r>
          <w:rPr/>
          <w:t>http://ferronato.com.ar/wp-content/uploads/2009/06/discursos_tito_livio1.pdf</w:t>
        </w:r>
      </w:hyperlink>
      <w:r>
        <w:rPr/>
        <w:t> [Fecha de consulta: 9 de abril, 2015].</w:t>
      </w:r>
    </w:p>
    <w:p>
      <w:pPr>
        <w:pStyle w:val="BodyText"/>
      </w:pPr>
    </w:p>
    <w:p>
      <w:pPr>
        <w:pStyle w:val="BodyText"/>
        <w:spacing w:line="360" w:lineRule="auto" w:before="139"/>
        <w:ind w:left="100" w:right="86"/>
      </w:pPr>
      <w:r>
        <w:rPr/>
        <w:t>Martí Capitan ach, Luz del Carmen. Las constituciones locales en el sistema federal mexicano ¿son verdaderas constituciones?</w:t>
      </w:r>
    </w:p>
    <w:p>
      <w:pPr>
        <w:pStyle w:val="BodyText"/>
        <w:spacing w:line="357" w:lineRule="auto" w:before="6"/>
        <w:ind w:left="100" w:right="1340"/>
      </w:pPr>
      <w:r>
        <w:rPr/>
        <w:t>Disponible en: </w:t>
      </w:r>
      <w:hyperlink r:id="rId22">
        <w:r>
          <w:rPr/>
          <w:t>http://biblio.juridicas.unam.mx/libros/1/348/27.pdf</w:t>
        </w:r>
      </w:hyperlink>
      <w:r>
        <w:rPr/>
        <w:t> [Fecha de consulta: 7 de septiembre de 2015]</w:t>
      </w:r>
    </w:p>
    <w:p>
      <w:pPr>
        <w:pStyle w:val="BodyText"/>
      </w:pPr>
    </w:p>
    <w:p>
      <w:pPr>
        <w:pStyle w:val="BodyText"/>
        <w:spacing w:before="144"/>
        <w:ind w:left="100" w:right="86"/>
      </w:pPr>
      <w:r>
        <w:rPr/>
        <w:t>Montesquieu. (1748). El espíritu de las leyes.</w:t>
      </w:r>
    </w:p>
    <w:p>
      <w:pPr>
        <w:pStyle w:val="BodyText"/>
        <w:tabs>
          <w:tab w:pos="1440" w:val="left" w:leader="none"/>
          <w:tab w:pos="2000" w:val="left" w:leader="none"/>
        </w:tabs>
        <w:spacing w:line="357" w:lineRule="auto" w:before="140"/>
        <w:ind w:left="100" w:right="123"/>
      </w:pPr>
      <w:r>
        <w:rPr/>
        <w:t>Disponible</w:t>
        <w:tab/>
        <w:t>en:</w:t>
        <w:tab/>
      </w:r>
      <w:hyperlink r:id="rId263">
        <w:r>
          <w:rPr>
            <w:color w:val="0000FF"/>
            <w:spacing w:val="-1"/>
            <w:u w:val="single" w:color="0000FF"/>
          </w:rPr>
          <w:t>http://archivosociologico.files.wordpress.com/2010/04/charles-</w:t>
        </w:r>
      </w:hyperlink>
      <w:r>
        <w:rPr>
          <w:color w:val="0000FF"/>
          <w:spacing w:val="-1"/>
          <w:u w:val="single" w:color="0000FF"/>
        </w:rPr>
        <w:t> </w:t>
      </w:r>
      <w:hyperlink r:id="rId263">
        <w:r>
          <w:rPr>
            <w:color w:val="0000FF"/>
            <w:u w:val="single" w:color="0000FF"/>
          </w:rPr>
          <w:t>louis-montesquieu-el-espiritu-de-las-leyes.pdf</w:t>
        </w:r>
      </w:hyperlink>
    </w:p>
    <w:p>
      <w:pPr>
        <w:pStyle w:val="BodyText"/>
        <w:spacing w:before="9"/>
        <w:ind w:left="100" w:right="86"/>
      </w:pPr>
      <w:r>
        <w:rPr/>
        <w:t>[Fecha de consulta: abril 7, 2015]</w:t>
      </w:r>
    </w:p>
    <w:p>
      <w:pPr>
        <w:pStyle w:val="BodyText"/>
      </w:pPr>
    </w:p>
    <w:p>
      <w:pPr>
        <w:pStyle w:val="BodyText"/>
        <w:spacing w:before="7"/>
        <w:rPr>
          <w:sz w:val="23"/>
        </w:rPr>
      </w:pPr>
    </w:p>
    <w:p>
      <w:pPr>
        <w:spacing w:line="360" w:lineRule="auto" w:before="0"/>
        <w:ind w:left="100" w:right="86" w:firstLine="0"/>
        <w:jc w:val="left"/>
        <w:rPr>
          <w:sz w:val="24"/>
        </w:rPr>
      </w:pPr>
      <w:r>
        <w:rPr>
          <w:color w:val="0000FF"/>
          <w:sz w:val="24"/>
          <w:u w:val="single" w:color="0000FF"/>
        </w:rPr>
        <w:t>Morata, Francesc. (2002). </w:t>
      </w:r>
      <w:r>
        <w:rPr>
          <w:i/>
          <w:color w:val="0000FF"/>
          <w:sz w:val="24"/>
          <w:u w:val="single" w:color="0000FF"/>
        </w:rPr>
        <w:t>Gobernanza multinivel en la Unión Europea </w:t>
      </w:r>
      <w:r>
        <w:rPr>
          <w:color w:val="0000FF"/>
          <w:sz w:val="24"/>
          <w:u w:val="single" w:color="0000FF"/>
        </w:rPr>
        <w:t>Disponible en: </w:t>
      </w:r>
      <w:hyperlink r:id="rId264">
        <w:r>
          <w:rPr>
            <w:color w:val="0000FF"/>
            <w:sz w:val="24"/>
            <w:u w:val="single" w:color="0000FF"/>
          </w:rPr>
          <w:t>http://unpan1.un.org/intradoc/groups/public/documents/CLAD/clad0044413.pdf</w:t>
        </w:r>
      </w:hyperlink>
      <w:r>
        <w:rPr>
          <w:color w:val="0000FF"/>
          <w:sz w:val="24"/>
          <w:u w:val="single" w:color="0000FF"/>
        </w:rPr>
        <w:t> [Fecha de Consulta: 14 de marzo, 2015]</w:t>
      </w:r>
    </w:p>
    <w:p>
      <w:pPr>
        <w:pStyle w:val="BodyText"/>
        <w:spacing w:before="11"/>
        <w:rPr>
          <w:sz w:val="29"/>
        </w:rPr>
      </w:pPr>
    </w:p>
    <w:p>
      <w:pPr>
        <w:spacing w:before="69"/>
        <w:ind w:left="100" w:right="86" w:firstLine="0"/>
        <w:jc w:val="left"/>
        <w:rPr>
          <w:i/>
          <w:sz w:val="24"/>
        </w:rPr>
      </w:pPr>
      <w:r>
        <w:rPr>
          <w:sz w:val="24"/>
        </w:rPr>
        <w:t>Mosca Gaetano. </w:t>
      </w:r>
      <w:r>
        <w:rPr>
          <w:i/>
          <w:sz w:val="24"/>
        </w:rPr>
        <w:t>La clase política, predominio de una clase dirigente</w:t>
      </w:r>
    </w:p>
    <w:p>
      <w:pPr>
        <w:pStyle w:val="BodyText"/>
        <w:tabs>
          <w:tab w:pos="8270" w:val="left" w:leader="none"/>
        </w:tabs>
        <w:spacing w:before="140"/>
        <w:ind w:left="100" w:right="44"/>
      </w:pPr>
      <w:r>
        <w:rPr/>
        <w:t>Disponible</w:t>
        <w:tab/>
        <w:t>en:</w:t>
      </w:r>
    </w:p>
    <w:p>
      <w:pPr>
        <w:pStyle w:val="BodyText"/>
        <w:spacing w:line="357" w:lineRule="auto" w:before="140"/>
        <w:ind w:left="100" w:right="1340"/>
      </w:pPr>
      <w:hyperlink r:id="rId265">
        <w:r>
          <w:rPr>
            <w:color w:val="0000FF"/>
            <w:u w:val="single" w:color="0000FF"/>
          </w:rPr>
          <w:t>http://americo.usal.es/iberoame/sites/default/files/Laclasepolitica.pdf</w:t>
        </w:r>
      </w:hyperlink>
      <w:r>
        <w:rPr>
          <w:color w:val="0000FF"/>
          <w:u w:val="single" w:color="0000FF"/>
        </w:rPr>
        <w:t> </w:t>
      </w:r>
      <w:r>
        <w:rPr/>
        <w:t>[Fecha de consulta: 6 de abril, 2015]</w:t>
      </w:r>
    </w:p>
    <w:p>
      <w:pPr>
        <w:spacing w:after="0" w:line="357" w:lineRule="auto"/>
        <w:sectPr>
          <w:pgSz w:w="11910" w:h="16840"/>
          <w:pgMar w:header="0" w:footer="998" w:top="1360" w:bottom="1180" w:left="1600" w:right="1580"/>
        </w:sectPr>
      </w:pPr>
    </w:p>
    <w:p>
      <w:pPr>
        <w:pStyle w:val="BodyText"/>
        <w:spacing w:line="362" w:lineRule="auto" w:before="55"/>
        <w:ind w:left="100" w:right="955"/>
      </w:pPr>
      <w:r>
        <w:rPr/>
        <w:t>Olivas Julián, </w:t>
      </w:r>
      <w:r>
        <w:rPr>
          <w:i/>
        </w:rPr>
        <w:t>El órgano de control externo </w:t>
      </w:r>
      <w:hyperlink r:id="rId266">
        <w:r>
          <w:rPr/>
          <w:t>http://www.amocvies.org.mx/htm_asambleas/a15_qroo/inf/fiscaliz.pdf</w:t>
        </w:r>
      </w:hyperlink>
      <w:r>
        <w:rPr/>
        <w:t> [Fecha de consulta: 7 de mayo, 2015]</w:t>
      </w:r>
    </w:p>
    <w:p>
      <w:pPr>
        <w:pStyle w:val="BodyText"/>
      </w:pPr>
    </w:p>
    <w:p>
      <w:pPr>
        <w:pStyle w:val="BodyText"/>
        <w:spacing w:line="362" w:lineRule="auto" w:before="139"/>
        <w:ind w:left="100" w:right="82"/>
      </w:pPr>
      <w:r>
        <w:rPr/>
        <w:t>Pesos</w:t>
      </w:r>
      <w:r>
        <w:rPr>
          <w:spacing w:val="-5"/>
        </w:rPr>
        <w:t> </w:t>
      </w:r>
      <w:r>
        <w:rPr/>
        <w:t>y</w:t>
      </w:r>
      <w:r>
        <w:rPr>
          <w:spacing w:val="-13"/>
        </w:rPr>
        <w:t> </w:t>
      </w:r>
      <w:r>
        <w:rPr/>
        <w:t>contrapesos,</w:t>
      </w:r>
      <w:r>
        <w:rPr>
          <w:spacing w:val="-8"/>
        </w:rPr>
        <w:t> </w:t>
      </w:r>
      <w:r>
        <w:rPr/>
        <w:t>programa</w:t>
      </w:r>
      <w:r>
        <w:rPr>
          <w:spacing w:val="-7"/>
        </w:rPr>
        <w:t> </w:t>
      </w:r>
      <w:r>
        <w:rPr/>
        <w:t>1:</w:t>
      </w:r>
      <w:r>
        <w:rPr>
          <w:spacing w:val="-8"/>
        </w:rPr>
        <w:t> </w:t>
      </w:r>
      <w:r>
        <w:rPr/>
        <w:t>Qué</w:t>
      </w:r>
      <w:r>
        <w:rPr>
          <w:spacing w:val="-11"/>
        </w:rPr>
        <w:t> </w:t>
      </w:r>
      <w:r>
        <w:rPr/>
        <w:t>es,</w:t>
      </w:r>
      <w:r>
        <w:rPr>
          <w:spacing w:val="-8"/>
        </w:rPr>
        <w:t> </w:t>
      </w:r>
      <w:r>
        <w:rPr/>
        <w:t>qué</w:t>
      </w:r>
      <w:r>
        <w:rPr>
          <w:spacing w:val="-11"/>
        </w:rPr>
        <w:t> </w:t>
      </w:r>
      <w:r>
        <w:rPr/>
        <w:t>hace</w:t>
      </w:r>
      <w:r>
        <w:rPr>
          <w:spacing w:val="-7"/>
        </w:rPr>
        <w:t> </w:t>
      </w:r>
      <w:r>
        <w:rPr/>
        <w:t>y</w:t>
      </w:r>
      <w:r>
        <w:rPr>
          <w:spacing w:val="-13"/>
        </w:rPr>
        <w:t> </w:t>
      </w:r>
      <w:r>
        <w:rPr/>
        <w:t>cuál</w:t>
      </w:r>
      <w:r>
        <w:rPr>
          <w:spacing w:val="-6"/>
        </w:rPr>
        <w:t> </w:t>
      </w:r>
      <w:r>
        <w:rPr/>
        <w:t>es</w:t>
      </w:r>
      <w:r>
        <w:rPr>
          <w:spacing w:val="-9"/>
        </w:rPr>
        <w:t> </w:t>
      </w:r>
      <w:r>
        <w:rPr/>
        <w:t>el</w:t>
      </w:r>
      <w:r>
        <w:rPr>
          <w:spacing w:val="-10"/>
        </w:rPr>
        <w:t> </w:t>
      </w:r>
      <w:r>
        <w:rPr/>
        <w:t>beneficio</w:t>
      </w:r>
      <w:r>
        <w:rPr>
          <w:spacing w:val="-11"/>
        </w:rPr>
        <w:t> </w:t>
      </w:r>
      <w:r>
        <w:rPr/>
        <w:t>social de la</w:t>
      </w:r>
      <w:r>
        <w:rPr>
          <w:spacing w:val="-7"/>
        </w:rPr>
        <w:t> </w:t>
      </w:r>
      <w:r>
        <w:rPr/>
        <w:t>ASF.</w:t>
      </w:r>
    </w:p>
    <w:p>
      <w:pPr>
        <w:pStyle w:val="BodyText"/>
        <w:spacing w:line="362" w:lineRule="auto"/>
        <w:ind w:left="100" w:right="1039"/>
      </w:pPr>
      <w:r>
        <w:rPr/>
        <w:t>Disponible en: </w:t>
      </w:r>
      <w:hyperlink r:id="rId188">
        <w:r>
          <w:rPr/>
          <w:t>http://www.asf.gob.mx/Publication/75_Programa_de_TV</w:t>
        </w:r>
      </w:hyperlink>
      <w:r>
        <w:rPr/>
        <w:t> [Fecha de consulta: 5 de junio, 2015]</w:t>
      </w:r>
    </w:p>
    <w:p>
      <w:pPr>
        <w:pStyle w:val="BodyText"/>
        <w:spacing w:before="8"/>
        <w:rPr>
          <w:sz w:val="35"/>
        </w:rPr>
      </w:pPr>
    </w:p>
    <w:p>
      <w:pPr>
        <w:spacing w:line="362" w:lineRule="auto" w:before="1"/>
        <w:ind w:left="100" w:right="1039" w:firstLine="0"/>
        <w:jc w:val="left"/>
        <w:rPr>
          <w:sz w:val="24"/>
        </w:rPr>
      </w:pPr>
      <w:r>
        <w:rPr>
          <w:sz w:val="24"/>
        </w:rPr>
        <w:t>Phio Virve, </w:t>
      </w:r>
      <w:r>
        <w:rPr>
          <w:i/>
          <w:sz w:val="24"/>
        </w:rPr>
        <w:t>La organización eclesiástica en la Nueva España. </w:t>
      </w:r>
      <w:r>
        <w:rPr>
          <w:sz w:val="24"/>
        </w:rPr>
        <w:t>Disponible en: </w:t>
      </w:r>
      <w:hyperlink r:id="rId96">
        <w:r>
          <w:rPr>
            <w:color w:val="0000FF"/>
            <w:sz w:val="24"/>
            <w:u w:val="single" w:color="0000FF"/>
          </w:rPr>
          <w:t>http://www.ejournal.unam.mx/ehn/ehn10/EHN01002.pdf</w:t>
        </w:r>
      </w:hyperlink>
      <w:r>
        <w:rPr>
          <w:color w:val="0000FF"/>
          <w:sz w:val="24"/>
          <w:u w:val="single" w:color="0000FF"/>
        </w:rPr>
        <w:t> </w:t>
      </w:r>
      <w:r>
        <w:rPr>
          <w:sz w:val="24"/>
        </w:rPr>
        <w:t>[Fecha de consulta: 5 de mayo, 2015]</w:t>
      </w:r>
    </w:p>
    <w:p>
      <w:pPr>
        <w:pStyle w:val="BodyText"/>
        <w:spacing w:before="8"/>
        <w:rPr>
          <w:sz w:val="35"/>
        </w:rPr>
      </w:pPr>
    </w:p>
    <w:p>
      <w:pPr>
        <w:spacing w:line="357" w:lineRule="auto" w:before="1"/>
        <w:ind w:left="100" w:right="82" w:firstLine="0"/>
        <w:jc w:val="left"/>
        <w:rPr>
          <w:i/>
          <w:sz w:val="24"/>
        </w:rPr>
      </w:pPr>
      <w:r>
        <w:rPr>
          <w:sz w:val="24"/>
        </w:rPr>
        <w:t>Ruano</w:t>
      </w:r>
      <w:r>
        <w:rPr>
          <w:spacing w:val="-13"/>
          <w:sz w:val="24"/>
        </w:rPr>
        <w:t> </w:t>
      </w:r>
      <w:r>
        <w:rPr>
          <w:sz w:val="24"/>
        </w:rPr>
        <w:t>de</w:t>
      </w:r>
      <w:r>
        <w:rPr>
          <w:spacing w:val="-9"/>
          <w:sz w:val="24"/>
        </w:rPr>
        <w:t> </w:t>
      </w:r>
      <w:r>
        <w:rPr>
          <w:sz w:val="24"/>
        </w:rPr>
        <w:t>la</w:t>
      </w:r>
      <w:r>
        <w:rPr>
          <w:spacing w:val="-13"/>
          <w:sz w:val="24"/>
        </w:rPr>
        <w:t> </w:t>
      </w:r>
      <w:r>
        <w:rPr>
          <w:sz w:val="24"/>
        </w:rPr>
        <w:t>Fuente,</w:t>
      </w:r>
      <w:r>
        <w:rPr>
          <w:spacing w:val="-10"/>
          <w:sz w:val="24"/>
        </w:rPr>
        <w:t> </w:t>
      </w:r>
      <w:r>
        <w:rPr>
          <w:sz w:val="24"/>
        </w:rPr>
        <w:t>José</w:t>
      </w:r>
      <w:r>
        <w:rPr>
          <w:spacing w:val="-9"/>
          <w:sz w:val="24"/>
        </w:rPr>
        <w:t> </w:t>
      </w:r>
      <w:r>
        <w:rPr>
          <w:sz w:val="24"/>
        </w:rPr>
        <w:t>Manuel.</w:t>
      </w:r>
      <w:r>
        <w:rPr>
          <w:spacing w:val="-10"/>
          <w:sz w:val="24"/>
        </w:rPr>
        <w:t> </w:t>
      </w:r>
      <w:r>
        <w:rPr>
          <w:sz w:val="24"/>
        </w:rPr>
        <w:t>(2002).</w:t>
      </w:r>
      <w:r>
        <w:rPr>
          <w:spacing w:val="-7"/>
          <w:sz w:val="24"/>
        </w:rPr>
        <w:t> </w:t>
      </w:r>
      <w:r>
        <w:rPr>
          <w:i/>
          <w:sz w:val="24"/>
        </w:rPr>
        <w:t>La</w:t>
      </w:r>
      <w:r>
        <w:rPr>
          <w:i/>
          <w:spacing w:val="-13"/>
          <w:sz w:val="24"/>
        </w:rPr>
        <w:t> </w:t>
      </w:r>
      <w:r>
        <w:rPr>
          <w:i/>
          <w:sz w:val="24"/>
        </w:rPr>
        <w:t>gobernanza</w:t>
      </w:r>
      <w:r>
        <w:rPr>
          <w:i/>
          <w:spacing w:val="-9"/>
          <w:sz w:val="24"/>
        </w:rPr>
        <w:t> </w:t>
      </w:r>
      <w:r>
        <w:rPr>
          <w:i/>
          <w:sz w:val="24"/>
        </w:rPr>
        <w:t>como</w:t>
      </w:r>
      <w:r>
        <w:rPr>
          <w:i/>
          <w:spacing w:val="-13"/>
          <w:sz w:val="24"/>
        </w:rPr>
        <w:t> </w:t>
      </w:r>
      <w:r>
        <w:rPr>
          <w:i/>
          <w:sz w:val="24"/>
        </w:rPr>
        <w:t>forma</w:t>
      </w:r>
      <w:r>
        <w:rPr>
          <w:i/>
          <w:spacing w:val="-9"/>
          <w:sz w:val="24"/>
        </w:rPr>
        <w:t> </w:t>
      </w:r>
      <w:r>
        <w:rPr>
          <w:i/>
          <w:sz w:val="24"/>
        </w:rPr>
        <w:t>de</w:t>
      </w:r>
      <w:r>
        <w:rPr>
          <w:i/>
          <w:spacing w:val="-13"/>
          <w:sz w:val="24"/>
        </w:rPr>
        <w:t> </w:t>
      </w:r>
      <w:r>
        <w:rPr>
          <w:i/>
          <w:sz w:val="24"/>
        </w:rPr>
        <w:t>acción </w:t>
      </w:r>
      <w:r>
        <w:rPr>
          <w:i/>
          <w:sz w:val="24"/>
        </w:rPr>
        <w:t>política y como concepto</w:t>
      </w:r>
      <w:r>
        <w:rPr>
          <w:i/>
          <w:spacing w:val="-22"/>
          <w:sz w:val="24"/>
        </w:rPr>
        <w:t> </w:t>
      </w:r>
      <w:r>
        <w:rPr>
          <w:i/>
          <w:sz w:val="24"/>
        </w:rPr>
        <w:t>analítico</w:t>
      </w:r>
    </w:p>
    <w:p>
      <w:pPr>
        <w:pStyle w:val="BodyText"/>
        <w:spacing w:line="360" w:lineRule="auto" w:before="12"/>
        <w:ind w:left="100" w:right="82"/>
      </w:pPr>
      <w:r>
        <w:rPr/>
        <w:t>Disponible en: </w:t>
      </w:r>
      <w:hyperlink r:id="rId267">
        <w:r>
          <w:rPr>
            <w:color w:val="0000FF"/>
            <w:u w:val="single" w:color="0000FF"/>
          </w:rPr>
          <w:t>http://unpan1.un.org/intradoc/groups/public/documents/CLAD/clad0043411.pdf</w:t>
        </w:r>
      </w:hyperlink>
      <w:r>
        <w:rPr>
          <w:color w:val="0000FF"/>
          <w:u w:val="single" w:color="0000FF"/>
        </w:rPr>
        <w:t> </w:t>
      </w:r>
      <w:r>
        <w:rPr/>
        <w:t>[Fecha de consulta: 20 de marzo, 2015].</w:t>
      </w:r>
    </w:p>
    <w:p>
      <w:pPr>
        <w:pStyle w:val="BodyText"/>
        <w:spacing w:before="11"/>
        <w:rPr>
          <w:sz w:val="35"/>
        </w:rPr>
      </w:pPr>
    </w:p>
    <w:p>
      <w:pPr>
        <w:spacing w:line="357" w:lineRule="auto" w:before="0"/>
        <w:ind w:left="100" w:right="385" w:firstLine="0"/>
        <w:jc w:val="left"/>
        <w:rPr>
          <w:i/>
          <w:sz w:val="24"/>
        </w:rPr>
      </w:pPr>
      <w:r>
        <w:rPr>
          <w:sz w:val="24"/>
        </w:rPr>
        <w:t>Secretaría de la Función Pública, </w:t>
      </w:r>
      <w:r>
        <w:rPr>
          <w:i/>
          <w:sz w:val="24"/>
        </w:rPr>
        <w:t>Conferencia Internacional sobre PbR, el </w:t>
      </w:r>
      <w:r>
        <w:rPr>
          <w:i/>
          <w:sz w:val="24"/>
        </w:rPr>
        <w:t>programa de mejora de la gestión.</w:t>
      </w:r>
    </w:p>
    <w:p>
      <w:pPr>
        <w:pStyle w:val="BodyText"/>
        <w:spacing w:line="360" w:lineRule="auto" w:before="13"/>
        <w:ind w:left="100" w:right="2094"/>
      </w:pPr>
      <w:r>
        <w:rPr/>
        <w:t>Disponible en: </w:t>
      </w:r>
      <w:hyperlink r:id="rId104">
        <w:r>
          <w:rPr>
            <w:color w:val="0000FF"/>
            <w:u w:val="single" w:color="0000FF"/>
          </w:rPr>
          <w:t>http://siteresources.worldbank.org/INTMEXICO/Resources/4-</w:t>
        </w:r>
      </w:hyperlink>
      <w:r>
        <w:rPr>
          <w:color w:val="0000FF"/>
          <w:u w:val="single" w:color="0000FF"/>
        </w:rPr>
        <w:t> </w:t>
      </w:r>
      <w:hyperlink r:id="rId104">
        <w:r>
          <w:rPr>
            <w:color w:val="0000FF"/>
            <w:u w:val="single" w:color="0000FF"/>
          </w:rPr>
          <w:t>3DocumentoPbRSalvadorVegajun08VF.pdf</w:t>
        </w:r>
      </w:hyperlink>
    </w:p>
    <w:p>
      <w:pPr>
        <w:pStyle w:val="BodyText"/>
        <w:spacing w:before="1"/>
        <w:ind w:left="100" w:right="385"/>
      </w:pPr>
      <w:r>
        <w:rPr/>
        <w:t>[Fecha de consulta: 25 de mayo, 2015]</w:t>
      </w:r>
    </w:p>
    <w:p>
      <w:pPr>
        <w:pStyle w:val="BodyText"/>
      </w:pPr>
    </w:p>
    <w:p>
      <w:pPr>
        <w:pStyle w:val="BodyText"/>
      </w:pPr>
    </w:p>
    <w:p>
      <w:pPr>
        <w:pStyle w:val="BodyText"/>
        <w:spacing w:line="362" w:lineRule="auto"/>
        <w:ind w:left="100" w:right="385"/>
      </w:pPr>
      <w:r>
        <w:rPr/>
        <w:t>SFP (2008) Programa Nacional de Rendición de Cuentas, Transparencia y Combate a la Corrupción, 2008-2012</w:t>
      </w:r>
    </w:p>
    <w:p>
      <w:pPr>
        <w:pStyle w:val="BodyText"/>
        <w:spacing w:line="360" w:lineRule="auto"/>
        <w:ind w:left="100" w:right="400"/>
      </w:pPr>
      <w:r>
        <w:rPr/>
        <w:t>Disponible en: </w:t>
      </w:r>
      <w:hyperlink r:id="rId268">
        <w:r>
          <w:rPr/>
          <w:t>http://www.programaanticorrupcion.gob.mx/PNRCTCC/prctcc_2008-2012.pdf</w:t>
        </w:r>
      </w:hyperlink>
      <w:r>
        <w:rPr/>
        <w:t> [Fecha de consulta: 29 de mayo, 2015]</w:t>
      </w:r>
    </w:p>
    <w:p>
      <w:pPr>
        <w:pStyle w:val="BodyText"/>
      </w:pPr>
    </w:p>
    <w:p>
      <w:pPr>
        <w:pStyle w:val="BodyText"/>
        <w:spacing w:line="357" w:lineRule="auto" w:before="142"/>
        <w:ind w:left="100" w:right="2840"/>
      </w:pPr>
      <w:r>
        <w:rPr/>
        <w:t>SHCP, Sistema de Evaluación del Desempeño Disponible en:</w:t>
      </w:r>
    </w:p>
    <w:p>
      <w:pPr>
        <w:spacing w:after="0" w:line="357" w:lineRule="auto"/>
        <w:sectPr>
          <w:pgSz w:w="11910" w:h="16840"/>
          <w:pgMar w:header="0" w:footer="998" w:top="1340" w:bottom="1180" w:left="1600" w:right="1600"/>
        </w:sectPr>
      </w:pPr>
    </w:p>
    <w:p>
      <w:pPr>
        <w:pStyle w:val="BodyText"/>
        <w:spacing w:line="362" w:lineRule="auto" w:before="39"/>
        <w:ind w:left="100" w:right="82"/>
      </w:pPr>
      <w:hyperlink r:id="rId269">
        <w:r>
          <w:rPr/>
          <w:t>http://www.hacienda.gob.mx/EGRESOS/pbr/docs_consultta/directricessed.pdf</w:t>
        </w:r>
      </w:hyperlink>
      <w:r>
        <w:rPr/>
        <w:t> [Fecha de consulta: 11 de mayo, 2015]</w:t>
      </w:r>
    </w:p>
    <w:p>
      <w:pPr>
        <w:pStyle w:val="BodyText"/>
        <w:spacing w:before="8"/>
        <w:rPr>
          <w:sz w:val="35"/>
        </w:rPr>
      </w:pPr>
    </w:p>
    <w:p>
      <w:pPr>
        <w:spacing w:line="362" w:lineRule="auto" w:before="0"/>
        <w:ind w:left="100" w:right="99" w:firstLine="0"/>
        <w:jc w:val="both"/>
        <w:rPr>
          <w:sz w:val="24"/>
        </w:rPr>
      </w:pPr>
      <w:r>
        <w:rPr>
          <w:sz w:val="24"/>
        </w:rPr>
        <w:t>Schedler, Andreas (2005) </w:t>
      </w:r>
      <w:r>
        <w:rPr>
          <w:i/>
          <w:sz w:val="24"/>
        </w:rPr>
        <w:t>¿Qué es la rendición de cuentas? </w:t>
      </w:r>
      <w:r>
        <w:rPr>
          <w:sz w:val="24"/>
        </w:rPr>
        <w:t>Cuadernos de Transparencia No. 3, Instituto Federal de Acceso a la Información Pública. México.</w:t>
      </w:r>
    </w:p>
    <w:p>
      <w:pPr>
        <w:pStyle w:val="BodyText"/>
        <w:spacing w:line="360" w:lineRule="auto"/>
        <w:ind w:left="100" w:right="82"/>
      </w:pPr>
      <w:r>
        <w:rPr/>
        <w:t>Disponible en: </w:t>
      </w:r>
      <w:hyperlink r:id="rId270">
        <w:r>
          <w:rPr/>
          <w:t>http://works.bepress.com/cgi/viewcontent.cgi?article=1005&amp;context=andreas_s</w:t>
        </w:r>
      </w:hyperlink>
      <w:r>
        <w:rPr/>
        <w:t> chedler</w:t>
      </w:r>
    </w:p>
    <w:p>
      <w:pPr>
        <w:pStyle w:val="BodyText"/>
        <w:spacing w:before="6"/>
        <w:ind w:left="100" w:right="385"/>
      </w:pPr>
      <w:r>
        <w:rPr/>
        <w:t>[Fecha de consulta: 20 de marzo, 2015].</w:t>
      </w:r>
    </w:p>
    <w:p>
      <w:pPr>
        <w:pStyle w:val="BodyText"/>
      </w:pPr>
    </w:p>
    <w:p>
      <w:pPr>
        <w:pStyle w:val="BodyText"/>
        <w:spacing w:before="7"/>
        <w:rPr>
          <w:sz w:val="23"/>
        </w:rPr>
      </w:pPr>
    </w:p>
    <w:p>
      <w:pPr>
        <w:pStyle w:val="BodyText"/>
        <w:spacing w:line="360" w:lineRule="auto" w:before="1"/>
        <w:ind w:left="100" w:right="2146"/>
      </w:pPr>
      <w:r>
        <w:rPr/>
        <w:t>Servolov, Yuri. (2000). </w:t>
      </w:r>
      <w:r>
        <w:rPr>
          <w:i/>
        </w:rPr>
        <w:t>Se inicia un nuevo ciclo en México</w:t>
      </w:r>
      <w:r>
        <w:rPr/>
        <w:t>. Disponible en: </w:t>
      </w:r>
      <w:hyperlink r:id="rId100">
        <w:r>
          <w:rPr/>
          <w:t>http://nuevamayoria.com/analisis/serbolov/serbolov3011.htm</w:t>
        </w:r>
      </w:hyperlink>
      <w:r>
        <w:rPr/>
        <w:t> [Fecha de consulta: 11 de mayo, 2015].</w:t>
      </w:r>
    </w:p>
    <w:p>
      <w:pPr>
        <w:pStyle w:val="BodyText"/>
      </w:pPr>
    </w:p>
    <w:p>
      <w:pPr>
        <w:spacing w:line="362" w:lineRule="auto" w:before="138"/>
        <w:ind w:left="100" w:right="385" w:firstLine="0"/>
        <w:jc w:val="left"/>
        <w:rPr>
          <w:sz w:val="24"/>
        </w:rPr>
      </w:pPr>
      <w:r>
        <w:rPr>
          <w:sz w:val="24"/>
        </w:rPr>
        <w:t>Solares Mendiola, Manuel. (2004) </w:t>
      </w:r>
      <w:r>
        <w:rPr>
          <w:i/>
          <w:sz w:val="24"/>
        </w:rPr>
        <w:t>La Auditoría Superior de la Federación: </w:t>
      </w:r>
      <w:r>
        <w:rPr>
          <w:i/>
          <w:sz w:val="24"/>
        </w:rPr>
        <w:t>antecedentes y perspectiva jurídica</w:t>
      </w:r>
      <w:r>
        <w:rPr>
          <w:sz w:val="24"/>
        </w:rPr>
        <w:t>. UNAM. México.</w:t>
      </w:r>
    </w:p>
    <w:p>
      <w:pPr>
        <w:pStyle w:val="BodyText"/>
        <w:spacing w:line="362" w:lineRule="auto" w:before="3"/>
        <w:ind w:left="100" w:right="1440"/>
      </w:pPr>
      <w:r>
        <w:rPr/>
        <w:t>Disponible en: </w:t>
      </w:r>
      <w:hyperlink r:id="rId271">
        <w:r>
          <w:rPr/>
          <w:t>http://biblio.juridicas.unam.mx/libros/3/1327/1.pdf</w:t>
        </w:r>
      </w:hyperlink>
      <w:r>
        <w:rPr/>
        <w:t> [Fecha de consulta: 5 de abril, 2015]</w:t>
      </w:r>
    </w:p>
    <w:p>
      <w:pPr>
        <w:pStyle w:val="BodyText"/>
        <w:spacing w:before="9"/>
        <w:rPr>
          <w:sz w:val="35"/>
        </w:rPr>
      </w:pPr>
    </w:p>
    <w:p>
      <w:pPr>
        <w:spacing w:line="362" w:lineRule="auto" w:before="0"/>
        <w:ind w:left="100" w:right="545" w:firstLine="0"/>
        <w:jc w:val="left"/>
        <w:rPr>
          <w:sz w:val="24"/>
        </w:rPr>
      </w:pPr>
      <w:r>
        <w:rPr>
          <w:sz w:val="24"/>
        </w:rPr>
        <w:t>Stuart Mill, John. (1860). </w:t>
      </w:r>
      <w:r>
        <w:rPr>
          <w:i/>
          <w:sz w:val="24"/>
        </w:rPr>
        <w:t>Consideraciones sobre el gobierno representativo</w:t>
      </w:r>
      <w:r>
        <w:rPr>
          <w:sz w:val="24"/>
        </w:rPr>
        <w:t>. Disponible en: </w:t>
      </w:r>
      <w:hyperlink r:id="rId272">
        <w:r>
          <w:rPr>
            <w:color w:val="0000FF"/>
            <w:sz w:val="24"/>
            <w:u w:val="single" w:color="0000FF"/>
          </w:rPr>
          <w:t>http://fama2.us.es/fde/ocr/2006/gobiernoRepresentativo.pdf</w:t>
        </w:r>
      </w:hyperlink>
      <w:r>
        <w:rPr>
          <w:color w:val="0000FF"/>
          <w:sz w:val="24"/>
          <w:u w:val="single" w:color="0000FF"/>
        </w:rPr>
        <w:t> </w:t>
      </w:r>
      <w:r>
        <w:rPr>
          <w:sz w:val="24"/>
        </w:rPr>
        <w:t>[Fecha de consulta: 8 de abril, 2015]</w:t>
      </w:r>
    </w:p>
    <w:p>
      <w:pPr>
        <w:spacing w:before="195"/>
        <w:ind w:left="100" w:right="385" w:firstLine="0"/>
        <w:jc w:val="left"/>
        <w:rPr>
          <w:i/>
          <w:sz w:val="24"/>
        </w:rPr>
      </w:pPr>
      <w:r>
        <w:rPr>
          <w:sz w:val="24"/>
        </w:rPr>
        <w:t>UNAM/IIJ Capítulo segundo. </w:t>
      </w:r>
      <w:r>
        <w:rPr>
          <w:i/>
          <w:sz w:val="24"/>
        </w:rPr>
        <w:t>El concepto de gobernanza</w:t>
      </w:r>
    </w:p>
    <w:p>
      <w:pPr>
        <w:pStyle w:val="BodyText"/>
        <w:spacing w:before="144"/>
        <w:ind w:left="100" w:right="385"/>
      </w:pPr>
      <w:hyperlink r:id="rId273">
        <w:r>
          <w:rPr>
            <w:color w:val="0000FF"/>
            <w:u w:val="single" w:color="0000FF"/>
          </w:rPr>
          <w:t>http://www.bibliojuridica.org/libros/6/2818/5.pdf</w:t>
        </w:r>
      </w:hyperlink>
    </w:p>
    <w:p>
      <w:pPr>
        <w:pStyle w:val="BodyText"/>
        <w:spacing w:line="362" w:lineRule="auto" w:before="136"/>
        <w:ind w:left="100" w:right="1440"/>
      </w:pPr>
      <w:r>
        <w:rPr/>
        <w:t>Disponible en: </w:t>
      </w:r>
      <w:hyperlink r:id="rId273">
        <w:r>
          <w:rPr>
            <w:color w:val="0000FF"/>
            <w:u w:val="single" w:color="0000FF"/>
          </w:rPr>
          <w:t>http://www.bibliojuridica.org/libros/6/2818/5.pdf</w:t>
        </w:r>
      </w:hyperlink>
      <w:r>
        <w:rPr>
          <w:color w:val="0000FF"/>
          <w:u w:val="single" w:color="0000FF"/>
        </w:rPr>
        <w:t> </w:t>
      </w:r>
      <w:r>
        <w:rPr/>
        <w:t>[Fecha 19 de marzo, 2015]</w:t>
      </w:r>
    </w:p>
    <w:p>
      <w:pPr>
        <w:pStyle w:val="BodyText"/>
        <w:spacing w:before="8"/>
        <w:rPr>
          <w:sz w:val="35"/>
        </w:rPr>
      </w:pPr>
    </w:p>
    <w:p>
      <w:pPr>
        <w:pStyle w:val="BodyText"/>
        <w:spacing w:before="1"/>
        <w:ind w:left="100" w:right="385"/>
      </w:pPr>
      <w:r>
        <w:rPr/>
        <w:t>Stiglitz Joseph (1998)</w:t>
      </w:r>
    </w:p>
    <w:p>
      <w:pPr>
        <w:spacing w:before="136"/>
        <w:ind w:left="100" w:right="82" w:firstLine="0"/>
        <w:jc w:val="left"/>
        <w:rPr>
          <w:i/>
          <w:sz w:val="24"/>
        </w:rPr>
      </w:pPr>
      <w:r>
        <w:rPr>
          <w:i/>
          <w:sz w:val="24"/>
        </w:rPr>
        <w:t>Towards a new paradigm for development: strategies, policies and processes</w:t>
      </w:r>
    </w:p>
    <w:p>
      <w:pPr>
        <w:spacing w:after="0"/>
        <w:jc w:val="left"/>
        <w:rPr>
          <w:sz w:val="24"/>
        </w:rPr>
        <w:sectPr>
          <w:pgSz w:w="11910" w:h="16840"/>
          <w:pgMar w:header="0" w:footer="998" w:top="1360" w:bottom="1180" w:left="1600" w:right="1600"/>
        </w:sectPr>
      </w:pPr>
    </w:p>
    <w:p>
      <w:pPr>
        <w:pStyle w:val="BodyText"/>
        <w:spacing w:line="360" w:lineRule="auto" w:before="39"/>
        <w:ind w:left="100" w:right="120"/>
        <w:jc w:val="both"/>
      </w:pPr>
      <w:hyperlink r:id="rId274">
        <w:r>
          <w:rPr>
            <w:spacing w:val="-1"/>
          </w:rPr>
          <w:t>http://web.worldbank.org/WBSITE/EXTERNAL/TOPICS/TRADE/0,,contentMDK:</w:t>
        </w:r>
      </w:hyperlink>
      <w:r>
        <w:rPr>
          <w:spacing w:val="-1"/>
        </w:rPr>
        <w:t> </w:t>
      </w:r>
      <w:r>
        <w:rPr/>
        <w:t>20025537~menuPK:167371~pagePK:64020865~piPK:149114~theSitePK:2390 71,00.html</w:t>
      </w:r>
    </w:p>
    <w:p>
      <w:pPr>
        <w:pStyle w:val="BodyText"/>
        <w:spacing w:before="6"/>
        <w:ind w:left="100" w:right="385"/>
      </w:pPr>
      <w:r>
        <w:rPr/>
        <w:t>[Fecha de consulta: 2 de agosto, 2015]</w:t>
      </w:r>
    </w:p>
    <w:p>
      <w:pPr>
        <w:pStyle w:val="BodyText"/>
      </w:pPr>
    </w:p>
    <w:p>
      <w:pPr>
        <w:pStyle w:val="BodyText"/>
      </w:pPr>
    </w:p>
    <w:p>
      <w:pPr>
        <w:pStyle w:val="BodyText"/>
        <w:ind w:left="100" w:right="385"/>
      </w:pPr>
      <w:r>
        <w:rPr/>
        <w:t>UNODC</w:t>
      </w:r>
    </w:p>
    <w:p>
      <w:pPr>
        <w:pStyle w:val="BodyText"/>
        <w:spacing w:line="360" w:lineRule="auto" w:before="136"/>
        <w:ind w:left="100" w:right="804"/>
      </w:pPr>
      <w:r>
        <w:rPr/>
        <w:t>Disponible en: </w:t>
      </w:r>
      <w:hyperlink r:id="rId163">
        <w:r>
          <w:rPr>
            <w:color w:val="0000FF"/>
            <w:u w:val="single" w:color="0000FF"/>
          </w:rPr>
          <w:t>http://www.unodc.org/pdf/corruption/publications_unodc_convention-s.pdf</w:t>
        </w:r>
      </w:hyperlink>
      <w:r>
        <w:rPr>
          <w:color w:val="0000FF"/>
          <w:u w:val="single" w:color="0000FF"/>
        </w:rPr>
        <w:t> </w:t>
      </w:r>
      <w:r>
        <w:rPr/>
        <w:t>[Fecha de consulta: 11 de abril, 2015]</w:t>
      </w:r>
    </w:p>
    <w:p>
      <w:pPr>
        <w:pStyle w:val="BodyText"/>
      </w:pPr>
    </w:p>
    <w:p>
      <w:pPr>
        <w:spacing w:line="362" w:lineRule="auto" w:before="138"/>
        <w:ind w:left="100" w:right="82" w:firstLine="0"/>
        <w:jc w:val="left"/>
        <w:rPr>
          <w:sz w:val="24"/>
        </w:rPr>
      </w:pPr>
      <w:r>
        <w:rPr>
          <w:sz w:val="24"/>
        </w:rPr>
        <w:t>Vargas Velarde, Óscar. (2008). </w:t>
      </w:r>
      <w:r>
        <w:rPr>
          <w:i/>
          <w:sz w:val="24"/>
        </w:rPr>
        <w:t>El Tribunal de Cuentas: Evolución, fisonomía y </w:t>
      </w:r>
      <w:r>
        <w:rPr>
          <w:i/>
          <w:sz w:val="24"/>
        </w:rPr>
        <w:t>derecho comparado</w:t>
      </w:r>
      <w:r>
        <w:rPr>
          <w:sz w:val="24"/>
        </w:rPr>
        <w:t>.</w:t>
      </w:r>
    </w:p>
    <w:p>
      <w:pPr>
        <w:pStyle w:val="BodyText"/>
        <w:spacing w:line="360" w:lineRule="auto" w:before="3"/>
        <w:ind w:left="100" w:right="220"/>
      </w:pPr>
      <w:r>
        <w:rPr/>
        <w:t>Disponible en: </w:t>
      </w:r>
      <w:hyperlink r:id="rId275">
        <w:r>
          <w:rPr>
            <w:color w:val="0000FF"/>
            <w:u w:val="single" w:color="0000FF"/>
          </w:rPr>
          <w:t>http://www.asamblea.gob.pa/debate/Ediciones_anteriores/JULIO2008/%C3%9</w:t>
        </w:r>
      </w:hyperlink>
      <w:r>
        <w:rPr>
          <w:color w:val="0000FF"/>
          <w:u w:val="single" w:color="0000FF"/>
        </w:rPr>
        <w:t> </w:t>
      </w:r>
      <w:hyperlink r:id="rId275">
        <w:r>
          <w:rPr>
            <w:color w:val="0000FF"/>
            <w:u w:val="single" w:color="0000FF"/>
          </w:rPr>
          <w:t>Altima_Edici%C3%B3n/09-Tribunal_Cuentas.pdf</w:t>
        </w:r>
      </w:hyperlink>
    </w:p>
    <w:p>
      <w:pPr>
        <w:pStyle w:val="BodyText"/>
        <w:spacing w:before="5"/>
        <w:ind w:left="100" w:right="385"/>
      </w:pPr>
      <w:r>
        <w:rPr/>
        <w:t>[Fecha de consulta: 1o. de mayo, 2015]</w:t>
      </w:r>
    </w:p>
    <w:p>
      <w:pPr>
        <w:pStyle w:val="BodyText"/>
      </w:pPr>
    </w:p>
    <w:p>
      <w:pPr>
        <w:pStyle w:val="BodyText"/>
        <w:spacing w:before="8"/>
        <w:rPr>
          <w:sz w:val="23"/>
        </w:rPr>
      </w:pPr>
    </w:p>
    <w:p>
      <w:pPr>
        <w:pStyle w:val="BodyText"/>
        <w:spacing w:line="362" w:lineRule="auto"/>
        <w:ind w:left="100" w:right="105"/>
        <w:jc w:val="both"/>
      </w:pPr>
      <w:r>
        <w:rPr/>
        <w:t>Weber Max. </w:t>
      </w:r>
      <w:r>
        <w:rPr>
          <w:i/>
        </w:rPr>
        <w:t>El político y el científico</w:t>
      </w:r>
      <w:r>
        <w:rPr/>
        <w:t>. Documento preparado por el Programa de Redes Informáticas y Productivas de la Universidad Nacional de General San Martín (UNSAM).</w:t>
      </w:r>
    </w:p>
    <w:p>
      <w:pPr>
        <w:pStyle w:val="BodyText"/>
        <w:spacing w:line="275" w:lineRule="exact"/>
        <w:ind w:left="100" w:right="385"/>
      </w:pPr>
      <w:r>
        <w:rPr/>
        <w:t>Disponible en:</w:t>
      </w:r>
    </w:p>
    <w:p>
      <w:pPr>
        <w:pStyle w:val="BodyText"/>
        <w:spacing w:line="357" w:lineRule="auto" w:before="140"/>
        <w:ind w:left="100" w:right="705"/>
      </w:pPr>
      <w:hyperlink r:id="rId19">
        <w:r>
          <w:rPr>
            <w:color w:val="0000FF"/>
            <w:u w:val="single" w:color="0000FF"/>
          </w:rPr>
          <w:t>http://www.monografias.com/trabajos20/pensadores-politicos/pensadores-</w:t>
        </w:r>
      </w:hyperlink>
      <w:r>
        <w:rPr>
          <w:color w:val="0000FF"/>
          <w:u w:val="single" w:color="0000FF"/>
        </w:rPr>
        <w:t> </w:t>
      </w:r>
      <w:hyperlink r:id="rId19">
        <w:r>
          <w:rPr>
            <w:color w:val="0000FF"/>
            <w:u w:val="single" w:color="0000FF"/>
          </w:rPr>
          <w:t>politicos.shtml</w:t>
        </w:r>
      </w:hyperlink>
    </w:p>
    <w:p>
      <w:pPr>
        <w:pStyle w:val="BodyText"/>
        <w:spacing w:before="9"/>
        <w:ind w:left="100" w:right="385"/>
      </w:pPr>
      <w:r>
        <w:rPr/>
        <w:t>[Fecha de consulta: 15 de marzo, 2015]</w:t>
      </w:r>
    </w:p>
    <w:p>
      <w:pPr>
        <w:pStyle w:val="BodyText"/>
      </w:pPr>
    </w:p>
    <w:p>
      <w:pPr>
        <w:pStyle w:val="BodyText"/>
        <w:spacing w:before="4"/>
        <w:rPr>
          <w:sz w:val="23"/>
        </w:rPr>
      </w:pPr>
    </w:p>
    <w:p>
      <w:pPr>
        <w:pStyle w:val="Heading2"/>
        <w:ind w:left="100" w:right="385" w:firstLine="0"/>
        <w:jc w:val="left"/>
      </w:pPr>
      <w:bookmarkStart w:name="_bookmark102" w:id="134"/>
      <w:bookmarkEnd w:id="134"/>
      <w:r>
        <w:rPr>
          <w:b w:val="0"/>
        </w:rPr>
      </w:r>
      <w:r>
        <w:rPr/>
        <w:t>Marco jurídico y normativo</w:t>
      </w:r>
    </w:p>
    <w:p>
      <w:pPr>
        <w:pStyle w:val="BodyText"/>
        <w:rPr>
          <w:b/>
          <w:sz w:val="26"/>
        </w:rPr>
      </w:pPr>
    </w:p>
    <w:p>
      <w:pPr>
        <w:pStyle w:val="BodyText"/>
        <w:rPr>
          <w:b/>
          <w:sz w:val="26"/>
        </w:rPr>
      </w:pPr>
    </w:p>
    <w:p>
      <w:pPr>
        <w:pStyle w:val="BodyText"/>
        <w:spacing w:line="362" w:lineRule="auto" w:before="170"/>
        <w:ind w:left="100" w:right="82"/>
      </w:pPr>
      <w:r>
        <w:rPr/>
        <w:t>Constitución</w:t>
      </w:r>
      <w:r>
        <w:rPr>
          <w:spacing w:val="-14"/>
        </w:rPr>
        <w:t> </w:t>
      </w:r>
      <w:r>
        <w:rPr/>
        <w:t>Política</w:t>
      </w:r>
      <w:r>
        <w:rPr>
          <w:spacing w:val="-14"/>
        </w:rPr>
        <w:t> </w:t>
      </w:r>
      <w:r>
        <w:rPr/>
        <w:t>de</w:t>
      </w:r>
      <w:r>
        <w:rPr>
          <w:spacing w:val="-14"/>
        </w:rPr>
        <w:t> </w:t>
      </w:r>
      <w:r>
        <w:rPr/>
        <w:t>los</w:t>
      </w:r>
      <w:r>
        <w:rPr>
          <w:spacing w:val="-13"/>
        </w:rPr>
        <w:t> </w:t>
      </w:r>
      <w:r>
        <w:rPr/>
        <w:t>Estados</w:t>
      </w:r>
      <w:r>
        <w:rPr>
          <w:spacing w:val="-13"/>
        </w:rPr>
        <w:t> </w:t>
      </w:r>
      <w:r>
        <w:rPr/>
        <w:t>Unidos</w:t>
      </w:r>
      <w:r>
        <w:rPr>
          <w:spacing w:val="-9"/>
        </w:rPr>
        <w:t> </w:t>
      </w:r>
      <w:r>
        <w:rPr/>
        <w:t>Mexicanos,</w:t>
      </w:r>
      <w:r>
        <w:rPr>
          <w:spacing w:val="-12"/>
        </w:rPr>
        <w:t> </w:t>
      </w:r>
      <w:r>
        <w:rPr/>
        <w:t>artículo</w:t>
      </w:r>
      <w:r>
        <w:rPr>
          <w:spacing w:val="-14"/>
        </w:rPr>
        <w:t> </w:t>
      </w:r>
      <w:r>
        <w:rPr/>
        <w:t>79;</w:t>
      </w:r>
      <w:r>
        <w:rPr>
          <w:spacing w:val="-12"/>
        </w:rPr>
        <w:t> </w:t>
      </w:r>
      <w:r>
        <w:rPr/>
        <w:t>publicado</w:t>
      </w:r>
      <w:r>
        <w:rPr>
          <w:spacing w:val="-14"/>
        </w:rPr>
        <w:t> </w:t>
      </w:r>
      <w:r>
        <w:rPr/>
        <w:t>en el Diario Oficial de la Federación el 5 de febrero de</w:t>
      </w:r>
      <w:r>
        <w:rPr>
          <w:spacing w:val="-38"/>
        </w:rPr>
        <w:t> </w:t>
      </w:r>
      <w:r>
        <w:rPr/>
        <w:t>1917.</w:t>
      </w:r>
    </w:p>
    <w:p>
      <w:pPr>
        <w:pStyle w:val="BodyText"/>
        <w:spacing w:line="362" w:lineRule="auto"/>
        <w:ind w:left="100" w:right="955"/>
      </w:pPr>
      <w:r>
        <w:rPr/>
        <w:t>Disponible en: </w:t>
      </w:r>
      <w:hyperlink r:id="rId276">
        <w:r>
          <w:rPr/>
          <w:t>http://www.diputados.gob.mx/LeyesBiblio/pdf/1.pdf</w:t>
        </w:r>
      </w:hyperlink>
      <w:r>
        <w:rPr/>
        <w:t> [Fecha de consulta: 21 de mayo, 2015]</w:t>
      </w:r>
    </w:p>
    <w:p>
      <w:pPr>
        <w:pStyle w:val="BodyText"/>
      </w:pPr>
    </w:p>
    <w:p>
      <w:pPr>
        <w:pStyle w:val="BodyText"/>
        <w:spacing w:before="140"/>
        <w:ind w:left="100" w:right="385"/>
      </w:pPr>
      <w:r>
        <w:rPr/>
        <w:t>Ley de Fiscalización y Rendición de Cuentas de la Federación.</w:t>
      </w:r>
    </w:p>
    <w:p>
      <w:pPr>
        <w:spacing w:after="0"/>
        <w:sectPr>
          <w:pgSz w:w="11910" w:h="16840"/>
          <w:pgMar w:header="0" w:footer="998" w:top="1360" w:bottom="1180" w:left="1600" w:right="1600"/>
        </w:sectPr>
      </w:pPr>
    </w:p>
    <w:p>
      <w:pPr>
        <w:pStyle w:val="BodyText"/>
        <w:spacing w:line="362" w:lineRule="auto" w:before="39"/>
        <w:ind w:left="100" w:right="385"/>
      </w:pPr>
      <w:r>
        <w:rPr/>
        <w:t>Disponible en: </w:t>
      </w:r>
      <w:hyperlink r:id="rId278">
        <w:r>
          <w:rPr/>
          <w:t>http://www.diputados.gob.mx/LeyesBiblio/pdf/LFRCF.pdf</w:t>
        </w:r>
      </w:hyperlink>
      <w:r>
        <w:rPr/>
        <w:t> Fecha de consulta: 6 de mayo, 2015]</w:t>
      </w:r>
    </w:p>
    <w:p>
      <w:pPr>
        <w:pStyle w:val="BodyText"/>
      </w:pPr>
    </w:p>
    <w:p>
      <w:pPr>
        <w:pStyle w:val="BodyText"/>
        <w:spacing w:before="139"/>
        <w:ind w:left="100" w:right="385"/>
      </w:pPr>
      <w:r>
        <w:rPr/>
        <w:t>Ley de Fiscalización Superior de la Federación (Abrogada)</w:t>
      </w:r>
    </w:p>
    <w:p>
      <w:pPr>
        <w:pStyle w:val="BodyText"/>
        <w:tabs>
          <w:tab w:pos="8270" w:val="left" w:leader="none"/>
        </w:tabs>
        <w:spacing w:before="136"/>
        <w:ind w:left="100" w:right="38"/>
      </w:pPr>
      <w:r>
        <w:rPr/>
        <w:t>Disponible</w:t>
        <w:tab/>
        <w:t>en:</w:t>
      </w:r>
    </w:p>
    <w:p>
      <w:pPr>
        <w:spacing w:before="136"/>
        <w:ind w:left="100" w:right="385" w:firstLine="0"/>
        <w:jc w:val="left"/>
        <w:rPr>
          <w:i/>
          <w:sz w:val="24"/>
        </w:rPr>
      </w:pPr>
      <w:r>
        <w:rPr>
          <w:i/>
          <w:sz w:val="24"/>
        </w:rPr>
        <w:t>www3.diputados.gob.mx/camara/content/download/.../file/l_fsf.pdf</w:t>
      </w:r>
    </w:p>
    <w:p>
      <w:pPr>
        <w:pStyle w:val="BodyText"/>
        <w:spacing w:before="140"/>
        <w:ind w:left="100" w:right="385"/>
      </w:pPr>
      <w:r>
        <w:rPr/>
        <w:t>[Fecha de consulta: 6 de mayo, 2015]</w:t>
      </w:r>
    </w:p>
    <w:p>
      <w:pPr>
        <w:pStyle w:val="BodyText"/>
      </w:pPr>
    </w:p>
    <w:p>
      <w:pPr>
        <w:pStyle w:val="BodyText"/>
      </w:pPr>
    </w:p>
    <w:p>
      <w:pPr>
        <w:pStyle w:val="BodyText"/>
        <w:spacing w:line="360" w:lineRule="auto"/>
        <w:ind w:left="100" w:right="82"/>
      </w:pPr>
      <w:r>
        <w:rPr/>
        <w:t>Ley</w:t>
      </w:r>
      <w:r>
        <w:rPr>
          <w:spacing w:val="-14"/>
        </w:rPr>
        <w:t> </w:t>
      </w:r>
      <w:r>
        <w:rPr/>
        <w:t>Federal</w:t>
      </w:r>
      <w:r>
        <w:rPr>
          <w:spacing w:val="-12"/>
        </w:rPr>
        <w:t> </w:t>
      </w:r>
      <w:r>
        <w:rPr/>
        <w:t>de</w:t>
      </w:r>
      <w:r>
        <w:rPr>
          <w:spacing w:val="-13"/>
        </w:rPr>
        <w:t> </w:t>
      </w:r>
      <w:r>
        <w:rPr/>
        <w:t>Transparencia</w:t>
      </w:r>
      <w:r>
        <w:rPr>
          <w:spacing w:val="-13"/>
        </w:rPr>
        <w:t> </w:t>
      </w:r>
      <w:r>
        <w:rPr/>
        <w:t>y</w:t>
      </w:r>
      <w:r>
        <w:rPr>
          <w:spacing w:val="-14"/>
        </w:rPr>
        <w:t> </w:t>
      </w:r>
      <w:r>
        <w:rPr/>
        <w:t>Acceso</w:t>
      </w:r>
      <w:r>
        <w:rPr>
          <w:spacing w:val="-13"/>
        </w:rPr>
        <w:t> </w:t>
      </w:r>
      <w:r>
        <w:rPr/>
        <w:t>a</w:t>
      </w:r>
      <w:r>
        <w:rPr>
          <w:spacing w:val="-13"/>
        </w:rPr>
        <w:t> </w:t>
      </w:r>
      <w:r>
        <w:rPr/>
        <w:t>la</w:t>
      </w:r>
      <w:r>
        <w:rPr>
          <w:spacing w:val="-13"/>
        </w:rPr>
        <w:t> </w:t>
      </w:r>
      <w:r>
        <w:rPr/>
        <w:t>Información</w:t>
      </w:r>
      <w:r>
        <w:rPr>
          <w:spacing w:val="-13"/>
        </w:rPr>
        <w:t> </w:t>
      </w:r>
      <w:r>
        <w:rPr/>
        <w:t>Pública</w:t>
      </w:r>
      <w:r>
        <w:rPr>
          <w:spacing w:val="-13"/>
        </w:rPr>
        <w:t> </w:t>
      </w:r>
      <w:r>
        <w:rPr/>
        <w:t>Gubernamental Disponible en: </w:t>
      </w:r>
      <w:hyperlink r:id="rId279">
        <w:r>
          <w:rPr/>
          <w:t>http://www.citimpuestos.com/download/normatividad/diversas/LFTAI.pdf</w:t>
        </w:r>
      </w:hyperlink>
    </w:p>
    <w:p>
      <w:pPr>
        <w:pStyle w:val="BodyText"/>
        <w:spacing w:before="6"/>
        <w:ind w:left="100" w:right="385"/>
      </w:pPr>
      <w:r>
        <w:rPr/>
        <w:t>[Fecha de consulta: 21 de mayo, 2015]</w:t>
      </w:r>
    </w:p>
    <w:p>
      <w:pPr>
        <w:pStyle w:val="BodyText"/>
      </w:pPr>
    </w:p>
    <w:p>
      <w:pPr>
        <w:pStyle w:val="BodyText"/>
      </w:pPr>
    </w:p>
    <w:p>
      <w:pPr>
        <w:pStyle w:val="BodyText"/>
        <w:spacing w:line="360" w:lineRule="auto"/>
        <w:ind w:left="100" w:right="667"/>
      </w:pPr>
      <w:r>
        <w:rPr/>
        <w:t>Poder Ejecutivo Federal, Plan Nacional de Desarrollo 1983-1988 Disponible en: </w:t>
      </w:r>
      <w:hyperlink r:id="rId280">
        <w:r>
          <w:rPr/>
          <w:t>http://www.juridicas.unam.mx/publica/librev/rev/rap/cont/55/doc/doc8.pdf</w:t>
        </w:r>
      </w:hyperlink>
      <w:r>
        <w:rPr/>
        <w:t> [Fecha de consulta: 30 de mayo, 2015]</w:t>
      </w:r>
    </w:p>
    <w:p>
      <w:pPr>
        <w:pStyle w:val="BodyText"/>
      </w:pPr>
    </w:p>
    <w:p>
      <w:pPr>
        <w:pStyle w:val="BodyText"/>
        <w:spacing w:line="362" w:lineRule="auto" w:before="142"/>
        <w:ind w:left="100" w:right="945"/>
      </w:pPr>
      <w:r>
        <w:rPr/>
        <w:t>Manual de Organización General de la Secretaría de la Función Pública Publicado en el DOF el 10 de abril de 2012.</w:t>
      </w:r>
    </w:p>
    <w:p>
      <w:pPr>
        <w:pStyle w:val="BodyText"/>
        <w:spacing w:line="362" w:lineRule="auto"/>
        <w:ind w:left="100" w:right="385"/>
      </w:pPr>
      <w:r>
        <w:rPr/>
        <w:t>Disponible en: </w:t>
      </w:r>
      <w:hyperlink r:id="rId261">
        <w:r>
          <w:rPr/>
          <w:t>http://www.diputados.gob.mx/LeyesBiblio/regla/n280.pdf</w:t>
        </w:r>
      </w:hyperlink>
      <w:r>
        <w:rPr/>
        <w:t> [Fecha de consulta: 12 de mayo, 2015]</w:t>
      </w:r>
    </w:p>
    <w:p>
      <w:pPr>
        <w:pStyle w:val="BodyText"/>
      </w:pPr>
    </w:p>
    <w:p>
      <w:pPr>
        <w:pStyle w:val="BodyText"/>
        <w:spacing w:line="357" w:lineRule="auto" w:before="139"/>
        <w:ind w:left="100" w:right="82"/>
      </w:pPr>
      <w:r>
        <w:rPr/>
        <w:t>OCDE (2011), Hacia una gestión pública más efectiva y dinámica en México, OECD Publishing.</w:t>
      </w:r>
    </w:p>
    <w:p>
      <w:pPr>
        <w:pStyle w:val="BodyText"/>
        <w:spacing w:line="360" w:lineRule="auto" w:before="8"/>
        <w:ind w:left="100" w:right="2278"/>
      </w:pPr>
      <w:r>
        <w:rPr/>
        <w:t>Disponible en: </w:t>
      </w:r>
      <w:hyperlink r:id="rId281">
        <w:r>
          <w:rPr/>
          <w:t>http://dx.doi.org/10.1787/9789264116252-es</w:t>
        </w:r>
      </w:hyperlink>
      <w:r>
        <w:rPr/>
        <w:t> [Fecha de consulta: 12 de junio, 2015]</w:t>
      </w:r>
    </w:p>
    <w:p>
      <w:pPr>
        <w:pStyle w:val="BodyText"/>
      </w:pPr>
    </w:p>
    <w:p>
      <w:pPr>
        <w:pStyle w:val="BodyText"/>
        <w:spacing w:line="360" w:lineRule="auto" w:before="142"/>
        <w:ind w:left="100" w:right="212"/>
      </w:pPr>
      <w:r>
        <w:rPr/>
        <w:t>OCDE (2012), México, mejores políticas para un desarrollo incluyente Disponible en: </w:t>
      </w:r>
      <w:hyperlink r:id="rId282">
        <w:r>
          <w:rPr/>
          <w:t>http://www.oecd.org/centrodemexico/Mexico%202012%20FINALES%20SEP%</w:t>
        </w:r>
      </w:hyperlink>
      <w:r>
        <w:rPr/>
        <w:t> 20eBook.pdf</w:t>
      </w:r>
    </w:p>
    <w:p>
      <w:pPr>
        <w:pStyle w:val="BodyText"/>
        <w:spacing w:before="6"/>
        <w:ind w:left="100" w:right="385"/>
      </w:pPr>
      <w:r>
        <w:rPr/>
        <w:t>[Fecha de consulta: 12 de septiembre, 2015]</w:t>
      </w:r>
    </w:p>
    <w:p>
      <w:pPr>
        <w:spacing w:after="0"/>
        <w:sectPr>
          <w:footerReference w:type="default" r:id="rId277"/>
          <w:pgSz w:w="11910" w:h="16840"/>
          <w:pgMar w:footer="998" w:header="0" w:top="1360" w:bottom="1180" w:left="1600" w:right="1600"/>
        </w:sectPr>
      </w:pPr>
    </w:p>
    <w:p>
      <w:pPr>
        <w:pStyle w:val="BodyText"/>
        <w:spacing w:before="55"/>
        <w:ind w:left="100" w:right="82"/>
      </w:pPr>
      <w:r>
        <w:rPr/>
        <w:t>OCDE (s.f.), Glosario de los Principales Términos sobre Evaluación y Gestión Basada en Resultados</w:t>
      </w:r>
    </w:p>
    <w:p>
      <w:pPr>
        <w:pStyle w:val="BodyText"/>
        <w:spacing w:line="360" w:lineRule="auto" w:before="20"/>
        <w:ind w:left="100" w:right="2840"/>
      </w:pPr>
      <w:r>
        <w:rPr/>
        <w:t>Disponible en: http://</w:t>
      </w:r>
      <w:hyperlink r:id="rId43">
        <w:r>
          <w:rPr/>
          <w:t>http://www.comminit.com/es/node/209185</w:t>
        </w:r>
      </w:hyperlink>
      <w:r>
        <w:rPr/>
        <w:t> [Fecha de consulta: 30 de diciembre, 2015]</w:t>
      </w:r>
    </w:p>
    <w:p>
      <w:pPr>
        <w:pStyle w:val="BodyText"/>
      </w:pPr>
    </w:p>
    <w:p>
      <w:pPr>
        <w:pStyle w:val="BodyText"/>
        <w:spacing w:line="357" w:lineRule="auto" w:before="142"/>
        <w:ind w:left="100" w:right="1705"/>
      </w:pPr>
      <w:r>
        <w:rPr/>
        <w:t>Poder Ejecutivo Federal, Plan Nacional de Desarrollo 1988-1994 Disponible en:</w:t>
      </w:r>
    </w:p>
    <w:p>
      <w:pPr>
        <w:pStyle w:val="BodyText"/>
        <w:spacing w:line="360" w:lineRule="auto" w:before="8"/>
        <w:ind w:left="100" w:right="38"/>
      </w:pPr>
      <w:hyperlink r:id="rId284">
        <w:r>
          <w:rPr/>
          <w:t>http://bases.bireme.br/cgi-</w:t>
        </w:r>
      </w:hyperlink>
      <w:r>
        <w:rPr/>
        <w:t> bin/wxislind.exe/iah/online/?IsisScript=iah/iah.xis&amp;src=google&amp;base=LILACS&amp;la ng=p&amp;nextAction=lnk&amp;exprSearch=141593&amp;indexSearch=ID</w:t>
      </w:r>
    </w:p>
    <w:p>
      <w:pPr>
        <w:pStyle w:val="BodyText"/>
        <w:spacing w:before="2"/>
        <w:ind w:left="100" w:right="385"/>
      </w:pPr>
      <w:r>
        <w:rPr/>
        <w:t>[Fecha de consulta: 30 de mayo, 2015]</w:t>
      </w:r>
    </w:p>
    <w:p>
      <w:pPr>
        <w:pStyle w:val="BodyText"/>
      </w:pPr>
    </w:p>
    <w:p>
      <w:pPr>
        <w:pStyle w:val="BodyText"/>
      </w:pPr>
    </w:p>
    <w:p>
      <w:pPr>
        <w:pStyle w:val="BodyText"/>
        <w:spacing w:line="360" w:lineRule="auto"/>
        <w:ind w:left="100" w:right="1705"/>
      </w:pPr>
      <w:r>
        <w:rPr/>
        <w:t>Poder Ejecutivo Federal, Plan Nacional de Desarrollo 2001-2006 Disponible en: </w:t>
      </w:r>
      <w:hyperlink r:id="rId285">
        <w:r>
          <w:rPr/>
          <w:t>http://www.dgpp.sep.gob.mx/planeacion/pdf%20inf/PND.pdf</w:t>
        </w:r>
      </w:hyperlink>
      <w:r>
        <w:rPr/>
        <w:t> [Fecha de consulta: 30 de mayo, 2015]</w:t>
      </w:r>
    </w:p>
    <w:p>
      <w:pPr>
        <w:pStyle w:val="BodyText"/>
      </w:pPr>
    </w:p>
    <w:p>
      <w:pPr>
        <w:pStyle w:val="BodyText"/>
        <w:spacing w:line="357" w:lineRule="auto" w:before="142"/>
        <w:ind w:left="100" w:right="385"/>
      </w:pPr>
      <w:r>
        <w:rPr/>
        <w:t>Poder Ejecutivo Federal, Plan Nacional de Desarrollo 2007-2012 Centro de Estudios de Finanzas Públicas</w:t>
      </w:r>
    </w:p>
    <w:p>
      <w:pPr>
        <w:pStyle w:val="BodyText"/>
        <w:spacing w:before="8"/>
        <w:ind w:left="100" w:right="385"/>
      </w:pPr>
      <w:r>
        <w:rPr/>
        <w:t>Disponible en:</w:t>
      </w:r>
    </w:p>
    <w:p>
      <w:pPr>
        <w:pStyle w:val="BodyText"/>
        <w:spacing w:line="362" w:lineRule="auto" w:before="136"/>
        <w:ind w:left="100" w:right="944"/>
      </w:pPr>
      <w:hyperlink r:id="rId286">
        <w:r>
          <w:rPr/>
          <w:t>http://www.ceplan.gob.pe/documents/10157/199b80b0-04c8-4f99-8300-</w:t>
        </w:r>
      </w:hyperlink>
      <w:r>
        <w:rPr/>
        <w:t> </w:t>
      </w:r>
      <w:hyperlink r:id="rId286">
        <w:r>
          <w:rPr/>
          <w:t>a58d49460432</w:t>
        </w:r>
      </w:hyperlink>
    </w:p>
    <w:p>
      <w:pPr>
        <w:pStyle w:val="BodyText"/>
        <w:spacing w:line="275" w:lineRule="exact"/>
        <w:ind w:left="100" w:right="385"/>
      </w:pPr>
      <w:r>
        <w:rPr/>
        <w:t>[Fecha de consulta: 30 de mayo, 2015]</w:t>
      </w:r>
    </w:p>
    <w:p>
      <w:pPr>
        <w:pStyle w:val="BodyText"/>
      </w:pPr>
    </w:p>
    <w:p>
      <w:pPr>
        <w:pStyle w:val="BodyText"/>
        <w:spacing w:before="4"/>
        <w:rPr>
          <w:sz w:val="23"/>
        </w:rPr>
      </w:pPr>
    </w:p>
    <w:p>
      <w:pPr>
        <w:pStyle w:val="Heading2"/>
        <w:spacing w:before="1"/>
        <w:ind w:left="100" w:right="385" w:firstLine="0"/>
        <w:jc w:val="left"/>
      </w:pPr>
      <w:bookmarkStart w:name="_bookmark103" w:id="135"/>
      <w:bookmarkEnd w:id="135"/>
      <w:r>
        <w:rPr>
          <w:b w:val="0"/>
        </w:rPr>
      </w:r>
      <w:r>
        <w:rPr/>
        <w:t>Índices e indicadores</w:t>
      </w:r>
    </w:p>
    <w:p>
      <w:pPr>
        <w:pStyle w:val="BodyText"/>
        <w:rPr>
          <w:b/>
          <w:sz w:val="26"/>
        </w:rPr>
      </w:pPr>
    </w:p>
    <w:p>
      <w:pPr>
        <w:pStyle w:val="BodyText"/>
        <w:rPr>
          <w:b/>
          <w:sz w:val="26"/>
        </w:rPr>
      </w:pPr>
    </w:p>
    <w:p>
      <w:pPr>
        <w:spacing w:line="357" w:lineRule="auto" w:before="170"/>
        <w:ind w:left="100" w:right="38" w:firstLine="0"/>
        <w:jc w:val="left"/>
        <w:rPr>
          <w:i/>
          <w:sz w:val="24"/>
        </w:rPr>
      </w:pPr>
      <w:r>
        <w:rPr>
          <w:sz w:val="24"/>
        </w:rPr>
        <w:t>A regional, </w:t>
      </w:r>
      <w:r>
        <w:rPr>
          <w:i/>
          <w:sz w:val="24"/>
        </w:rPr>
        <w:t>Índice de Transparencia de la Disponibilidad de la Información Fiscal </w:t>
      </w:r>
      <w:r>
        <w:rPr>
          <w:i/>
          <w:sz w:val="24"/>
        </w:rPr>
        <w:t>de las Entidades Federativas</w:t>
      </w:r>
    </w:p>
    <w:p>
      <w:pPr>
        <w:pStyle w:val="BodyText"/>
        <w:spacing w:before="12"/>
        <w:ind w:left="100" w:right="385"/>
      </w:pPr>
      <w:r>
        <w:rPr/>
        <w:t>Disponible en:</w:t>
      </w:r>
    </w:p>
    <w:p>
      <w:pPr>
        <w:pStyle w:val="BodyText"/>
        <w:spacing w:before="136"/>
        <w:ind w:left="168" w:right="385"/>
      </w:pPr>
      <w:r>
        <w:rPr/>
        <w:t>[Fecha de consulta: 2 de febrero, 2015]</w:t>
      </w:r>
    </w:p>
    <w:p>
      <w:pPr>
        <w:pStyle w:val="BodyText"/>
      </w:pPr>
    </w:p>
    <w:p>
      <w:pPr>
        <w:pStyle w:val="BodyText"/>
        <w:spacing w:before="8"/>
        <w:rPr>
          <w:sz w:val="23"/>
        </w:rPr>
      </w:pPr>
    </w:p>
    <w:p>
      <w:pPr>
        <w:spacing w:before="0"/>
        <w:ind w:left="100" w:right="385" w:firstLine="0"/>
        <w:jc w:val="left"/>
        <w:rPr>
          <w:i/>
          <w:sz w:val="24"/>
        </w:rPr>
      </w:pPr>
      <w:r>
        <w:rPr>
          <w:sz w:val="24"/>
        </w:rPr>
        <w:t>Banco Mundial, </w:t>
      </w:r>
      <w:r>
        <w:rPr>
          <w:i/>
          <w:sz w:val="24"/>
        </w:rPr>
        <w:t>Indicadores de Gobernabilidad del Banco Mundial</w:t>
      </w:r>
    </w:p>
    <w:p>
      <w:pPr>
        <w:pStyle w:val="BodyText"/>
        <w:spacing w:before="144"/>
        <w:ind w:left="100" w:right="385"/>
      </w:pPr>
      <w:r>
        <w:rPr/>
        <w:t>Disponible en:</w:t>
      </w:r>
      <w:r>
        <w:rPr>
          <w:spacing w:val="-50"/>
        </w:rPr>
        <w:t> </w:t>
      </w:r>
      <w:hyperlink r:id="rId51">
        <w:r>
          <w:rPr/>
          <w:t>http://info.worldbank.org/governance/wgi/sc_country.asp</w:t>
        </w:r>
      </w:hyperlink>
    </w:p>
    <w:p>
      <w:pPr>
        <w:spacing w:after="0"/>
        <w:sectPr>
          <w:footerReference w:type="default" r:id="rId283"/>
          <w:pgSz w:w="11910" w:h="16840"/>
          <w:pgMar w:footer="998" w:header="0" w:top="1340" w:bottom="1180" w:left="1600" w:right="1600"/>
          <w:pgNumType w:start="191"/>
        </w:sectPr>
      </w:pPr>
    </w:p>
    <w:p>
      <w:pPr>
        <w:pStyle w:val="BodyText"/>
        <w:spacing w:before="39"/>
        <w:ind w:left="100"/>
        <w:jc w:val="both"/>
      </w:pPr>
      <w:r>
        <w:rPr/>
        <w:t>[Fecha de consulta: 2 de febrero, 2015]</w:t>
      </w:r>
    </w:p>
    <w:p>
      <w:pPr>
        <w:tabs>
          <w:tab w:pos="1747" w:val="left" w:leader="none"/>
          <w:tab w:pos="2971" w:val="left" w:leader="none"/>
          <w:tab w:pos="3767" w:val="left" w:leader="none"/>
          <w:tab w:pos="4490" w:val="left" w:leader="none"/>
          <w:tab w:pos="6262" w:val="left" w:leader="none"/>
          <w:tab w:pos="7486" w:val="left" w:leader="none"/>
        </w:tabs>
        <w:spacing w:line="357" w:lineRule="auto" w:before="136"/>
        <w:ind w:left="100" w:right="102" w:firstLine="0"/>
        <w:jc w:val="left"/>
        <w:rPr>
          <w:i/>
          <w:sz w:val="24"/>
        </w:rPr>
      </w:pPr>
      <w:r>
        <w:rPr>
          <w:sz w:val="24"/>
        </w:rPr>
        <w:t>Barómetro</w:t>
        <w:tab/>
        <w:t>Global</w:t>
        <w:tab/>
        <w:t>de</w:t>
        <w:tab/>
        <w:t>la</w:t>
        <w:tab/>
        <w:t>Corrupción,</w:t>
        <w:tab/>
      </w:r>
      <w:r>
        <w:rPr>
          <w:i/>
          <w:sz w:val="24"/>
        </w:rPr>
        <w:t>Global</w:t>
        <w:tab/>
      </w:r>
      <w:r>
        <w:rPr>
          <w:i/>
          <w:spacing w:val="-1"/>
          <w:sz w:val="24"/>
        </w:rPr>
        <w:t>Corruption </w:t>
      </w:r>
      <w:r>
        <w:rPr>
          <w:i/>
          <w:sz w:val="24"/>
        </w:rPr>
        <w:t>Barometer</w:t>
      </w:r>
    </w:p>
    <w:p>
      <w:pPr>
        <w:pStyle w:val="BodyText"/>
        <w:tabs>
          <w:tab w:pos="8270" w:val="left" w:leader="none"/>
        </w:tabs>
        <w:spacing w:before="8"/>
        <w:ind w:left="100"/>
        <w:jc w:val="both"/>
      </w:pPr>
      <w:r>
        <w:rPr/>
        <w:t>Disponible</w:t>
        <w:tab/>
        <w:t>en:</w:t>
      </w:r>
    </w:p>
    <w:p>
      <w:pPr>
        <w:pStyle w:val="BodyText"/>
        <w:spacing w:line="244" w:lineRule="auto"/>
        <w:ind w:left="168" w:right="955" w:hanging="68"/>
      </w:pPr>
      <w:hyperlink r:id="rId56">
        <w:r>
          <w:rPr/>
          <w:t>http://www.transparency.org/policy_research/surveys_indices/gcb</w:t>
        </w:r>
      </w:hyperlink>
      <w:r>
        <w:rPr/>
        <w:t> [Fecha de consulta: 9 de febrero, 2015]</w:t>
      </w:r>
    </w:p>
    <w:p>
      <w:pPr>
        <w:pStyle w:val="BodyText"/>
      </w:pPr>
    </w:p>
    <w:p>
      <w:pPr>
        <w:pStyle w:val="BodyText"/>
        <w:spacing w:before="2"/>
        <w:rPr>
          <w:sz w:val="23"/>
        </w:rPr>
      </w:pPr>
    </w:p>
    <w:p>
      <w:pPr>
        <w:spacing w:before="0"/>
        <w:ind w:left="100" w:right="0" w:firstLine="0"/>
        <w:jc w:val="both"/>
        <w:rPr>
          <w:i/>
          <w:sz w:val="24"/>
        </w:rPr>
      </w:pPr>
      <w:r>
        <w:rPr>
          <w:sz w:val="24"/>
        </w:rPr>
        <w:t>CIIMA. ESEADE. IPN. </w:t>
      </w:r>
      <w:r>
        <w:rPr>
          <w:i/>
          <w:sz w:val="24"/>
        </w:rPr>
        <w:t>Índice de Calidad Institucional 2012</w:t>
      </w:r>
    </w:p>
    <w:p>
      <w:pPr>
        <w:pStyle w:val="BodyText"/>
        <w:spacing w:before="140"/>
        <w:ind w:left="100"/>
        <w:jc w:val="both"/>
      </w:pPr>
      <w:r>
        <w:rPr/>
        <w:t>Disponible en:</w:t>
      </w:r>
    </w:p>
    <w:p>
      <w:pPr>
        <w:pStyle w:val="BodyText"/>
        <w:spacing w:line="242" w:lineRule="auto" w:before="136"/>
        <w:ind w:left="100" w:right="158"/>
      </w:pPr>
      <w:hyperlink r:id="rId74">
        <w:r>
          <w:rPr/>
          <w:t>http://www.libertadyprogresonline.org/wp-content/uploads/2012/07/ICI-2012.pdf</w:t>
        </w:r>
      </w:hyperlink>
      <w:r>
        <w:rPr/>
        <w:t> [Fecha de consulta: 6 de enero, 2015]</w:t>
      </w:r>
    </w:p>
    <w:p>
      <w:pPr>
        <w:pStyle w:val="BodyText"/>
      </w:pPr>
    </w:p>
    <w:p>
      <w:pPr>
        <w:pStyle w:val="BodyText"/>
        <w:spacing w:before="9"/>
        <w:rPr>
          <w:sz w:val="23"/>
        </w:rPr>
      </w:pPr>
    </w:p>
    <w:p>
      <w:pPr>
        <w:spacing w:line="357" w:lineRule="auto" w:before="0"/>
        <w:ind w:left="100" w:right="105" w:firstLine="0"/>
        <w:jc w:val="both"/>
        <w:rPr>
          <w:sz w:val="24"/>
        </w:rPr>
      </w:pPr>
      <w:r>
        <w:rPr>
          <w:sz w:val="24"/>
        </w:rPr>
        <w:t>CITCC. (2008). Comisión Intersecretarial para la Transparencia y Combate a la Corrupción, </w:t>
      </w:r>
      <w:r>
        <w:rPr>
          <w:i/>
          <w:sz w:val="24"/>
        </w:rPr>
        <w:t>Participación Ciudadana… ¿Para Qué? Hacia una política de </w:t>
      </w:r>
      <w:r>
        <w:rPr>
          <w:i/>
          <w:sz w:val="24"/>
        </w:rPr>
        <w:t>participación ciudadana en el Gobierno Federal</w:t>
      </w:r>
      <w:r>
        <w:rPr>
          <w:sz w:val="24"/>
        </w:rPr>
        <w:t>.</w:t>
      </w:r>
    </w:p>
    <w:p>
      <w:pPr>
        <w:pStyle w:val="BodyText"/>
        <w:spacing w:line="360" w:lineRule="auto" w:before="8"/>
        <w:ind w:left="100" w:right="955"/>
      </w:pPr>
      <w:r>
        <w:rPr/>
        <w:t>Disponible en: </w:t>
      </w:r>
      <w:hyperlink r:id="rId287">
        <w:r>
          <w:rPr/>
          <w:t>http://www.oic.sep.gob.mx/portal3/doc/Participacion%20ciudadana.pdf</w:t>
        </w:r>
      </w:hyperlink>
      <w:r>
        <w:rPr/>
        <w:t> [Fecha de consulta: 8 de marzo, 2015].</w:t>
      </w:r>
    </w:p>
    <w:p>
      <w:pPr>
        <w:pStyle w:val="BodyText"/>
      </w:pPr>
    </w:p>
    <w:p>
      <w:pPr>
        <w:pStyle w:val="BodyText"/>
        <w:spacing w:before="3"/>
        <w:rPr>
          <w:sz w:val="26"/>
        </w:rPr>
      </w:pPr>
    </w:p>
    <w:p>
      <w:pPr>
        <w:pStyle w:val="BodyText"/>
        <w:spacing w:line="362" w:lineRule="auto"/>
        <w:ind w:left="100" w:right="1022"/>
        <w:jc w:val="both"/>
      </w:pPr>
      <w:r>
        <w:rPr/>
        <w:t>Corporación Latinobarómetro. (2011). </w:t>
      </w:r>
      <w:r>
        <w:rPr>
          <w:i/>
        </w:rPr>
        <w:t>Informe 2011</w:t>
      </w:r>
      <w:r>
        <w:rPr/>
        <w:t>, Santiago de Chile Disponible en:</w:t>
      </w:r>
      <w:r>
        <w:rPr>
          <w:spacing w:val="-37"/>
        </w:rPr>
        <w:t> </w:t>
      </w:r>
      <w:hyperlink r:id="rId288">
        <w:r>
          <w:rPr/>
          <w:t>http://www.latinobarometro.org/latino/LATContenidos.jsp</w:t>
        </w:r>
      </w:hyperlink>
      <w:r>
        <w:rPr/>
        <w:t> [Fecha de consulta: 18 de marzo,</w:t>
      </w:r>
      <w:r>
        <w:rPr>
          <w:spacing w:val="-17"/>
        </w:rPr>
        <w:t> </w:t>
      </w:r>
      <w:r>
        <w:rPr/>
        <w:t>2015].</w:t>
      </w:r>
    </w:p>
    <w:p>
      <w:pPr>
        <w:pStyle w:val="BodyText"/>
        <w:spacing w:before="9"/>
        <w:rPr>
          <w:sz w:val="35"/>
        </w:rPr>
      </w:pPr>
    </w:p>
    <w:p>
      <w:pPr>
        <w:pStyle w:val="BodyText"/>
        <w:spacing w:line="362" w:lineRule="auto"/>
        <w:ind w:left="100" w:right="359"/>
        <w:jc w:val="both"/>
      </w:pPr>
      <w:r>
        <w:rPr/>
        <w:t>Corporación Latinobarómetro (2011). </w:t>
      </w:r>
      <w:r>
        <w:rPr>
          <w:i/>
        </w:rPr>
        <w:t>Índice de Confianza en las Instituciones </w:t>
      </w:r>
      <w:r>
        <w:rPr/>
        <w:t>Disponible en: </w:t>
      </w:r>
      <w:hyperlink r:id="rId222">
        <w:r>
          <w:rPr>
            <w:color w:val="0000FF"/>
            <w:u w:val="single" w:color="0000FF"/>
          </w:rPr>
          <w:t>http://e-lecciones.net/archivos/loultimo/INFORME_LB2011.pd</w:t>
        </w:r>
      </w:hyperlink>
      <w:r>
        <w:rPr/>
        <w:t>f Disponible en: </w:t>
      </w:r>
      <w:hyperlink r:id="rId223">
        <w:r>
          <w:rPr/>
          <w:t>http://www.consulta.mx/Estudios.aspx?Categoria=1</w:t>
        </w:r>
      </w:hyperlink>
    </w:p>
    <w:p>
      <w:pPr>
        <w:pStyle w:val="BodyText"/>
        <w:spacing w:before="3"/>
        <w:ind w:left="100"/>
        <w:jc w:val="both"/>
      </w:pPr>
      <w:r>
        <w:rPr/>
        <w:t>[Fecha de consulta: 3 de marzo, 2015]</w:t>
      </w:r>
    </w:p>
    <w:p>
      <w:pPr>
        <w:pStyle w:val="BodyText"/>
      </w:pPr>
    </w:p>
    <w:p>
      <w:pPr>
        <w:pStyle w:val="BodyText"/>
        <w:spacing w:before="7"/>
        <w:rPr>
          <w:sz w:val="23"/>
        </w:rPr>
      </w:pPr>
    </w:p>
    <w:p>
      <w:pPr>
        <w:spacing w:line="357" w:lineRule="auto" w:before="1"/>
        <w:ind w:left="100" w:right="82" w:firstLine="0"/>
        <w:jc w:val="left"/>
        <w:rPr>
          <w:i/>
          <w:sz w:val="24"/>
        </w:rPr>
      </w:pPr>
      <w:r>
        <w:rPr>
          <w:sz w:val="24"/>
        </w:rPr>
        <w:t>Consulta Mitofsky, </w:t>
      </w:r>
      <w:r>
        <w:rPr>
          <w:i/>
          <w:sz w:val="24"/>
        </w:rPr>
        <w:t>Confianza en las Instituciones, Baja Generalizada, Encuesta </w:t>
      </w:r>
      <w:r>
        <w:rPr>
          <w:i/>
          <w:sz w:val="24"/>
        </w:rPr>
        <w:t>Nacional de Viviendas.</w:t>
      </w:r>
    </w:p>
    <w:p>
      <w:pPr>
        <w:pStyle w:val="BodyText"/>
        <w:spacing w:line="357" w:lineRule="auto" w:before="12"/>
        <w:ind w:left="100" w:right="1526"/>
      </w:pPr>
      <w:r>
        <w:rPr/>
        <w:t>Disponible en: </w:t>
      </w:r>
      <w:hyperlink r:id="rId223">
        <w:r>
          <w:rPr/>
          <w:t>http://www.consulta.mx/Estudios.aspx?Categoria=1</w:t>
        </w:r>
      </w:hyperlink>
      <w:r>
        <w:rPr/>
        <w:t> [Fecha de consulta: 13 de enero, 2015]</w:t>
      </w:r>
    </w:p>
    <w:p>
      <w:pPr>
        <w:spacing w:after="0" w:line="357" w:lineRule="auto"/>
        <w:sectPr>
          <w:pgSz w:w="11910" w:h="16840"/>
          <w:pgMar w:header="0" w:footer="998" w:top="1360" w:bottom="1180" w:left="1600" w:right="1600"/>
        </w:sectPr>
      </w:pPr>
    </w:p>
    <w:p>
      <w:pPr>
        <w:spacing w:line="362" w:lineRule="auto" w:before="55"/>
        <w:ind w:left="100" w:right="86" w:firstLine="0"/>
        <w:jc w:val="left"/>
        <w:rPr>
          <w:sz w:val="24"/>
        </w:rPr>
      </w:pPr>
      <w:r>
        <w:rPr>
          <w:sz w:val="24"/>
        </w:rPr>
        <w:t>Fondo Monetario Internacional, Oficina de Evaluación Independiente. (2008). </w:t>
      </w:r>
      <w:r>
        <w:rPr>
          <w:i/>
          <w:sz w:val="24"/>
        </w:rPr>
        <w:t>El </w:t>
      </w:r>
      <w:r>
        <w:rPr>
          <w:i/>
          <w:sz w:val="24"/>
        </w:rPr>
        <w:t>gobierno corporativo del FMI: Una evaluación</w:t>
      </w:r>
      <w:r>
        <w:rPr>
          <w:sz w:val="24"/>
        </w:rPr>
        <w:t>.</w:t>
      </w:r>
    </w:p>
    <w:p>
      <w:pPr>
        <w:pStyle w:val="BodyText"/>
        <w:spacing w:before="3"/>
        <w:ind w:left="100" w:right="86"/>
      </w:pPr>
      <w:r>
        <w:rPr/>
        <w:t>Disponible en:</w:t>
      </w:r>
    </w:p>
    <w:p>
      <w:pPr>
        <w:pStyle w:val="BodyText"/>
        <w:spacing w:line="357" w:lineRule="auto" w:before="140"/>
        <w:ind w:left="100" w:right="86"/>
      </w:pPr>
      <w:hyperlink r:id="rId289">
        <w:r>
          <w:rPr/>
          <w:t>http://www.ieo-imf.org/ieo/files/completedevaluations/05212008CG_SPA.pdf</w:t>
        </w:r>
      </w:hyperlink>
      <w:r>
        <w:rPr/>
        <w:t> [Fecha de consulta: 22 de marzo, 2015]</w:t>
      </w:r>
    </w:p>
    <w:p>
      <w:pPr>
        <w:pStyle w:val="BodyText"/>
      </w:pPr>
    </w:p>
    <w:p>
      <w:pPr>
        <w:spacing w:line="362" w:lineRule="auto" w:before="141"/>
        <w:ind w:left="100" w:right="86" w:firstLine="0"/>
        <w:jc w:val="left"/>
        <w:rPr>
          <w:i/>
          <w:sz w:val="24"/>
        </w:rPr>
      </w:pPr>
      <w:r>
        <w:rPr>
          <w:sz w:val="24"/>
        </w:rPr>
        <w:t>Forum for a new World Governance.</w:t>
      </w:r>
      <w:r>
        <w:rPr>
          <w:i/>
          <w:sz w:val="24"/>
        </w:rPr>
        <w:t>World Governance Index, why should </w:t>
      </w:r>
      <w:r>
        <w:rPr>
          <w:i/>
          <w:sz w:val="24"/>
        </w:rPr>
        <w:t>governance be evalued, and for what propose?</w:t>
      </w:r>
    </w:p>
    <w:p>
      <w:pPr>
        <w:pStyle w:val="BodyText"/>
        <w:spacing w:before="3"/>
        <w:ind w:left="100" w:right="86"/>
      </w:pPr>
      <w:r>
        <w:rPr/>
        <w:t>Disponible en:</w:t>
      </w:r>
    </w:p>
    <w:p>
      <w:pPr>
        <w:pStyle w:val="BodyText"/>
        <w:spacing w:line="360" w:lineRule="auto" w:before="140"/>
        <w:ind w:left="100" w:right="352"/>
      </w:pPr>
      <w:hyperlink r:id="rId50">
        <w:r>
          <w:rPr/>
          <w:t>http://www.world-governance.org/IMG/pdf_WGI_short_version_EN_web-2.pdf</w:t>
        </w:r>
      </w:hyperlink>
      <w:r>
        <w:rPr/>
        <w:t> </w:t>
      </w:r>
      <w:hyperlink r:id="rId290">
        <w:r>
          <w:rPr>
            <w:color w:val="0000FF"/>
            <w:u w:val="single" w:color="0000FF"/>
          </w:rPr>
          <w:t>http://www.world-governance.org/spip.php?article521&amp;lang=es</w:t>
        </w:r>
      </w:hyperlink>
      <w:r>
        <w:rPr>
          <w:color w:val="0000FF"/>
          <w:u w:val="single" w:color="0000FF"/>
        </w:rPr>
        <w:t> </w:t>
      </w:r>
      <w:hyperlink r:id="rId291">
        <w:r>
          <w:rPr/>
          <w:t>http://www.world-governance.org/IMG/pdf_WGI_short_version_EN_web-4.pdf</w:t>
        </w:r>
      </w:hyperlink>
      <w:r>
        <w:rPr/>
        <w:t> [Fecha de consulta: abril de 2015]</w:t>
      </w:r>
    </w:p>
    <w:p>
      <w:pPr>
        <w:pStyle w:val="BodyText"/>
      </w:pPr>
    </w:p>
    <w:p>
      <w:pPr>
        <w:pStyle w:val="BodyText"/>
        <w:spacing w:line="360" w:lineRule="auto" w:before="142"/>
        <w:ind w:left="100" w:right="3514"/>
      </w:pPr>
      <w:r>
        <w:rPr/>
        <w:t>Foro por una nueva Gobernanza Mundial. Disponible en: </w:t>
      </w:r>
      <w:hyperlink r:id="rId292">
        <w:r>
          <w:rPr>
            <w:color w:val="0000FF"/>
            <w:u w:val="single" w:color="0000FF"/>
          </w:rPr>
          <w:t>http://www.world-governance.org</w:t>
        </w:r>
      </w:hyperlink>
      <w:r>
        <w:rPr>
          <w:color w:val="0000FF"/>
          <w:u w:val="single" w:color="0000FF"/>
        </w:rPr>
        <w:t> </w:t>
      </w:r>
      <w:r>
        <w:rPr/>
        <w:t>[Fecha de consulta: 29 de marzo, 2015]</w:t>
      </w:r>
    </w:p>
    <w:p>
      <w:pPr>
        <w:pStyle w:val="BodyText"/>
        <w:spacing w:before="11"/>
        <w:rPr>
          <w:sz w:val="35"/>
        </w:rPr>
      </w:pPr>
    </w:p>
    <w:p>
      <w:pPr>
        <w:spacing w:line="362" w:lineRule="auto" w:before="0"/>
        <w:ind w:left="100" w:right="86" w:firstLine="0"/>
        <w:jc w:val="left"/>
        <w:rPr>
          <w:i/>
          <w:sz w:val="24"/>
        </w:rPr>
      </w:pPr>
      <w:r>
        <w:rPr>
          <w:sz w:val="24"/>
        </w:rPr>
        <w:t>Foro por una nueva Gobernanza Mundial. (2009). </w:t>
      </w:r>
      <w:r>
        <w:rPr>
          <w:i/>
          <w:sz w:val="24"/>
        </w:rPr>
        <w:t>La ONU y la gobernanza </w:t>
      </w:r>
      <w:r>
        <w:rPr>
          <w:i/>
          <w:sz w:val="24"/>
        </w:rPr>
        <w:t>mundial</w:t>
      </w:r>
    </w:p>
    <w:p>
      <w:pPr>
        <w:pStyle w:val="BodyText"/>
        <w:spacing w:line="362" w:lineRule="auto" w:before="3"/>
        <w:ind w:left="100" w:right="6769"/>
      </w:pPr>
      <w:r>
        <w:rPr/>
        <w:t>Disponible en: http://www.world-</w:t>
      </w:r>
    </w:p>
    <w:p>
      <w:pPr>
        <w:pStyle w:val="BodyText"/>
        <w:spacing w:line="362" w:lineRule="auto"/>
        <w:ind w:left="100" w:right="1340"/>
      </w:pPr>
      <w:r>
        <w:rPr/>
        <w:t>governance.org/IMG/pdf_La_ONU_y_la_Gobernanza_Mundial.pdf [Fecha de consulta: 22 de marzo, 2015]</w:t>
      </w:r>
    </w:p>
    <w:p>
      <w:pPr>
        <w:pStyle w:val="BodyText"/>
        <w:spacing w:before="8"/>
        <w:rPr>
          <w:sz w:val="35"/>
        </w:rPr>
      </w:pPr>
    </w:p>
    <w:p>
      <w:pPr>
        <w:spacing w:line="357" w:lineRule="auto" w:before="1"/>
        <w:ind w:left="100" w:right="86" w:firstLine="0"/>
        <w:jc w:val="left"/>
        <w:rPr>
          <w:i/>
          <w:sz w:val="24"/>
        </w:rPr>
      </w:pPr>
      <w:r>
        <w:rPr>
          <w:sz w:val="24"/>
        </w:rPr>
        <w:t>Foro por una nueva Gobernanza Mundial. (2011). </w:t>
      </w:r>
      <w:r>
        <w:rPr>
          <w:i/>
          <w:sz w:val="24"/>
        </w:rPr>
        <w:t>Propuestas para una </w:t>
      </w:r>
      <w:r>
        <w:rPr>
          <w:i/>
          <w:sz w:val="24"/>
        </w:rPr>
        <w:t>arquitectura del poder, justicia y democracia</w:t>
      </w:r>
    </w:p>
    <w:p>
      <w:pPr>
        <w:pStyle w:val="BodyText"/>
        <w:spacing w:line="357" w:lineRule="auto" w:before="13"/>
        <w:ind w:left="100" w:right="6769"/>
      </w:pPr>
      <w:r>
        <w:rPr/>
        <w:t>Disponible en: </w:t>
      </w:r>
      <w:hyperlink r:id="rId293">
        <w:r>
          <w:rPr>
            <w:color w:val="0000FF"/>
            <w:u w:val="single" w:color="0000FF"/>
          </w:rPr>
          <w:t>http://www.world-</w:t>
        </w:r>
      </w:hyperlink>
    </w:p>
    <w:p>
      <w:pPr>
        <w:pStyle w:val="BodyText"/>
        <w:spacing w:line="362" w:lineRule="auto" w:before="4"/>
        <w:ind w:left="100" w:right="204"/>
      </w:pPr>
      <w:hyperlink r:id="rId293">
        <w:r>
          <w:rPr>
            <w:color w:val="0000FF"/>
            <w:u w:val="single" w:color="0000FF"/>
          </w:rPr>
          <w:t>governance.org/IMG/pdf_798_Propuestas_para_una_arquitectura_del_poder_j</w:t>
        </w:r>
      </w:hyperlink>
      <w:r>
        <w:rPr>
          <w:color w:val="0000FF"/>
          <w:u w:val="single" w:color="0000FF"/>
        </w:rPr>
        <w:t> </w:t>
      </w:r>
      <w:hyperlink r:id="rId293">
        <w:r>
          <w:rPr>
            <w:color w:val="0000FF"/>
            <w:u w:val="single" w:color="0000FF"/>
          </w:rPr>
          <w:t>usta_y_democratica_2012.03.pdf</w:t>
        </w:r>
      </w:hyperlink>
    </w:p>
    <w:p>
      <w:pPr>
        <w:pStyle w:val="BodyText"/>
        <w:spacing w:line="275" w:lineRule="exact"/>
        <w:ind w:left="100" w:right="86"/>
      </w:pPr>
      <w:r>
        <w:rPr/>
        <w:t>[Fecha de consulta: 23 de marzo, 2015]</w:t>
      </w:r>
    </w:p>
    <w:p>
      <w:pPr>
        <w:spacing w:after="0" w:line="275" w:lineRule="exact"/>
        <w:sectPr>
          <w:pgSz w:w="11910" w:h="16840"/>
          <w:pgMar w:header="0" w:footer="998" w:top="1340" w:bottom="1180" w:left="1600" w:right="1580"/>
        </w:sectPr>
      </w:pPr>
    </w:p>
    <w:p>
      <w:pPr>
        <w:spacing w:line="362" w:lineRule="auto" w:before="55"/>
        <w:ind w:left="100" w:right="38" w:firstLine="0"/>
        <w:jc w:val="left"/>
        <w:rPr>
          <w:i/>
          <w:sz w:val="24"/>
        </w:rPr>
      </w:pPr>
      <w:r>
        <w:rPr>
          <w:sz w:val="24"/>
        </w:rPr>
        <w:t>Foro por una nueva Gobernanza Mundial. (2012). </w:t>
      </w:r>
      <w:r>
        <w:rPr>
          <w:i/>
          <w:sz w:val="24"/>
        </w:rPr>
        <w:t>Los comunes y la gobernanza </w:t>
      </w:r>
      <w:r>
        <w:rPr>
          <w:i/>
          <w:sz w:val="24"/>
        </w:rPr>
        <w:t>mundial. Hacia un contrato social mundial</w:t>
      </w:r>
    </w:p>
    <w:p>
      <w:pPr>
        <w:pStyle w:val="BodyText"/>
        <w:spacing w:line="362" w:lineRule="auto" w:before="3"/>
        <w:ind w:left="100" w:right="6749"/>
      </w:pPr>
      <w:r>
        <w:rPr/>
        <w:t>Disponible en: http://www.world-</w:t>
      </w:r>
    </w:p>
    <w:p>
      <w:pPr>
        <w:pStyle w:val="BodyText"/>
        <w:spacing w:line="362" w:lineRule="auto"/>
        <w:ind w:left="100" w:right="153"/>
      </w:pPr>
      <w:r>
        <w:rPr/>
        <w:t>governance.org/IMG/pdf_862_AB_GM_Communs_et_gouvernance_mondiale_ ES-3.pdf</w:t>
      </w:r>
    </w:p>
    <w:p>
      <w:pPr>
        <w:pStyle w:val="BodyText"/>
        <w:spacing w:line="275" w:lineRule="exact"/>
        <w:ind w:left="100" w:right="385"/>
      </w:pPr>
      <w:r>
        <w:rPr/>
        <w:t>[Fecha de consulta: 21 de septiembre, 2015].</w:t>
      </w:r>
    </w:p>
    <w:p>
      <w:pPr>
        <w:pStyle w:val="BodyText"/>
      </w:pPr>
    </w:p>
    <w:p>
      <w:pPr>
        <w:pStyle w:val="BodyText"/>
        <w:spacing w:before="7"/>
        <w:rPr>
          <w:sz w:val="23"/>
        </w:rPr>
      </w:pPr>
    </w:p>
    <w:p>
      <w:pPr>
        <w:spacing w:before="0"/>
        <w:ind w:left="100" w:right="385" w:firstLine="0"/>
        <w:jc w:val="left"/>
        <w:rPr>
          <w:i/>
          <w:sz w:val="24"/>
        </w:rPr>
      </w:pPr>
      <w:r>
        <w:rPr>
          <w:sz w:val="24"/>
        </w:rPr>
        <w:t>Fund for Peace, </w:t>
      </w:r>
      <w:r>
        <w:rPr>
          <w:i/>
          <w:sz w:val="24"/>
        </w:rPr>
        <w:t>Failed States Index.</w:t>
      </w:r>
    </w:p>
    <w:p>
      <w:pPr>
        <w:spacing w:before="144"/>
        <w:ind w:left="100" w:right="385" w:firstLine="0"/>
        <w:jc w:val="left"/>
        <w:rPr>
          <w:rFonts w:ascii="Calibri"/>
          <w:sz w:val="22"/>
        </w:rPr>
      </w:pPr>
      <w:r>
        <w:rPr>
          <w:sz w:val="24"/>
        </w:rPr>
        <w:t>Disponible en: </w:t>
      </w:r>
      <w:r>
        <w:rPr>
          <w:rFonts w:ascii="Calibri"/>
          <w:sz w:val="22"/>
        </w:rPr>
        <w:t>http</w:t>
      </w:r>
    </w:p>
    <w:p>
      <w:pPr>
        <w:pStyle w:val="BodyText"/>
        <w:spacing w:before="136"/>
        <w:ind w:left="100" w:right="385"/>
      </w:pPr>
      <w:r>
        <w:rPr/>
        <w:t>[Fecha de consulta: 3 de marzo, 2015]</w:t>
      </w:r>
    </w:p>
    <w:p>
      <w:pPr>
        <w:pStyle w:val="BodyText"/>
      </w:pPr>
    </w:p>
    <w:p>
      <w:pPr>
        <w:pStyle w:val="BodyText"/>
        <w:spacing w:before="7"/>
        <w:rPr>
          <w:sz w:val="23"/>
        </w:rPr>
      </w:pPr>
    </w:p>
    <w:p>
      <w:pPr>
        <w:spacing w:before="0"/>
        <w:ind w:left="100" w:right="385" w:firstLine="0"/>
        <w:jc w:val="left"/>
        <w:rPr>
          <w:i/>
          <w:sz w:val="24"/>
        </w:rPr>
      </w:pPr>
      <w:r>
        <w:rPr>
          <w:sz w:val="24"/>
        </w:rPr>
        <w:t>Global Integrity. </w:t>
      </w:r>
      <w:r>
        <w:rPr>
          <w:i/>
          <w:sz w:val="24"/>
        </w:rPr>
        <w:t>Global Integrity Report 2011</w:t>
      </w:r>
    </w:p>
    <w:p>
      <w:pPr>
        <w:pStyle w:val="BodyText"/>
        <w:spacing w:line="357" w:lineRule="auto" w:before="144"/>
        <w:ind w:left="100" w:right="1440"/>
      </w:pPr>
      <w:r>
        <w:rPr/>
        <w:t>Disponible en: </w:t>
      </w:r>
      <w:hyperlink r:id="rId80">
        <w:r>
          <w:rPr/>
          <w:t>http://www.globalintegrity.org/files/GIR2011.pdf</w:t>
        </w:r>
      </w:hyperlink>
      <w:r>
        <w:rPr/>
        <w:t> [Fecha consulta: 6 de enero, 2015]</w:t>
      </w:r>
    </w:p>
    <w:p>
      <w:pPr>
        <w:pStyle w:val="BodyText"/>
      </w:pPr>
    </w:p>
    <w:p>
      <w:pPr>
        <w:pStyle w:val="BodyText"/>
        <w:spacing w:line="360" w:lineRule="auto" w:before="145"/>
        <w:ind w:left="100" w:right="82"/>
      </w:pPr>
      <w:r>
        <w:rPr/>
        <w:t>IntegrityassessmentMexico </w:t>
      </w:r>
      <w:hyperlink r:id="rId294">
        <w:r>
          <w:rPr/>
          <w:t>http://back.globalintegrity.org/reports/2004/docs/2004/SPANISH2004Mexico.pdf</w:t>
        </w:r>
      </w:hyperlink>
      <w:r>
        <w:rPr/>
        <w:t> </w:t>
      </w:r>
      <w:hyperlink r:id="rId295">
        <w:r>
          <w:rPr/>
          <w:t>http://www.globalintegrity.org/report/Mexico/2011/notebook</w:t>
        </w:r>
      </w:hyperlink>
    </w:p>
    <w:p>
      <w:pPr>
        <w:pStyle w:val="BodyText"/>
        <w:spacing w:before="6"/>
        <w:ind w:left="100" w:right="385"/>
      </w:pPr>
      <w:r>
        <w:rPr/>
        <w:t>Fecha consulta: 21 de abril, 2015]</w:t>
      </w:r>
    </w:p>
    <w:p>
      <w:pPr>
        <w:pStyle w:val="BodyText"/>
      </w:pPr>
    </w:p>
    <w:p>
      <w:pPr>
        <w:pStyle w:val="BodyText"/>
        <w:spacing w:before="8"/>
        <w:rPr>
          <w:sz w:val="23"/>
        </w:rPr>
      </w:pPr>
    </w:p>
    <w:p>
      <w:pPr>
        <w:spacing w:line="357" w:lineRule="auto" w:before="0"/>
        <w:ind w:left="100" w:right="82" w:firstLine="0"/>
        <w:jc w:val="left"/>
        <w:rPr>
          <w:i/>
          <w:sz w:val="24"/>
        </w:rPr>
      </w:pPr>
      <w:r>
        <w:rPr>
          <w:sz w:val="24"/>
        </w:rPr>
        <w:t>Global Integrity Innovations for Transparency &amp; Accountability, </w:t>
      </w:r>
      <w:r>
        <w:rPr>
          <w:i/>
          <w:sz w:val="24"/>
        </w:rPr>
        <w:t>GloblalInte grity </w:t>
      </w:r>
      <w:r>
        <w:rPr>
          <w:i/>
          <w:sz w:val="24"/>
        </w:rPr>
        <w:t>Report</w:t>
      </w:r>
    </w:p>
    <w:p>
      <w:pPr>
        <w:pStyle w:val="BodyText"/>
        <w:spacing w:before="12"/>
        <w:ind w:left="100" w:right="385"/>
      </w:pPr>
      <w:r>
        <w:rPr/>
        <w:t>Disponible en:</w:t>
      </w:r>
    </w:p>
    <w:p>
      <w:pPr>
        <w:pStyle w:val="BodyText"/>
        <w:spacing w:line="362" w:lineRule="auto" w:before="136"/>
        <w:ind w:left="100" w:right="507"/>
      </w:pPr>
      <w:hyperlink r:id="rId296">
        <w:r>
          <w:rPr/>
          <w:t>http://thedatahub.org/dataset/global-integrity-report/resource/5f8e7f41-1093-</w:t>
        </w:r>
      </w:hyperlink>
      <w:r>
        <w:rPr/>
        <w:t> 4090-85d6-420f1087b10d [Fecha de consulta: 21 de abril, 2015]</w:t>
      </w:r>
    </w:p>
    <w:p>
      <w:pPr>
        <w:pStyle w:val="BodyText"/>
      </w:pPr>
    </w:p>
    <w:p>
      <w:pPr>
        <w:pStyle w:val="BodyText"/>
        <w:spacing w:line="357" w:lineRule="auto" w:before="139"/>
        <w:ind w:left="100" w:right="385"/>
      </w:pPr>
      <w:r>
        <w:rPr/>
        <w:t>IMCO. Índice de Competitividad Internacional 2011, más allá de los BRICS Disponible en:</w:t>
      </w:r>
    </w:p>
    <w:p>
      <w:pPr>
        <w:pStyle w:val="BodyText"/>
        <w:spacing w:line="264" w:lineRule="auto" w:before="4"/>
        <w:ind w:left="100" w:right="252"/>
      </w:pPr>
      <w:hyperlink r:id="rId75">
        <w:r>
          <w:rPr/>
          <w:t>http://imco.org.mx/images/pdf/Indice-de-Competitividad-Internacional-2011.pdf</w:t>
        </w:r>
      </w:hyperlink>
      <w:r>
        <w:rPr/>
        <w:t> [Fecha de consulta: 31 de enero, 2015]</w:t>
      </w:r>
    </w:p>
    <w:p>
      <w:pPr>
        <w:pStyle w:val="BodyText"/>
      </w:pPr>
    </w:p>
    <w:p>
      <w:pPr>
        <w:pStyle w:val="BodyText"/>
        <w:spacing w:before="4"/>
        <w:rPr>
          <w:sz w:val="21"/>
        </w:rPr>
      </w:pPr>
    </w:p>
    <w:p>
      <w:pPr>
        <w:spacing w:line="362" w:lineRule="auto" w:before="0"/>
        <w:ind w:left="100" w:right="82" w:firstLine="0"/>
        <w:jc w:val="left"/>
        <w:rPr>
          <w:i/>
          <w:sz w:val="24"/>
        </w:rPr>
      </w:pPr>
      <w:r>
        <w:rPr>
          <w:sz w:val="24"/>
        </w:rPr>
        <w:t>International Monetary Found, </w:t>
      </w:r>
      <w:r>
        <w:rPr>
          <w:i/>
          <w:sz w:val="24"/>
        </w:rPr>
        <w:t>World Economic Outlook Database, September </w:t>
      </w:r>
      <w:r>
        <w:rPr>
          <w:i/>
          <w:sz w:val="24"/>
        </w:rPr>
        <w:t>2012.</w:t>
      </w:r>
    </w:p>
    <w:p>
      <w:pPr>
        <w:spacing w:after="0" w:line="362" w:lineRule="auto"/>
        <w:jc w:val="left"/>
        <w:rPr>
          <w:sz w:val="24"/>
        </w:rPr>
        <w:sectPr>
          <w:pgSz w:w="11910" w:h="16840"/>
          <w:pgMar w:header="0" w:footer="998" w:top="1340" w:bottom="1180" w:left="1600" w:right="1600"/>
        </w:sectPr>
      </w:pPr>
    </w:p>
    <w:p>
      <w:pPr>
        <w:pStyle w:val="BodyText"/>
        <w:spacing w:line="360" w:lineRule="auto" w:before="39"/>
        <w:ind w:left="100" w:right="955"/>
      </w:pPr>
      <w:r>
        <w:rPr/>
        <w:t>Disponible en: </w:t>
      </w:r>
      <w:hyperlink r:id="rId253">
        <w:r>
          <w:rPr/>
          <w:t>http://www.imf.org/external/pubs/ft/weo/2011/02/weodata/index.aspx</w:t>
        </w:r>
      </w:hyperlink>
      <w:r>
        <w:rPr/>
        <w:t> [Fecha de consulta: 9 de marzo, 2015].</w:t>
      </w:r>
    </w:p>
    <w:p>
      <w:pPr>
        <w:pStyle w:val="BodyText"/>
        <w:spacing w:line="360" w:lineRule="auto" w:before="206"/>
        <w:ind w:left="100" w:right="1095"/>
      </w:pPr>
      <w:r>
        <w:rPr/>
        <w:t>International Organization of Supreme Audit Institutions (INTOSAI) Disponible en: </w:t>
      </w:r>
      <w:hyperlink r:id="rId254">
        <w:r>
          <w:rPr/>
          <w:t>http://www.intosai.org/es/documentos/intosai/documentos-</w:t>
        </w:r>
      </w:hyperlink>
      <w:r>
        <w:rPr/>
        <w:t> basicos/declaraciones-de-lima-y-mexico/declaracion-de-mexico-sobre- independencia-de-la-efs.html </w:t>
      </w:r>
      <w:hyperlink r:id="rId161">
        <w:r>
          <w:rPr>
            <w:color w:val="0000FF"/>
            <w:u w:val="single" w:color="0000FF"/>
          </w:rPr>
          <w:t>http://www.incosai2007.org.mx/infogral.html</w:t>
        </w:r>
      </w:hyperlink>
    </w:p>
    <w:p>
      <w:pPr>
        <w:pStyle w:val="BodyText"/>
        <w:spacing w:before="6"/>
        <w:ind w:left="100" w:right="385"/>
      </w:pPr>
      <w:r>
        <w:rPr/>
        <w:t>[Fecha de consulta: 13 de abril, 2015]</w:t>
      </w:r>
    </w:p>
    <w:p>
      <w:pPr>
        <w:pStyle w:val="BodyText"/>
      </w:pPr>
    </w:p>
    <w:p>
      <w:pPr>
        <w:pStyle w:val="BodyText"/>
      </w:pPr>
    </w:p>
    <w:p>
      <w:pPr>
        <w:spacing w:line="355" w:lineRule="auto" w:before="200"/>
        <w:ind w:left="100" w:right="38" w:firstLine="0"/>
        <w:jc w:val="left"/>
        <w:rPr>
          <w:i/>
          <w:sz w:val="24"/>
        </w:rPr>
      </w:pPr>
      <w:r>
        <w:rPr>
          <w:sz w:val="24"/>
        </w:rPr>
        <w:t>Krauze Martín (2011). Centro de Investigaciones de Instituciones y Mercados de Argentina, </w:t>
      </w:r>
      <w:r>
        <w:rPr>
          <w:i/>
          <w:sz w:val="24"/>
        </w:rPr>
        <w:t>Índice de Calidad Institucional 2011</w:t>
      </w:r>
    </w:p>
    <w:p>
      <w:pPr>
        <w:pStyle w:val="BodyText"/>
        <w:spacing w:line="242" w:lineRule="auto" w:before="11"/>
        <w:ind w:left="100" w:right="158"/>
      </w:pPr>
      <w:hyperlink r:id="rId74">
        <w:r>
          <w:rPr/>
          <w:t>http://www.libertadyprogresonline.org/wp-content/uploads/2012/07/ICI-2012.pdf</w:t>
        </w:r>
      </w:hyperlink>
      <w:r>
        <w:rPr/>
        <w:t> [Fecha de consulta: 6 de enero, 2015]</w:t>
      </w:r>
    </w:p>
    <w:p>
      <w:pPr>
        <w:pStyle w:val="BodyText"/>
        <w:spacing w:before="134"/>
        <w:ind w:left="100" w:right="385"/>
      </w:pPr>
      <w:r>
        <w:rPr/>
        <w:t>[Fecha de consulta: 2 de marzo, 2015]</w:t>
      </w:r>
    </w:p>
    <w:p>
      <w:pPr>
        <w:pStyle w:val="BodyText"/>
      </w:pPr>
    </w:p>
    <w:p>
      <w:pPr>
        <w:pStyle w:val="BodyText"/>
        <w:spacing w:before="7"/>
        <w:rPr>
          <w:sz w:val="23"/>
        </w:rPr>
      </w:pPr>
    </w:p>
    <w:p>
      <w:pPr>
        <w:spacing w:before="0"/>
        <w:ind w:left="100" w:right="385" w:firstLine="0"/>
        <w:jc w:val="left"/>
        <w:rPr>
          <w:i/>
          <w:sz w:val="24"/>
        </w:rPr>
      </w:pPr>
      <w:r>
        <w:rPr>
          <w:sz w:val="24"/>
        </w:rPr>
        <w:t>Milken Institute. </w:t>
      </w:r>
      <w:r>
        <w:rPr>
          <w:i/>
          <w:sz w:val="24"/>
        </w:rPr>
        <w:t>2009 Opacity Index: Measuring Global Risks</w:t>
      </w:r>
    </w:p>
    <w:p>
      <w:pPr>
        <w:pStyle w:val="BodyText"/>
        <w:tabs>
          <w:tab w:pos="8270" w:val="left" w:leader="none"/>
        </w:tabs>
        <w:spacing w:before="140"/>
        <w:ind w:left="100" w:right="38"/>
      </w:pPr>
      <w:r>
        <w:rPr/>
        <w:t>Disponible</w:t>
        <w:tab/>
        <w:t>en:</w:t>
      </w:r>
    </w:p>
    <w:p>
      <w:pPr>
        <w:pStyle w:val="BodyText"/>
        <w:spacing w:line="242" w:lineRule="auto"/>
        <w:ind w:left="100" w:right="955"/>
      </w:pPr>
      <w:hyperlink r:id="rId53">
        <w:r>
          <w:rPr>
            <w:color w:val="0000FF"/>
            <w:u w:val="single" w:color="0000FF"/>
          </w:rPr>
          <w:t>http://www.kurtzmangroup.com/pdf/InstituteOpacityIndex_Apr8.pdf</w:t>
        </w:r>
      </w:hyperlink>
      <w:r>
        <w:rPr>
          <w:color w:val="0000FF"/>
          <w:u w:val="single" w:color="0000FF"/>
        </w:rPr>
        <w:t> </w:t>
      </w:r>
      <w:r>
        <w:rPr/>
        <w:t>[Fecha de consulta: 2 de enero, 2015]</w:t>
      </w:r>
    </w:p>
    <w:p>
      <w:pPr>
        <w:pStyle w:val="BodyText"/>
      </w:pPr>
    </w:p>
    <w:p>
      <w:pPr>
        <w:pStyle w:val="BodyText"/>
        <w:spacing w:before="5"/>
        <w:rPr>
          <w:sz w:val="23"/>
        </w:rPr>
      </w:pPr>
    </w:p>
    <w:p>
      <w:pPr>
        <w:spacing w:before="0"/>
        <w:ind w:left="100" w:right="385" w:firstLine="0"/>
        <w:jc w:val="left"/>
        <w:rPr>
          <w:sz w:val="24"/>
        </w:rPr>
      </w:pPr>
      <w:r>
        <w:rPr>
          <w:sz w:val="24"/>
        </w:rPr>
        <w:t>New Economic Foundation. </w:t>
      </w:r>
      <w:r>
        <w:rPr>
          <w:i/>
          <w:sz w:val="24"/>
        </w:rPr>
        <w:t>The Happy Planet Index</w:t>
      </w:r>
      <w:r>
        <w:rPr>
          <w:sz w:val="24"/>
        </w:rPr>
        <w:t>.</w:t>
      </w:r>
    </w:p>
    <w:p>
      <w:pPr>
        <w:pStyle w:val="BodyText"/>
        <w:spacing w:line="276" w:lineRule="auto" w:before="140"/>
        <w:ind w:left="100" w:right="571"/>
      </w:pPr>
      <w:r>
        <w:rPr/>
        <w:t>Disponible en: </w:t>
      </w:r>
      <w:hyperlink r:id="rId297">
        <w:r>
          <w:rPr/>
          <w:t>http://www.happyplanetindex.org/assets/happy-planet-index-</w:t>
        </w:r>
      </w:hyperlink>
      <w:r>
        <w:rPr/>
        <w:t> report.pdf</w:t>
      </w:r>
    </w:p>
    <w:p>
      <w:pPr>
        <w:pStyle w:val="BodyText"/>
        <w:spacing w:before="3"/>
        <w:ind w:left="100" w:right="385"/>
      </w:pPr>
      <w:r>
        <w:rPr/>
        <w:t>[Fecha consulta: 6 de enero, 2015]</w:t>
      </w:r>
    </w:p>
    <w:p>
      <w:pPr>
        <w:pStyle w:val="BodyText"/>
      </w:pPr>
    </w:p>
    <w:p>
      <w:pPr>
        <w:pStyle w:val="BodyText"/>
        <w:spacing w:before="8"/>
        <w:rPr>
          <w:sz w:val="23"/>
        </w:rPr>
      </w:pPr>
    </w:p>
    <w:p>
      <w:pPr>
        <w:spacing w:before="0"/>
        <w:ind w:left="100" w:right="385" w:firstLine="0"/>
        <w:jc w:val="left"/>
        <w:rPr>
          <w:i/>
          <w:sz w:val="24"/>
        </w:rPr>
      </w:pPr>
      <w:r>
        <w:rPr>
          <w:sz w:val="24"/>
        </w:rPr>
        <w:t>Transparency International, </w:t>
      </w:r>
      <w:r>
        <w:rPr>
          <w:i/>
          <w:sz w:val="24"/>
        </w:rPr>
        <w:t>Corruption Perceptions index 2011.</w:t>
      </w:r>
    </w:p>
    <w:p>
      <w:pPr>
        <w:pStyle w:val="BodyText"/>
        <w:spacing w:line="242" w:lineRule="auto" w:before="136"/>
        <w:ind w:left="100" w:right="385"/>
      </w:pPr>
      <w:r>
        <w:rPr/>
        <w:t>Disponible en: </w:t>
      </w:r>
      <w:hyperlink r:id="rId54">
        <w:r>
          <w:rPr/>
          <w:t>http://www.transparency.org/cpi2012/results#myAnchor1</w:t>
        </w:r>
      </w:hyperlink>
      <w:r>
        <w:rPr/>
        <w:t> [Fecha de consulta: 5 de enero, 2015]</w:t>
      </w:r>
    </w:p>
    <w:p>
      <w:pPr>
        <w:pStyle w:val="BodyText"/>
      </w:pPr>
    </w:p>
    <w:p>
      <w:pPr>
        <w:pStyle w:val="BodyText"/>
        <w:spacing w:before="4"/>
        <w:rPr>
          <w:sz w:val="23"/>
        </w:rPr>
      </w:pPr>
    </w:p>
    <w:p>
      <w:pPr>
        <w:spacing w:before="1"/>
        <w:ind w:left="100" w:right="385" w:firstLine="0"/>
        <w:jc w:val="left"/>
        <w:rPr>
          <w:i/>
          <w:sz w:val="24"/>
        </w:rPr>
      </w:pPr>
      <w:r>
        <w:rPr>
          <w:sz w:val="24"/>
        </w:rPr>
        <w:t>Transparency International. </w:t>
      </w:r>
      <w:r>
        <w:rPr>
          <w:i/>
          <w:sz w:val="24"/>
        </w:rPr>
        <w:t>Global Corruption Barometer, 2010</w:t>
      </w:r>
    </w:p>
    <w:p>
      <w:pPr>
        <w:pStyle w:val="BodyText"/>
        <w:tabs>
          <w:tab w:pos="8270" w:val="left" w:leader="none"/>
        </w:tabs>
        <w:spacing w:before="140"/>
        <w:ind w:left="100" w:right="38"/>
      </w:pPr>
      <w:r>
        <w:rPr/>
        <w:t>Disponible</w:t>
        <w:tab/>
        <w:t>en:</w:t>
      </w:r>
    </w:p>
    <w:p>
      <w:pPr>
        <w:pStyle w:val="BodyText"/>
        <w:spacing w:line="242" w:lineRule="auto"/>
        <w:ind w:left="168" w:right="955" w:hanging="68"/>
      </w:pPr>
      <w:hyperlink r:id="rId56">
        <w:r>
          <w:rPr/>
          <w:t>http://www.transparency.org/policy_research/surveys_indices/gcb</w:t>
        </w:r>
      </w:hyperlink>
      <w:r>
        <w:rPr/>
        <w:t> [Fecha de consulta: 9 de febrero, 2015]</w:t>
      </w:r>
    </w:p>
    <w:p>
      <w:pPr>
        <w:spacing w:after="0" w:line="242" w:lineRule="auto"/>
        <w:sectPr>
          <w:pgSz w:w="11910" w:h="16840"/>
          <w:pgMar w:header="0" w:footer="998" w:top="1360" w:bottom="1180" w:left="1600" w:right="1600"/>
        </w:sectPr>
      </w:pPr>
    </w:p>
    <w:p>
      <w:pPr>
        <w:spacing w:before="55"/>
        <w:ind w:left="100" w:right="0" w:firstLine="0"/>
        <w:jc w:val="left"/>
        <w:rPr>
          <w:i/>
          <w:sz w:val="24"/>
        </w:rPr>
      </w:pPr>
      <w:r>
        <w:rPr>
          <w:sz w:val="24"/>
        </w:rPr>
        <w:t>Open Society Institute, </w:t>
      </w:r>
      <w:r>
        <w:rPr>
          <w:i/>
          <w:sz w:val="24"/>
        </w:rPr>
        <w:t>Índice Latinoamericano de Transparencia Presupuestaria</w:t>
      </w:r>
    </w:p>
    <w:p>
      <w:pPr>
        <w:pStyle w:val="BodyText"/>
        <w:spacing w:before="144"/>
        <w:ind w:left="100" w:right="385"/>
      </w:pPr>
      <w:r>
        <w:rPr/>
        <w:t>Disponible en: </w:t>
      </w:r>
      <w:hyperlink r:id="rId298">
        <w:r>
          <w:rPr/>
          <w:t>http://internationalbudget.org/wp-content/uploads/OBI2012-</w:t>
        </w:r>
      </w:hyperlink>
    </w:p>
    <w:p>
      <w:pPr>
        <w:pStyle w:val="BodyText"/>
        <w:spacing w:before="40"/>
        <w:ind w:left="100" w:right="385"/>
      </w:pPr>
      <w:r>
        <w:rPr/>
        <w:t>Report-English.pdf</w:t>
      </w:r>
    </w:p>
    <w:p>
      <w:pPr>
        <w:pStyle w:val="BodyText"/>
        <w:spacing w:before="9"/>
        <w:rPr>
          <w:sz w:val="20"/>
        </w:rPr>
      </w:pPr>
    </w:p>
    <w:p>
      <w:pPr>
        <w:pStyle w:val="BodyText"/>
        <w:spacing w:before="1"/>
        <w:ind w:left="100" w:right="385"/>
      </w:pPr>
      <w:r>
        <w:rPr/>
        <w:t>[Fecha de consulta: 2 de febrero, 2015]</w:t>
      </w:r>
    </w:p>
    <w:p>
      <w:pPr>
        <w:pStyle w:val="BodyText"/>
      </w:pPr>
    </w:p>
    <w:p>
      <w:pPr>
        <w:pStyle w:val="BodyText"/>
        <w:spacing w:before="8"/>
        <w:rPr>
          <w:sz w:val="23"/>
        </w:rPr>
      </w:pPr>
    </w:p>
    <w:p>
      <w:pPr>
        <w:spacing w:line="362" w:lineRule="auto" w:before="0"/>
        <w:ind w:left="100" w:right="385" w:firstLine="0"/>
        <w:jc w:val="left"/>
        <w:rPr>
          <w:i/>
          <w:sz w:val="24"/>
        </w:rPr>
      </w:pPr>
      <w:r>
        <w:rPr>
          <w:sz w:val="24"/>
        </w:rPr>
        <w:t>OCDE. (2011). </w:t>
      </w:r>
      <w:r>
        <w:rPr>
          <w:i/>
          <w:sz w:val="24"/>
        </w:rPr>
        <w:t>Directrices de la OCDE sobre el gobierno corporativo de las </w:t>
      </w:r>
      <w:r>
        <w:rPr>
          <w:i/>
          <w:sz w:val="24"/>
        </w:rPr>
        <w:t>empresas públicas</w:t>
      </w:r>
    </w:p>
    <w:p>
      <w:pPr>
        <w:pStyle w:val="BodyText"/>
        <w:spacing w:line="362" w:lineRule="auto" w:before="3"/>
        <w:ind w:left="100" w:right="955"/>
      </w:pPr>
      <w:r>
        <w:rPr/>
        <w:t>Disponible en: </w:t>
      </w:r>
      <w:hyperlink r:id="rId299">
        <w:r>
          <w:rPr>
            <w:color w:val="0000FF"/>
            <w:u w:val="single" w:color="0000FF"/>
          </w:rPr>
          <w:t>http://www.oecd.org/dataoecd/60/17/48632643.pdf</w:t>
        </w:r>
      </w:hyperlink>
      <w:r>
        <w:rPr>
          <w:color w:val="0000FF"/>
          <w:u w:val="single" w:color="0000FF"/>
        </w:rPr>
        <w:t> </w:t>
      </w:r>
      <w:r>
        <w:rPr/>
        <w:t>[Fecha de consulta: 23 de marzo, 2015]</w:t>
      </w:r>
    </w:p>
    <w:p>
      <w:pPr>
        <w:pStyle w:val="BodyText"/>
        <w:spacing w:before="9"/>
        <w:rPr>
          <w:sz w:val="35"/>
        </w:rPr>
      </w:pPr>
    </w:p>
    <w:p>
      <w:pPr>
        <w:spacing w:line="357" w:lineRule="auto" w:before="0"/>
        <w:ind w:left="100" w:right="385" w:firstLine="0"/>
        <w:jc w:val="left"/>
        <w:rPr>
          <w:i/>
          <w:sz w:val="24"/>
        </w:rPr>
      </w:pPr>
      <w:r>
        <w:rPr>
          <w:sz w:val="24"/>
        </w:rPr>
        <w:t>OCDE. (2011). </w:t>
      </w:r>
      <w:r>
        <w:rPr>
          <w:i/>
          <w:sz w:val="24"/>
        </w:rPr>
        <w:t>Government at a Glance 2011, Chapter VII Transparency in </w:t>
      </w:r>
      <w:r>
        <w:rPr>
          <w:i/>
          <w:sz w:val="24"/>
        </w:rPr>
        <w:t>Governance.</w:t>
      </w:r>
    </w:p>
    <w:p>
      <w:pPr>
        <w:pStyle w:val="BodyText"/>
        <w:spacing w:line="242" w:lineRule="auto" w:before="8"/>
        <w:ind w:left="100" w:right="2480"/>
      </w:pPr>
      <w:r>
        <w:rPr/>
        <w:t>Disponible en: </w:t>
      </w:r>
      <w:hyperlink r:id="rId62">
        <w:r>
          <w:rPr/>
          <w:t>http://dx.doi.org/10.1787/888932389873</w:t>
        </w:r>
      </w:hyperlink>
      <w:r>
        <w:rPr/>
        <w:t> [Fecha de consulta: 15 de marzo, 2015]</w:t>
      </w:r>
    </w:p>
    <w:p>
      <w:pPr>
        <w:pStyle w:val="BodyText"/>
      </w:pPr>
    </w:p>
    <w:p>
      <w:pPr>
        <w:pStyle w:val="BodyText"/>
        <w:spacing w:before="5"/>
        <w:rPr>
          <w:sz w:val="23"/>
        </w:rPr>
      </w:pPr>
    </w:p>
    <w:p>
      <w:pPr>
        <w:spacing w:before="0"/>
        <w:ind w:left="100" w:right="82" w:firstLine="0"/>
        <w:jc w:val="left"/>
        <w:rPr>
          <w:i/>
          <w:sz w:val="24"/>
        </w:rPr>
      </w:pPr>
      <w:r>
        <w:rPr>
          <w:sz w:val="24"/>
        </w:rPr>
        <w:t>OCDE. (2011). </w:t>
      </w:r>
      <w:r>
        <w:rPr>
          <w:i/>
          <w:sz w:val="24"/>
        </w:rPr>
        <w:t>Society at a Glance, OECD Social Indicators, Chapter VIII Votin</w:t>
      </w:r>
    </w:p>
    <w:p>
      <w:pPr>
        <w:pStyle w:val="BodyText"/>
        <w:spacing w:before="140"/>
        <w:ind w:left="100" w:right="385"/>
      </w:pPr>
      <w:r>
        <w:rPr/>
        <w:t>Disponible en:</w:t>
      </w:r>
    </w:p>
    <w:p>
      <w:pPr>
        <w:pStyle w:val="BodyText"/>
        <w:spacing w:before="136"/>
        <w:ind w:left="100" w:right="82"/>
      </w:pPr>
      <w:hyperlink r:id="rId300">
        <w:r>
          <w:rPr/>
          <w:t>http://www.oecd.org/document/45/0,3746,en_2649_37419_2671576_1_1_1_37</w:t>
        </w:r>
      </w:hyperlink>
      <w:r>
        <w:rPr/>
        <w:t> 419,00.html</w:t>
      </w:r>
    </w:p>
    <w:p>
      <w:pPr>
        <w:pStyle w:val="BodyText"/>
        <w:spacing w:before="4"/>
        <w:ind w:left="100" w:right="385"/>
      </w:pPr>
      <w:r>
        <w:rPr/>
        <w:t>[Fecha de consulta: 14 de febrero, 2015]</w:t>
      </w:r>
    </w:p>
    <w:p>
      <w:pPr>
        <w:pStyle w:val="BodyText"/>
      </w:pPr>
    </w:p>
    <w:p>
      <w:pPr>
        <w:pStyle w:val="BodyText"/>
      </w:pPr>
    </w:p>
    <w:p>
      <w:pPr>
        <w:pStyle w:val="BodyText"/>
        <w:spacing w:line="360" w:lineRule="auto"/>
        <w:ind w:left="100" w:right="385"/>
      </w:pPr>
      <w:r>
        <w:rPr/>
        <w:t>OCDE/PNUD. (2007). Alianza para la gobernanza democrática </w:t>
      </w:r>
      <w:hyperlink r:id="rId42">
        <w:r>
          <w:rPr>
            <w:color w:val="0000FF"/>
            <w:u w:val="single" w:color="0000FF"/>
          </w:rPr>
          <w:t>http://www.oecd.org/dataoecd/54/19/41665400.pdf</w:t>
        </w:r>
      </w:hyperlink>
    </w:p>
    <w:p>
      <w:pPr>
        <w:pStyle w:val="BodyText"/>
        <w:spacing w:before="5"/>
        <w:ind w:left="100" w:right="385"/>
      </w:pPr>
      <w:r>
        <w:rPr/>
        <w:t>[Fecha de consulta: 28 de marzo, 2015]</w:t>
      </w:r>
    </w:p>
    <w:p>
      <w:pPr>
        <w:pStyle w:val="BodyText"/>
      </w:pPr>
    </w:p>
    <w:p>
      <w:pPr>
        <w:pStyle w:val="BodyText"/>
        <w:spacing w:before="7"/>
        <w:rPr>
          <w:sz w:val="23"/>
        </w:rPr>
      </w:pPr>
    </w:p>
    <w:p>
      <w:pPr>
        <w:spacing w:line="357" w:lineRule="auto" w:before="0"/>
        <w:ind w:left="100" w:right="385" w:firstLine="0"/>
        <w:jc w:val="left"/>
        <w:rPr>
          <w:i/>
          <w:sz w:val="24"/>
        </w:rPr>
      </w:pPr>
      <w:r>
        <w:rPr>
          <w:sz w:val="24"/>
        </w:rPr>
        <w:t>OECD. (2009). </w:t>
      </w:r>
      <w:r>
        <w:rPr>
          <w:i/>
          <w:sz w:val="24"/>
        </w:rPr>
        <w:t>Contracting out government functions and services in post- </w:t>
      </w:r>
      <w:r>
        <w:rPr>
          <w:i/>
          <w:sz w:val="24"/>
        </w:rPr>
        <w:t>conflict and fragile situations.</w:t>
      </w:r>
    </w:p>
    <w:p>
      <w:pPr>
        <w:pStyle w:val="BodyText"/>
        <w:spacing w:line="357" w:lineRule="auto" w:before="13"/>
        <w:ind w:left="100" w:right="955"/>
      </w:pPr>
      <w:r>
        <w:rPr/>
        <w:t>Disponible en: </w:t>
      </w:r>
      <w:hyperlink r:id="rId301">
        <w:r>
          <w:rPr>
            <w:color w:val="0000FF"/>
            <w:u w:val="single" w:color="0000FF"/>
          </w:rPr>
          <w:t>http://www.oecd.org/dataoecd/24/14/46119235.pdf</w:t>
        </w:r>
      </w:hyperlink>
      <w:r>
        <w:rPr>
          <w:color w:val="0000FF"/>
          <w:u w:val="single" w:color="0000FF"/>
        </w:rPr>
        <w:t> </w:t>
      </w:r>
      <w:r>
        <w:rPr/>
        <w:t>[Fecha de consulta: 22 de marzo, 2015]</w:t>
      </w:r>
    </w:p>
    <w:p>
      <w:pPr>
        <w:pStyle w:val="BodyText"/>
      </w:pPr>
    </w:p>
    <w:p>
      <w:pPr>
        <w:spacing w:before="140"/>
        <w:ind w:left="100" w:right="385" w:firstLine="0"/>
        <w:jc w:val="left"/>
        <w:rPr>
          <w:i/>
          <w:sz w:val="24"/>
        </w:rPr>
      </w:pPr>
      <w:r>
        <w:rPr>
          <w:sz w:val="24"/>
        </w:rPr>
        <w:t>OECD. (2011). </w:t>
      </w:r>
      <w:r>
        <w:rPr>
          <w:i/>
          <w:sz w:val="24"/>
        </w:rPr>
        <w:t>Government at a Glance 2011</w:t>
      </w:r>
    </w:p>
    <w:p>
      <w:pPr>
        <w:pStyle w:val="BodyText"/>
        <w:spacing w:before="144"/>
        <w:ind w:left="100" w:right="385"/>
      </w:pPr>
      <w:r>
        <w:rPr/>
        <w:t>Disponible en:</w:t>
      </w:r>
    </w:p>
    <w:p>
      <w:pPr>
        <w:pStyle w:val="BodyText"/>
        <w:spacing w:line="244" w:lineRule="auto" w:before="132"/>
        <w:ind w:left="100" w:right="4333"/>
      </w:pPr>
      <w:hyperlink r:id="rId62">
        <w:r>
          <w:rPr/>
          <w:t>http://dx.doi.org/10.1787/888932389873</w:t>
        </w:r>
      </w:hyperlink>
      <w:r>
        <w:rPr/>
        <w:t> [Fecha de consulta: 15 de marzo, 2013]</w:t>
      </w:r>
    </w:p>
    <w:p>
      <w:pPr>
        <w:spacing w:after="0" w:line="244" w:lineRule="auto"/>
        <w:sectPr>
          <w:pgSz w:w="11910" w:h="16840"/>
          <w:pgMar w:header="0" w:footer="998" w:top="1340" w:bottom="1180" w:left="1600" w:right="1600"/>
        </w:sectPr>
      </w:pPr>
    </w:p>
    <w:p>
      <w:pPr>
        <w:spacing w:line="362" w:lineRule="auto" w:before="55"/>
        <w:ind w:left="100" w:right="58" w:firstLine="0"/>
        <w:jc w:val="left"/>
        <w:rPr>
          <w:i/>
          <w:sz w:val="24"/>
        </w:rPr>
      </w:pPr>
      <w:r>
        <w:rPr>
          <w:color w:val="0000FF"/>
          <w:sz w:val="24"/>
          <w:u w:val="single" w:color="0000FF"/>
        </w:rPr>
        <w:t>OECD. (2010). </w:t>
      </w:r>
      <w:r>
        <w:rPr>
          <w:i/>
          <w:sz w:val="24"/>
        </w:rPr>
        <w:t>Handbook on Contracting out government functions and services </w:t>
      </w:r>
      <w:r>
        <w:rPr>
          <w:i/>
          <w:sz w:val="24"/>
        </w:rPr>
        <w:t>in post-conflict and fragile situations</w:t>
      </w:r>
    </w:p>
    <w:p>
      <w:pPr>
        <w:pStyle w:val="BodyText"/>
        <w:spacing w:line="362" w:lineRule="auto" w:before="3"/>
        <w:ind w:left="100" w:right="86"/>
      </w:pPr>
      <w:r>
        <w:rPr/>
        <w:t>Disponible en: </w:t>
      </w:r>
      <w:hyperlink r:id="rId301">
        <w:r>
          <w:rPr>
            <w:color w:val="0000FF"/>
            <w:u w:val="single" w:color="0000FF"/>
          </w:rPr>
          <w:t>http://www.oecd.org/dataoecd/24/14/46119235.pdf</w:t>
        </w:r>
      </w:hyperlink>
      <w:r>
        <w:rPr>
          <w:color w:val="0000FF"/>
          <w:u w:val="single" w:color="0000FF"/>
        </w:rPr>
        <w:t> </w:t>
      </w:r>
      <w:r>
        <w:rPr/>
        <w:t>[Fecha de consulta: 19 de marzo, 2015]</w:t>
      </w:r>
    </w:p>
    <w:p>
      <w:pPr>
        <w:pStyle w:val="BodyText"/>
        <w:spacing w:before="9"/>
        <w:rPr>
          <w:sz w:val="35"/>
        </w:rPr>
      </w:pPr>
    </w:p>
    <w:p>
      <w:pPr>
        <w:spacing w:line="362" w:lineRule="auto" w:before="0"/>
        <w:ind w:left="100" w:right="1340" w:firstLine="0"/>
        <w:jc w:val="left"/>
        <w:rPr>
          <w:sz w:val="24"/>
        </w:rPr>
      </w:pPr>
      <w:r>
        <w:rPr>
          <w:sz w:val="24"/>
        </w:rPr>
        <w:t>OECD. (2004). </w:t>
      </w:r>
      <w:r>
        <w:rPr>
          <w:i/>
          <w:sz w:val="24"/>
        </w:rPr>
        <w:t>The OECD Principies of Corporate Governance </w:t>
      </w:r>
      <w:r>
        <w:rPr>
          <w:sz w:val="24"/>
        </w:rPr>
        <w:t>Disponible en: </w:t>
      </w:r>
      <w:hyperlink r:id="rId302">
        <w:r>
          <w:rPr>
            <w:sz w:val="24"/>
          </w:rPr>
          <w:t>http://www.oecd.org/dataoecd/32/18/31557724.pdf</w:t>
        </w:r>
      </w:hyperlink>
      <w:r>
        <w:rPr>
          <w:sz w:val="24"/>
        </w:rPr>
        <w:t> [Fecha de consulta: 22 de marzo, 2015]</w:t>
      </w:r>
    </w:p>
    <w:p>
      <w:pPr>
        <w:pStyle w:val="BodyText"/>
        <w:spacing w:before="8"/>
        <w:rPr>
          <w:sz w:val="35"/>
        </w:rPr>
      </w:pPr>
    </w:p>
    <w:p>
      <w:pPr>
        <w:spacing w:line="360" w:lineRule="auto" w:before="1"/>
        <w:ind w:left="100" w:right="122" w:firstLine="0"/>
        <w:jc w:val="both"/>
        <w:rPr>
          <w:i/>
          <w:sz w:val="24"/>
        </w:rPr>
      </w:pPr>
      <w:r>
        <w:rPr>
          <w:sz w:val="24"/>
        </w:rPr>
        <w:t>OECD. (2009). </w:t>
      </w:r>
      <w:r>
        <w:rPr>
          <w:i/>
          <w:sz w:val="24"/>
        </w:rPr>
        <w:t>Partnership for democratic governance contracting out </w:t>
      </w:r>
      <w:r>
        <w:rPr>
          <w:i/>
          <w:sz w:val="24"/>
        </w:rPr>
        <w:t>government functions and services, emergin lessons from post-conflict and fragile situations</w:t>
      </w:r>
    </w:p>
    <w:p>
      <w:pPr>
        <w:pStyle w:val="BodyText"/>
        <w:spacing w:line="362" w:lineRule="auto" w:before="6"/>
        <w:ind w:left="100" w:right="1340"/>
      </w:pPr>
      <w:r>
        <w:rPr/>
        <w:t>Disponible en: </w:t>
      </w:r>
      <w:hyperlink r:id="rId303">
        <w:r>
          <w:rPr>
            <w:color w:val="0000FF"/>
            <w:u w:val="single" w:color="0000FF"/>
          </w:rPr>
          <w:t>http://www.oecd.org/dataoecd/56/61/45875056.pdf</w:t>
        </w:r>
      </w:hyperlink>
      <w:r>
        <w:rPr>
          <w:color w:val="0000FF"/>
          <w:u w:val="single" w:color="0000FF"/>
        </w:rPr>
        <w:t> </w:t>
      </w:r>
      <w:r>
        <w:rPr/>
        <w:t>[Fecha de consulta: 19 de marzo, 2015]</w:t>
      </w:r>
    </w:p>
    <w:p>
      <w:pPr>
        <w:pStyle w:val="BodyText"/>
        <w:spacing w:before="8"/>
        <w:rPr>
          <w:sz w:val="35"/>
        </w:rPr>
      </w:pPr>
    </w:p>
    <w:p>
      <w:pPr>
        <w:spacing w:line="357" w:lineRule="auto" w:before="1"/>
        <w:ind w:left="100" w:right="86" w:firstLine="0"/>
        <w:jc w:val="left"/>
        <w:rPr>
          <w:i/>
          <w:sz w:val="24"/>
        </w:rPr>
      </w:pPr>
      <w:r>
        <w:rPr>
          <w:sz w:val="24"/>
        </w:rPr>
        <w:t>OECD. (2008). </w:t>
      </w:r>
      <w:r>
        <w:rPr>
          <w:i/>
          <w:sz w:val="24"/>
        </w:rPr>
        <w:t>Using the OECD Principles of corporate governance, a </w:t>
      </w:r>
      <w:r>
        <w:rPr>
          <w:i/>
          <w:sz w:val="24"/>
        </w:rPr>
        <w:t>boardroom perspective</w:t>
      </w:r>
    </w:p>
    <w:p>
      <w:pPr>
        <w:pStyle w:val="BodyText"/>
        <w:spacing w:line="357" w:lineRule="auto" w:before="12"/>
        <w:ind w:left="100" w:right="1340"/>
      </w:pPr>
      <w:r>
        <w:rPr/>
        <w:t>Disponible en: </w:t>
      </w:r>
      <w:hyperlink r:id="rId304">
        <w:r>
          <w:rPr>
            <w:color w:val="0000FF"/>
            <w:u w:val="single" w:color="0000FF"/>
          </w:rPr>
          <w:t>http://www.oecd.org/dataoecd/20/60/40823806.pdf</w:t>
        </w:r>
      </w:hyperlink>
      <w:r>
        <w:rPr>
          <w:color w:val="0000FF"/>
          <w:u w:val="single" w:color="0000FF"/>
        </w:rPr>
        <w:t> </w:t>
      </w:r>
      <w:r>
        <w:rPr/>
        <w:t>[Fecha de consulta: 24 de marzo, 2015]</w:t>
      </w:r>
    </w:p>
    <w:p>
      <w:pPr>
        <w:pStyle w:val="BodyText"/>
        <w:spacing w:before="7"/>
        <w:rPr>
          <w:sz w:val="30"/>
        </w:rPr>
      </w:pPr>
    </w:p>
    <w:p>
      <w:pPr>
        <w:pStyle w:val="BodyText"/>
        <w:spacing w:line="360" w:lineRule="auto"/>
        <w:ind w:left="100" w:right="1340"/>
      </w:pPr>
      <w:r>
        <w:rPr/>
        <w:t>International Budget Partnership, Open Budgets. Transforms Lives The Open Budget Survey</w:t>
      </w:r>
    </w:p>
    <w:p>
      <w:pPr>
        <w:pStyle w:val="BodyText"/>
        <w:spacing w:before="6"/>
        <w:ind w:left="100" w:right="86"/>
      </w:pPr>
      <w:r>
        <w:rPr/>
        <w:t>Disponible en: </w:t>
      </w:r>
      <w:hyperlink r:id="rId298">
        <w:r>
          <w:rPr/>
          <w:t>http://internationalbudget.org/wp-content/uploads/OBI2012-</w:t>
        </w:r>
      </w:hyperlink>
    </w:p>
    <w:p>
      <w:pPr>
        <w:pStyle w:val="BodyText"/>
        <w:spacing w:before="40"/>
        <w:ind w:left="100" w:right="86"/>
      </w:pPr>
      <w:r>
        <w:rPr/>
        <w:t>Report-English.pdf</w:t>
      </w:r>
    </w:p>
    <w:p>
      <w:pPr>
        <w:pStyle w:val="BodyText"/>
        <w:spacing w:before="10"/>
        <w:rPr>
          <w:sz w:val="20"/>
        </w:rPr>
      </w:pPr>
    </w:p>
    <w:p>
      <w:pPr>
        <w:pStyle w:val="BodyText"/>
        <w:ind w:left="100" w:right="86"/>
      </w:pPr>
      <w:r>
        <w:rPr/>
        <w:t>[Fecha de consulta: 2 de febrero, 2015]</w:t>
      </w:r>
    </w:p>
    <w:p>
      <w:pPr>
        <w:pStyle w:val="BodyText"/>
      </w:pPr>
    </w:p>
    <w:p>
      <w:pPr>
        <w:pStyle w:val="BodyText"/>
        <w:spacing w:before="7"/>
        <w:rPr>
          <w:sz w:val="23"/>
        </w:rPr>
      </w:pPr>
    </w:p>
    <w:p>
      <w:pPr>
        <w:spacing w:before="0"/>
        <w:ind w:left="100" w:right="86" w:firstLine="0"/>
        <w:jc w:val="left"/>
        <w:rPr>
          <w:i/>
          <w:sz w:val="24"/>
        </w:rPr>
      </w:pPr>
      <w:r>
        <w:rPr>
          <w:sz w:val="24"/>
        </w:rPr>
        <w:t>OECD. </w:t>
      </w:r>
      <w:r>
        <w:rPr>
          <w:i/>
          <w:sz w:val="24"/>
        </w:rPr>
        <w:t>BetterlifeIndex (consulta en línea)</w:t>
      </w:r>
    </w:p>
    <w:p>
      <w:pPr>
        <w:pStyle w:val="BodyText"/>
        <w:spacing w:line="242" w:lineRule="auto" w:before="140"/>
        <w:ind w:left="100" w:right="1245"/>
      </w:pPr>
      <w:r>
        <w:rPr/>
        <w:t>Disponible en: </w:t>
      </w:r>
      <w:hyperlink r:id="rId79">
        <w:r>
          <w:rPr/>
          <w:t>http://oecdbetterlifeindex.org/about/better-life-initiative/</w:t>
        </w:r>
      </w:hyperlink>
      <w:r>
        <w:rPr/>
        <w:t> [Fecha de consulta: 7 de marzo, 2015]</w:t>
      </w:r>
    </w:p>
    <w:p>
      <w:pPr>
        <w:pStyle w:val="BodyText"/>
      </w:pPr>
    </w:p>
    <w:p>
      <w:pPr>
        <w:pStyle w:val="BodyText"/>
        <w:spacing w:before="8"/>
        <w:rPr>
          <w:sz w:val="23"/>
        </w:rPr>
      </w:pPr>
    </w:p>
    <w:p>
      <w:pPr>
        <w:pStyle w:val="BodyText"/>
        <w:spacing w:before="1"/>
        <w:ind w:left="100" w:right="86"/>
      </w:pPr>
      <w:r>
        <w:rPr/>
        <w:t>UNODC</w:t>
      </w:r>
    </w:p>
    <w:p>
      <w:pPr>
        <w:pStyle w:val="BodyText"/>
        <w:spacing w:line="360" w:lineRule="auto" w:before="136"/>
        <w:ind w:left="100" w:right="824"/>
      </w:pPr>
      <w:r>
        <w:rPr/>
        <w:t>Disponible en: </w:t>
      </w:r>
      <w:hyperlink r:id="rId163">
        <w:r>
          <w:rPr>
            <w:color w:val="0000FF"/>
            <w:u w:val="single" w:color="0000FF"/>
          </w:rPr>
          <w:t>http://www.unodc.org/pdf/corruption/publications_unodc_convention-s.pdf</w:t>
        </w:r>
      </w:hyperlink>
      <w:r>
        <w:rPr>
          <w:color w:val="0000FF"/>
          <w:u w:val="single" w:color="0000FF"/>
        </w:rPr>
        <w:t> </w:t>
      </w:r>
      <w:r>
        <w:rPr/>
        <w:t>[Fecha de consulta: 11 de abril, 2015]</w:t>
      </w:r>
    </w:p>
    <w:p>
      <w:pPr>
        <w:spacing w:after="0" w:line="360" w:lineRule="auto"/>
        <w:sectPr>
          <w:pgSz w:w="11910" w:h="16840"/>
          <w:pgMar w:header="0" w:footer="998" w:top="1340" w:bottom="1180" w:left="1600" w:right="1580"/>
        </w:sectPr>
      </w:pPr>
    </w:p>
    <w:p>
      <w:pPr>
        <w:spacing w:line="362" w:lineRule="auto" w:before="55"/>
        <w:ind w:left="100" w:right="82" w:firstLine="0"/>
        <w:jc w:val="left"/>
        <w:rPr>
          <w:i/>
          <w:sz w:val="24"/>
        </w:rPr>
      </w:pPr>
      <w:r>
        <w:rPr>
          <w:sz w:val="24"/>
        </w:rPr>
        <w:t>Universidad de Guadalajara y Consultora Orienta-Agenda Pública, </w:t>
      </w:r>
      <w:r>
        <w:rPr>
          <w:i/>
          <w:sz w:val="24"/>
        </w:rPr>
        <w:t>Evaluación </w:t>
      </w:r>
      <w:r>
        <w:rPr>
          <w:i/>
          <w:sz w:val="24"/>
        </w:rPr>
        <w:t>de la Legislación en Materia de Fiscalización Superior en México.</w:t>
      </w:r>
    </w:p>
    <w:p>
      <w:pPr>
        <w:pStyle w:val="BodyText"/>
        <w:tabs>
          <w:tab w:pos="8270" w:val="left" w:leader="none"/>
        </w:tabs>
        <w:spacing w:line="275" w:lineRule="exact"/>
        <w:ind w:left="100" w:right="38"/>
      </w:pPr>
      <w:r>
        <w:rPr/>
        <w:t>Disponible</w:t>
        <w:tab/>
        <w:t>en:</w:t>
      </w:r>
    </w:p>
    <w:p>
      <w:pPr>
        <w:pStyle w:val="BodyText"/>
        <w:spacing w:line="278" w:lineRule="auto"/>
        <w:ind w:left="100" w:right="955"/>
      </w:pPr>
      <w:hyperlink r:id="rId221">
        <w:r>
          <w:rPr/>
          <w:t>http://www.asf.gob.mx/pags/OTROS/CPMEX/Eval2009_abril09.pdf</w:t>
        </w:r>
      </w:hyperlink>
      <w:r>
        <w:rPr/>
        <w:t> [Fecha de consulta: 22 de enero, 2015]</w:t>
      </w:r>
    </w:p>
    <w:p>
      <w:pPr>
        <w:pStyle w:val="BodyText"/>
      </w:pPr>
    </w:p>
    <w:p>
      <w:pPr>
        <w:pStyle w:val="BodyText"/>
        <w:spacing w:before="11"/>
        <w:rPr>
          <w:sz w:val="19"/>
        </w:rPr>
      </w:pPr>
    </w:p>
    <w:p>
      <w:pPr>
        <w:spacing w:before="0"/>
        <w:ind w:left="100" w:right="82" w:firstLine="0"/>
        <w:jc w:val="left"/>
        <w:rPr>
          <w:i/>
          <w:sz w:val="24"/>
        </w:rPr>
      </w:pPr>
      <w:r>
        <w:rPr>
          <w:sz w:val="24"/>
        </w:rPr>
        <w:t>World Bank. (2011). </w:t>
      </w:r>
      <w:r>
        <w:rPr>
          <w:i/>
          <w:sz w:val="24"/>
        </w:rPr>
        <w:t>Governance Matters 2012. World Governance Indicators</w:t>
      </w:r>
    </w:p>
    <w:p>
      <w:pPr>
        <w:pStyle w:val="BodyText"/>
        <w:spacing w:before="140"/>
        <w:ind w:left="100" w:right="385"/>
      </w:pPr>
      <w:r>
        <w:rPr/>
        <w:t>Disponible en:</w:t>
      </w:r>
    </w:p>
    <w:p>
      <w:pPr>
        <w:pStyle w:val="BodyText"/>
        <w:spacing w:line="242" w:lineRule="auto"/>
        <w:ind w:left="100" w:right="319"/>
      </w:pPr>
      <w:hyperlink r:id="rId50">
        <w:r>
          <w:rPr/>
          <w:t>http://www.world-governance.org/IMG/pdf_WGI_short_version_EN_web-2.pdf</w:t>
        </w:r>
      </w:hyperlink>
      <w:r>
        <w:rPr/>
        <w:t> [Fecha de consulta: 24 de abril, 2015]</w:t>
      </w:r>
    </w:p>
    <w:p>
      <w:pPr>
        <w:pStyle w:val="BodyText"/>
      </w:pPr>
    </w:p>
    <w:p>
      <w:pPr>
        <w:pStyle w:val="BodyText"/>
        <w:spacing w:before="9"/>
        <w:rPr>
          <w:sz w:val="23"/>
        </w:rPr>
      </w:pPr>
    </w:p>
    <w:p>
      <w:pPr>
        <w:pStyle w:val="BodyText"/>
        <w:spacing w:line="357" w:lineRule="auto"/>
        <w:ind w:left="100" w:right="2480"/>
      </w:pPr>
      <w:r>
        <w:rPr/>
        <w:t>Alemania </w:t>
      </w:r>
      <w:hyperlink r:id="rId148">
        <w:r>
          <w:rPr>
            <w:color w:val="0000FF"/>
            <w:u w:val="single" w:color="0000FF"/>
          </w:rPr>
          <w:t>http://www.juridicas.unam.mx/navjus/gob/de.htm</w:t>
        </w:r>
      </w:hyperlink>
    </w:p>
    <w:p>
      <w:pPr>
        <w:pStyle w:val="BodyText"/>
        <w:spacing w:line="357" w:lineRule="auto" w:before="8"/>
        <w:ind w:left="100" w:right="385"/>
      </w:pPr>
      <w:hyperlink r:id="rId305">
        <w:r>
          <w:rPr>
            <w:color w:val="0000FF"/>
            <w:u w:val="single" w:color="0000FF"/>
          </w:rPr>
          <w:t>http://www.ife.org.mx/documentos/DECEYEC/eua.htm#sistpol</w:t>
        </w:r>
      </w:hyperlink>
      <w:r>
        <w:rPr>
          <w:color w:val="0000FF"/>
          <w:u w:val="single" w:color="0000FF"/>
        </w:rPr>
        <w:t> </w:t>
      </w:r>
      <w:hyperlink r:id="rId148">
        <w:r>
          <w:rPr>
            <w:color w:val="0000FF"/>
            <w:u w:val="single" w:color="0000FF"/>
          </w:rPr>
          <w:t>http://www.juridicas.unam.mx/navjus/gob/de.htm</w:t>
        </w:r>
      </w:hyperlink>
    </w:p>
    <w:p>
      <w:pPr>
        <w:pStyle w:val="BodyText"/>
        <w:spacing w:before="8"/>
        <w:ind w:left="100" w:right="385"/>
      </w:pPr>
      <w:r>
        <w:rPr/>
        <w:t>[Fecha de consulta: 15 de abril, 2015]</w:t>
      </w:r>
    </w:p>
    <w:p>
      <w:pPr>
        <w:pStyle w:val="BodyText"/>
      </w:pPr>
    </w:p>
    <w:p>
      <w:pPr>
        <w:pStyle w:val="BodyText"/>
      </w:pPr>
    </w:p>
    <w:p>
      <w:pPr>
        <w:pStyle w:val="BodyText"/>
        <w:spacing w:line="357" w:lineRule="auto"/>
        <w:ind w:left="100" w:right="1613"/>
      </w:pPr>
      <w:r>
        <w:rPr/>
        <w:t>España </w:t>
      </w:r>
      <w:hyperlink r:id="rId306">
        <w:r>
          <w:rPr>
            <w:color w:val="0000FF"/>
            <w:u w:val="single" w:color="0000FF"/>
          </w:rPr>
          <w:t>http://www.ife.org.mx/documentos/DECEYEC/espana.htm#sistpol</w:t>
        </w:r>
      </w:hyperlink>
    </w:p>
    <w:p>
      <w:pPr>
        <w:pStyle w:val="BodyText"/>
        <w:spacing w:line="357" w:lineRule="auto" w:before="8"/>
        <w:ind w:left="100" w:right="82"/>
      </w:pPr>
      <w:hyperlink r:id="rId150">
        <w:r>
          <w:rPr>
            <w:color w:val="0000FF"/>
            <w:u w:val="single" w:color="0000FF"/>
          </w:rPr>
          <w:t>http://www.asturiasliberal.org/colaboraciones/piensa_en_liberal/espanna_alema</w:t>
        </w:r>
      </w:hyperlink>
      <w:r>
        <w:rPr>
          <w:color w:val="0000FF"/>
          <w:u w:val="single" w:color="0000FF"/>
        </w:rPr>
        <w:t> </w:t>
      </w:r>
      <w:hyperlink r:id="rId150">
        <w:r>
          <w:rPr>
            <w:color w:val="0000FF"/>
            <w:u w:val="single" w:color="0000FF"/>
          </w:rPr>
          <w:t>nia_poder_judicial_poder_ejecutivo_y_referen_2.php</w:t>
        </w:r>
      </w:hyperlink>
    </w:p>
    <w:p>
      <w:pPr>
        <w:pStyle w:val="BodyText"/>
        <w:spacing w:before="8"/>
        <w:ind w:left="100" w:right="385"/>
      </w:pPr>
      <w:r>
        <w:rPr/>
        <w:t>[Fecha de consulta: 21 de abril, 2015]</w:t>
      </w:r>
    </w:p>
    <w:p>
      <w:pPr>
        <w:pStyle w:val="BodyText"/>
      </w:pPr>
    </w:p>
    <w:p>
      <w:pPr>
        <w:pStyle w:val="BodyText"/>
      </w:pPr>
    </w:p>
    <w:p>
      <w:pPr>
        <w:pStyle w:val="BodyText"/>
        <w:spacing w:line="360" w:lineRule="auto"/>
        <w:ind w:left="100" w:right="1440"/>
      </w:pPr>
      <w:r>
        <w:rPr/>
        <w:t>Estados Unidos </w:t>
      </w:r>
      <w:hyperlink r:id="rId307">
        <w:r>
          <w:rPr>
            <w:color w:val="0000FF"/>
            <w:u w:val="single" w:color="0000FF"/>
          </w:rPr>
          <w:t>http://www.gao.gov/browse/topic/Tax_Policy_and_Administration</w:t>
        </w:r>
      </w:hyperlink>
      <w:r>
        <w:rPr>
          <w:color w:val="0000FF"/>
          <w:u w:val="single" w:color="0000FF"/>
        </w:rPr>
        <w:t> </w:t>
      </w:r>
      <w:hyperlink r:id="rId305">
        <w:r>
          <w:rPr>
            <w:color w:val="0000FF"/>
            <w:u w:val="single" w:color="0000FF"/>
          </w:rPr>
          <w:t>http://www.ife.org.mx/documentos/DECEYEC/eua.htm#sistpol</w:t>
        </w:r>
      </w:hyperlink>
      <w:r>
        <w:rPr>
          <w:color w:val="0000FF"/>
          <w:u w:val="single" w:color="0000FF"/>
        </w:rPr>
        <w:t> </w:t>
      </w:r>
      <w:r>
        <w:rPr/>
        <w:t>[Fecha de consulta: 21 de abril, 2015]</w:t>
      </w:r>
    </w:p>
    <w:p>
      <w:pPr>
        <w:pStyle w:val="BodyText"/>
      </w:pPr>
    </w:p>
    <w:p>
      <w:pPr>
        <w:pStyle w:val="BodyText"/>
        <w:spacing w:line="362" w:lineRule="auto" w:before="142"/>
        <w:ind w:left="100" w:right="7069"/>
      </w:pPr>
      <w:r>
        <w:rPr/>
        <w:t>México Disponible en:</w:t>
      </w:r>
    </w:p>
    <w:p>
      <w:pPr>
        <w:pStyle w:val="BodyText"/>
        <w:spacing w:line="357" w:lineRule="auto"/>
        <w:ind w:left="100" w:right="1240"/>
      </w:pPr>
      <w:hyperlink r:id="rId147">
        <w:r>
          <w:rPr>
            <w:color w:val="0000FF"/>
            <w:u w:val="single" w:color="0000FF"/>
          </w:rPr>
          <w:t>http://mexicity.blogspot.mx/2008/08/sistema-electoral-de-mexico.html</w:t>
        </w:r>
      </w:hyperlink>
      <w:r>
        <w:rPr>
          <w:color w:val="0000FF"/>
          <w:u w:val="single" w:color="0000FF"/>
        </w:rPr>
        <w:t> </w:t>
      </w:r>
      <w:hyperlink r:id="rId308">
        <w:r>
          <w:rPr>
            <w:color w:val="0000FF"/>
            <w:u w:val="single" w:color="0000FF"/>
          </w:rPr>
          <w:t>http://asf.gob.mx</w:t>
        </w:r>
      </w:hyperlink>
      <w:r>
        <w:rPr/>
        <w:t>;</w:t>
      </w:r>
    </w:p>
    <w:p>
      <w:pPr>
        <w:pStyle w:val="BodyText"/>
        <w:spacing w:before="8"/>
        <w:ind w:left="100" w:right="385"/>
      </w:pPr>
      <w:r>
        <w:rPr/>
        <w:t>[Fecha de consulta: 25 de abril, 2015]</w:t>
      </w:r>
    </w:p>
    <w:p>
      <w:pPr>
        <w:pStyle w:val="BodyText"/>
      </w:pPr>
    </w:p>
    <w:p>
      <w:pPr>
        <w:pStyle w:val="BodyText"/>
      </w:pPr>
    </w:p>
    <w:p>
      <w:pPr>
        <w:pStyle w:val="BodyText"/>
        <w:ind w:left="100" w:right="385"/>
      </w:pPr>
      <w:r>
        <w:rPr/>
        <w:t>Reino Unido</w:t>
      </w:r>
    </w:p>
    <w:p>
      <w:pPr>
        <w:spacing w:after="0"/>
        <w:sectPr>
          <w:pgSz w:w="11910" w:h="16840"/>
          <w:pgMar w:header="0" w:footer="998" w:top="1340" w:bottom="1180" w:left="1600" w:right="1600"/>
        </w:sectPr>
      </w:pPr>
    </w:p>
    <w:p>
      <w:pPr>
        <w:pStyle w:val="BodyText"/>
        <w:spacing w:line="360" w:lineRule="auto" w:before="39"/>
        <w:ind w:left="100" w:right="1915"/>
      </w:pPr>
      <w:r>
        <w:rPr/>
        <w:t>Disponible en: </w:t>
      </w:r>
      <w:hyperlink r:id="rId309">
        <w:r>
          <w:rPr>
            <w:color w:val="0000FF"/>
            <w:u w:val="single" w:color="0000FF"/>
          </w:rPr>
          <w:t>http://biblio.juridicas.unam.mx/libros/2/530/4.pdf</w:t>
        </w:r>
      </w:hyperlink>
      <w:r>
        <w:rPr>
          <w:color w:val="0000FF"/>
          <w:u w:val="single" w:color="0000FF"/>
        </w:rPr>
        <w:t> </w:t>
      </w:r>
      <w:hyperlink r:id="rId310">
        <w:r>
          <w:rPr>
            <w:color w:val="0000FF"/>
            <w:u w:val="single" w:color="0000FF"/>
          </w:rPr>
          <w:t>http://www.nao.org.uk/publications/1012/wga_2009-10.aspx</w:t>
        </w:r>
      </w:hyperlink>
      <w:r>
        <w:rPr>
          <w:color w:val="0000FF"/>
          <w:u w:val="single" w:color="0000FF"/>
        </w:rPr>
        <w:t> </w:t>
      </w:r>
      <w:hyperlink r:id="rId305">
        <w:r>
          <w:rPr>
            <w:color w:val="0000FF"/>
            <w:u w:val="single" w:color="0000FF"/>
          </w:rPr>
          <w:t>http://www.ife.org.mx/documentos/DECEYEC/eua.htm#sistpol</w:t>
        </w:r>
      </w:hyperlink>
      <w:r>
        <w:rPr>
          <w:color w:val="0000FF"/>
          <w:u w:val="single" w:color="0000FF"/>
        </w:rPr>
        <w:t> </w:t>
      </w:r>
      <w:r>
        <w:rPr/>
        <w:t>[Fecha de consulta: 23 de abril, 2015]</w:t>
      </w:r>
    </w:p>
    <w:sectPr>
      <w:pgSz w:w="11910" w:h="16840"/>
      <w:pgMar w:header="0" w:footer="998" w:top="1360" w:bottom="11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Arial Black">
    <w:altName w:val="Arial Black"/>
    <w:charset w:val="0"/>
    <w:family w:val="swiss"/>
    <w:pitch w:val="variable"/>
  </w:font>
  <w:font w:name="Symbol">
    <w:altName w:val="Symbol"/>
    <w:charset w:val="2"/>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380005pt;margin-top:731.125pt;width:9.65pt;height:13pt;mso-position-horizontal-relative:page;mso-position-vertical-relative:page;z-index:-3572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70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7040" from="85.025002pt,704.375pt" to="229.075002pt,704.375pt" stroked="true" strokeweight=".79999pt" strokecolor="#000000">
          <w10:wrap type="none"/>
        </v:line>
      </w:pict>
    </w:r>
    <w:r>
      <w:rPr/>
      <w:pict>
        <v:shape style="position:absolute;margin-left:84.025002pt;margin-top:708.864136pt;width:381.35pt;height:12.45pt;mso-position-horizontal-relative:page;mso-position-vertical-relative:page;z-index:-357016" type="#_x0000_t202" filled="false" stroked="false">
          <v:textbox inset="0,0,0,0">
            <w:txbxContent>
              <w:p>
                <w:pPr>
                  <w:spacing w:before="7"/>
                  <w:ind w:left="20" w:right="0" w:firstLine="0"/>
                  <w:jc w:val="left"/>
                  <w:rPr>
                    <w:sz w:val="16"/>
                  </w:rPr>
                </w:pPr>
                <w:r>
                  <w:rPr>
                    <w:rFonts w:ascii="Times New Roman"/>
                    <w:position w:val="7"/>
                    <w:sz w:val="13"/>
                  </w:rPr>
                  <w:t>26</w:t>
                </w:r>
                <w:r>
                  <w:rPr>
                    <w:sz w:val="16"/>
                  </w:rPr>
                  <w:t>Disponible en: </w:t>
                </w:r>
                <w:hyperlink r:id="rId1">
                  <w:r>
                    <w:rPr>
                      <w:sz w:val="16"/>
                    </w:rPr>
                    <w:t>http://www.oecd.org/dataoecd/32/18/31557724.pdf</w:t>
                  </w:r>
                </w:hyperlink>
                <w:r>
                  <w:rPr>
                    <w:sz w:val="16"/>
                  </w:rPr>
                  <w:t> [Fecha de consulta: 22 de mayo, 2015]</w:t>
                </w:r>
              </w:p>
            </w:txbxContent>
          </v:textbox>
          <w10:wrap type="none"/>
        </v:shape>
      </w:pict>
    </w:r>
    <w:r>
      <w:rPr/>
      <w:pict>
        <v:shape style="position:absolute;margin-left:513.75pt;margin-top:731.125pt;width:15.25pt;height:13pt;mso-position-horizontal-relative:page;mso-position-vertical-relative:page;z-index:-3569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69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356944"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69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356896"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68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356848"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68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356800"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350006pt;margin-top:731.125pt;width:18.7pt;height:13pt;mso-position-horizontal-relative:page;mso-position-vertical-relative:page;z-index:-3572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67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356752"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67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356704"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66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149994pt;margin-top:731.125pt;width:18.8pt;height:13pt;mso-position-horizontal-relative:page;mso-position-vertical-relative:page;z-index:-356656"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149994pt;margin-top:731.125pt;width:20.85pt;height:13pt;mso-position-horizontal-relative:page;mso-position-vertical-relative:page;z-index:-3566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106</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6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108</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584"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5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75pt;margin-top:731.125pt;width:15.5pt;height:13pt;mso-position-horizontal-relative:page;mso-position-vertical-relative:page;z-index:-3572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536"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5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488" type="#_x0000_t202" filled="false" stroked="false">
          <v:textbox inset="0,0,0,0">
            <w:txbxContent>
              <w:p>
                <w:pPr>
                  <w:spacing w:line="244" w:lineRule="exact" w:before="0"/>
                  <w:ind w:left="20" w:right="0" w:firstLine="0"/>
                  <w:jc w:val="left"/>
                  <w:rPr>
                    <w:rFonts w:ascii="Calibri"/>
                    <w:sz w:val="22"/>
                  </w:rPr>
                </w:pPr>
                <w:r>
                  <w:rPr>
                    <w:rFonts w:ascii="Calibri"/>
                    <w:sz w:val="22"/>
                  </w:rPr>
                  <w:t>130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464" type="#_x0000_t202" filled="false" stroked="false">
          <v:textbox inset="0,0,0,0">
            <w:txbxContent>
              <w:p>
                <w:pPr>
                  <w:spacing w:line="244" w:lineRule="exact" w:before="0"/>
                  <w:ind w:left="20" w:right="0" w:firstLine="0"/>
                  <w:jc w:val="left"/>
                  <w:rPr>
                    <w:rFonts w:ascii="Calibri"/>
                    <w:sz w:val="22"/>
                  </w:rPr>
                </w:pPr>
                <w:r>
                  <w:rPr>
                    <w:rFonts w:ascii="Calibri"/>
                    <w:sz w:val="22"/>
                  </w:rPr>
                  <w:t>131</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25002pt;margin-top:761.692444pt;width:160.3pt;height:10pt;mso-position-horizontal-relative:page;mso-position-vertical-relative:page;z-index:-356440" type="#_x0000_t202" filled="false" stroked="false">
          <v:textbox inset="0,0,0,0">
            <w:txbxContent>
              <w:p>
                <w:pPr>
                  <w:spacing w:line="184" w:lineRule="exact" w:before="0"/>
                  <w:ind w:left="20" w:right="-1" w:firstLine="0"/>
                  <w:jc w:val="left"/>
                  <w:rPr>
                    <w:sz w:val="16"/>
                  </w:rPr>
                </w:pPr>
                <w:r>
                  <w:rPr>
                    <w:sz w:val="16"/>
                  </w:rPr>
                  <w:t>[Fecha de consulta: 25 de septiembre, 2015]</w:t>
                </w:r>
              </w:p>
            </w:txbxContent>
          </v:textbox>
          <w10:wrap type="none"/>
        </v:shape>
      </w:pict>
    </w:r>
    <w:r>
      <w:rPr/>
      <w:pict>
        <v:shape style="position:absolute;margin-left:492.549988pt;margin-top:780.924988pt;width:18.8pt;height:13pt;mso-position-horizontal-relative:page;mso-position-vertical-relative:page;z-index:-356416" type="#_x0000_t202" filled="false" stroked="false">
          <v:textbox inset="0,0,0,0">
            <w:txbxContent>
              <w:p>
                <w:pPr>
                  <w:spacing w:line="244" w:lineRule="exact" w:before="0"/>
                  <w:ind w:left="20" w:right="0" w:firstLine="0"/>
                  <w:jc w:val="left"/>
                  <w:rPr>
                    <w:rFonts w:ascii="Calibri"/>
                    <w:sz w:val="22"/>
                  </w:rPr>
                </w:pPr>
                <w:r>
                  <w:rPr>
                    <w:rFonts w:ascii="Calibri"/>
                    <w:sz w:val="22"/>
                  </w:rPr>
                  <w:t>132</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3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133</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368" type="#_x0000_t202" filled="false" stroked="false">
          <v:textbox inset="0,0,0,0">
            <w:txbxContent>
              <w:p>
                <w:pPr>
                  <w:spacing w:line="244" w:lineRule="exact" w:before="0"/>
                  <w:ind w:left="20" w:right="0" w:firstLine="0"/>
                  <w:jc w:val="left"/>
                  <w:rPr>
                    <w:rFonts w:ascii="Calibri"/>
                    <w:sz w:val="22"/>
                  </w:rPr>
                </w:pPr>
                <w:r>
                  <w:rPr>
                    <w:rFonts w:ascii="Calibri"/>
                    <w:sz w:val="22"/>
                  </w:rPr>
                  <w:t>140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3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320" type="#_x0000_t202" filled="false" stroked="false">
          <v:textbox inset="0,0,0,0">
            <w:txbxContent>
              <w:p>
                <w:pPr>
                  <w:spacing w:line="244" w:lineRule="exact" w:before="0"/>
                  <w:ind w:left="20" w:right="0" w:firstLine="0"/>
                  <w:jc w:val="left"/>
                  <w:rPr>
                    <w:rFonts w:ascii="Calibri"/>
                    <w:sz w:val="22"/>
                  </w:rPr>
                </w:pPr>
                <w:r>
                  <w:rPr>
                    <w:rFonts w:ascii="Calibri"/>
                    <w:sz w:val="22"/>
                  </w:rPr>
                  <w:t>150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2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9.380005pt;margin-top:731.125pt;width:9.6pt;height:13pt;mso-position-horizontal-relative:page;mso-position-vertical-relative:page;z-index:-3572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272" type="#_x0000_t202" filled="false" stroked="false">
          <v:textbox inset="0,0,0,0">
            <w:txbxContent>
              <w:p>
                <w:pPr>
                  <w:spacing w:line="244" w:lineRule="exact" w:before="0"/>
                  <w:ind w:left="20" w:right="0" w:firstLine="0"/>
                  <w:jc w:val="left"/>
                  <w:rPr>
                    <w:rFonts w:ascii="Calibri"/>
                    <w:sz w:val="22"/>
                  </w:rPr>
                </w:pPr>
                <w:r>
                  <w:rPr>
                    <w:rFonts w:ascii="Calibri"/>
                    <w:sz w:val="22"/>
                  </w:rPr>
                  <w:t>160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2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224" type="#_x0000_t202" filled="false" stroked="false">
          <v:textbox inset="0,0,0,0">
            <w:txbxContent>
              <w:p>
                <w:pPr>
                  <w:spacing w:line="244" w:lineRule="exact" w:before="0"/>
                  <w:ind w:left="20" w:right="0" w:firstLine="0"/>
                  <w:jc w:val="left"/>
                  <w:rPr>
                    <w:rFonts w:ascii="Calibri"/>
                    <w:sz w:val="22"/>
                  </w:rPr>
                </w:pPr>
                <w:r>
                  <w:rPr>
                    <w:rFonts w:ascii="Calibri"/>
                    <w:sz w:val="22"/>
                  </w:rPr>
                  <w:t>170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2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176" type="#_x0000_t202" filled="false" stroked="false">
          <v:textbox inset="0,0,0,0">
            <w:txbxContent>
              <w:p>
                <w:pPr>
                  <w:spacing w:line="244" w:lineRule="exact" w:before="0"/>
                  <w:ind w:left="20" w:right="0" w:firstLine="0"/>
                  <w:jc w:val="left"/>
                  <w:rPr>
                    <w:rFonts w:ascii="Calibri"/>
                    <w:sz w:val="22"/>
                  </w:rPr>
                </w:pPr>
                <w:r>
                  <w:rPr>
                    <w:rFonts w:ascii="Calibri"/>
                    <w:sz w:val="22"/>
                  </w:rPr>
                  <w:t>180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1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356128" type="#_x0000_t202" filled="false" stroked="false">
          <v:textbox inset="0,0,0,0">
            <w:txbxContent>
              <w:p>
                <w:pPr>
                  <w:spacing w:line="244" w:lineRule="exact" w:before="0"/>
                  <w:ind w:left="20" w:right="0" w:firstLine="0"/>
                  <w:jc w:val="left"/>
                  <w:rPr>
                    <w:rFonts w:ascii="Calibri"/>
                    <w:sz w:val="22"/>
                  </w:rPr>
                </w:pPr>
                <w:r>
                  <w:rPr>
                    <w:rFonts w:ascii="Calibri"/>
                    <w:sz w:val="22"/>
                  </w:rPr>
                  <w:t>190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3561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357184"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71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357136"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3571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357088"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3">
    <w:multiLevelType w:val="hybridMultilevel"/>
    <w:lvl w:ilvl="0">
      <w:start w:val="1"/>
      <w:numFmt w:val="decimal"/>
      <w:lvlText w:val="%1."/>
      <w:lvlJc w:val="left"/>
      <w:pPr>
        <w:ind w:left="829" w:hanging="281"/>
        <w:jc w:val="left"/>
      </w:pPr>
      <w:rPr>
        <w:rFonts w:hint="default" w:ascii="Arial" w:hAnsi="Arial" w:eastAsia="Arial" w:cs="Arial"/>
        <w:spacing w:val="-2"/>
        <w:w w:val="100"/>
        <w:sz w:val="24"/>
        <w:szCs w:val="24"/>
      </w:rPr>
    </w:lvl>
    <w:lvl w:ilvl="1">
      <w:start w:val="1"/>
      <w:numFmt w:val="decimal"/>
      <w:lvlText w:val="%1.%2)"/>
      <w:lvlJc w:val="left"/>
      <w:pPr>
        <w:ind w:left="1397" w:hanging="568"/>
        <w:jc w:val="left"/>
      </w:pPr>
      <w:rPr>
        <w:rFonts w:hint="default" w:ascii="Arial" w:hAnsi="Arial" w:eastAsia="Arial" w:cs="Arial"/>
        <w:spacing w:val="-11"/>
        <w:w w:val="99"/>
        <w:sz w:val="24"/>
        <w:szCs w:val="24"/>
      </w:rPr>
    </w:lvl>
    <w:lvl w:ilvl="2">
      <w:start w:val="1"/>
      <w:numFmt w:val="bullet"/>
      <w:lvlText w:val="•"/>
      <w:lvlJc w:val="left"/>
      <w:pPr>
        <w:ind w:left="2214" w:hanging="568"/>
      </w:pPr>
      <w:rPr>
        <w:rFonts w:hint="default"/>
      </w:rPr>
    </w:lvl>
    <w:lvl w:ilvl="3">
      <w:start w:val="1"/>
      <w:numFmt w:val="bullet"/>
      <w:lvlText w:val="•"/>
      <w:lvlJc w:val="left"/>
      <w:pPr>
        <w:ind w:left="3028" w:hanging="568"/>
      </w:pPr>
      <w:rPr>
        <w:rFonts w:hint="default"/>
      </w:rPr>
    </w:lvl>
    <w:lvl w:ilvl="4">
      <w:start w:val="1"/>
      <w:numFmt w:val="bullet"/>
      <w:lvlText w:val="•"/>
      <w:lvlJc w:val="left"/>
      <w:pPr>
        <w:ind w:left="3842" w:hanging="568"/>
      </w:pPr>
      <w:rPr>
        <w:rFonts w:hint="default"/>
      </w:rPr>
    </w:lvl>
    <w:lvl w:ilvl="5">
      <w:start w:val="1"/>
      <w:numFmt w:val="bullet"/>
      <w:lvlText w:val="•"/>
      <w:lvlJc w:val="left"/>
      <w:pPr>
        <w:ind w:left="4656" w:hanging="568"/>
      </w:pPr>
      <w:rPr>
        <w:rFonts w:hint="default"/>
      </w:rPr>
    </w:lvl>
    <w:lvl w:ilvl="6">
      <w:start w:val="1"/>
      <w:numFmt w:val="bullet"/>
      <w:lvlText w:val="•"/>
      <w:lvlJc w:val="left"/>
      <w:pPr>
        <w:ind w:left="5471" w:hanging="568"/>
      </w:pPr>
      <w:rPr>
        <w:rFonts w:hint="default"/>
      </w:rPr>
    </w:lvl>
    <w:lvl w:ilvl="7">
      <w:start w:val="1"/>
      <w:numFmt w:val="bullet"/>
      <w:lvlText w:val="•"/>
      <w:lvlJc w:val="left"/>
      <w:pPr>
        <w:ind w:left="6285" w:hanging="568"/>
      </w:pPr>
      <w:rPr>
        <w:rFonts w:hint="default"/>
      </w:rPr>
    </w:lvl>
    <w:lvl w:ilvl="8">
      <w:start w:val="1"/>
      <w:numFmt w:val="bullet"/>
      <w:lvlText w:val="•"/>
      <w:lvlJc w:val="left"/>
      <w:pPr>
        <w:ind w:left="7099" w:hanging="568"/>
      </w:pPr>
      <w:rPr>
        <w:rFonts w:hint="default"/>
      </w:rPr>
    </w:lvl>
  </w:abstractNum>
  <w:abstractNum w:abstractNumId="69">
    <w:multiLevelType w:val="hybridMultilevel"/>
    <w:lvl w:ilvl="0">
      <w:start w:val="1"/>
      <w:numFmt w:val="decimal"/>
      <w:lvlText w:val="%1)"/>
      <w:lvlJc w:val="left"/>
      <w:pPr>
        <w:ind w:left="861" w:hanging="361"/>
        <w:jc w:val="left"/>
      </w:pPr>
      <w:rPr>
        <w:rFonts w:hint="default" w:ascii="Arial" w:hAnsi="Arial" w:eastAsia="Arial" w:cs="Arial"/>
        <w:spacing w:val="-2"/>
        <w:w w:val="99"/>
        <w:sz w:val="24"/>
        <w:szCs w:val="24"/>
      </w:rPr>
    </w:lvl>
    <w:lvl w:ilvl="1">
      <w:start w:val="1"/>
      <w:numFmt w:val="bullet"/>
      <w:lvlText w:val="•"/>
      <w:lvlJc w:val="left"/>
      <w:pPr>
        <w:ind w:left="1654" w:hanging="361"/>
      </w:pPr>
      <w:rPr>
        <w:rFonts w:hint="default"/>
      </w:rPr>
    </w:lvl>
    <w:lvl w:ilvl="2">
      <w:start w:val="1"/>
      <w:numFmt w:val="bullet"/>
      <w:lvlText w:val="•"/>
      <w:lvlJc w:val="left"/>
      <w:pPr>
        <w:ind w:left="2449" w:hanging="361"/>
      </w:pPr>
      <w:rPr>
        <w:rFonts w:hint="default"/>
      </w:rPr>
    </w:lvl>
    <w:lvl w:ilvl="3">
      <w:start w:val="1"/>
      <w:numFmt w:val="bullet"/>
      <w:lvlText w:val="•"/>
      <w:lvlJc w:val="left"/>
      <w:pPr>
        <w:ind w:left="3244" w:hanging="361"/>
      </w:pPr>
      <w:rPr>
        <w:rFonts w:hint="default"/>
      </w:rPr>
    </w:lvl>
    <w:lvl w:ilvl="4">
      <w:start w:val="1"/>
      <w:numFmt w:val="bullet"/>
      <w:lvlText w:val="•"/>
      <w:lvlJc w:val="left"/>
      <w:pPr>
        <w:ind w:left="4039" w:hanging="361"/>
      </w:pPr>
      <w:rPr>
        <w:rFonts w:hint="default"/>
      </w:rPr>
    </w:lvl>
    <w:lvl w:ilvl="5">
      <w:start w:val="1"/>
      <w:numFmt w:val="bullet"/>
      <w:lvlText w:val="•"/>
      <w:lvlJc w:val="left"/>
      <w:pPr>
        <w:ind w:left="4834" w:hanging="361"/>
      </w:pPr>
      <w:rPr>
        <w:rFonts w:hint="default"/>
      </w:rPr>
    </w:lvl>
    <w:lvl w:ilvl="6">
      <w:start w:val="1"/>
      <w:numFmt w:val="bullet"/>
      <w:lvlText w:val="•"/>
      <w:lvlJc w:val="left"/>
      <w:pPr>
        <w:ind w:left="5628" w:hanging="361"/>
      </w:pPr>
      <w:rPr>
        <w:rFonts w:hint="default"/>
      </w:rPr>
    </w:lvl>
    <w:lvl w:ilvl="7">
      <w:start w:val="1"/>
      <w:numFmt w:val="bullet"/>
      <w:lvlText w:val="•"/>
      <w:lvlJc w:val="left"/>
      <w:pPr>
        <w:ind w:left="6423" w:hanging="361"/>
      </w:pPr>
      <w:rPr>
        <w:rFonts w:hint="default"/>
      </w:rPr>
    </w:lvl>
    <w:lvl w:ilvl="8">
      <w:start w:val="1"/>
      <w:numFmt w:val="bullet"/>
      <w:lvlText w:val="•"/>
      <w:lvlJc w:val="left"/>
      <w:pPr>
        <w:ind w:left="7218" w:hanging="361"/>
      </w:pPr>
      <w:rPr>
        <w:rFonts w:hint="default"/>
      </w:rPr>
    </w:lvl>
  </w:abstractNum>
  <w:abstractNum w:abstractNumId="48">
    <w:multiLevelType w:val="hybridMultilevel"/>
    <w:lvl w:ilvl="0">
      <w:start w:val="1"/>
      <w:numFmt w:val="lowerLetter"/>
      <w:lvlText w:val="%1)"/>
      <w:lvlJc w:val="left"/>
      <w:pPr>
        <w:ind w:left="841" w:hanging="361"/>
        <w:jc w:val="left"/>
      </w:pPr>
      <w:rPr>
        <w:rFonts w:hint="default" w:ascii="Arial" w:hAnsi="Arial" w:eastAsia="Arial" w:cs="Arial"/>
        <w:spacing w:val="-2"/>
        <w:w w:val="99"/>
        <w:sz w:val="24"/>
        <w:szCs w:val="24"/>
      </w:rPr>
    </w:lvl>
    <w:lvl w:ilvl="1">
      <w:start w:val="1"/>
      <w:numFmt w:val="bullet"/>
      <w:lvlText w:val="•"/>
      <w:lvlJc w:val="left"/>
      <w:pPr>
        <w:ind w:left="1664" w:hanging="361"/>
      </w:pPr>
      <w:rPr>
        <w:rFonts w:hint="default"/>
      </w:rPr>
    </w:lvl>
    <w:lvl w:ilvl="2">
      <w:start w:val="1"/>
      <w:numFmt w:val="bullet"/>
      <w:lvlText w:val="•"/>
      <w:lvlJc w:val="left"/>
      <w:pPr>
        <w:ind w:left="2488" w:hanging="361"/>
      </w:pPr>
      <w:rPr>
        <w:rFonts w:hint="default"/>
      </w:rPr>
    </w:lvl>
    <w:lvl w:ilvl="3">
      <w:start w:val="1"/>
      <w:numFmt w:val="bullet"/>
      <w:lvlText w:val="•"/>
      <w:lvlJc w:val="left"/>
      <w:pPr>
        <w:ind w:left="3312" w:hanging="361"/>
      </w:pPr>
      <w:rPr>
        <w:rFonts w:hint="default"/>
      </w:rPr>
    </w:lvl>
    <w:lvl w:ilvl="4">
      <w:start w:val="1"/>
      <w:numFmt w:val="bullet"/>
      <w:lvlText w:val="•"/>
      <w:lvlJc w:val="left"/>
      <w:pPr>
        <w:ind w:left="4136" w:hanging="361"/>
      </w:pPr>
      <w:rPr>
        <w:rFonts w:hint="default"/>
      </w:rPr>
    </w:lvl>
    <w:lvl w:ilvl="5">
      <w:start w:val="1"/>
      <w:numFmt w:val="bullet"/>
      <w:lvlText w:val="•"/>
      <w:lvlJc w:val="left"/>
      <w:pPr>
        <w:ind w:left="4960" w:hanging="361"/>
      </w:pPr>
      <w:rPr>
        <w:rFonts w:hint="default"/>
      </w:rPr>
    </w:lvl>
    <w:lvl w:ilvl="6">
      <w:start w:val="1"/>
      <w:numFmt w:val="bullet"/>
      <w:lvlText w:val="•"/>
      <w:lvlJc w:val="left"/>
      <w:pPr>
        <w:ind w:left="5784" w:hanging="361"/>
      </w:pPr>
      <w:rPr>
        <w:rFonts w:hint="default"/>
      </w:rPr>
    </w:lvl>
    <w:lvl w:ilvl="7">
      <w:start w:val="1"/>
      <w:numFmt w:val="bullet"/>
      <w:lvlText w:val="•"/>
      <w:lvlJc w:val="left"/>
      <w:pPr>
        <w:ind w:left="6608" w:hanging="361"/>
      </w:pPr>
      <w:rPr>
        <w:rFonts w:hint="default"/>
      </w:rPr>
    </w:lvl>
    <w:lvl w:ilvl="8">
      <w:start w:val="1"/>
      <w:numFmt w:val="bullet"/>
      <w:lvlText w:val="•"/>
      <w:lvlJc w:val="left"/>
      <w:pPr>
        <w:ind w:left="7432" w:hanging="361"/>
      </w:pPr>
      <w:rPr>
        <w:rFonts w:hint="default"/>
      </w:rPr>
    </w:lvl>
  </w:abstractNum>
  <w:abstractNum w:abstractNumId="22">
    <w:multiLevelType w:val="hybridMultilevel"/>
    <w:lvl w:ilvl="0">
      <w:start w:val="1"/>
      <w:numFmt w:val="lowerLetter"/>
      <w:lvlText w:val="%1)"/>
      <w:lvlJc w:val="left"/>
      <w:pPr>
        <w:ind w:left="1181" w:hanging="360"/>
        <w:jc w:val="left"/>
      </w:pPr>
      <w:rPr>
        <w:rFonts w:hint="default" w:ascii="Arial" w:hAnsi="Arial" w:eastAsia="Arial" w:cs="Arial"/>
        <w:spacing w:val="-2"/>
        <w:w w:val="99"/>
        <w:sz w:val="24"/>
        <w:szCs w:val="24"/>
      </w:rPr>
    </w:lvl>
    <w:lvl w:ilvl="1">
      <w:start w:val="1"/>
      <w:numFmt w:val="bullet"/>
      <w:lvlText w:val="•"/>
      <w:lvlJc w:val="left"/>
      <w:pPr>
        <w:ind w:left="1966" w:hanging="360"/>
      </w:pPr>
      <w:rPr>
        <w:rFonts w:hint="default"/>
      </w:rPr>
    </w:lvl>
    <w:lvl w:ilvl="2">
      <w:start w:val="1"/>
      <w:numFmt w:val="bullet"/>
      <w:lvlText w:val="•"/>
      <w:lvlJc w:val="left"/>
      <w:pPr>
        <w:ind w:left="2752" w:hanging="360"/>
      </w:pPr>
      <w:rPr>
        <w:rFonts w:hint="default"/>
      </w:rPr>
    </w:lvl>
    <w:lvl w:ilvl="3">
      <w:start w:val="1"/>
      <w:numFmt w:val="bullet"/>
      <w:lvlText w:val="•"/>
      <w:lvlJc w:val="left"/>
      <w:pPr>
        <w:ind w:left="353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5896" w:hanging="360"/>
      </w:pPr>
      <w:rPr>
        <w:rFonts w:hint="default"/>
      </w:rPr>
    </w:lvl>
    <w:lvl w:ilvl="7">
      <w:start w:val="1"/>
      <w:numFmt w:val="bullet"/>
      <w:lvlText w:val="•"/>
      <w:lvlJc w:val="left"/>
      <w:pPr>
        <w:ind w:left="6682" w:hanging="360"/>
      </w:pPr>
      <w:rPr>
        <w:rFonts w:hint="default"/>
      </w:rPr>
    </w:lvl>
    <w:lvl w:ilvl="8">
      <w:start w:val="1"/>
      <w:numFmt w:val="bullet"/>
      <w:lvlText w:val="•"/>
      <w:lvlJc w:val="left"/>
      <w:pPr>
        <w:ind w:left="7468" w:hanging="360"/>
      </w:pPr>
      <w:rPr>
        <w:rFonts w:hint="default"/>
      </w:rPr>
    </w:lvl>
  </w:abstractNum>
  <w:abstractNum w:abstractNumId="19">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decimal"/>
      <w:lvlText w:val="%2)"/>
      <w:lvlJc w:val="left"/>
      <w:pPr>
        <w:ind w:left="821" w:hanging="361"/>
        <w:jc w:val="left"/>
      </w:pPr>
      <w:rPr>
        <w:rFonts w:hint="default" w:ascii="Arial" w:hAnsi="Arial" w:eastAsia="Arial" w:cs="Arial"/>
        <w:spacing w:val="-2"/>
        <w:w w:val="99"/>
        <w:sz w:val="24"/>
        <w:szCs w:val="24"/>
      </w:rPr>
    </w:lvl>
    <w:lvl w:ilvl="2">
      <w:start w:val="1"/>
      <w:numFmt w:val="bullet"/>
      <w:lvlText w:val="•"/>
      <w:lvlJc w:val="left"/>
      <w:pPr>
        <w:ind w:left="2468" w:hanging="361"/>
      </w:pPr>
      <w:rPr>
        <w:rFonts w:hint="default"/>
      </w:rPr>
    </w:lvl>
    <w:lvl w:ilvl="3">
      <w:start w:val="1"/>
      <w:numFmt w:val="bullet"/>
      <w:lvlText w:val="•"/>
      <w:lvlJc w:val="left"/>
      <w:pPr>
        <w:ind w:left="3292" w:hanging="361"/>
      </w:pPr>
      <w:rPr>
        <w:rFonts w:hint="default"/>
      </w:rPr>
    </w:lvl>
    <w:lvl w:ilvl="4">
      <w:start w:val="1"/>
      <w:numFmt w:val="bullet"/>
      <w:lvlText w:val="•"/>
      <w:lvlJc w:val="left"/>
      <w:pPr>
        <w:ind w:left="4116" w:hanging="361"/>
      </w:pPr>
      <w:rPr>
        <w:rFonts w:hint="default"/>
      </w:rPr>
    </w:lvl>
    <w:lvl w:ilvl="5">
      <w:start w:val="1"/>
      <w:numFmt w:val="bullet"/>
      <w:lvlText w:val="•"/>
      <w:lvlJc w:val="left"/>
      <w:pPr>
        <w:ind w:left="4940" w:hanging="361"/>
      </w:pPr>
      <w:rPr>
        <w:rFonts w:hint="default"/>
      </w:rPr>
    </w:lvl>
    <w:lvl w:ilvl="6">
      <w:start w:val="1"/>
      <w:numFmt w:val="bullet"/>
      <w:lvlText w:val="•"/>
      <w:lvlJc w:val="left"/>
      <w:pPr>
        <w:ind w:left="5764" w:hanging="361"/>
      </w:pPr>
      <w:rPr>
        <w:rFonts w:hint="default"/>
      </w:rPr>
    </w:lvl>
    <w:lvl w:ilvl="7">
      <w:start w:val="1"/>
      <w:numFmt w:val="bullet"/>
      <w:lvlText w:val="•"/>
      <w:lvlJc w:val="left"/>
      <w:pPr>
        <w:ind w:left="6588" w:hanging="361"/>
      </w:pPr>
      <w:rPr>
        <w:rFonts w:hint="default"/>
      </w:rPr>
    </w:lvl>
    <w:lvl w:ilvl="8">
      <w:start w:val="1"/>
      <w:numFmt w:val="bullet"/>
      <w:lvlText w:val="•"/>
      <w:lvlJc w:val="left"/>
      <w:pPr>
        <w:ind w:left="7412" w:hanging="361"/>
      </w:pPr>
      <w:rPr>
        <w:rFonts w:hint="default"/>
      </w:rPr>
    </w:lvl>
  </w:abstractNum>
  <w:abstractNum w:abstractNumId="17">
    <w:multiLevelType w:val="hybridMultilevel"/>
    <w:lvl w:ilvl="0">
      <w:start w:val="1"/>
      <w:numFmt w:val="lowerLetter"/>
      <w:lvlText w:val="%1)"/>
      <w:lvlJc w:val="left"/>
      <w:pPr>
        <w:ind w:left="841" w:hanging="361"/>
        <w:jc w:val="left"/>
      </w:pPr>
      <w:rPr>
        <w:rFonts w:hint="default" w:ascii="Arial" w:hAnsi="Arial" w:eastAsia="Arial" w:cs="Arial"/>
        <w:spacing w:val="-2"/>
        <w:w w:val="99"/>
        <w:sz w:val="24"/>
        <w:szCs w:val="24"/>
      </w:rPr>
    </w:lvl>
    <w:lvl w:ilvl="1">
      <w:start w:val="1"/>
      <w:numFmt w:val="bullet"/>
      <w:lvlText w:val="•"/>
      <w:lvlJc w:val="left"/>
      <w:pPr>
        <w:ind w:left="1664" w:hanging="361"/>
      </w:pPr>
      <w:rPr>
        <w:rFonts w:hint="default"/>
      </w:rPr>
    </w:lvl>
    <w:lvl w:ilvl="2">
      <w:start w:val="1"/>
      <w:numFmt w:val="bullet"/>
      <w:lvlText w:val="•"/>
      <w:lvlJc w:val="left"/>
      <w:pPr>
        <w:ind w:left="2488" w:hanging="361"/>
      </w:pPr>
      <w:rPr>
        <w:rFonts w:hint="default"/>
      </w:rPr>
    </w:lvl>
    <w:lvl w:ilvl="3">
      <w:start w:val="1"/>
      <w:numFmt w:val="bullet"/>
      <w:lvlText w:val="•"/>
      <w:lvlJc w:val="left"/>
      <w:pPr>
        <w:ind w:left="3312" w:hanging="361"/>
      </w:pPr>
      <w:rPr>
        <w:rFonts w:hint="default"/>
      </w:rPr>
    </w:lvl>
    <w:lvl w:ilvl="4">
      <w:start w:val="1"/>
      <w:numFmt w:val="bullet"/>
      <w:lvlText w:val="•"/>
      <w:lvlJc w:val="left"/>
      <w:pPr>
        <w:ind w:left="4136" w:hanging="361"/>
      </w:pPr>
      <w:rPr>
        <w:rFonts w:hint="default"/>
      </w:rPr>
    </w:lvl>
    <w:lvl w:ilvl="5">
      <w:start w:val="1"/>
      <w:numFmt w:val="bullet"/>
      <w:lvlText w:val="•"/>
      <w:lvlJc w:val="left"/>
      <w:pPr>
        <w:ind w:left="4960" w:hanging="361"/>
      </w:pPr>
      <w:rPr>
        <w:rFonts w:hint="default"/>
      </w:rPr>
    </w:lvl>
    <w:lvl w:ilvl="6">
      <w:start w:val="1"/>
      <w:numFmt w:val="bullet"/>
      <w:lvlText w:val="•"/>
      <w:lvlJc w:val="left"/>
      <w:pPr>
        <w:ind w:left="5784" w:hanging="361"/>
      </w:pPr>
      <w:rPr>
        <w:rFonts w:hint="default"/>
      </w:rPr>
    </w:lvl>
    <w:lvl w:ilvl="7">
      <w:start w:val="1"/>
      <w:numFmt w:val="bullet"/>
      <w:lvlText w:val="•"/>
      <w:lvlJc w:val="left"/>
      <w:pPr>
        <w:ind w:left="6608" w:hanging="361"/>
      </w:pPr>
      <w:rPr>
        <w:rFonts w:hint="default"/>
      </w:rPr>
    </w:lvl>
    <w:lvl w:ilvl="8">
      <w:start w:val="1"/>
      <w:numFmt w:val="bullet"/>
      <w:lvlText w:val="•"/>
      <w:lvlJc w:val="left"/>
      <w:pPr>
        <w:ind w:left="7432" w:hanging="361"/>
      </w:pPr>
      <w:rPr>
        <w:rFonts w:hint="default"/>
      </w:rPr>
    </w:lvl>
  </w:abstractNum>
  <w:abstractNum w:abstractNumId="7">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lowerLetter"/>
      <w:lvlText w:val="%2)"/>
      <w:lvlJc w:val="left"/>
      <w:pPr>
        <w:ind w:left="821" w:hanging="361"/>
        <w:jc w:val="left"/>
      </w:pPr>
      <w:rPr>
        <w:rFonts w:hint="default" w:ascii="Arial" w:hAnsi="Arial" w:eastAsia="Arial" w:cs="Arial"/>
        <w:spacing w:val="-2"/>
        <w:w w:val="99"/>
        <w:sz w:val="24"/>
        <w:szCs w:val="24"/>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92">
    <w:multiLevelType w:val="hybridMultilevel"/>
    <w:lvl w:ilvl="0">
      <w:start w:val="1"/>
      <w:numFmt w:val="lowerLetter"/>
      <w:lvlText w:val="%1)"/>
      <w:lvlJc w:val="left"/>
      <w:pPr>
        <w:ind w:left="380" w:hanging="280"/>
        <w:jc w:val="left"/>
      </w:pPr>
      <w:rPr>
        <w:rFonts w:hint="default" w:ascii="Arial" w:hAnsi="Arial" w:eastAsia="Arial" w:cs="Arial"/>
        <w:i/>
        <w:spacing w:val="-2"/>
        <w:w w:val="99"/>
        <w:sz w:val="24"/>
        <w:szCs w:val="24"/>
      </w:rPr>
    </w:lvl>
    <w:lvl w:ilvl="1">
      <w:start w:val="1"/>
      <w:numFmt w:val="lowerLetter"/>
      <w:lvlText w:val="%2)"/>
      <w:lvlJc w:val="left"/>
      <w:pPr>
        <w:ind w:left="821" w:hanging="361"/>
        <w:jc w:val="right"/>
      </w:pPr>
      <w:rPr>
        <w:rFonts w:hint="default" w:ascii="Arial" w:hAnsi="Arial" w:eastAsia="Arial" w:cs="Arial"/>
        <w:spacing w:val="-2"/>
        <w:w w:val="99"/>
        <w:sz w:val="24"/>
        <w:szCs w:val="24"/>
      </w:rPr>
    </w:lvl>
    <w:lvl w:ilvl="2">
      <w:start w:val="1"/>
      <w:numFmt w:val="decimal"/>
      <w:lvlText w:val="%3)"/>
      <w:lvlJc w:val="left"/>
      <w:pPr>
        <w:ind w:left="821" w:hanging="361"/>
        <w:jc w:val="right"/>
      </w:pPr>
      <w:rPr>
        <w:rFonts w:hint="default" w:ascii="Arial" w:hAnsi="Arial" w:eastAsia="Arial" w:cs="Arial"/>
        <w:spacing w:val="-2"/>
        <w:w w:val="99"/>
        <w:sz w:val="24"/>
        <w:szCs w:val="24"/>
      </w:rPr>
    </w:lvl>
    <w:lvl w:ilvl="3">
      <w:start w:val="1"/>
      <w:numFmt w:val="bullet"/>
      <w:lvlText w:val="•"/>
      <w:lvlJc w:val="left"/>
      <w:pPr>
        <w:ind w:left="2572" w:hanging="361"/>
      </w:pPr>
      <w:rPr>
        <w:rFonts w:hint="default"/>
      </w:rPr>
    </w:lvl>
    <w:lvl w:ilvl="4">
      <w:start w:val="1"/>
      <w:numFmt w:val="bullet"/>
      <w:lvlText w:val="•"/>
      <w:lvlJc w:val="left"/>
      <w:pPr>
        <w:ind w:left="3449" w:hanging="361"/>
      </w:pPr>
      <w:rPr>
        <w:rFonts w:hint="default"/>
      </w:rPr>
    </w:lvl>
    <w:lvl w:ilvl="5">
      <w:start w:val="1"/>
      <w:numFmt w:val="bullet"/>
      <w:lvlText w:val="•"/>
      <w:lvlJc w:val="left"/>
      <w:pPr>
        <w:ind w:left="4325" w:hanging="361"/>
      </w:pPr>
      <w:rPr>
        <w:rFonts w:hint="default"/>
      </w:rPr>
    </w:lvl>
    <w:lvl w:ilvl="6">
      <w:start w:val="1"/>
      <w:numFmt w:val="bullet"/>
      <w:lvlText w:val="•"/>
      <w:lvlJc w:val="left"/>
      <w:pPr>
        <w:ind w:left="5202" w:hanging="361"/>
      </w:pPr>
      <w:rPr>
        <w:rFonts w:hint="default"/>
      </w:rPr>
    </w:lvl>
    <w:lvl w:ilvl="7">
      <w:start w:val="1"/>
      <w:numFmt w:val="bullet"/>
      <w:lvlText w:val="•"/>
      <w:lvlJc w:val="left"/>
      <w:pPr>
        <w:ind w:left="6078" w:hanging="361"/>
      </w:pPr>
      <w:rPr>
        <w:rFonts w:hint="default"/>
      </w:rPr>
    </w:lvl>
    <w:lvl w:ilvl="8">
      <w:start w:val="1"/>
      <w:numFmt w:val="bullet"/>
      <w:lvlText w:val="•"/>
      <w:lvlJc w:val="left"/>
      <w:pPr>
        <w:ind w:left="6955" w:hanging="361"/>
      </w:pPr>
      <w:rPr>
        <w:rFonts w:hint="default"/>
      </w:rPr>
    </w:lvl>
  </w:abstractNum>
  <w:abstractNum w:abstractNumId="91">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10" w:hanging="361"/>
      </w:pPr>
      <w:rPr>
        <w:rFonts w:hint="default"/>
      </w:rPr>
    </w:lvl>
    <w:lvl w:ilvl="2">
      <w:start w:val="1"/>
      <w:numFmt w:val="bullet"/>
      <w:lvlText w:val="•"/>
      <w:lvlJc w:val="left"/>
      <w:pPr>
        <w:ind w:left="2401" w:hanging="361"/>
      </w:pPr>
      <w:rPr>
        <w:rFonts w:hint="default"/>
      </w:rPr>
    </w:lvl>
    <w:lvl w:ilvl="3">
      <w:start w:val="1"/>
      <w:numFmt w:val="bullet"/>
      <w:lvlText w:val="•"/>
      <w:lvlJc w:val="left"/>
      <w:pPr>
        <w:ind w:left="3192" w:hanging="361"/>
      </w:pPr>
      <w:rPr>
        <w:rFonts w:hint="default"/>
      </w:rPr>
    </w:lvl>
    <w:lvl w:ilvl="4">
      <w:start w:val="1"/>
      <w:numFmt w:val="bullet"/>
      <w:lvlText w:val="•"/>
      <w:lvlJc w:val="left"/>
      <w:pPr>
        <w:ind w:left="3983" w:hanging="361"/>
      </w:pPr>
      <w:rPr>
        <w:rFonts w:hint="default"/>
      </w:rPr>
    </w:lvl>
    <w:lvl w:ilvl="5">
      <w:start w:val="1"/>
      <w:numFmt w:val="bullet"/>
      <w:lvlText w:val="•"/>
      <w:lvlJc w:val="left"/>
      <w:pPr>
        <w:ind w:left="4774" w:hanging="361"/>
      </w:pPr>
      <w:rPr>
        <w:rFonts w:hint="default"/>
      </w:rPr>
    </w:lvl>
    <w:lvl w:ilvl="6">
      <w:start w:val="1"/>
      <w:numFmt w:val="bullet"/>
      <w:lvlText w:val="•"/>
      <w:lvlJc w:val="left"/>
      <w:pPr>
        <w:ind w:left="5564" w:hanging="361"/>
      </w:pPr>
      <w:rPr>
        <w:rFonts w:hint="default"/>
      </w:rPr>
    </w:lvl>
    <w:lvl w:ilvl="7">
      <w:start w:val="1"/>
      <w:numFmt w:val="bullet"/>
      <w:lvlText w:val="•"/>
      <w:lvlJc w:val="left"/>
      <w:pPr>
        <w:ind w:left="6355" w:hanging="361"/>
      </w:pPr>
      <w:rPr>
        <w:rFonts w:hint="default"/>
      </w:rPr>
    </w:lvl>
    <w:lvl w:ilvl="8">
      <w:start w:val="1"/>
      <w:numFmt w:val="bullet"/>
      <w:lvlText w:val="•"/>
      <w:lvlJc w:val="left"/>
      <w:pPr>
        <w:ind w:left="7146" w:hanging="361"/>
      </w:pPr>
      <w:rPr>
        <w:rFonts w:hint="default"/>
      </w:rPr>
    </w:lvl>
  </w:abstractNum>
  <w:abstractNum w:abstractNumId="90">
    <w:multiLevelType w:val="hybridMultilevel"/>
    <w:lvl w:ilvl="0">
      <w:start w:val="1"/>
      <w:numFmt w:val="decimal"/>
      <w:lvlText w:val="%1)"/>
      <w:lvlJc w:val="left"/>
      <w:pPr>
        <w:ind w:left="841" w:hanging="361"/>
        <w:jc w:val="left"/>
      </w:pPr>
      <w:rPr>
        <w:rFonts w:hint="default" w:ascii="Arial" w:hAnsi="Arial" w:eastAsia="Arial" w:cs="Arial"/>
        <w:spacing w:val="-2"/>
        <w:w w:val="99"/>
        <w:sz w:val="24"/>
        <w:szCs w:val="24"/>
      </w:rPr>
    </w:lvl>
    <w:lvl w:ilvl="1">
      <w:start w:val="1"/>
      <w:numFmt w:val="bullet"/>
      <w:lvlText w:val="•"/>
      <w:lvlJc w:val="left"/>
      <w:pPr>
        <w:ind w:left="1628" w:hanging="361"/>
      </w:pPr>
      <w:rPr>
        <w:rFonts w:hint="default"/>
      </w:rPr>
    </w:lvl>
    <w:lvl w:ilvl="2">
      <w:start w:val="1"/>
      <w:numFmt w:val="bullet"/>
      <w:lvlText w:val="•"/>
      <w:lvlJc w:val="left"/>
      <w:pPr>
        <w:ind w:left="2417" w:hanging="361"/>
      </w:pPr>
      <w:rPr>
        <w:rFonts w:hint="default"/>
      </w:rPr>
    </w:lvl>
    <w:lvl w:ilvl="3">
      <w:start w:val="1"/>
      <w:numFmt w:val="bullet"/>
      <w:lvlText w:val="•"/>
      <w:lvlJc w:val="left"/>
      <w:pPr>
        <w:ind w:left="3206" w:hanging="361"/>
      </w:pPr>
      <w:rPr>
        <w:rFonts w:hint="default"/>
      </w:rPr>
    </w:lvl>
    <w:lvl w:ilvl="4">
      <w:start w:val="1"/>
      <w:numFmt w:val="bullet"/>
      <w:lvlText w:val="•"/>
      <w:lvlJc w:val="left"/>
      <w:pPr>
        <w:ind w:left="3995" w:hanging="361"/>
      </w:pPr>
      <w:rPr>
        <w:rFonts w:hint="default"/>
      </w:rPr>
    </w:lvl>
    <w:lvl w:ilvl="5">
      <w:start w:val="1"/>
      <w:numFmt w:val="bullet"/>
      <w:lvlText w:val="•"/>
      <w:lvlJc w:val="left"/>
      <w:pPr>
        <w:ind w:left="4784" w:hanging="361"/>
      </w:pPr>
      <w:rPr>
        <w:rFonts w:hint="default"/>
      </w:rPr>
    </w:lvl>
    <w:lvl w:ilvl="6">
      <w:start w:val="1"/>
      <w:numFmt w:val="bullet"/>
      <w:lvlText w:val="•"/>
      <w:lvlJc w:val="left"/>
      <w:pPr>
        <w:ind w:left="5572" w:hanging="361"/>
      </w:pPr>
      <w:rPr>
        <w:rFonts w:hint="default"/>
      </w:rPr>
    </w:lvl>
    <w:lvl w:ilvl="7">
      <w:start w:val="1"/>
      <w:numFmt w:val="bullet"/>
      <w:lvlText w:val="•"/>
      <w:lvlJc w:val="left"/>
      <w:pPr>
        <w:ind w:left="6361" w:hanging="361"/>
      </w:pPr>
      <w:rPr>
        <w:rFonts w:hint="default"/>
      </w:rPr>
    </w:lvl>
    <w:lvl w:ilvl="8">
      <w:start w:val="1"/>
      <w:numFmt w:val="bullet"/>
      <w:lvlText w:val="•"/>
      <w:lvlJc w:val="left"/>
      <w:pPr>
        <w:ind w:left="7150" w:hanging="361"/>
      </w:pPr>
      <w:rPr>
        <w:rFonts w:hint="default"/>
      </w:rPr>
    </w:lvl>
  </w:abstractNum>
  <w:abstractNum w:abstractNumId="89">
    <w:multiLevelType w:val="hybridMultilevel"/>
    <w:lvl w:ilvl="0">
      <w:start w:val="1"/>
      <w:numFmt w:val="lowerLetter"/>
      <w:lvlText w:val="%1)"/>
      <w:lvlJc w:val="left"/>
      <w:pPr>
        <w:ind w:left="100" w:hanging="280"/>
        <w:jc w:val="left"/>
      </w:pPr>
      <w:rPr>
        <w:rFonts w:hint="default" w:ascii="Arial" w:hAnsi="Arial" w:eastAsia="Arial" w:cs="Arial"/>
        <w:i/>
        <w:spacing w:val="-2"/>
        <w:w w:val="99"/>
        <w:sz w:val="24"/>
        <w:szCs w:val="24"/>
      </w:rPr>
    </w:lvl>
    <w:lvl w:ilvl="1">
      <w:start w:val="1"/>
      <w:numFmt w:val="bullet"/>
      <w:lvlText w:val=""/>
      <w:lvlJc w:val="left"/>
      <w:pPr>
        <w:ind w:left="1661" w:hanging="144"/>
      </w:pPr>
      <w:rPr>
        <w:rFonts w:hint="default" w:ascii="Symbol" w:hAnsi="Symbol" w:eastAsia="Symbol" w:cs="Symbol"/>
        <w:w w:val="100"/>
        <w:sz w:val="12"/>
        <w:szCs w:val="12"/>
      </w:rPr>
    </w:lvl>
    <w:lvl w:ilvl="2">
      <w:start w:val="1"/>
      <w:numFmt w:val="bullet"/>
      <w:lvlText w:val="•"/>
      <w:lvlJc w:val="left"/>
      <w:pPr>
        <w:ind w:left="2443" w:hanging="144"/>
      </w:pPr>
      <w:rPr>
        <w:rFonts w:hint="default"/>
      </w:rPr>
    </w:lvl>
    <w:lvl w:ilvl="3">
      <w:start w:val="1"/>
      <w:numFmt w:val="bullet"/>
      <w:lvlText w:val="•"/>
      <w:lvlJc w:val="left"/>
      <w:pPr>
        <w:ind w:left="3226" w:hanging="144"/>
      </w:pPr>
      <w:rPr>
        <w:rFonts w:hint="default"/>
      </w:rPr>
    </w:lvl>
    <w:lvl w:ilvl="4">
      <w:start w:val="1"/>
      <w:numFmt w:val="bullet"/>
      <w:lvlText w:val="•"/>
      <w:lvlJc w:val="left"/>
      <w:pPr>
        <w:ind w:left="4009" w:hanging="144"/>
      </w:pPr>
      <w:rPr>
        <w:rFonts w:hint="default"/>
      </w:rPr>
    </w:lvl>
    <w:lvl w:ilvl="5">
      <w:start w:val="1"/>
      <w:numFmt w:val="bullet"/>
      <w:lvlText w:val="•"/>
      <w:lvlJc w:val="left"/>
      <w:pPr>
        <w:ind w:left="4792" w:hanging="144"/>
      </w:pPr>
      <w:rPr>
        <w:rFonts w:hint="default"/>
      </w:rPr>
    </w:lvl>
    <w:lvl w:ilvl="6">
      <w:start w:val="1"/>
      <w:numFmt w:val="bullet"/>
      <w:lvlText w:val="•"/>
      <w:lvlJc w:val="left"/>
      <w:pPr>
        <w:ind w:left="5575" w:hanging="144"/>
      </w:pPr>
      <w:rPr>
        <w:rFonts w:hint="default"/>
      </w:rPr>
    </w:lvl>
    <w:lvl w:ilvl="7">
      <w:start w:val="1"/>
      <w:numFmt w:val="bullet"/>
      <w:lvlText w:val="•"/>
      <w:lvlJc w:val="left"/>
      <w:pPr>
        <w:ind w:left="6358" w:hanging="144"/>
      </w:pPr>
      <w:rPr>
        <w:rFonts w:hint="default"/>
      </w:rPr>
    </w:lvl>
    <w:lvl w:ilvl="8">
      <w:start w:val="1"/>
      <w:numFmt w:val="bullet"/>
      <w:lvlText w:val="•"/>
      <w:lvlJc w:val="left"/>
      <w:pPr>
        <w:ind w:left="7141" w:hanging="144"/>
      </w:pPr>
      <w:rPr>
        <w:rFonts w:hint="default"/>
      </w:rPr>
    </w:lvl>
  </w:abstractNum>
  <w:abstractNum w:abstractNumId="88">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18" w:hanging="361"/>
      </w:pPr>
      <w:rPr>
        <w:rFonts w:hint="default"/>
      </w:rPr>
    </w:lvl>
    <w:lvl w:ilvl="2">
      <w:start w:val="1"/>
      <w:numFmt w:val="bullet"/>
      <w:lvlText w:val="•"/>
      <w:lvlJc w:val="left"/>
      <w:pPr>
        <w:ind w:left="2417" w:hanging="361"/>
      </w:pPr>
      <w:rPr>
        <w:rFonts w:hint="default"/>
      </w:rPr>
    </w:lvl>
    <w:lvl w:ilvl="3">
      <w:start w:val="1"/>
      <w:numFmt w:val="bullet"/>
      <w:lvlText w:val="•"/>
      <w:lvlJc w:val="left"/>
      <w:pPr>
        <w:ind w:left="3216" w:hanging="361"/>
      </w:pPr>
      <w:rPr>
        <w:rFonts w:hint="default"/>
      </w:rPr>
    </w:lvl>
    <w:lvl w:ilvl="4">
      <w:start w:val="1"/>
      <w:numFmt w:val="bullet"/>
      <w:lvlText w:val="•"/>
      <w:lvlJc w:val="left"/>
      <w:pPr>
        <w:ind w:left="4015" w:hanging="361"/>
      </w:pPr>
      <w:rPr>
        <w:rFonts w:hint="default"/>
      </w:rPr>
    </w:lvl>
    <w:lvl w:ilvl="5">
      <w:start w:val="1"/>
      <w:numFmt w:val="bullet"/>
      <w:lvlText w:val="•"/>
      <w:lvlJc w:val="left"/>
      <w:pPr>
        <w:ind w:left="4814" w:hanging="361"/>
      </w:pPr>
      <w:rPr>
        <w:rFonts w:hint="default"/>
      </w:rPr>
    </w:lvl>
    <w:lvl w:ilvl="6">
      <w:start w:val="1"/>
      <w:numFmt w:val="bullet"/>
      <w:lvlText w:val="•"/>
      <w:lvlJc w:val="left"/>
      <w:pPr>
        <w:ind w:left="5612" w:hanging="361"/>
      </w:pPr>
      <w:rPr>
        <w:rFonts w:hint="default"/>
      </w:rPr>
    </w:lvl>
    <w:lvl w:ilvl="7">
      <w:start w:val="1"/>
      <w:numFmt w:val="bullet"/>
      <w:lvlText w:val="•"/>
      <w:lvlJc w:val="left"/>
      <w:pPr>
        <w:ind w:left="6411" w:hanging="361"/>
      </w:pPr>
      <w:rPr>
        <w:rFonts w:hint="default"/>
      </w:rPr>
    </w:lvl>
    <w:lvl w:ilvl="8">
      <w:start w:val="1"/>
      <w:numFmt w:val="bullet"/>
      <w:lvlText w:val="•"/>
      <w:lvlJc w:val="left"/>
      <w:pPr>
        <w:ind w:left="7210" w:hanging="361"/>
      </w:pPr>
      <w:rPr>
        <w:rFonts w:hint="default"/>
      </w:rPr>
    </w:lvl>
  </w:abstractNum>
  <w:abstractNum w:abstractNumId="87">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18" w:hanging="361"/>
      </w:pPr>
      <w:rPr>
        <w:rFonts w:hint="default"/>
      </w:rPr>
    </w:lvl>
    <w:lvl w:ilvl="2">
      <w:start w:val="1"/>
      <w:numFmt w:val="bullet"/>
      <w:lvlText w:val="•"/>
      <w:lvlJc w:val="left"/>
      <w:pPr>
        <w:ind w:left="2417" w:hanging="361"/>
      </w:pPr>
      <w:rPr>
        <w:rFonts w:hint="default"/>
      </w:rPr>
    </w:lvl>
    <w:lvl w:ilvl="3">
      <w:start w:val="1"/>
      <w:numFmt w:val="bullet"/>
      <w:lvlText w:val="•"/>
      <w:lvlJc w:val="left"/>
      <w:pPr>
        <w:ind w:left="3216" w:hanging="361"/>
      </w:pPr>
      <w:rPr>
        <w:rFonts w:hint="default"/>
      </w:rPr>
    </w:lvl>
    <w:lvl w:ilvl="4">
      <w:start w:val="1"/>
      <w:numFmt w:val="bullet"/>
      <w:lvlText w:val="•"/>
      <w:lvlJc w:val="left"/>
      <w:pPr>
        <w:ind w:left="4015" w:hanging="361"/>
      </w:pPr>
      <w:rPr>
        <w:rFonts w:hint="default"/>
      </w:rPr>
    </w:lvl>
    <w:lvl w:ilvl="5">
      <w:start w:val="1"/>
      <w:numFmt w:val="bullet"/>
      <w:lvlText w:val="•"/>
      <w:lvlJc w:val="left"/>
      <w:pPr>
        <w:ind w:left="4814" w:hanging="361"/>
      </w:pPr>
      <w:rPr>
        <w:rFonts w:hint="default"/>
      </w:rPr>
    </w:lvl>
    <w:lvl w:ilvl="6">
      <w:start w:val="1"/>
      <w:numFmt w:val="bullet"/>
      <w:lvlText w:val="•"/>
      <w:lvlJc w:val="left"/>
      <w:pPr>
        <w:ind w:left="5612" w:hanging="361"/>
      </w:pPr>
      <w:rPr>
        <w:rFonts w:hint="default"/>
      </w:rPr>
    </w:lvl>
    <w:lvl w:ilvl="7">
      <w:start w:val="1"/>
      <w:numFmt w:val="bullet"/>
      <w:lvlText w:val="•"/>
      <w:lvlJc w:val="left"/>
      <w:pPr>
        <w:ind w:left="6411" w:hanging="361"/>
      </w:pPr>
      <w:rPr>
        <w:rFonts w:hint="default"/>
      </w:rPr>
    </w:lvl>
    <w:lvl w:ilvl="8">
      <w:start w:val="1"/>
      <w:numFmt w:val="bullet"/>
      <w:lvlText w:val="•"/>
      <w:lvlJc w:val="left"/>
      <w:pPr>
        <w:ind w:left="7210" w:hanging="361"/>
      </w:pPr>
      <w:rPr>
        <w:rFonts w:hint="default"/>
      </w:rPr>
    </w:lvl>
  </w:abstractNum>
  <w:abstractNum w:abstractNumId="86">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08" w:hanging="361"/>
      </w:pPr>
      <w:rPr>
        <w:rFonts w:hint="default"/>
      </w:rPr>
    </w:lvl>
    <w:lvl w:ilvl="2">
      <w:start w:val="1"/>
      <w:numFmt w:val="bullet"/>
      <w:lvlText w:val="•"/>
      <w:lvlJc w:val="left"/>
      <w:pPr>
        <w:ind w:left="2397" w:hanging="361"/>
      </w:pPr>
      <w:rPr>
        <w:rFonts w:hint="default"/>
      </w:rPr>
    </w:lvl>
    <w:lvl w:ilvl="3">
      <w:start w:val="1"/>
      <w:numFmt w:val="bullet"/>
      <w:lvlText w:val="•"/>
      <w:lvlJc w:val="left"/>
      <w:pPr>
        <w:ind w:left="3186" w:hanging="361"/>
      </w:pPr>
      <w:rPr>
        <w:rFonts w:hint="default"/>
      </w:rPr>
    </w:lvl>
    <w:lvl w:ilvl="4">
      <w:start w:val="1"/>
      <w:numFmt w:val="bullet"/>
      <w:lvlText w:val="•"/>
      <w:lvlJc w:val="left"/>
      <w:pPr>
        <w:ind w:left="3975" w:hanging="361"/>
      </w:pPr>
      <w:rPr>
        <w:rFonts w:hint="default"/>
      </w:rPr>
    </w:lvl>
    <w:lvl w:ilvl="5">
      <w:start w:val="1"/>
      <w:numFmt w:val="bullet"/>
      <w:lvlText w:val="•"/>
      <w:lvlJc w:val="left"/>
      <w:pPr>
        <w:ind w:left="4764" w:hanging="361"/>
      </w:pPr>
      <w:rPr>
        <w:rFonts w:hint="default"/>
      </w:rPr>
    </w:lvl>
    <w:lvl w:ilvl="6">
      <w:start w:val="1"/>
      <w:numFmt w:val="bullet"/>
      <w:lvlText w:val="•"/>
      <w:lvlJc w:val="left"/>
      <w:pPr>
        <w:ind w:left="5552" w:hanging="361"/>
      </w:pPr>
      <w:rPr>
        <w:rFonts w:hint="default"/>
      </w:rPr>
    </w:lvl>
    <w:lvl w:ilvl="7">
      <w:start w:val="1"/>
      <w:numFmt w:val="bullet"/>
      <w:lvlText w:val="•"/>
      <w:lvlJc w:val="left"/>
      <w:pPr>
        <w:ind w:left="6341" w:hanging="361"/>
      </w:pPr>
      <w:rPr>
        <w:rFonts w:hint="default"/>
      </w:rPr>
    </w:lvl>
    <w:lvl w:ilvl="8">
      <w:start w:val="1"/>
      <w:numFmt w:val="bullet"/>
      <w:lvlText w:val="•"/>
      <w:lvlJc w:val="left"/>
      <w:pPr>
        <w:ind w:left="7130" w:hanging="361"/>
      </w:pPr>
      <w:rPr>
        <w:rFonts w:hint="default"/>
      </w:rPr>
    </w:lvl>
  </w:abstractNum>
  <w:abstractNum w:abstractNumId="85">
    <w:multiLevelType w:val="hybridMultilevel"/>
    <w:lvl w:ilvl="0">
      <w:start w:val="1"/>
      <w:numFmt w:val="decimal"/>
      <w:lvlText w:val="%1)"/>
      <w:lvlJc w:val="left"/>
      <w:pPr>
        <w:ind w:left="841" w:hanging="361"/>
        <w:jc w:val="left"/>
      </w:pPr>
      <w:rPr>
        <w:rFonts w:hint="default" w:ascii="Arial" w:hAnsi="Arial" w:eastAsia="Arial" w:cs="Arial"/>
        <w:spacing w:val="-2"/>
        <w:w w:val="99"/>
        <w:sz w:val="24"/>
        <w:szCs w:val="24"/>
      </w:rPr>
    </w:lvl>
    <w:lvl w:ilvl="1">
      <w:start w:val="1"/>
      <w:numFmt w:val="bullet"/>
      <w:lvlText w:val="•"/>
      <w:lvlJc w:val="left"/>
      <w:pPr>
        <w:ind w:left="1630" w:hanging="361"/>
      </w:pPr>
      <w:rPr>
        <w:rFonts w:hint="default"/>
      </w:rPr>
    </w:lvl>
    <w:lvl w:ilvl="2">
      <w:start w:val="1"/>
      <w:numFmt w:val="bullet"/>
      <w:lvlText w:val="•"/>
      <w:lvlJc w:val="left"/>
      <w:pPr>
        <w:ind w:left="2421" w:hanging="361"/>
      </w:pPr>
      <w:rPr>
        <w:rFonts w:hint="default"/>
      </w:rPr>
    </w:lvl>
    <w:lvl w:ilvl="3">
      <w:start w:val="1"/>
      <w:numFmt w:val="bullet"/>
      <w:lvlText w:val="•"/>
      <w:lvlJc w:val="left"/>
      <w:pPr>
        <w:ind w:left="3212" w:hanging="361"/>
      </w:pPr>
      <w:rPr>
        <w:rFonts w:hint="default"/>
      </w:rPr>
    </w:lvl>
    <w:lvl w:ilvl="4">
      <w:start w:val="1"/>
      <w:numFmt w:val="bullet"/>
      <w:lvlText w:val="•"/>
      <w:lvlJc w:val="left"/>
      <w:pPr>
        <w:ind w:left="4003" w:hanging="361"/>
      </w:pPr>
      <w:rPr>
        <w:rFonts w:hint="default"/>
      </w:rPr>
    </w:lvl>
    <w:lvl w:ilvl="5">
      <w:start w:val="1"/>
      <w:numFmt w:val="bullet"/>
      <w:lvlText w:val="•"/>
      <w:lvlJc w:val="left"/>
      <w:pPr>
        <w:ind w:left="4794" w:hanging="361"/>
      </w:pPr>
      <w:rPr>
        <w:rFonts w:hint="default"/>
      </w:rPr>
    </w:lvl>
    <w:lvl w:ilvl="6">
      <w:start w:val="1"/>
      <w:numFmt w:val="bullet"/>
      <w:lvlText w:val="•"/>
      <w:lvlJc w:val="left"/>
      <w:pPr>
        <w:ind w:left="5584" w:hanging="361"/>
      </w:pPr>
      <w:rPr>
        <w:rFonts w:hint="default"/>
      </w:rPr>
    </w:lvl>
    <w:lvl w:ilvl="7">
      <w:start w:val="1"/>
      <w:numFmt w:val="bullet"/>
      <w:lvlText w:val="•"/>
      <w:lvlJc w:val="left"/>
      <w:pPr>
        <w:ind w:left="6375" w:hanging="361"/>
      </w:pPr>
      <w:rPr>
        <w:rFonts w:hint="default"/>
      </w:rPr>
    </w:lvl>
    <w:lvl w:ilvl="8">
      <w:start w:val="1"/>
      <w:numFmt w:val="bullet"/>
      <w:lvlText w:val="•"/>
      <w:lvlJc w:val="left"/>
      <w:pPr>
        <w:ind w:left="7166" w:hanging="361"/>
      </w:pPr>
      <w:rPr>
        <w:rFonts w:hint="default"/>
      </w:rPr>
    </w:lvl>
  </w:abstractNum>
  <w:abstractNum w:abstractNumId="84">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10" w:hanging="361"/>
      </w:pPr>
      <w:rPr>
        <w:rFonts w:hint="default"/>
      </w:rPr>
    </w:lvl>
    <w:lvl w:ilvl="2">
      <w:start w:val="1"/>
      <w:numFmt w:val="bullet"/>
      <w:lvlText w:val="•"/>
      <w:lvlJc w:val="left"/>
      <w:pPr>
        <w:ind w:left="2401" w:hanging="361"/>
      </w:pPr>
      <w:rPr>
        <w:rFonts w:hint="default"/>
      </w:rPr>
    </w:lvl>
    <w:lvl w:ilvl="3">
      <w:start w:val="1"/>
      <w:numFmt w:val="bullet"/>
      <w:lvlText w:val="•"/>
      <w:lvlJc w:val="left"/>
      <w:pPr>
        <w:ind w:left="3192" w:hanging="361"/>
      </w:pPr>
      <w:rPr>
        <w:rFonts w:hint="default"/>
      </w:rPr>
    </w:lvl>
    <w:lvl w:ilvl="4">
      <w:start w:val="1"/>
      <w:numFmt w:val="bullet"/>
      <w:lvlText w:val="•"/>
      <w:lvlJc w:val="left"/>
      <w:pPr>
        <w:ind w:left="3983" w:hanging="361"/>
      </w:pPr>
      <w:rPr>
        <w:rFonts w:hint="default"/>
      </w:rPr>
    </w:lvl>
    <w:lvl w:ilvl="5">
      <w:start w:val="1"/>
      <w:numFmt w:val="bullet"/>
      <w:lvlText w:val="•"/>
      <w:lvlJc w:val="left"/>
      <w:pPr>
        <w:ind w:left="4774" w:hanging="361"/>
      </w:pPr>
      <w:rPr>
        <w:rFonts w:hint="default"/>
      </w:rPr>
    </w:lvl>
    <w:lvl w:ilvl="6">
      <w:start w:val="1"/>
      <w:numFmt w:val="bullet"/>
      <w:lvlText w:val="•"/>
      <w:lvlJc w:val="left"/>
      <w:pPr>
        <w:ind w:left="5564" w:hanging="361"/>
      </w:pPr>
      <w:rPr>
        <w:rFonts w:hint="default"/>
      </w:rPr>
    </w:lvl>
    <w:lvl w:ilvl="7">
      <w:start w:val="1"/>
      <w:numFmt w:val="bullet"/>
      <w:lvlText w:val="•"/>
      <w:lvlJc w:val="left"/>
      <w:pPr>
        <w:ind w:left="6355" w:hanging="361"/>
      </w:pPr>
      <w:rPr>
        <w:rFonts w:hint="default"/>
      </w:rPr>
    </w:lvl>
    <w:lvl w:ilvl="8">
      <w:start w:val="1"/>
      <w:numFmt w:val="bullet"/>
      <w:lvlText w:val="•"/>
      <w:lvlJc w:val="left"/>
      <w:pPr>
        <w:ind w:left="7146" w:hanging="361"/>
      </w:pPr>
      <w:rPr>
        <w:rFonts w:hint="default"/>
      </w:rPr>
    </w:lvl>
  </w:abstractNum>
  <w:abstractNum w:abstractNumId="83">
    <w:multiLevelType w:val="hybridMultilevel"/>
    <w:lvl w:ilvl="0">
      <w:start w:val="1"/>
      <w:numFmt w:val="decimal"/>
      <w:lvlText w:val="%1)"/>
      <w:lvlJc w:val="left"/>
      <w:pPr>
        <w:ind w:left="821" w:hanging="361"/>
        <w:jc w:val="right"/>
      </w:pPr>
      <w:rPr>
        <w:rFonts w:hint="default" w:ascii="Arial" w:hAnsi="Arial" w:eastAsia="Arial" w:cs="Arial"/>
        <w:spacing w:val="-2"/>
        <w:w w:val="99"/>
        <w:sz w:val="24"/>
        <w:szCs w:val="24"/>
      </w:rPr>
    </w:lvl>
    <w:lvl w:ilvl="1">
      <w:start w:val="1"/>
      <w:numFmt w:val="bullet"/>
      <w:lvlText w:val="•"/>
      <w:lvlJc w:val="left"/>
      <w:pPr>
        <w:ind w:left="1660" w:hanging="361"/>
      </w:pPr>
      <w:rPr>
        <w:rFonts w:hint="default"/>
      </w:rPr>
    </w:lvl>
    <w:lvl w:ilvl="2">
      <w:start w:val="1"/>
      <w:numFmt w:val="bullet"/>
      <w:lvlText w:val="•"/>
      <w:lvlJc w:val="left"/>
      <w:pPr>
        <w:ind w:left="2501" w:hanging="361"/>
      </w:pPr>
      <w:rPr>
        <w:rFonts w:hint="default"/>
      </w:rPr>
    </w:lvl>
    <w:lvl w:ilvl="3">
      <w:start w:val="1"/>
      <w:numFmt w:val="bullet"/>
      <w:lvlText w:val="•"/>
      <w:lvlJc w:val="left"/>
      <w:pPr>
        <w:ind w:left="3342" w:hanging="361"/>
      </w:pPr>
      <w:rPr>
        <w:rFonts w:hint="default"/>
      </w:rPr>
    </w:lvl>
    <w:lvl w:ilvl="4">
      <w:start w:val="1"/>
      <w:numFmt w:val="bullet"/>
      <w:lvlText w:val="•"/>
      <w:lvlJc w:val="left"/>
      <w:pPr>
        <w:ind w:left="4183" w:hanging="361"/>
      </w:pPr>
      <w:rPr>
        <w:rFonts w:hint="default"/>
      </w:rPr>
    </w:lvl>
    <w:lvl w:ilvl="5">
      <w:start w:val="1"/>
      <w:numFmt w:val="bullet"/>
      <w:lvlText w:val="•"/>
      <w:lvlJc w:val="left"/>
      <w:pPr>
        <w:ind w:left="5024" w:hanging="361"/>
      </w:pPr>
      <w:rPr>
        <w:rFonts w:hint="default"/>
      </w:rPr>
    </w:lvl>
    <w:lvl w:ilvl="6">
      <w:start w:val="1"/>
      <w:numFmt w:val="bullet"/>
      <w:lvlText w:val="•"/>
      <w:lvlJc w:val="left"/>
      <w:pPr>
        <w:ind w:left="5864" w:hanging="361"/>
      </w:pPr>
      <w:rPr>
        <w:rFonts w:hint="default"/>
      </w:rPr>
    </w:lvl>
    <w:lvl w:ilvl="7">
      <w:start w:val="1"/>
      <w:numFmt w:val="bullet"/>
      <w:lvlText w:val="•"/>
      <w:lvlJc w:val="left"/>
      <w:pPr>
        <w:ind w:left="6705" w:hanging="361"/>
      </w:pPr>
      <w:rPr>
        <w:rFonts w:hint="default"/>
      </w:rPr>
    </w:lvl>
    <w:lvl w:ilvl="8">
      <w:start w:val="1"/>
      <w:numFmt w:val="bullet"/>
      <w:lvlText w:val="•"/>
      <w:lvlJc w:val="left"/>
      <w:pPr>
        <w:ind w:left="7546" w:hanging="361"/>
      </w:pPr>
      <w:rPr>
        <w:rFonts w:hint="default"/>
      </w:rPr>
    </w:lvl>
  </w:abstractNum>
  <w:abstractNum w:abstractNumId="82">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60" w:hanging="361"/>
      </w:pPr>
      <w:rPr>
        <w:rFonts w:hint="default"/>
      </w:rPr>
    </w:lvl>
    <w:lvl w:ilvl="2">
      <w:start w:val="1"/>
      <w:numFmt w:val="bullet"/>
      <w:lvlText w:val="•"/>
      <w:lvlJc w:val="left"/>
      <w:pPr>
        <w:ind w:left="2501" w:hanging="361"/>
      </w:pPr>
      <w:rPr>
        <w:rFonts w:hint="default"/>
      </w:rPr>
    </w:lvl>
    <w:lvl w:ilvl="3">
      <w:start w:val="1"/>
      <w:numFmt w:val="bullet"/>
      <w:lvlText w:val="•"/>
      <w:lvlJc w:val="left"/>
      <w:pPr>
        <w:ind w:left="3342" w:hanging="361"/>
      </w:pPr>
      <w:rPr>
        <w:rFonts w:hint="default"/>
      </w:rPr>
    </w:lvl>
    <w:lvl w:ilvl="4">
      <w:start w:val="1"/>
      <w:numFmt w:val="bullet"/>
      <w:lvlText w:val="•"/>
      <w:lvlJc w:val="left"/>
      <w:pPr>
        <w:ind w:left="4183" w:hanging="361"/>
      </w:pPr>
      <w:rPr>
        <w:rFonts w:hint="default"/>
      </w:rPr>
    </w:lvl>
    <w:lvl w:ilvl="5">
      <w:start w:val="1"/>
      <w:numFmt w:val="bullet"/>
      <w:lvlText w:val="•"/>
      <w:lvlJc w:val="left"/>
      <w:pPr>
        <w:ind w:left="5024" w:hanging="361"/>
      </w:pPr>
      <w:rPr>
        <w:rFonts w:hint="default"/>
      </w:rPr>
    </w:lvl>
    <w:lvl w:ilvl="6">
      <w:start w:val="1"/>
      <w:numFmt w:val="bullet"/>
      <w:lvlText w:val="•"/>
      <w:lvlJc w:val="left"/>
      <w:pPr>
        <w:ind w:left="5864" w:hanging="361"/>
      </w:pPr>
      <w:rPr>
        <w:rFonts w:hint="default"/>
      </w:rPr>
    </w:lvl>
    <w:lvl w:ilvl="7">
      <w:start w:val="1"/>
      <w:numFmt w:val="bullet"/>
      <w:lvlText w:val="•"/>
      <w:lvlJc w:val="left"/>
      <w:pPr>
        <w:ind w:left="6705" w:hanging="361"/>
      </w:pPr>
      <w:rPr>
        <w:rFonts w:hint="default"/>
      </w:rPr>
    </w:lvl>
    <w:lvl w:ilvl="8">
      <w:start w:val="1"/>
      <w:numFmt w:val="bullet"/>
      <w:lvlText w:val="•"/>
      <w:lvlJc w:val="left"/>
      <w:pPr>
        <w:ind w:left="7546" w:hanging="361"/>
      </w:pPr>
      <w:rPr>
        <w:rFonts w:hint="default"/>
      </w:rPr>
    </w:lvl>
  </w:abstractNum>
  <w:abstractNum w:abstractNumId="81">
    <w:multiLevelType w:val="hybridMultilevel"/>
    <w:lvl w:ilvl="0">
      <w:start w:val="1"/>
      <w:numFmt w:val="lowerLetter"/>
      <w:lvlText w:val="%1)"/>
      <w:lvlJc w:val="left"/>
      <w:pPr>
        <w:ind w:left="788" w:hanging="360"/>
        <w:jc w:val="left"/>
      </w:pPr>
      <w:rPr>
        <w:rFonts w:hint="default" w:ascii="Arial" w:hAnsi="Arial" w:eastAsia="Arial" w:cs="Arial"/>
        <w:w w:val="99"/>
        <w:sz w:val="20"/>
        <w:szCs w:val="20"/>
      </w:rPr>
    </w:lvl>
    <w:lvl w:ilvl="1">
      <w:start w:val="1"/>
      <w:numFmt w:val="bullet"/>
      <w:lvlText w:val="•"/>
      <w:lvlJc w:val="left"/>
      <w:pPr>
        <w:ind w:left="146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820" w:hanging="360"/>
      </w:pPr>
      <w:rPr>
        <w:rFonts w:hint="default"/>
      </w:rPr>
    </w:lvl>
    <w:lvl w:ilvl="4">
      <w:start w:val="1"/>
      <w:numFmt w:val="bullet"/>
      <w:lvlText w:val="•"/>
      <w:lvlJc w:val="left"/>
      <w:pPr>
        <w:ind w:left="3501" w:hanging="360"/>
      </w:pPr>
      <w:rPr>
        <w:rFonts w:hint="default"/>
      </w:rPr>
    </w:lvl>
    <w:lvl w:ilvl="5">
      <w:start w:val="1"/>
      <w:numFmt w:val="bullet"/>
      <w:lvlText w:val="•"/>
      <w:lvlJc w:val="left"/>
      <w:pPr>
        <w:ind w:left="4181" w:hanging="360"/>
      </w:pPr>
      <w:rPr>
        <w:rFonts w:hint="default"/>
      </w:rPr>
    </w:lvl>
    <w:lvl w:ilvl="6">
      <w:start w:val="1"/>
      <w:numFmt w:val="bullet"/>
      <w:lvlText w:val="•"/>
      <w:lvlJc w:val="left"/>
      <w:pPr>
        <w:ind w:left="4861" w:hanging="360"/>
      </w:pPr>
      <w:rPr>
        <w:rFonts w:hint="default"/>
      </w:rPr>
    </w:lvl>
    <w:lvl w:ilvl="7">
      <w:start w:val="1"/>
      <w:numFmt w:val="bullet"/>
      <w:lvlText w:val="•"/>
      <w:lvlJc w:val="left"/>
      <w:pPr>
        <w:ind w:left="5541" w:hanging="360"/>
      </w:pPr>
      <w:rPr>
        <w:rFonts w:hint="default"/>
      </w:rPr>
    </w:lvl>
    <w:lvl w:ilvl="8">
      <w:start w:val="1"/>
      <w:numFmt w:val="bullet"/>
      <w:lvlText w:val="•"/>
      <w:lvlJc w:val="left"/>
      <w:pPr>
        <w:ind w:left="6222" w:hanging="360"/>
      </w:pPr>
      <w:rPr>
        <w:rFonts w:hint="default"/>
      </w:rPr>
    </w:lvl>
  </w:abstractNum>
  <w:abstractNum w:abstractNumId="80">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12" w:hanging="361"/>
      </w:pPr>
      <w:rPr>
        <w:rFonts w:hint="default"/>
      </w:rPr>
    </w:lvl>
    <w:lvl w:ilvl="2">
      <w:start w:val="1"/>
      <w:numFmt w:val="bullet"/>
      <w:lvlText w:val="•"/>
      <w:lvlJc w:val="left"/>
      <w:pPr>
        <w:ind w:left="2405" w:hanging="361"/>
      </w:pPr>
      <w:rPr>
        <w:rFonts w:hint="default"/>
      </w:rPr>
    </w:lvl>
    <w:lvl w:ilvl="3">
      <w:start w:val="1"/>
      <w:numFmt w:val="bullet"/>
      <w:lvlText w:val="•"/>
      <w:lvlJc w:val="left"/>
      <w:pPr>
        <w:ind w:left="3198" w:hanging="361"/>
      </w:pPr>
      <w:rPr>
        <w:rFonts w:hint="default"/>
      </w:rPr>
    </w:lvl>
    <w:lvl w:ilvl="4">
      <w:start w:val="1"/>
      <w:numFmt w:val="bullet"/>
      <w:lvlText w:val="•"/>
      <w:lvlJc w:val="left"/>
      <w:pPr>
        <w:ind w:left="3991" w:hanging="361"/>
      </w:pPr>
      <w:rPr>
        <w:rFonts w:hint="default"/>
      </w:rPr>
    </w:lvl>
    <w:lvl w:ilvl="5">
      <w:start w:val="1"/>
      <w:numFmt w:val="bullet"/>
      <w:lvlText w:val="•"/>
      <w:lvlJc w:val="left"/>
      <w:pPr>
        <w:ind w:left="4784" w:hanging="361"/>
      </w:pPr>
      <w:rPr>
        <w:rFonts w:hint="default"/>
      </w:rPr>
    </w:lvl>
    <w:lvl w:ilvl="6">
      <w:start w:val="1"/>
      <w:numFmt w:val="bullet"/>
      <w:lvlText w:val="•"/>
      <w:lvlJc w:val="left"/>
      <w:pPr>
        <w:ind w:left="5576" w:hanging="361"/>
      </w:pPr>
      <w:rPr>
        <w:rFonts w:hint="default"/>
      </w:rPr>
    </w:lvl>
    <w:lvl w:ilvl="7">
      <w:start w:val="1"/>
      <w:numFmt w:val="bullet"/>
      <w:lvlText w:val="•"/>
      <w:lvlJc w:val="left"/>
      <w:pPr>
        <w:ind w:left="6369" w:hanging="361"/>
      </w:pPr>
      <w:rPr>
        <w:rFonts w:hint="default"/>
      </w:rPr>
    </w:lvl>
    <w:lvl w:ilvl="8">
      <w:start w:val="1"/>
      <w:numFmt w:val="bullet"/>
      <w:lvlText w:val="•"/>
      <w:lvlJc w:val="left"/>
      <w:pPr>
        <w:ind w:left="7162" w:hanging="361"/>
      </w:pPr>
      <w:rPr>
        <w:rFonts w:hint="default"/>
      </w:rPr>
    </w:lvl>
  </w:abstractNum>
  <w:abstractNum w:abstractNumId="79">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10" w:hanging="361"/>
      </w:pPr>
      <w:rPr>
        <w:rFonts w:hint="default"/>
      </w:rPr>
    </w:lvl>
    <w:lvl w:ilvl="2">
      <w:start w:val="1"/>
      <w:numFmt w:val="bullet"/>
      <w:lvlText w:val="•"/>
      <w:lvlJc w:val="left"/>
      <w:pPr>
        <w:ind w:left="2401" w:hanging="361"/>
      </w:pPr>
      <w:rPr>
        <w:rFonts w:hint="default"/>
      </w:rPr>
    </w:lvl>
    <w:lvl w:ilvl="3">
      <w:start w:val="1"/>
      <w:numFmt w:val="bullet"/>
      <w:lvlText w:val="•"/>
      <w:lvlJc w:val="left"/>
      <w:pPr>
        <w:ind w:left="3192" w:hanging="361"/>
      </w:pPr>
      <w:rPr>
        <w:rFonts w:hint="default"/>
      </w:rPr>
    </w:lvl>
    <w:lvl w:ilvl="4">
      <w:start w:val="1"/>
      <w:numFmt w:val="bullet"/>
      <w:lvlText w:val="•"/>
      <w:lvlJc w:val="left"/>
      <w:pPr>
        <w:ind w:left="3983" w:hanging="361"/>
      </w:pPr>
      <w:rPr>
        <w:rFonts w:hint="default"/>
      </w:rPr>
    </w:lvl>
    <w:lvl w:ilvl="5">
      <w:start w:val="1"/>
      <w:numFmt w:val="bullet"/>
      <w:lvlText w:val="•"/>
      <w:lvlJc w:val="left"/>
      <w:pPr>
        <w:ind w:left="4774" w:hanging="361"/>
      </w:pPr>
      <w:rPr>
        <w:rFonts w:hint="default"/>
      </w:rPr>
    </w:lvl>
    <w:lvl w:ilvl="6">
      <w:start w:val="1"/>
      <w:numFmt w:val="bullet"/>
      <w:lvlText w:val="•"/>
      <w:lvlJc w:val="left"/>
      <w:pPr>
        <w:ind w:left="5564" w:hanging="361"/>
      </w:pPr>
      <w:rPr>
        <w:rFonts w:hint="default"/>
      </w:rPr>
    </w:lvl>
    <w:lvl w:ilvl="7">
      <w:start w:val="1"/>
      <w:numFmt w:val="bullet"/>
      <w:lvlText w:val="•"/>
      <w:lvlJc w:val="left"/>
      <w:pPr>
        <w:ind w:left="6355" w:hanging="361"/>
      </w:pPr>
      <w:rPr>
        <w:rFonts w:hint="default"/>
      </w:rPr>
    </w:lvl>
    <w:lvl w:ilvl="8">
      <w:start w:val="1"/>
      <w:numFmt w:val="bullet"/>
      <w:lvlText w:val="•"/>
      <w:lvlJc w:val="left"/>
      <w:pPr>
        <w:ind w:left="7146" w:hanging="361"/>
      </w:pPr>
      <w:rPr>
        <w:rFonts w:hint="default"/>
      </w:rPr>
    </w:lvl>
  </w:abstractNum>
  <w:abstractNum w:abstractNumId="78">
    <w:multiLevelType w:val="hybridMultilevel"/>
    <w:lvl w:ilvl="0">
      <w:start w:val="1"/>
      <w:numFmt w:val="bullet"/>
      <w:lvlText w:val=""/>
      <w:lvlJc w:val="left"/>
      <w:pPr>
        <w:ind w:left="668" w:hanging="424"/>
      </w:pPr>
      <w:rPr>
        <w:rFonts w:hint="default" w:ascii="Symbol" w:hAnsi="Symbol" w:eastAsia="Symbol" w:cs="Symbol"/>
        <w:w w:val="100"/>
        <w:sz w:val="12"/>
        <w:szCs w:val="12"/>
      </w:rPr>
    </w:lvl>
    <w:lvl w:ilvl="1">
      <w:start w:val="1"/>
      <w:numFmt w:val="bullet"/>
      <w:lvlText w:val="•"/>
      <w:lvlJc w:val="left"/>
      <w:pPr>
        <w:ind w:left="1466" w:hanging="424"/>
      </w:pPr>
      <w:rPr>
        <w:rFonts w:hint="default"/>
      </w:rPr>
    </w:lvl>
    <w:lvl w:ilvl="2">
      <w:start w:val="1"/>
      <w:numFmt w:val="bullet"/>
      <w:lvlText w:val="•"/>
      <w:lvlJc w:val="left"/>
      <w:pPr>
        <w:ind w:left="2273" w:hanging="424"/>
      </w:pPr>
      <w:rPr>
        <w:rFonts w:hint="default"/>
      </w:rPr>
    </w:lvl>
    <w:lvl w:ilvl="3">
      <w:start w:val="1"/>
      <w:numFmt w:val="bullet"/>
      <w:lvlText w:val="•"/>
      <w:lvlJc w:val="left"/>
      <w:pPr>
        <w:ind w:left="3080" w:hanging="424"/>
      </w:pPr>
      <w:rPr>
        <w:rFonts w:hint="default"/>
      </w:rPr>
    </w:lvl>
    <w:lvl w:ilvl="4">
      <w:start w:val="1"/>
      <w:numFmt w:val="bullet"/>
      <w:lvlText w:val="•"/>
      <w:lvlJc w:val="left"/>
      <w:pPr>
        <w:ind w:left="3887" w:hanging="424"/>
      </w:pPr>
      <w:rPr>
        <w:rFonts w:hint="default"/>
      </w:rPr>
    </w:lvl>
    <w:lvl w:ilvl="5">
      <w:start w:val="1"/>
      <w:numFmt w:val="bullet"/>
      <w:lvlText w:val="•"/>
      <w:lvlJc w:val="left"/>
      <w:pPr>
        <w:ind w:left="4694" w:hanging="424"/>
      </w:pPr>
      <w:rPr>
        <w:rFonts w:hint="default"/>
      </w:rPr>
    </w:lvl>
    <w:lvl w:ilvl="6">
      <w:start w:val="1"/>
      <w:numFmt w:val="bullet"/>
      <w:lvlText w:val="•"/>
      <w:lvlJc w:val="left"/>
      <w:pPr>
        <w:ind w:left="5500" w:hanging="424"/>
      </w:pPr>
      <w:rPr>
        <w:rFonts w:hint="default"/>
      </w:rPr>
    </w:lvl>
    <w:lvl w:ilvl="7">
      <w:start w:val="1"/>
      <w:numFmt w:val="bullet"/>
      <w:lvlText w:val="•"/>
      <w:lvlJc w:val="left"/>
      <w:pPr>
        <w:ind w:left="6307" w:hanging="424"/>
      </w:pPr>
      <w:rPr>
        <w:rFonts w:hint="default"/>
      </w:rPr>
    </w:lvl>
    <w:lvl w:ilvl="8">
      <w:start w:val="1"/>
      <w:numFmt w:val="bullet"/>
      <w:lvlText w:val="•"/>
      <w:lvlJc w:val="left"/>
      <w:pPr>
        <w:ind w:left="7114" w:hanging="424"/>
      </w:pPr>
      <w:rPr>
        <w:rFonts w:hint="default"/>
      </w:rPr>
    </w:lvl>
  </w:abstractNum>
  <w:abstractNum w:abstractNumId="77">
    <w:multiLevelType w:val="hybridMultilevel"/>
    <w:lvl w:ilvl="0">
      <w:start w:val="1"/>
      <w:numFmt w:val="decimal"/>
      <w:lvlText w:val="%1"/>
      <w:lvlJc w:val="left"/>
      <w:pPr>
        <w:ind w:left="144" w:hanging="74"/>
        <w:jc w:val="left"/>
      </w:pPr>
      <w:rPr>
        <w:rFonts w:hint="default" w:ascii="Arial" w:hAnsi="Arial" w:eastAsia="Arial" w:cs="Arial"/>
        <w:w w:val="62"/>
        <w:sz w:val="14"/>
        <w:szCs w:val="14"/>
      </w:rPr>
    </w:lvl>
    <w:lvl w:ilvl="1">
      <w:start w:val="1"/>
      <w:numFmt w:val="bullet"/>
      <w:lvlText w:val="•"/>
      <w:lvlJc w:val="left"/>
      <w:pPr>
        <w:ind w:left="298" w:hanging="74"/>
      </w:pPr>
      <w:rPr>
        <w:rFonts w:hint="default"/>
      </w:rPr>
    </w:lvl>
    <w:lvl w:ilvl="2">
      <w:start w:val="1"/>
      <w:numFmt w:val="bullet"/>
      <w:lvlText w:val="•"/>
      <w:lvlJc w:val="left"/>
      <w:pPr>
        <w:ind w:left="457" w:hanging="74"/>
      </w:pPr>
      <w:rPr>
        <w:rFonts w:hint="default"/>
      </w:rPr>
    </w:lvl>
    <w:lvl w:ilvl="3">
      <w:start w:val="1"/>
      <w:numFmt w:val="bullet"/>
      <w:lvlText w:val="•"/>
      <w:lvlJc w:val="left"/>
      <w:pPr>
        <w:ind w:left="615" w:hanging="74"/>
      </w:pPr>
      <w:rPr>
        <w:rFonts w:hint="default"/>
      </w:rPr>
    </w:lvl>
    <w:lvl w:ilvl="4">
      <w:start w:val="1"/>
      <w:numFmt w:val="bullet"/>
      <w:lvlText w:val="•"/>
      <w:lvlJc w:val="left"/>
      <w:pPr>
        <w:ind w:left="774" w:hanging="74"/>
      </w:pPr>
      <w:rPr>
        <w:rFonts w:hint="default"/>
      </w:rPr>
    </w:lvl>
    <w:lvl w:ilvl="5">
      <w:start w:val="1"/>
      <w:numFmt w:val="bullet"/>
      <w:lvlText w:val="•"/>
      <w:lvlJc w:val="left"/>
      <w:pPr>
        <w:ind w:left="933" w:hanging="74"/>
      </w:pPr>
      <w:rPr>
        <w:rFonts w:hint="default"/>
      </w:rPr>
    </w:lvl>
    <w:lvl w:ilvl="6">
      <w:start w:val="1"/>
      <w:numFmt w:val="bullet"/>
      <w:lvlText w:val="•"/>
      <w:lvlJc w:val="left"/>
      <w:pPr>
        <w:ind w:left="1091" w:hanging="74"/>
      </w:pPr>
      <w:rPr>
        <w:rFonts w:hint="default"/>
      </w:rPr>
    </w:lvl>
    <w:lvl w:ilvl="7">
      <w:start w:val="1"/>
      <w:numFmt w:val="bullet"/>
      <w:lvlText w:val="•"/>
      <w:lvlJc w:val="left"/>
      <w:pPr>
        <w:ind w:left="1250" w:hanging="74"/>
      </w:pPr>
      <w:rPr>
        <w:rFonts w:hint="default"/>
      </w:rPr>
    </w:lvl>
    <w:lvl w:ilvl="8">
      <w:start w:val="1"/>
      <w:numFmt w:val="bullet"/>
      <w:lvlText w:val="•"/>
      <w:lvlJc w:val="left"/>
      <w:pPr>
        <w:ind w:left="1408" w:hanging="74"/>
      </w:pPr>
      <w:rPr>
        <w:rFonts w:hint="default"/>
      </w:rPr>
    </w:lvl>
  </w:abstractNum>
  <w:abstractNum w:abstractNumId="76">
    <w:multiLevelType w:val="hybridMultilevel"/>
    <w:lvl w:ilvl="0">
      <w:start w:val="1"/>
      <w:numFmt w:val="decimal"/>
      <w:lvlText w:val="%1"/>
      <w:lvlJc w:val="left"/>
      <w:pPr>
        <w:ind w:left="142" w:hanging="74"/>
        <w:jc w:val="left"/>
      </w:pPr>
      <w:rPr>
        <w:rFonts w:hint="default" w:ascii="Arial" w:hAnsi="Arial" w:eastAsia="Arial" w:cs="Arial"/>
        <w:w w:val="62"/>
        <w:sz w:val="14"/>
        <w:szCs w:val="14"/>
      </w:rPr>
    </w:lvl>
    <w:lvl w:ilvl="1">
      <w:start w:val="1"/>
      <w:numFmt w:val="bullet"/>
      <w:lvlText w:val="•"/>
      <w:lvlJc w:val="left"/>
      <w:pPr>
        <w:ind w:left="293" w:hanging="74"/>
      </w:pPr>
      <w:rPr>
        <w:rFonts w:hint="default"/>
      </w:rPr>
    </w:lvl>
    <w:lvl w:ilvl="2">
      <w:start w:val="1"/>
      <w:numFmt w:val="bullet"/>
      <w:lvlText w:val="•"/>
      <w:lvlJc w:val="left"/>
      <w:pPr>
        <w:ind w:left="447" w:hanging="74"/>
      </w:pPr>
      <w:rPr>
        <w:rFonts w:hint="default"/>
      </w:rPr>
    </w:lvl>
    <w:lvl w:ilvl="3">
      <w:start w:val="1"/>
      <w:numFmt w:val="bullet"/>
      <w:lvlText w:val="•"/>
      <w:lvlJc w:val="left"/>
      <w:pPr>
        <w:ind w:left="600" w:hanging="74"/>
      </w:pPr>
      <w:rPr>
        <w:rFonts w:hint="default"/>
      </w:rPr>
    </w:lvl>
    <w:lvl w:ilvl="4">
      <w:start w:val="1"/>
      <w:numFmt w:val="bullet"/>
      <w:lvlText w:val="•"/>
      <w:lvlJc w:val="left"/>
      <w:pPr>
        <w:ind w:left="754" w:hanging="74"/>
      </w:pPr>
      <w:rPr>
        <w:rFonts w:hint="default"/>
      </w:rPr>
    </w:lvl>
    <w:lvl w:ilvl="5">
      <w:start w:val="1"/>
      <w:numFmt w:val="bullet"/>
      <w:lvlText w:val="•"/>
      <w:lvlJc w:val="left"/>
      <w:pPr>
        <w:ind w:left="907" w:hanging="74"/>
      </w:pPr>
      <w:rPr>
        <w:rFonts w:hint="default"/>
      </w:rPr>
    </w:lvl>
    <w:lvl w:ilvl="6">
      <w:start w:val="1"/>
      <w:numFmt w:val="bullet"/>
      <w:lvlText w:val="•"/>
      <w:lvlJc w:val="left"/>
      <w:pPr>
        <w:ind w:left="1061" w:hanging="74"/>
      </w:pPr>
      <w:rPr>
        <w:rFonts w:hint="default"/>
      </w:rPr>
    </w:lvl>
    <w:lvl w:ilvl="7">
      <w:start w:val="1"/>
      <w:numFmt w:val="bullet"/>
      <w:lvlText w:val="•"/>
      <w:lvlJc w:val="left"/>
      <w:pPr>
        <w:ind w:left="1215" w:hanging="74"/>
      </w:pPr>
      <w:rPr>
        <w:rFonts w:hint="default"/>
      </w:rPr>
    </w:lvl>
    <w:lvl w:ilvl="8">
      <w:start w:val="1"/>
      <w:numFmt w:val="bullet"/>
      <w:lvlText w:val="•"/>
      <w:lvlJc w:val="left"/>
      <w:pPr>
        <w:ind w:left="1368" w:hanging="74"/>
      </w:pPr>
      <w:rPr>
        <w:rFonts w:hint="default"/>
      </w:rPr>
    </w:lvl>
  </w:abstractNum>
  <w:abstractNum w:abstractNumId="75">
    <w:multiLevelType w:val="hybridMultilevel"/>
    <w:lvl w:ilvl="0">
      <w:start w:val="1"/>
      <w:numFmt w:val="decimal"/>
      <w:lvlText w:val="%1"/>
      <w:lvlJc w:val="left"/>
      <w:pPr>
        <w:ind w:left="144" w:hanging="74"/>
        <w:jc w:val="left"/>
      </w:pPr>
      <w:rPr>
        <w:rFonts w:hint="default" w:ascii="Arial" w:hAnsi="Arial" w:eastAsia="Arial" w:cs="Arial"/>
        <w:w w:val="62"/>
        <w:sz w:val="14"/>
        <w:szCs w:val="14"/>
      </w:rPr>
    </w:lvl>
    <w:lvl w:ilvl="1">
      <w:start w:val="1"/>
      <w:numFmt w:val="bullet"/>
      <w:lvlText w:val="•"/>
      <w:lvlJc w:val="left"/>
      <w:pPr>
        <w:ind w:left="298" w:hanging="74"/>
      </w:pPr>
      <w:rPr>
        <w:rFonts w:hint="default"/>
      </w:rPr>
    </w:lvl>
    <w:lvl w:ilvl="2">
      <w:start w:val="1"/>
      <w:numFmt w:val="bullet"/>
      <w:lvlText w:val="•"/>
      <w:lvlJc w:val="left"/>
      <w:pPr>
        <w:ind w:left="457" w:hanging="74"/>
      </w:pPr>
      <w:rPr>
        <w:rFonts w:hint="default"/>
      </w:rPr>
    </w:lvl>
    <w:lvl w:ilvl="3">
      <w:start w:val="1"/>
      <w:numFmt w:val="bullet"/>
      <w:lvlText w:val="•"/>
      <w:lvlJc w:val="left"/>
      <w:pPr>
        <w:ind w:left="615" w:hanging="74"/>
      </w:pPr>
      <w:rPr>
        <w:rFonts w:hint="default"/>
      </w:rPr>
    </w:lvl>
    <w:lvl w:ilvl="4">
      <w:start w:val="1"/>
      <w:numFmt w:val="bullet"/>
      <w:lvlText w:val="•"/>
      <w:lvlJc w:val="left"/>
      <w:pPr>
        <w:ind w:left="774" w:hanging="74"/>
      </w:pPr>
      <w:rPr>
        <w:rFonts w:hint="default"/>
      </w:rPr>
    </w:lvl>
    <w:lvl w:ilvl="5">
      <w:start w:val="1"/>
      <w:numFmt w:val="bullet"/>
      <w:lvlText w:val="•"/>
      <w:lvlJc w:val="left"/>
      <w:pPr>
        <w:ind w:left="933" w:hanging="74"/>
      </w:pPr>
      <w:rPr>
        <w:rFonts w:hint="default"/>
      </w:rPr>
    </w:lvl>
    <w:lvl w:ilvl="6">
      <w:start w:val="1"/>
      <w:numFmt w:val="bullet"/>
      <w:lvlText w:val="•"/>
      <w:lvlJc w:val="left"/>
      <w:pPr>
        <w:ind w:left="1091" w:hanging="74"/>
      </w:pPr>
      <w:rPr>
        <w:rFonts w:hint="default"/>
      </w:rPr>
    </w:lvl>
    <w:lvl w:ilvl="7">
      <w:start w:val="1"/>
      <w:numFmt w:val="bullet"/>
      <w:lvlText w:val="•"/>
      <w:lvlJc w:val="left"/>
      <w:pPr>
        <w:ind w:left="1250" w:hanging="74"/>
      </w:pPr>
      <w:rPr>
        <w:rFonts w:hint="default"/>
      </w:rPr>
    </w:lvl>
    <w:lvl w:ilvl="8">
      <w:start w:val="1"/>
      <w:numFmt w:val="bullet"/>
      <w:lvlText w:val="•"/>
      <w:lvlJc w:val="left"/>
      <w:pPr>
        <w:ind w:left="1408" w:hanging="74"/>
      </w:pPr>
      <w:rPr>
        <w:rFonts w:hint="default"/>
      </w:rPr>
    </w:lvl>
  </w:abstractNum>
  <w:abstractNum w:abstractNumId="74">
    <w:multiLevelType w:val="hybridMultilevel"/>
    <w:lvl w:ilvl="0">
      <w:start w:val="3"/>
      <w:numFmt w:val="decimal"/>
      <w:lvlText w:val="%1"/>
      <w:lvlJc w:val="left"/>
      <w:pPr>
        <w:ind w:left="70" w:hanging="74"/>
        <w:jc w:val="left"/>
      </w:pPr>
      <w:rPr>
        <w:rFonts w:hint="default" w:ascii="Arial" w:hAnsi="Arial" w:eastAsia="Arial" w:cs="Arial"/>
        <w:w w:val="62"/>
        <w:sz w:val="14"/>
        <w:szCs w:val="14"/>
      </w:rPr>
    </w:lvl>
    <w:lvl w:ilvl="1">
      <w:start w:val="1"/>
      <w:numFmt w:val="bullet"/>
      <w:lvlText w:val="•"/>
      <w:lvlJc w:val="left"/>
      <w:pPr>
        <w:ind w:left="247" w:hanging="74"/>
      </w:pPr>
      <w:rPr>
        <w:rFonts w:hint="default"/>
      </w:rPr>
    </w:lvl>
    <w:lvl w:ilvl="2">
      <w:start w:val="1"/>
      <w:numFmt w:val="bullet"/>
      <w:lvlText w:val="•"/>
      <w:lvlJc w:val="left"/>
      <w:pPr>
        <w:ind w:left="415" w:hanging="74"/>
      </w:pPr>
      <w:rPr>
        <w:rFonts w:hint="default"/>
      </w:rPr>
    </w:lvl>
    <w:lvl w:ilvl="3">
      <w:start w:val="1"/>
      <w:numFmt w:val="bullet"/>
      <w:lvlText w:val="•"/>
      <w:lvlJc w:val="left"/>
      <w:pPr>
        <w:ind w:left="582" w:hanging="74"/>
      </w:pPr>
      <w:rPr>
        <w:rFonts w:hint="default"/>
      </w:rPr>
    </w:lvl>
    <w:lvl w:ilvl="4">
      <w:start w:val="1"/>
      <w:numFmt w:val="bullet"/>
      <w:lvlText w:val="•"/>
      <w:lvlJc w:val="left"/>
      <w:pPr>
        <w:ind w:left="750" w:hanging="74"/>
      </w:pPr>
      <w:rPr>
        <w:rFonts w:hint="default"/>
      </w:rPr>
    </w:lvl>
    <w:lvl w:ilvl="5">
      <w:start w:val="1"/>
      <w:numFmt w:val="bullet"/>
      <w:lvlText w:val="•"/>
      <w:lvlJc w:val="left"/>
      <w:pPr>
        <w:ind w:left="917" w:hanging="74"/>
      </w:pPr>
      <w:rPr>
        <w:rFonts w:hint="default"/>
      </w:rPr>
    </w:lvl>
    <w:lvl w:ilvl="6">
      <w:start w:val="1"/>
      <w:numFmt w:val="bullet"/>
      <w:lvlText w:val="•"/>
      <w:lvlJc w:val="left"/>
      <w:pPr>
        <w:ind w:left="1085" w:hanging="74"/>
      </w:pPr>
      <w:rPr>
        <w:rFonts w:hint="default"/>
      </w:rPr>
    </w:lvl>
    <w:lvl w:ilvl="7">
      <w:start w:val="1"/>
      <w:numFmt w:val="bullet"/>
      <w:lvlText w:val="•"/>
      <w:lvlJc w:val="left"/>
      <w:pPr>
        <w:ind w:left="1252" w:hanging="74"/>
      </w:pPr>
      <w:rPr>
        <w:rFonts w:hint="default"/>
      </w:rPr>
    </w:lvl>
    <w:lvl w:ilvl="8">
      <w:start w:val="1"/>
      <w:numFmt w:val="bullet"/>
      <w:lvlText w:val="•"/>
      <w:lvlJc w:val="left"/>
      <w:pPr>
        <w:ind w:left="1420" w:hanging="74"/>
      </w:pPr>
      <w:rPr>
        <w:rFonts w:hint="default"/>
      </w:rPr>
    </w:lvl>
  </w:abstractNum>
  <w:abstractNum w:abstractNumId="72">
    <w:multiLevelType w:val="hybridMultilevel"/>
    <w:lvl w:ilvl="0">
      <w:start w:val="2"/>
      <w:numFmt w:val="decimal"/>
      <w:lvlText w:val="%1)"/>
      <w:lvlJc w:val="left"/>
      <w:pPr>
        <w:ind w:left="276" w:hanging="216"/>
        <w:jc w:val="left"/>
      </w:pPr>
      <w:rPr>
        <w:rFonts w:hint="default" w:ascii="Arial" w:hAnsi="Arial" w:eastAsia="Arial" w:cs="Arial"/>
        <w:spacing w:val="-2"/>
        <w:w w:val="99"/>
        <w:sz w:val="14"/>
        <w:szCs w:val="14"/>
      </w:rPr>
    </w:lvl>
    <w:lvl w:ilvl="1">
      <w:start w:val="1"/>
      <w:numFmt w:val="bullet"/>
      <w:lvlText w:val="•"/>
      <w:lvlJc w:val="left"/>
      <w:pPr>
        <w:ind w:left="703" w:hanging="216"/>
      </w:pPr>
      <w:rPr>
        <w:rFonts w:hint="default"/>
      </w:rPr>
    </w:lvl>
    <w:lvl w:ilvl="2">
      <w:start w:val="1"/>
      <w:numFmt w:val="bullet"/>
      <w:lvlText w:val="•"/>
      <w:lvlJc w:val="left"/>
      <w:pPr>
        <w:ind w:left="1127" w:hanging="216"/>
      </w:pPr>
      <w:rPr>
        <w:rFonts w:hint="default"/>
      </w:rPr>
    </w:lvl>
    <w:lvl w:ilvl="3">
      <w:start w:val="1"/>
      <w:numFmt w:val="bullet"/>
      <w:lvlText w:val="•"/>
      <w:lvlJc w:val="left"/>
      <w:pPr>
        <w:ind w:left="1551" w:hanging="216"/>
      </w:pPr>
      <w:rPr>
        <w:rFonts w:hint="default"/>
      </w:rPr>
    </w:lvl>
    <w:lvl w:ilvl="4">
      <w:start w:val="1"/>
      <w:numFmt w:val="bullet"/>
      <w:lvlText w:val="•"/>
      <w:lvlJc w:val="left"/>
      <w:pPr>
        <w:ind w:left="1974" w:hanging="216"/>
      </w:pPr>
      <w:rPr>
        <w:rFonts w:hint="default"/>
      </w:rPr>
    </w:lvl>
    <w:lvl w:ilvl="5">
      <w:start w:val="1"/>
      <w:numFmt w:val="bullet"/>
      <w:lvlText w:val="•"/>
      <w:lvlJc w:val="left"/>
      <w:pPr>
        <w:ind w:left="2398" w:hanging="216"/>
      </w:pPr>
      <w:rPr>
        <w:rFonts w:hint="default"/>
      </w:rPr>
    </w:lvl>
    <w:lvl w:ilvl="6">
      <w:start w:val="1"/>
      <w:numFmt w:val="bullet"/>
      <w:lvlText w:val="•"/>
      <w:lvlJc w:val="left"/>
      <w:pPr>
        <w:ind w:left="2822" w:hanging="216"/>
      </w:pPr>
      <w:rPr>
        <w:rFonts w:hint="default"/>
      </w:rPr>
    </w:lvl>
    <w:lvl w:ilvl="7">
      <w:start w:val="1"/>
      <w:numFmt w:val="bullet"/>
      <w:lvlText w:val="•"/>
      <w:lvlJc w:val="left"/>
      <w:pPr>
        <w:ind w:left="3245" w:hanging="216"/>
      </w:pPr>
      <w:rPr>
        <w:rFonts w:hint="default"/>
      </w:rPr>
    </w:lvl>
    <w:lvl w:ilvl="8">
      <w:start w:val="1"/>
      <w:numFmt w:val="bullet"/>
      <w:lvlText w:val="•"/>
      <w:lvlJc w:val="left"/>
      <w:pPr>
        <w:ind w:left="3669" w:hanging="216"/>
      </w:pPr>
      <w:rPr>
        <w:rFonts w:hint="default"/>
      </w:rPr>
    </w:lvl>
  </w:abstractNum>
  <w:abstractNum w:abstractNumId="71">
    <w:multiLevelType w:val="hybridMultilevel"/>
    <w:lvl w:ilvl="0">
      <w:start w:val="1"/>
      <w:numFmt w:val="decimal"/>
      <w:lvlText w:val="%1)"/>
      <w:lvlJc w:val="left"/>
      <w:pPr>
        <w:ind w:left="276" w:hanging="164"/>
        <w:jc w:val="left"/>
      </w:pPr>
      <w:rPr>
        <w:rFonts w:hint="default" w:ascii="Arial" w:hAnsi="Arial" w:eastAsia="Arial" w:cs="Arial"/>
        <w:spacing w:val="-2"/>
        <w:w w:val="99"/>
        <w:sz w:val="14"/>
        <w:szCs w:val="14"/>
      </w:rPr>
    </w:lvl>
    <w:lvl w:ilvl="1">
      <w:start w:val="1"/>
      <w:numFmt w:val="bullet"/>
      <w:lvlText w:val="•"/>
      <w:lvlJc w:val="left"/>
      <w:pPr>
        <w:ind w:left="703" w:hanging="164"/>
      </w:pPr>
      <w:rPr>
        <w:rFonts w:hint="default"/>
      </w:rPr>
    </w:lvl>
    <w:lvl w:ilvl="2">
      <w:start w:val="1"/>
      <w:numFmt w:val="bullet"/>
      <w:lvlText w:val="•"/>
      <w:lvlJc w:val="left"/>
      <w:pPr>
        <w:ind w:left="1127" w:hanging="164"/>
      </w:pPr>
      <w:rPr>
        <w:rFonts w:hint="default"/>
      </w:rPr>
    </w:lvl>
    <w:lvl w:ilvl="3">
      <w:start w:val="1"/>
      <w:numFmt w:val="bullet"/>
      <w:lvlText w:val="•"/>
      <w:lvlJc w:val="left"/>
      <w:pPr>
        <w:ind w:left="1551" w:hanging="164"/>
      </w:pPr>
      <w:rPr>
        <w:rFonts w:hint="default"/>
      </w:rPr>
    </w:lvl>
    <w:lvl w:ilvl="4">
      <w:start w:val="1"/>
      <w:numFmt w:val="bullet"/>
      <w:lvlText w:val="•"/>
      <w:lvlJc w:val="left"/>
      <w:pPr>
        <w:ind w:left="1974" w:hanging="164"/>
      </w:pPr>
      <w:rPr>
        <w:rFonts w:hint="default"/>
      </w:rPr>
    </w:lvl>
    <w:lvl w:ilvl="5">
      <w:start w:val="1"/>
      <w:numFmt w:val="bullet"/>
      <w:lvlText w:val="•"/>
      <w:lvlJc w:val="left"/>
      <w:pPr>
        <w:ind w:left="2398" w:hanging="164"/>
      </w:pPr>
      <w:rPr>
        <w:rFonts w:hint="default"/>
      </w:rPr>
    </w:lvl>
    <w:lvl w:ilvl="6">
      <w:start w:val="1"/>
      <w:numFmt w:val="bullet"/>
      <w:lvlText w:val="•"/>
      <w:lvlJc w:val="left"/>
      <w:pPr>
        <w:ind w:left="2822" w:hanging="164"/>
      </w:pPr>
      <w:rPr>
        <w:rFonts w:hint="default"/>
      </w:rPr>
    </w:lvl>
    <w:lvl w:ilvl="7">
      <w:start w:val="1"/>
      <w:numFmt w:val="bullet"/>
      <w:lvlText w:val="•"/>
      <w:lvlJc w:val="left"/>
      <w:pPr>
        <w:ind w:left="3245" w:hanging="164"/>
      </w:pPr>
      <w:rPr>
        <w:rFonts w:hint="default"/>
      </w:rPr>
    </w:lvl>
    <w:lvl w:ilvl="8">
      <w:start w:val="1"/>
      <w:numFmt w:val="bullet"/>
      <w:lvlText w:val="•"/>
      <w:lvlJc w:val="left"/>
      <w:pPr>
        <w:ind w:left="3669" w:hanging="164"/>
      </w:pPr>
      <w:rPr>
        <w:rFonts w:hint="default"/>
      </w:rPr>
    </w:lvl>
  </w:abstractNum>
  <w:abstractNum w:abstractNumId="70">
    <w:multiLevelType w:val="hybridMultilevel"/>
    <w:lvl w:ilvl="0">
      <w:start w:val="1"/>
      <w:numFmt w:val="decimal"/>
      <w:lvlText w:val="%1)"/>
      <w:lvlJc w:val="left"/>
      <w:pPr>
        <w:ind w:left="320" w:hanging="224"/>
        <w:jc w:val="right"/>
      </w:pPr>
      <w:rPr>
        <w:rFonts w:hint="default" w:ascii="Arial" w:hAnsi="Arial" w:eastAsia="Arial" w:cs="Arial"/>
        <w:spacing w:val="-2"/>
        <w:w w:val="99"/>
        <w:sz w:val="14"/>
        <w:szCs w:val="14"/>
      </w:rPr>
    </w:lvl>
    <w:lvl w:ilvl="1">
      <w:start w:val="1"/>
      <w:numFmt w:val="bullet"/>
      <w:lvlText w:val="•"/>
      <w:lvlJc w:val="left"/>
      <w:pPr>
        <w:ind w:left="585" w:hanging="224"/>
      </w:pPr>
      <w:rPr>
        <w:rFonts w:hint="default"/>
      </w:rPr>
    </w:lvl>
    <w:lvl w:ilvl="2">
      <w:start w:val="1"/>
      <w:numFmt w:val="bullet"/>
      <w:lvlText w:val="•"/>
      <w:lvlJc w:val="left"/>
      <w:pPr>
        <w:ind w:left="850" w:hanging="224"/>
      </w:pPr>
      <w:rPr>
        <w:rFonts w:hint="default"/>
      </w:rPr>
    </w:lvl>
    <w:lvl w:ilvl="3">
      <w:start w:val="1"/>
      <w:numFmt w:val="bullet"/>
      <w:lvlText w:val="•"/>
      <w:lvlJc w:val="left"/>
      <w:pPr>
        <w:ind w:left="1115" w:hanging="224"/>
      </w:pPr>
      <w:rPr>
        <w:rFonts w:hint="default"/>
      </w:rPr>
    </w:lvl>
    <w:lvl w:ilvl="4">
      <w:start w:val="1"/>
      <w:numFmt w:val="bullet"/>
      <w:lvlText w:val="•"/>
      <w:lvlJc w:val="left"/>
      <w:pPr>
        <w:ind w:left="1381" w:hanging="224"/>
      </w:pPr>
      <w:rPr>
        <w:rFonts w:hint="default"/>
      </w:rPr>
    </w:lvl>
    <w:lvl w:ilvl="5">
      <w:start w:val="1"/>
      <w:numFmt w:val="bullet"/>
      <w:lvlText w:val="•"/>
      <w:lvlJc w:val="left"/>
      <w:pPr>
        <w:ind w:left="1646" w:hanging="224"/>
      </w:pPr>
      <w:rPr>
        <w:rFonts w:hint="default"/>
      </w:rPr>
    </w:lvl>
    <w:lvl w:ilvl="6">
      <w:start w:val="1"/>
      <w:numFmt w:val="bullet"/>
      <w:lvlText w:val="•"/>
      <w:lvlJc w:val="left"/>
      <w:pPr>
        <w:ind w:left="1911" w:hanging="224"/>
      </w:pPr>
      <w:rPr>
        <w:rFonts w:hint="default"/>
      </w:rPr>
    </w:lvl>
    <w:lvl w:ilvl="7">
      <w:start w:val="1"/>
      <w:numFmt w:val="bullet"/>
      <w:lvlText w:val="•"/>
      <w:lvlJc w:val="left"/>
      <w:pPr>
        <w:ind w:left="2177" w:hanging="224"/>
      </w:pPr>
      <w:rPr>
        <w:rFonts w:hint="default"/>
      </w:rPr>
    </w:lvl>
    <w:lvl w:ilvl="8">
      <w:start w:val="1"/>
      <w:numFmt w:val="bullet"/>
      <w:lvlText w:val="•"/>
      <w:lvlJc w:val="left"/>
      <w:pPr>
        <w:ind w:left="2442" w:hanging="224"/>
      </w:pPr>
      <w:rPr>
        <w:rFonts w:hint="default"/>
      </w:rPr>
    </w:lvl>
  </w:abstractNum>
  <w:abstractNum w:abstractNumId="68">
    <w:multiLevelType w:val="hybridMultilevel"/>
    <w:lvl w:ilvl="0">
      <w:start w:val="4"/>
      <w:numFmt w:val="decimal"/>
      <w:lvlText w:val="%1"/>
      <w:lvlJc w:val="left"/>
      <w:pPr>
        <w:ind w:left="552" w:hanging="433"/>
        <w:jc w:val="left"/>
      </w:pPr>
      <w:rPr>
        <w:rFonts w:hint="default"/>
      </w:rPr>
    </w:lvl>
    <w:lvl w:ilvl="1">
      <w:start w:val="1"/>
      <w:numFmt w:val="decimal"/>
      <w:lvlText w:val="%1.%2"/>
      <w:lvlJc w:val="left"/>
      <w:pPr>
        <w:ind w:left="552" w:hanging="433"/>
        <w:jc w:val="left"/>
      </w:pPr>
      <w:rPr>
        <w:rFonts w:hint="default" w:ascii="Arial" w:hAnsi="Arial" w:eastAsia="Arial" w:cs="Arial"/>
        <w:b/>
        <w:bCs/>
        <w:spacing w:val="-1"/>
        <w:w w:val="99"/>
        <w:sz w:val="26"/>
        <w:szCs w:val="26"/>
      </w:rPr>
    </w:lvl>
    <w:lvl w:ilvl="2">
      <w:start w:val="1"/>
      <w:numFmt w:val="decimal"/>
      <w:lvlText w:val="%1.%2.%3"/>
      <w:lvlJc w:val="left"/>
      <w:pPr>
        <w:ind w:left="719" w:hanging="600"/>
        <w:jc w:val="left"/>
      </w:pPr>
      <w:rPr>
        <w:rFonts w:hint="default" w:ascii="Arial" w:hAnsi="Arial" w:eastAsia="Arial" w:cs="Arial"/>
        <w:b/>
        <w:bCs/>
        <w:spacing w:val="-2"/>
        <w:w w:val="99"/>
        <w:sz w:val="24"/>
        <w:szCs w:val="24"/>
      </w:rPr>
    </w:lvl>
    <w:lvl w:ilvl="3">
      <w:start w:val="1"/>
      <w:numFmt w:val="decimal"/>
      <w:lvlText w:val="%4)"/>
      <w:lvlJc w:val="left"/>
      <w:pPr>
        <w:ind w:left="909" w:hanging="361"/>
        <w:jc w:val="left"/>
      </w:pPr>
      <w:rPr>
        <w:rFonts w:hint="default" w:ascii="Arial" w:hAnsi="Arial" w:eastAsia="Arial" w:cs="Arial"/>
        <w:spacing w:val="-2"/>
        <w:w w:val="99"/>
        <w:sz w:val="24"/>
        <w:szCs w:val="24"/>
      </w:rPr>
    </w:lvl>
    <w:lvl w:ilvl="4">
      <w:start w:val="1"/>
      <w:numFmt w:val="bullet"/>
      <w:lvlText w:val="•"/>
      <w:lvlJc w:val="left"/>
      <w:pPr>
        <w:ind w:left="2857" w:hanging="361"/>
      </w:pPr>
      <w:rPr>
        <w:rFonts w:hint="default"/>
      </w:rPr>
    </w:lvl>
    <w:lvl w:ilvl="5">
      <w:start w:val="1"/>
      <w:numFmt w:val="bullet"/>
      <w:lvlText w:val="•"/>
      <w:lvlJc w:val="left"/>
      <w:pPr>
        <w:ind w:left="3835" w:hanging="361"/>
      </w:pPr>
      <w:rPr>
        <w:rFonts w:hint="default"/>
      </w:rPr>
    </w:lvl>
    <w:lvl w:ilvl="6">
      <w:start w:val="1"/>
      <w:numFmt w:val="bullet"/>
      <w:lvlText w:val="•"/>
      <w:lvlJc w:val="left"/>
      <w:pPr>
        <w:ind w:left="4814" w:hanging="361"/>
      </w:pPr>
      <w:rPr>
        <w:rFonts w:hint="default"/>
      </w:rPr>
    </w:lvl>
    <w:lvl w:ilvl="7">
      <w:start w:val="1"/>
      <w:numFmt w:val="bullet"/>
      <w:lvlText w:val="•"/>
      <w:lvlJc w:val="left"/>
      <w:pPr>
        <w:ind w:left="5792" w:hanging="361"/>
      </w:pPr>
      <w:rPr>
        <w:rFonts w:hint="default"/>
      </w:rPr>
    </w:lvl>
    <w:lvl w:ilvl="8">
      <w:start w:val="1"/>
      <w:numFmt w:val="bullet"/>
      <w:lvlText w:val="•"/>
      <w:lvlJc w:val="left"/>
      <w:pPr>
        <w:ind w:left="6771" w:hanging="361"/>
      </w:pPr>
      <w:rPr>
        <w:rFonts w:hint="default"/>
      </w:rPr>
    </w:lvl>
  </w:abstractNum>
  <w:abstractNum w:abstractNumId="67">
    <w:multiLevelType w:val="hybridMultilevel"/>
    <w:lvl w:ilvl="0">
      <w:start w:val="1"/>
      <w:numFmt w:val="decimal"/>
      <w:lvlText w:val="%1)"/>
      <w:lvlJc w:val="left"/>
      <w:pPr>
        <w:ind w:left="404" w:hanging="284"/>
        <w:jc w:val="left"/>
      </w:pPr>
      <w:rPr>
        <w:rFonts w:hint="default" w:ascii="Arial" w:hAnsi="Arial" w:eastAsia="Arial" w:cs="Arial"/>
        <w:spacing w:val="-2"/>
        <w:w w:val="99"/>
        <w:sz w:val="24"/>
        <w:szCs w:val="24"/>
      </w:rPr>
    </w:lvl>
    <w:lvl w:ilvl="1">
      <w:start w:val="1"/>
      <w:numFmt w:val="decimal"/>
      <w:lvlText w:val="%2)"/>
      <w:lvlJc w:val="left"/>
      <w:pPr>
        <w:ind w:left="841" w:hanging="361"/>
        <w:jc w:val="left"/>
      </w:pPr>
      <w:rPr>
        <w:rFonts w:hint="default" w:ascii="Arial" w:hAnsi="Arial" w:eastAsia="Arial" w:cs="Arial"/>
        <w:spacing w:val="-2"/>
        <w:w w:val="99"/>
        <w:sz w:val="24"/>
        <w:szCs w:val="24"/>
      </w:rPr>
    </w:lvl>
    <w:lvl w:ilvl="2">
      <w:start w:val="1"/>
      <w:numFmt w:val="lowerLetter"/>
      <w:lvlText w:val="%3)"/>
      <w:lvlJc w:val="left"/>
      <w:pPr>
        <w:ind w:left="841" w:hanging="361"/>
        <w:jc w:val="left"/>
      </w:pPr>
      <w:rPr>
        <w:rFonts w:hint="default" w:ascii="Arial" w:hAnsi="Arial" w:eastAsia="Arial" w:cs="Arial"/>
        <w:spacing w:val="-2"/>
        <w:w w:val="99"/>
        <w:sz w:val="24"/>
        <w:szCs w:val="24"/>
      </w:rPr>
    </w:lvl>
    <w:lvl w:ilvl="3">
      <w:start w:val="1"/>
      <w:numFmt w:val="bullet"/>
      <w:lvlText w:val="•"/>
      <w:lvlJc w:val="left"/>
      <w:pPr>
        <w:ind w:left="2592" w:hanging="361"/>
      </w:pPr>
      <w:rPr>
        <w:rFonts w:hint="default"/>
      </w:rPr>
    </w:lvl>
    <w:lvl w:ilvl="4">
      <w:start w:val="1"/>
      <w:numFmt w:val="bullet"/>
      <w:lvlText w:val="•"/>
      <w:lvlJc w:val="left"/>
      <w:pPr>
        <w:ind w:left="3469" w:hanging="361"/>
      </w:pPr>
      <w:rPr>
        <w:rFonts w:hint="default"/>
      </w:rPr>
    </w:lvl>
    <w:lvl w:ilvl="5">
      <w:start w:val="1"/>
      <w:numFmt w:val="bullet"/>
      <w:lvlText w:val="•"/>
      <w:lvlJc w:val="left"/>
      <w:pPr>
        <w:ind w:left="4345" w:hanging="361"/>
      </w:pPr>
      <w:rPr>
        <w:rFonts w:hint="default"/>
      </w:rPr>
    </w:lvl>
    <w:lvl w:ilvl="6">
      <w:start w:val="1"/>
      <w:numFmt w:val="bullet"/>
      <w:lvlText w:val="•"/>
      <w:lvlJc w:val="left"/>
      <w:pPr>
        <w:ind w:left="5222" w:hanging="361"/>
      </w:pPr>
      <w:rPr>
        <w:rFonts w:hint="default"/>
      </w:rPr>
    </w:lvl>
    <w:lvl w:ilvl="7">
      <w:start w:val="1"/>
      <w:numFmt w:val="bullet"/>
      <w:lvlText w:val="•"/>
      <w:lvlJc w:val="left"/>
      <w:pPr>
        <w:ind w:left="6098" w:hanging="361"/>
      </w:pPr>
      <w:rPr>
        <w:rFonts w:hint="default"/>
      </w:rPr>
    </w:lvl>
    <w:lvl w:ilvl="8">
      <w:start w:val="1"/>
      <w:numFmt w:val="bullet"/>
      <w:lvlText w:val="•"/>
      <w:lvlJc w:val="left"/>
      <w:pPr>
        <w:ind w:left="6975" w:hanging="361"/>
      </w:pPr>
      <w:rPr>
        <w:rFonts w:hint="default"/>
      </w:rPr>
    </w:lvl>
  </w:abstractNum>
  <w:abstractNum w:abstractNumId="66">
    <w:multiLevelType w:val="hybridMultilevel"/>
    <w:lvl w:ilvl="0">
      <w:start w:val="1"/>
      <w:numFmt w:val="decimal"/>
      <w:lvlText w:val="%1."/>
      <w:lvlJc w:val="left"/>
      <w:pPr>
        <w:ind w:left="271" w:hanging="184"/>
        <w:jc w:val="left"/>
      </w:pPr>
      <w:rPr>
        <w:rFonts w:hint="default" w:ascii="Arial" w:hAnsi="Arial" w:eastAsia="Arial" w:cs="Arial"/>
        <w:spacing w:val="-9"/>
        <w:w w:val="99"/>
        <w:sz w:val="14"/>
        <w:szCs w:val="14"/>
      </w:rPr>
    </w:lvl>
    <w:lvl w:ilvl="1">
      <w:start w:val="1"/>
      <w:numFmt w:val="bullet"/>
      <w:lvlText w:val="•"/>
      <w:lvlJc w:val="left"/>
      <w:pPr>
        <w:ind w:left="1090" w:hanging="184"/>
      </w:pPr>
      <w:rPr>
        <w:rFonts w:hint="default"/>
      </w:rPr>
    </w:lvl>
    <w:lvl w:ilvl="2">
      <w:start w:val="1"/>
      <w:numFmt w:val="bullet"/>
      <w:lvlText w:val="•"/>
      <w:lvlJc w:val="left"/>
      <w:pPr>
        <w:ind w:left="1900" w:hanging="184"/>
      </w:pPr>
      <w:rPr>
        <w:rFonts w:hint="default"/>
      </w:rPr>
    </w:lvl>
    <w:lvl w:ilvl="3">
      <w:start w:val="1"/>
      <w:numFmt w:val="bullet"/>
      <w:lvlText w:val="•"/>
      <w:lvlJc w:val="left"/>
      <w:pPr>
        <w:ind w:left="2710" w:hanging="184"/>
      </w:pPr>
      <w:rPr>
        <w:rFonts w:hint="default"/>
      </w:rPr>
    </w:lvl>
    <w:lvl w:ilvl="4">
      <w:start w:val="1"/>
      <w:numFmt w:val="bullet"/>
      <w:lvlText w:val="•"/>
      <w:lvlJc w:val="left"/>
      <w:pPr>
        <w:ind w:left="3521" w:hanging="184"/>
      </w:pPr>
      <w:rPr>
        <w:rFonts w:hint="default"/>
      </w:rPr>
    </w:lvl>
    <w:lvl w:ilvl="5">
      <w:start w:val="1"/>
      <w:numFmt w:val="bullet"/>
      <w:lvlText w:val="•"/>
      <w:lvlJc w:val="left"/>
      <w:pPr>
        <w:ind w:left="4331" w:hanging="184"/>
      </w:pPr>
      <w:rPr>
        <w:rFonts w:hint="default"/>
      </w:rPr>
    </w:lvl>
    <w:lvl w:ilvl="6">
      <w:start w:val="1"/>
      <w:numFmt w:val="bullet"/>
      <w:lvlText w:val="•"/>
      <w:lvlJc w:val="left"/>
      <w:pPr>
        <w:ind w:left="5141" w:hanging="184"/>
      </w:pPr>
      <w:rPr>
        <w:rFonts w:hint="default"/>
      </w:rPr>
    </w:lvl>
    <w:lvl w:ilvl="7">
      <w:start w:val="1"/>
      <w:numFmt w:val="bullet"/>
      <w:lvlText w:val="•"/>
      <w:lvlJc w:val="left"/>
      <w:pPr>
        <w:ind w:left="5951" w:hanging="184"/>
      </w:pPr>
      <w:rPr>
        <w:rFonts w:hint="default"/>
      </w:rPr>
    </w:lvl>
    <w:lvl w:ilvl="8">
      <w:start w:val="1"/>
      <w:numFmt w:val="bullet"/>
      <w:lvlText w:val="•"/>
      <w:lvlJc w:val="left"/>
      <w:pPr>
        <w:ind w:left="6762" w:hanging="184"/>
      </w:pPr>
      <w:rPr>
        <w:rFonts w:hint="default"/>
      </w:rPr>
    </w:lvl>
  </w:abstractNum>
  <w:abstractNum w:abstractNumId="65">
    <w:multiLevelType w:val="hybridMultilevel"/>
    <w:lvl w:ilvl="0">
      <w:start w:val="1"/>
      <w:numFmt w:val="decimal"/>
      <w:lvlText w:val="%1."/>
      <w:lvlJc w:val="left"/>
      <w:pPr>
        <w:ind w:left="231" w:hanging="144"/>
        <w:jc w:val="left"/>
      </w:pPr>
      <w:rPr>
        <w:rFonts w:hint="default" w:ascii="Arial" w:hAnsi="Arial" w:eastAsia="Arial" w:cs="Arial"/>
        <w:spacing w:val="-2"/>
        <w:w w:val="100"/>
        <w:sz w:val="14"/>
        <w:szCs w:val="14"/>
      </w:rPr>
    </w:lvl>
    <w:lvl w:ilvl="1">
      <w:start w:val="1"/>
      <w:numFmt w:val="bullet"/>
      <w:lvlText w:val="•"/>
      <w:lvlJc w:val="left"/>
      <w:pPr>
        <w:ind w:left="1054" w:hanging="144"/>
      </w:pPr>
      <w:rPr>
        <w:rFonts w:hint="default"/>
      </w:rPr>
    </w:lvl>
    <w:lvl w:ilvl="2">
      <w:start w:val="1"/>
      <w:numFmt w:val="bullet"/>
      <w:lvlText w:val="•"/>
      <w:lvlJc w:val="left"/>
      <w:pPr>
        <w:ind w:left="1868" w:hanging="144"/>
      </w:pPr>
      <w:rPr>
        <w:rFonts w:hint="default"/>
      </w:rPr>
    </w:lvl>
    <w:lvl w:ilvl="3">
      <w:start w:val="1"/>
      <w:numFmt w:val="bullet"/>
      <w:lvlText w:val="•"/>
      <w:lvlJc w:val="left"/>
      <w:pPr>
        <w:ind w:left="2682" w:hanging="144"/>
      </w:pPr>
      <w:rPr>
        <w:rFonts w:hint="default"/>
      </w:rPr>
    </w:lvl>
    <w:lvl w:ilvl="4">
      <w:start w:val="1"/>
      <w:numFmt w:val="bullet"/>
      <w:lvlText w:val="•"/>
      <w:lvlJc w:val="left"/>
      <w:pPr>
        <w:ind w:left="3497" w:hanging="144"/>
      </w:pPr>
      <w:rPr>
        <w:rFonts w:hint="default"/>
      </w:rPr>
    </w:lvl>
    <w:lvl w:ilvl="5">
      <w:start w:val="1"/>
      <w:numFmt w:val="bullet"/>
      <w:lvlText w:val="•"/>
      <w:lvlJc w:val="left"/>
      <w:pPr>
        <w:ind w:left="4311" w:hanging="144"/>
      </w:pPr>
      <w:rPr>
        <w:rFonts w:hint="default"/>
      </w:rPr>
    </w:lvl>
    <w:lvl w:ilvl="6">
      <w:start w:val="1"/>
      <w:numFmt w:val="bullet"/>
      <w:lvlText w:val="•"/>
      <w:lvlJc w:val="left"/>
      <w:pPr>
        <w:ind w:left="5125" w:hanging="144"/>
      </w:pPr>
      <w:rPr>
        <w:rFonts w:hint="default"/>
      </w:rPr>
    </w:lvl>
    <w:lvl w:ilvl="7">
      <w:start w:val="1"/>
      <w:numFmt w:val="bullet"/>
      <w:lvlText w:val="•"/>
      <w:lvlJc w:val="left"/>
      <w:pPr>
        <w:ind w:left="5939" w:hanging="144"/>
      </w:pPr>
      <w:rPr>
        <w:rFonts w:hint="default"/>
      </w:rPr>
    </w:lvl>
    <w:lvl w:ilvl="8">
      <w:start w:val="1"/>
      <w:numFmt w:val="bullet"/>
      <w:lvlText w:val="•"/>
      <w:lvlJc w:val="left"/>
      <w:pPr>
        <w:ind w:left="6754" w:hanging="144"/>
      </w:pPr>
      <w:rPr>
        <w:rFonts w:hint="default"/>
      </w:rPr>
    </w:lvl>
  </w:abstractNum>
  <w:abstractNum w:abstractNumId="64">
    <w:multiLevelType w:val="hybridMultilevel"/>
    <w:lvl w:ilvl="0">
      <w:start w:val="1"/>
      <w:numFmt w:val="decimal"/>
      <w:lvlText w:val="%1."/>
      <w:lvlJc w:val="left"/>
      <w:pPr>
        <w:ind w:left="420" w:hanging="280"/>
        <w:jc w:val="left"/>
      </w:pPr>
      <w:rPr>
        <w:rFonts w:hint="default" w:ascii="Arial" w:hAnsi="Arial" w:eastAsia="Arial" w:cs="Arial"/>
        <w:spacing w:val="-6"/>
        <w:w w:val="99"/>
        <w:sz w:val="14"/>
        <w:szCs w:val="14"/>
      </w:rPr>
    </w:lvl>
    <w:lvl w:ilvl="1">
      <w:start w:val="1"/>
      <w:numFmt w:val="bullet"/>
      <w:lvlText w:val="•"/>
      <w:lvlJc w:val="left"/>
      <w:pPr>
        <w:ind w:left="630" w:hanging="280"/>
      </w:pPr>
      <w:rPr>
        <w:rFonts w:hint="default"/>
      </w:rPr>
    </w:lvl>
    <w:lvl w:ilvl="2">
      <w:start w:val="1"/>
      <w:numFmt w:val="bullet"/>
      <w:lvlText w:val="•"/>
      <w:lvlJc w:val="left"/>
      <w:pPr>
        <w:ind w:left="841" w:hanging="280"/>
      </w:pPr>
      <w:rPr>
        <w:rFonts w:hint="default"/>
      </w:rPr>
    </w:lvl>
    <w:lvl w:ilvl="3">
      <w:start w:val="1"/>
      <w:numFmt w:val="bullet"/>
      <w:lvlText w:val="•"/>
      <w:lvlJc w:val="left"/>
      <w:pPr>
        <w:ind w:left="1051" w:hanging="280"/>
      </w:pPr>
      <w:rPr>
        <w:rFonts w:hint="default"/>
      </w:rPr>
    </w:lvl>
    <w:lvl w:ilvl="4">
      <w:start w:val="1"/>
      <w:numFmt w:val="bullet"/>
      <w:lvlText w:val="•"/>
      <w:lvlJc w:val="left"/>
      <w:pPr>
        <w:ind w:left="1262" w:hanging="280"/>
      </w:pPr>
      <w:rPr>
        <w:rFonts w:hint="default"/>
      </w:rPr>
    </w:lvl>
    <w:lvl w:ilvl="5">
      <w:start w:val="1"/>
      <w:numFmt w:val="bullet"/>
      <w:lvlText w:val="•"/>
      <w:lvlJc w:val="left"/>
      <w:pPr>
        <w:ind w:left="1472" w:hanging="280"/>
      </w:pPr>
      <w:rPr>
        <w:rFonts w:hint="default"/>
      </w:rPr>
    </w:lvl>
    <w:lvl w:ilvl="6">
      <w:start w:val="1"/>
      <w:numFmt w:val="bullet"/>
      <w:lvlText w:val="•"/>
      <w:lvlJc w:val="left"/>
      <w:pPr>
        <w:ind w:left="1683" w:hanging="280"/>
      </w:pPr>
      <w:rPr>
        <w:rFonts w:hint="default"/>
      </w:rPr>
    </w:lvl>
    <w:lvl w:ilvl="7">
      <w:start w:val="1"/>
      <w:numFmt w:val="bullet"/>
      <w:lvlText w:val="•"/>
      <w:lvlJc w:val="left"/>
      <w:pPr>
        <w:ind w:left="1893" w:hanging="280"/>
      </w:pPr>
      <w:rPr>
        <w:rFonts w:hint="default"/>
      </w:rPr>
    </w:lvl>
    <w:lvl w:ilvl="8">
      <w:start w:val="1"/>
      <w:numFmt w:val="bullet"/>
      <w:lvlText w:val="•"/>
      <w:lvlJc w:val="left"/>
      <w:pPr>
        <w:ind w:left="2104" w:hanging="280"/>
      </w:pPr>
      <w:rPr>
        <w:rFonts w:hint="default"/>
      </w:rPr>
    </w:lvl>
  </w:abstractNum>
  <w:abstractNum w:abstractNumId="63">
    <w:multiLevelType w:val="hybridMultilevel"/>
    <w:lvl w:ilvl="0">
      <w:start w:val="1"/>
      <w:numFmt w:val="decimal"/>
      <w:lvlText w:val="%1."/>
      <w:lvlJc w:val="left"/>
      <w:pPr>
        <w:ind w:left="416" w:hanging="285"/>
        <w:jc w:val="left"/>
      </w:pPr>
      <w:rPr>
        <w:rFonts w:hint="default" w:ascii="Arial" w:hAnsi="Arial" w:eastAsia="Arial" w:cs="Arial"/>
        <w:spacing w:val="-6"/>
        <w:w w:val="99"/>
        <w:sz w:val="14"/>
        <w:szCs w:val="14"/>
      </w:rPr>
    </w:lvl>
    <w:lvl w:ilvl="1">
      <w:start w:val="1"/>
      <w:numFmt w:val="bullet"/>
      <w:lvlText w:val="•"/>
      <w:lvlJc w:val="left"/>
      <w:pPr>
        <w:ind w:left="630" w:hanging="285"/>
      </w:pPr>
      <w:rPr>
        <w:rFonts w:hint="default"/>
      </w:rPr>
    </w:lvl>
    <w:lvl w:ilvl="2">
      <w:start w:val="1"/>
      <w:numFmt w:val="bullet"/>
      <w:lvlText w:val="•"/>
      <w:lvlJc w:val="left"/>
      <w:pPr>
        <w:ind w:left="841" w:hanging="285"/>
      </w:pPr>
      <w:rPr>
        <w:rFonts w:hint="default"/>
      </w:rPr>
    </w:lvl>
    <w:lvl w:ilvl="3">
      <w:start w:val="1"/>
      <w:numFmt w:val="bullet"/>
      <w:lvlText w:val="•"/>
      <w:lvlJc w:val="left"/>
      <w:pPr>
        <w:ind w:left="1051" w:hanging="285"/>
      </w:pPr>
      <w:rPr>
        <w:rFonts w:hint="default"/>
      </w:rPr>
    </w:lvl>
    <w:lvl w:ilvl="4">
      <w:start w:val="1"/>
      <w:numFmt w:val="bullet"/>
      <w:lvlText w:val="•"/>
      <w:lvlJc w:val="left"/>
      <w:pPr>
        <w:ind w:left="1262" w:hanging="285"/>
      </w:pPr>
      <w:rPr>
        <w:rFonts w:hint="default"/>
      </w:rPr>
    </w:lvl>
    <w:lvl w:ilvl="5">
      <w:start w:val="1"/>
      <w:numFmt w:val="bullet"/>
      <w:lvlText w:val="•"/>
      <w:lvlJc w:val="left"/>
      <w:pPr>
        <w:ind w:left="1472" w:hanging="285"/>
      </w:pPr>
      <w:rPr>
        <w:rFonts w:hint="default"/>
      </w:rPr>
    </w:lvl>
    <w:lvl w:ilvl="6">
      <w:start w:val="1"/>
      <w:numFmt w:val="bullet"/>
      <w:lvlText w:val="•"/>
      <w:lvlJc w:val="left"/>
      <w:pPr>
        <w:ind w:left="1683" w:hanging="285"/>
      </w:pPr>
      <w:rPr>
        <w:rFonts w:hint="default"/>
      </w:rPr>
    </w:lvl>
    <w:lvl w:ilvl="7">
      <w:start w:val="1"/>
      <w:numFmt w:val="bullet"/>
      <w:lvlText w:val="•"/>
      <w:lvlJc w:val="left"/>
      <w:pPr>
        <w:ind w:left="1893" w:hanging="285"/>
      </w:pPr>
      <w:rPr>
        <w:rFonts w:hint="default"/>
      </w:rPr>
    </w:lvl>
    <w:lvl w:ilvl="8">
      <w:start w:val="1"/>
      <w:numFmt w:val="bullet"/>
      <w:lvlText w:val="•"/>
      <w:lvlJc w:val="left"/>
      <w:pPr>
        <w:ind w:left="2104" w:hanging="285"/>
      </w:pPr>
      <w:rPr>
        <w:rFonts w:hint="default"/>
      </w:rPr>
    </w:lvl>
  </w:abstractNum>
  <w:abstractNum w:abstractNumId="62">
    <w:multiLevelType w:val="hybridMultilevel"/>
    <w:lvl w:ilvl="0">
      <w:start w:val="1"/>
      <w:numFmt w:val="decimal"/>
      <w:lvlText w:val="%1."/>
      <w:lvlJc w:val="left"/>
      <w:pPr>
        <w:ind w:left="416" w:hanging="316"/>
        <w:jc w:val="left"/>
      </w:pPr>
      <w:rPr>
        <w:rFonts w:hint="default" w:ascii="Arial" w:hAnsi="Arial" w:eastAsia="Arial" w:cs="Arial"/>
        <w:spacing w:val="-6"/>
        <w:w w:val="99"/>
        <w:sz w:val="14"/>
        <w:szCs w:val="14"/>
      </w:rPr>
    </w:lvl>
    <w:lvl w:ilvl="1">
      <w:start w:val="1"/>
      <w:numFmt w:val="bullet"/>
      <w:lvlText w:val="•"/>
      <w:lvlJc w:val="left"/>
      <w:pPr>
        <w:ind w:left="605" w:hanging="316"/>
      </w:pPr>
      <w:rPr>
        <w:rFonts w:hint="default"/>
      </w:rPr>
    </w:lvl>
    <w:lvl w:ilvl="2">
      <w:start w:val="1"/>
      <w:numFmt w:val="bullet"/>
      <w:lvlText w:val="•"/>
      <w:lvlJc w:val="left"/>
      <w:pPr>
        <w:ind w:left="790" w:hanging="316"/>
      </w:pPr>
      <w:rPr>
        <w:rFonts w:hint="default"/>
      </w:rPr>
    </w:lvl>
    <w:lvl w:ilvl="3">
      <w:start w:val="1"/>
      <w:numFmt w:val="bullet"/>
      <w:lvlText w:val="•"/>
      <w:lvlJc w:val="left"/>
      <w:pPr>
        <w:ind w:left="975" w:hanging="316"/>
      </w:pPr>
      <w:rPr>
        <w:rFonts w:hint="default"/>
      </w:rPr>
    </w:lvl>
    <w:lvl w:ilvl="4">
      <w:start w:val="1"/>
      <w:numFmt w:val="bullet"/>
      <w:lvlText w:val="•"/>
      <w:lvlJc w:val="left"/>
      <w:pPr>
        <w:ind w:left="1161" w:hanging="316"/>
      </w:pPr>
      <w:rPr>
        <w:rFonts w:hint="default"/>
      </w:rPr>
    </w:lvl>
    <w:lvl w:ilvl="5">
      <w:start w:val="1"/>
      <w:numFmt w:val="bullet"/>
      <w:lvlText w:val="•"/>
      <w:lvlJc w:val="left"/>
      <w:pPr>
        <w:ind w:left="1346" w:hanging="316"/>
      </w:pPr>
      <w:rPr>
        <w:rFonts w:hint="default"/>
      </w:rPr>
    </w:lvl>
    <w:lvl w:ilvl="6">
      <w:start w:val="1"/>
      <w:numFmt w:val="bullet"/>
      <w:lvlText w:val="•"/>
      <w:lvlJc w:val="left"/>
      <w:pPr>
        <w:ind w:left="1531" w:hanging="316"/>
      </w:pPr>
      <w:rPr>
        <w:rFonts w:hint="default"/>
      </w:rPr>
    </w:lvl>
    <w:lvl w:ilvl="7">
      <w:start w:val="1"/>
      <w:numFmt w:val="bullet"/>
      <w:lvlText w:val="•"/>
      <w:lvlJc w:val="left"/>
      <w:pPr>
        <w:ind w:left="1716" w:hanging="316"/>
      </w:pPr>
      <w:rPr>
        <w:rFonts w:hint="default"/>
      </w:rPr>
    </w:lvl>
    <w:lvl w:ilvl="8">
      <w:start w:val="1"/>
      <w:numFmt w:val="bullet"/>
      <w:lvlText w:val="•"/>
      <w:lvlJc w:val="left"/>
      <w:pPr>
        <w:ind w:left="1902" w:hanging="316"/>
      </w:pPr>
      <w:rPr>
        <w:rFonts w:hint="default"/>
      </w:rPr>
    </w:lvl>
  </w:abstractNum>
  <w:abstractNum w:abstractNumId="61">
    <w:multiLevelType w:val="hybridMultilevel"/>
    <w:lvl w:ilvl="0">
      <w:start w:val="3"/>
      <w:numFmt w:val="decimal"/>
      <w:lvlText w:val="%1"/>
      <w:lvlJc w:val="left"/>
      <w:pPr>
        <w:ind w:left="719" w:hanging="600"/>
        <w:jc w:val="left"/>
      </w:pPr>
      <w:rPr>
        <w:rFonts w:hint="default"/>
      </w:rPr>
    </w:lvl>
    <w:lvl w:ilvl="1">
      <w:start w:val="3"/>
      <w:numFmt w:val="decimal"/>
      <w:lvlText w:val="%1.%2"/>
      <w:lvlJc w:val="left"/>
      <w:pPr>
        <w:ind w:left="719" w:hanging="600"/>
        <w:jc w:val="left"/>
      </w:pPr>
      <w:rPr>
        <w:rFonts w:hint="default"/>
      </w:rPr>
    </w:lvl>
    <w:lvl w:ilvl="2">
      <w:start w:val="1"/>
      <w:numFmt w:val="decimal"/>
      <w:lvlText w:val="%1.%2.%3"/>
      <w:lvlJc w:val="left"/>
      <w:pPr>
        <w:ind w:left="180" w:hanging="600"/>
        <w:jc w:val="right"/>
      </w:pPr>
      <w:rPr>
        <w:rFonts w:hint="default" w:ascii="Arial" w:hAnsi="Arial" w:eastAsia="Arial" w:cs="Arial"/>
        <w:b/>
        <w:bCs/>
        <w:spacing w:val="-2"/>
        <w:w w:val="99"/>
        <w:sz w:val="24"/>
        <w:szCs w:val="24"/>
      </w:rPr>
    </w:lvl>
    <w:lvl w:ilvl="3">
      <w:start w:val="1"/>
      <w:numFmt w:val="decimal"/>
      <w:lvlText w:val="%4)"/>
      <w:lvlJc w:val="left"/>
      <w:pPr>
        <w:ind w:left="1461" w:hanging="361"/>
        <w:jc w:val="left"/>
      </w:pPr>
      <w:rPr>
        <w:rFonts w:hint="default" w:ascii="Arial" w:hAnsi="Arial" w:eastAsia="Arial" w:cs="Arial"/>
        <w:spacing w:val="-2"/>
        <w:w w:val="99"/>
        <w:sz w:val="24"/>
        <w:szCs w:val="24"/>
      </w:rPr>
    </w:lvl>
    <w:lvl w:ilvl="4">
      <w:start w:val="1"/>
      <w:numFmt w:val="lowerLetter"/>
      <w:lvlText w:val="%5)"/>
      <w:lvlJc w:val="left"/>
      <w:pPr>
        <w:ind w:left="1873" w:hanging="424"/>
        <w:jc w:val="left"/>
      </w:pPr>
      <w:rPr>
        <w:rFonts w:hint="default" w:ascii="Arial" w:hAnsi="Arial" w:eastAsia="Arial" w:cs="Arial"/>
        <w:spacing w:val="-2"/>
        <w:w w:val="99"/>
        <w:sz w:val="24"/>
        <w:szCs w:val="24"/>
      </w:rPr>
    </w:lvl>
    <w:lvl w:ilvl="5">
      <w:start w:val="1"/>
      <w:numFmt w:val="bullet"/>
      <w:lvlText w:val="•"/>
      <w:lvlJc w:val="left"/>
      <w:pPr>
        <w:ind w:left="3937" w:hanging="424"/>
      </w:pPr>
      <w:rPr>
        <w:rFonts w:hint="default"/>
      </w:rPr>
    </w:lvl>
    <w:lvl w:ilvl="6">
      <w:start w:val="1"/>
      <w:numFmt w:val="bullet"/>
      <w:lvlText w:val="•"/>
      <w:lvlJc w:val="left"/>
      <w:pPr>
        <w:ind w:left="4965" w:hanging="424"/>
      </w:pPr>
      <w:rPr>
        <w:rFonts w:hint="default"/>
      </w:rPr>
    </w:lvl>
    <w:lvl w:ilvl="7">
      <w:start w:val="1"/>
      <w:numFmt w:val="bullet"/>
      <w:lvlText w:val="•"/>
      <w:lvlJc w:val="left"/>
      <w:pPr>
        <w:ind w:left="5994" w:hanging="424"/>
      </w:pPr>
      <w:rPr>
        <w:rFonts w:hint="default"/>
      </w:rPr>
    </w:lvl>
    <w:lvl w:ilvl="8">
      <w:start w:val="1"/>
      <w:numFmt w:val="bullet"/>
      <w:lvlText w:val="•"/>
      <w:lvlJc w:val="left"/>
      <w:pPr>
        <w:ind w:left="7022" w:hanging="424"/>
      </w:pPr>
      <w:rPr>
        <w:rFonts w:hint="default"/>
      </w:rPr>
    </w:lvl>
  </w:abstractNum>
  <w:abstractNum w:abstractNumId="60">
    <w:multiLevelType w:val="hybridMultilevel"/>
    <w:lvl w:ilvl="0">
      <w:start w:val="1"/>
      <w:numFmt w:val="decimal"/>
      <w:lvlText w:val="%1."/>
      <w:lvlJc w:val="left"/>
      <w:pPr>
        <w:ind w:left="508" w:hanging="284"/>
        <w:jc w:val="left"/>
      </w:pPr>
      <w:rPr>
        <w:rFonts w:hint="default" w:ascii="Arial" w:hAnsi="Arial" w:eastAsia="Arial" w:cs="Arial"/>
        <w:spacing w:val="-6"/>
        <w:w w:val="99"/>
        <w:sz w:val="14"/>
        <w:szCs w:val="14"/>
      </w:rPr>
    </w:lvl>
    <w:lvl w:ilvl="1">
      <w:start w:val="1"/>
      <w:numFmt w:val="bullet"/>
      <w:lvlText w:val="•"/>
      <w:lvlJc w:val="left"/>
      <w:pPr>
        <w:ind w:left="761" w:hanging="284"/>
      </w:pPr>
      <w:rPr>
        <w:rFonts w:hint="default"/>
      </w:rPr>
    </w:lvl>
    <w:lvl w:ilvl="2">
      <w:start w:val="1"/>
      <w:numFmt w:val="bullet"/>
      <w:lvlText w:val="•"/>
      <w:lvlJc w:val="left"/>
      <w:pPr>
        <w:ind w:left="1022" w:hanging="284"/>
      </w:pPr>
      <w:rPr>
        <w:rFonts w:hint="default"/>
      </w:rPr>
    </w:lvl>
    <w:lvl w:ilvl="3">
      <w:start w:val="1"/>
      <w:numFmt w:val="bullet"/>
      <w:lvlText w:val="•"/>
      <w:lvlJc w:val="left"/>
      <w:pPr>
        <w:ind w:left="1283" w:hanging="284"/>
      </w:pPr>
      <w:rPr>
        <w:rFonts w:hint="default"/>
      </w:rPr>
    </w:lvl>
    <w:lvl w:ilvl="4">
      <w:start w:val="1"/>
      <w:numFmt w:val="bullet"/>
      <w:lvlText w:val="•"/>
      <w:lvlJc w:val="left"/>
      <w:pPr>
        <w:ind w:left="1545" w:hanging="284"/>
      </w:pPr>
      <w:rPr>
        <w:rFonts w:hint="default"/>
      </w:rPr>
    </w:lvl>
    <w:lvl w:ilvl="5">
      <w:start w:val="1"/>
      <w:numFmt w:val="bullet"/>
      <w:lvlText w:val="•"/>
      <w:lvlJc w:val="left"/>
      <w:pPr>
        <w:ind w:left="1806" w:hanging="284"/>
      </w:pPr>
      <w:rPr>
        <w:rFonts w:hint="default"/>
      </w:rPr>
    </w:lvl>
    <w:lvl w:ilvl="6">
      <w:start w:val="1"/>
      <w:numFmt w:val="bullet"/>
      <w:lvlText w:val="•"/>
      <w:lvlJc w:val="left"/>
      <w:pPr>
        <w:ind w:left="2067" w:hanging="284"/>
      </w:pPr>
      <w:rPr>
        <w:rFonts w:hint="default"/>
      </w:rPr>
    </w:lvl>
    <w:lvl w:ilvl="7">
      <w:start w:val="1"/>
      <w:numFmt w:val="bullet"/>
      <w:lvlText w:val="•"/>
      <w:lvlJc w:val="left"/>
      <w:pPr>
        <w:ind w:left="2329" w:hanging="284"/>
      </w:pPr>
      <w:rPr>
        <w:rFonts w:hint="default"/>
      </w:rPr>
    </w:lvl>
    <w:lvl w:ilvl="8">
      <w:start w:val="1"/>
      <w:numFmt w:val="bullet"/>
      <w:lvlText w:val="•"/>
      <w:lvlJc w:val="left"/>
      <w:pPr>
        <w:ind w:left="2590" w:hanging="284"/>
      </w:pPr>
      <w:rPr>
        <w:rFonts w:hint="default"/>
      </w:rPr>
    </w:lvl>
  </w:abstractNum>
  <w:abstractNum w:abstractNumId="59">
    <w:multiLevelType w:val="hybridMultilevel"/>
    <w:lvl w:ilvl="0">
      <w:start w:val="1"/>
      <w:numFmt w:val="decimal"/>
      <w:lvlText w:val="%1."/>
      <w:lvlJc w:val="left"/>
      <w:pPr>
        <w:ind w:left="564" w:hanging="284"/>
        <w:jc w:val="left"/>
      </w:pPr>
      <w:rPr>
        <w:rFonts w:hint="default" w:ascii="Arial" w:hAnsi="Arial" w:eastAsia="Arial" w:cs="Arial"/>
        <w:spacing w:val="-6"/>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6"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3" w:hanging="284"/>
      </w:pPr>
      <w:rPr>
        <w:rFonts w:hint="default"/>
      </w:rPr>
    </w:lvl>
  </w:abstractNum>
  <w:abstractNum w:abstractNumId="58">
    <w:multiLevelType w:val="hybridMultilevel"/>
    <w:lvl w:ilvl="0">
      <w:start w:val="1"/>
      <w:numFmt w:val="decimal"/>
      <w:lvlText w:val="%1."/>
      <w:lvlJc w:val="left"/>
      <w:pPr>
        <w:ind w:left="508" w:hanging="284"/>
        <w:jc w:val="left"/>
      </w:pPr>
      <w:rPr>
        <w:rFonts w:hint="default" w:ascii="Arial" w:hAnsi="Arial" w:eastAsia="Arial" w:cs="Arial"/>
        <w:spacing w:val="-6"/>
        <w:w w:val="99"/>
        <w:sz w:val="14"/>
        <w:szCs w:val="14"/>
      </w:rPr>
    </w:lvl>
    <w:lvl w:ilvl="1">
      <w:start w:val="1"/>
      <w:numFmt w:val="bullet"/>
      <w:lvlText w:val="•"/>
      <w:lvlJc w:val="left"/>
      <w:pPr>
        <w:ind w:left="761" w:hanging="284"/>
      </w:pPr>
      <w:rPr>
        <w:rFonts w:hint="default"/>
      </w:rPr>
    </w:lvl>
    <w:lvl w:ilvl="2">
      <w:start w:val="1"/>
      <w:numFmt w:val="bullet"/>
      <w:lvlText w:val="•"/>
      <w:lvlJc w:val="left"/>
      <w:pPr>
        <w:ind w:left="1022" w:hanging="284"/>
      </w:pPr>
      <w:rPr>
        <w:rFonts w:hint="default"/>
      </w:rPr>
    </w:lvl>
    <w:lvl w:ilvl="3">
      <w:start w:val="1"/>
      <w:numFmt w:val="bullet"/>
      <w:lvlText w:val="•"/>
      <w:lvlJc w:val="left"/>
      <w:pPr>
        <w:ind w:left="1283" w:hanging="284"/>
      </w:pPr>
      <w:rPr>
        <w:rFonts w:hint="default"/>
      </w:rPr>
    </w:lvl>
    <w:lvl w:ilvl="4">
      <w:start w:val="1"/>
      <w:numFmt w:val="bullet"/>
      <w:lvlText w:val="•"/>
      <w:lvlJc w:val="left"/>
      <w:pPr>
        <w:ind w:left="1545" w:hanging="284"/>
      </w:pPr>
      <w:rPr>
        <w:rFonts w:hint="default"/>
      </w:rPr>
    </w:lvl>
    <w:lvl w:ilvl="5">
      <w:start w:val="1"/>
      <w:numFmt w:val="bullet"/>
      <w:lvlText w:val="•"/>
      <w:lvlJc w:val="left"/>
      <w:pPr>
        <w:ind w:left="1806" w:hanging="284"/>
      </w:pPr>
      <w:rPr>
        <w:rFonts w:hint="default"/>
      </w:rPr>
    </w:lvl>
    <w:lvl w:ilvl="6">
      <w:start w:val="1"/>
      <w:numFmt w:val="bullet"/>
      <w:lvlText w:val="•"/>
      <w:lvlJc w:val="left"/>
      <w:pPr>
        <w:ind w:left="2067" w:hanging="284"/>
      </w:pPr>
      <w:rPr>
        <w:rFonts w:hint="default"/>
      </w:rPr>
    </w:lvl>
    <w:lvl w:ilvl="7">
      <w:start w:val="1"/>
      <w:numFmt w:val="bullet"/>
      <w:lvlText w:val="•"/>
      <w:lvlJc w:val="left"/>
      <w:pPr>
        <w:ind w:left="2329" w:hanging="284"/>
      </w:pPr>
      <w:rPr>
        <w:rFonts w:hint="default"/>
      </w:rPr>
    </w:lvl>
    <w:lvl w:ilvl="8">
      <w:start w:val="1"/>
      <w:numFmt w:val="bullet"/>
      <w:lvlText w:val="•"/>
      <w:lvlJc w:val="left"/>
      <w:pPr>
        <w:ind w:left="2590" w:hanging="284"/>
      </w:pPr>
      <w:rPr>
        <w:rFonts w:hint="default"/>
      </w:rPr>
    </w:lvl>
  </w:abstractNum>
  <w:abstractNum w:abstractNumId="57">
    <w:multiLevelType w:val="hybridMultilevel"/>
    <w:lvl w:ilvl="0">
      <w:start w:val="1"/>
      <w:numFmt w:val="decimal"/>
      <w:lvlText w:val="%1."/>
      <w:lvlJc w:val="left"/>
      <w:pPr>
        <w:ind w:left="564" w:hanging="284"/>
        <w:jc w:val="left"/>
      </w:pPr>
      <w:rPr>
        <w:rFonts w:hint="default" w:ascii="Arial" w:hAnsi="Arial" w:eastAsia="Arial" w:cs="Arial"/>
        <w:spacing w:val="-6"/>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6"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3" w:hanging="284"/>
      </w:pPr>
      <w:rPr>
        <w:rFonts w:hint="default"/>
      </w:rPr>
    </w:lvl>
  </w:abstractNum>
  <w:abstractNum w:abstractNumId="56">
    <w:multiLevelType w:val="hybridMultilevel"/>
    <w:lvl w:ilvl="0">
      <w:start w:val="1"/>
      <w:numFmt w:val="decimal"/>
      <w:lvlText w:val="%1."/>
      <w:lvlJc w:val="left"/>
      <w:pPr>
        <w:ind w:left="508" w:hanging="284"/>
        <w:jc w:val="left"/>
      </w:pPr>
      <w:rPr>
        <w:rFonts w:hint="default" w:ascii="Arial" w:hAnsi="Arial" w:eastAsia="Arial" w:cs="Arial"/>
        <w:spacing w:val="-6"/>
        <w:w w:val="99"/>
        <w:sz w:val="14"/>
        <w:szCs w:val="14"/>
      </w:rPr>
    </w:lvl>
    <w:lvl w:ilvl="1">
      <w:start w:val="1"/>
      <w:numFmt w:val="bullet"/>
      <w:lvlText w:val="•"/>
      <w:lvlJc w:val="left"/>
      <w:pPr>
        <w:ind w:left="761" w:hanging="284"/>
      </w:pPr>
      <w:rPr>
        <w:rFonts w:hint="default"/>
      </w:rPr>
    </w:lvl>
    <w:lvl w:ilvl="2">
      <w:start w:val="1"/>
      <w:numFmt w:val="bullet"/>
      <w:lvlText w:val="•"/>
      <w:lvlJc w:val="left"/>
      <w:pPr>
        <w:ind w:left="1022" w:hanging="284"/>
      </w:pPr>
      <w:rPr>
        <w:rFonts w:hint="default"/>
      </w:rPr>
    </w:lvl>
    <w:lvl w:ilvl="3">
      <w:start w:val="1"/>
      <w:numFmt w:val="bullet"/>
      <w:lvlText w:val="•"/>
      <w:lvlJc w:val="left"/>
      <w:pPr>
        <w:ind w:left="1283" w:hanging="284"/>
      </w:pPr>
      <w:rPr>
        <w:rFonts w:hint="default"/>
      </w:rPr>
    </w:lvl>
    <w:lvl w:ilvl="4">
      <w:start w:val="1"/>
      <w:numFmt w:val="bullet"/>
      <w:lvlText w:val="•"/>
      <w:lvlJc w:val="left"/>
      <w:pPr>
        <w:ind w:left="1545" w:hanging="284"/>
      </w:pPr>
      <w:rPr>
        <w:rFonts w:hint="default"/>
      </w:rPr>
    </w:lvl>
    <w:lvl w:ilvl="5">
      <w:start w:val="1"/>
      <w:numFmt w:val="bullet"/>
      <w:lvlText w:val="•"/>
      <w:lvlJc w:val="left"/>
      <w:pPr>
        <w:ind w:left="1806" w:hanging="284"/>
      </w:pPr>
      <w:rPr>
        <w:rFonts w:hint="default"/>
      </w:rPr>
    </w:lvl>
    <w:lvl w:ilvl="6">
      <w:start w:val="1"/>
      <w:numFmt w:val="bullet"/>
      <w:lvlText w:val="•"/>
      <w:lvlJc w:val="left"/>
      <w:pPr>
        <w:ind w:left="2067" w:hanging="284"/>
      </w:pPr>
      <w:rPr>
        <w:rFonts w:hint="default"/>
      </w:rPr>
    </w:lvl>
    <w:lvl w:ilvl="7">
      <w:start w:val="1"/>
      <w:numFmt w:val="bullet"/>
      <w:lvlText w:val="•"/>
      <w:lvlJc w:val="left"/>
      <w:pPr>
        <w:ind w:left="2329" w:hanging="284"/>
      </w:pPr>
      <w:rPr>
        <w:rFonts w:hint="default"/>
      </w:rPr>
    </w:lvl>
    <w:lvl w:ilvl="8">
      <w:start w:val="1"/>
      <w:numFmt w:val="bullet"/>
      <w:lvlText w:val="•"/>
      <w:lvlJc w:val="left"/>
      <w:pPr>
        <w:ind w:left="2590" w:hanging="284"/>
      </w:pPr>
      <w:rPr>
        <w:rFonts w:hint="default"/>
      </w:rPr>
    </w:lvl>
  </w:abstractNum>
  <w:abstractNum w:abstractNumId="55">
    <w:multiLevelType w:val="hybridMultilevel"/>
    <w:lvl w:ilvl="0">
      <w:start w:val="1"/>
      <w:numFmt w:val="decimal"/>
      <w:lvlText w:val="%1."/>
      <w:lvlJc w:val="left"/>
      <w:pPr>
        <w:ind w:left="564" w:hanging="284"/>
        <w:jc w:val="left"/>
      </w:pPr>
      <w:rPr>
        <w:rFonts w:hint="default" w:ascii="Arial" w:hAnsi="Arial" w:eastAsia="Arial" w:cs="Arial"/>
        <w:spacing w:val="-6"/>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6"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3" w:hanging="284"/>
      </w:pPr>
      <w:rPr>
        <w:rFonts w:hint="default"/>
      </w:rPr>
    </w:lvl>
  </w:abstractNum>
  <w:abstractNum w:abstractNumId="54">
    <w:multiLevelType w:val="hybridMultilevel"/>
    <w:lvl w:ilvl="0">
      <w:start w:val="1"/>
      <w:numFmt w:val="decimal"/>
      <w:lvlText w:val="%1."/>
      <w:lvlJc w:val="left"/>
      <w:pPr>
        <w:ind w:left="508" w:hanging="284"/>
        <w:jc w:val="left"/>
      </w:pPr>
      <w:rPr>
        <w:rFonts w:hint="default" w:ascii="Arial" w:hAnsi="Arial" w:eastAsia="Arial" w:cs="Arial"/>
        <w:spacing w:val="-6"/>
        <w:w w:val="99"/>
        <w:sz w:val="14"/>
        <w:szCs w:val="14"/>
      </w:rPr>
    </w:lvl>
    <w:lvl w:ilvl="1">
      <w:start w:val="1"/>
      <w:numFmt w:val="bullet"/>
      <w:lvlText w:val="•"/>
      <w:lvlJc w:val="left"/>
      <w:pPr>
        <w:ind w:left="761" w:hanging="284"/>
      </w:pPr>
      <w:rPr>
        <w:rFonts w:hint="default"/>
      </w:rPr>
    </w:lvl>
    <w:lvl w:ilvl="2">
      <w:start w:val="1"/>
      <w:numFmt w:val="bullet"/>
      <w:lvlText w:val="•"/>
      <w:lvlJc w:val="left"/>
      <w:pPr>
        <w:ind w:left="1022" w:hanging="284"/>
      </w:pPr>
      <w:rPr>
        <w:rFonts w:hint="default"/>
      </w:rPr>
    </w:lvl>
    <w:lvl w:ilvl="3">
      <w:start w:val="1"/>
      <w:numFmt w:val="bullet"/>
      <w:lvlText w:val="•"/>
      <w:lvlJc w:val="left"/>
      <w:pPr>
        <w:ind w:left="1283" w:hanging="284"/>
      </w:pPr>
      <w:rPr>
        <w:rFonts w:hint="default"/>
      </w:rPr>
    </w:lvl>
    <w:lvl w:ilvl="4">
      <w:start w:val="1"/>
      <w:numFmt w:val="bullet"/>
      <w:lvlText w:val="•"/>
      <w:lvlJc w:val="left"/>
      <w:pPr>
        <w:ind w:left="1545" w:hanging="284"/>
      </w:pPr>
      <w:rPr>
        <w:rFonts w:hint="default"/>
      </w:rPr>
    </w:lvl>
    <w:lvl w:ilvl="5">
      <w:start w:val="1"/>
      <w:numFmt w:val="bullet"/>
      <w:lvlText w:val="•"/>
      <w:lvlJc w:val="left"/>
      <w:pPr>
        <w:ind w:left="1806" w:hanging="284"/>
      </w:pPr>
      <w:rPr>
        <w:rFonts w:hint="default"/>
      </w:rPr>
    </w:lvl>
    <w:lvl w:ilvl="6">
      <w:start w:val="1"/>
      <w:numFmt w:val="bullet"/>
      <w:lvlText w:val="•"/>
      <w:lvlJc w:val="left"/>
      <w:pPr>
        <w:ind w:left="2067" w:hanging="284"/>
      </w:pPr>
      <w:rPr>
        <w:rFonts w:hint="default"/>
      </w:rPr>
    </w:lvl>
    <w:lvl w:ilvl="7">
      <w:start w:val="1"/>
      <w:numFmt w:val="bullet"/>
      <w:lvlText w:val="•"/>
      <w:lvlJc w:val="left"/>
      <w:pPr>
        <w:ind w:left="2329" w:hanging="284"/>
      </w:pPr>
      <w:rPr>
        <w:rFonts w:hint="default"/>
      </w:rPr>
    </w:lvl>
    <w:lvl w:ilvl="8">
      <w:start w:val="1"/>
      <w:numFmt w:val="bullet"/>
      <w:lvlText w:val="•"/>
      <w:lvlJc w:val="left"/>
      <w:pPr>
        <w:ind w:left="2590" w:hanging="284"/>
      </w:pPr>
      <w:rPr>
        <w:rFonts w:hint="default"/>
      </w:rPr>
    </w:lvl>
  </w:abstractNum>
  <w:abstractNum w:abstractNumId="53">
    <w:multiLevelType w:val="hybridMultilevel"/>
    <w:lvl w:ilvl="0">
      <w:start w:val="1"/>
      <w:numFmt w:val="decimal"/>
      <w:lvlText w:val="%1."/>
      <w:lvlJc w:val="left"/>
      <w:pPr>
        <w:ind w:left="508" w:hanging="284"/>
        <w:jc w:val="left"/>
      </w:pPr>
      <w:rPr>
        <w:rFonts w:hint="default" w:ascii="Arial" w:hAnsi="Arial" w:eastAsia="Arial" w:cs="Arial"/>
        <w:spacing w:val="-6"/>
        <w:w w:val="99"/>
        <w:sz w:val="14"/>
        <w:szCs w:val="14"/>
      </w:rPr>
    </w:lvl>
    <w:lvl w:ilvl="1">
      <w:start w:val="1"/>
      <w:numFmt w:val="bullet"/>
      <w:lvlText w:val="•"/>
      <w:lvlJc w:val="left"/>
      <w:pPr>
        <w:ind w:left="761" w:hanging="284"/>
      </w:pPr>
      <w:rPr>
        <w:rFonts w:hint="default"/>
      </w:rPr>
    </w:lvl>
    <w:lvl w:ilvl="2">
      <w:start w:val="1"/>
      <w:numFmt w:val="bullet"/>
      <w:lvlText w:val="•"/>
      <w:lvlJc w:val="left"/>
      <w:pPr>
        <w:ind w:left="1022" w:hanging="284"/>
      </w:pPr>
      <w:rPr>
        <w:rFonts w:hint="default"/>
      </w:rPr>
    </w:lvl>
    <w:lvl w:ilvl="3">
      <w:start w:val="1"/>
      <w:numFmt w:val="bullet"/>
      <w:lvlText w:val="•"/>
      <w:lvlJc w:val="left"/>
      <w:pPr>
        <w:ind w:left="1283" w:hanging="284"/>
      </w:pPr>
      <w:rPr>
        <w:rFonts w:hint="default"/>
      </w:rPr>
    </w:lvl>
    <w:lvl w:ilvl="4">
      <w:start w:val="1"/>
      <w:numFmt w:val="bullet"/>
      <w:lvlText w:val="•"/>
      <w:lvlJc w:val="left"/>
      <w:pPr>
        <w:ind w:left="1545" w:hanging="284"/>
      </w:pPr>
      <w:rPr>
        <w:rFonts w:hint="default"/>
      </w:rPr>
    </w:lvl>
    <w:lvl w:ilvl="5">
      <w:start w:val="1"/>
      <w:numFmt w:val="bullet"/>
      <w:lvlText w:val="•"/>
      <w:lvlJc w:val="left"/>
      <w:pPr>
        <w:ind w:left="1806" w:hanging="284"/>
      </w:pPr>
      <w:rPr>
        <w:rFonts w:hint="default"/>
      </w:rPr>
    </w:lvl>
    <w:lvl w:ilvl="6">
      <w:start w:val="1"/>
      <w:numFmt w:val="bullet"/>
      <w:lvlText w:val="•"/>
      <w:lvlJc w:val="left"/>
      <w:pPr>
        <w:ind w:left="2067" w:hanging="284"/>
      </w:pPr>
      <w:rPr>
        <w:rFonts w:hint="default"/>
      </w:rPr>
    </w:lvl>
    <w:lvl w:ilvl="7">
      <w:start w:val="1"/>
      <w:numFmt w:val="bullet"/>
      <w:lvlText w:val="•"/>
      <w:lvlJc w:val="left"/>
      <w:pPr>
        <w:ind w:left="2329" w:hanging="284"/>
      </w:pPr>
      <w:rPr>
        <w:rFonts w:hint="default"/>
      </w:rPr>
    </w:lvl>
    <w:lvl w:ilvl="8">
      <w:start w:val="1"/>
      <w:numFmt w:val="bullet"/>
      <w:lvlText w:val="•"/>
      <w:lvlJc w:val="left"/>
      <w:pPr>
        <w:ind w:left="2590" w:hanging="284"/>
      </w:pPr>
      <w:rPr>
        <w:rFonts w:hint="default"/>
      </w:rPr>
    </w:lvl>
  </w:abstractNum>
  <w:abstractNum w:abstractNumId="52">
    <w:multiLevelType w:val="hybridMultilevel"/>
    <w:lvl w:ilvl="0">
      <w:start w:val="1"/>
      <w:numFmt w:val="decimal"/>
      <w:lvlText w:val="%1."/>
      <w:lvlJc w:val="left"/>
      <w:pPr>
        <w:ind w:left="564" w:hanging="284"/>
        <w:jc w:val="left"/>
      </w:pPr>
      <w:rPr>
        <w:rFonts w:hint="default" w:ascii="Arial" w:hAnsi="Arial" w:eastAsia="Arial" w:cs="Arial"/>
        <w:spacing w:val="-6"/>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6"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3" w:hanging="284"/>
      </w:pPr>
      <w:rPr>
        <w:rFonts w:hint="default"/>
      </w:rPr>
    </w:lvl>
  </w:abstractNum>
  <w:abstractNum w:abstractNumId="51">
    <w:multiLevelType w:val="hybridMultilevel"/>
    <w:lvl w:ilvl="0">
      <w:start w:val="1"/>
      <w:numFmt w:val="decimal"/>
      <w:lvlText w:val="%1."/>
      <w:lvlJc w:val="left"/>
      <w:pPr>
        <w:ind w:left="508" w:hanging="284"/>
        <w:jc w:val="left"/>
      </w:pPr>
      <w:rPr>
        <w:rFonts w:hint="default" w:ascii="Arial" w:hAnsi="Arial" w:eastAsia="Arial" w:cs="Arial"/>
        <w:spacing w:val="-6"/>
        <w:w w:val="99"/>
        <w:sz w:val="14"/>
        <w:szCs w:val="14"/>
      </w:rPr>
    </w:lvl>
    <w:lvl w:ilvl="1">
      <w:start w:val="1"/>
      <w:numFmt w:val="bullet"/>
      <w:lvlText w:val="•"/>
      <w:lvlJc w:val="left"/>
      <w:pPr>
        <w:ind w:left="761" w:hanging="284"/>
      </w:pPr>
      <w:rPr>
        <w:rFonts w:hint="default"/>
      </w:rPr>
    </w:lvl>
    <w:lvl w:ilvl="2">
      <w:start w:val="1"/>
      <w:numFmt w:val="bullet"/>
      <w:lvlText w:val="•"/>
      <w:lvlJc w:val="left"/>
      <w:pPr>
        <w:ind w:left="1022" w:hanging="284"/>
      </w:pPr>
      <w:rPr>
        <w:rFonts w:hint="default"/>
      </w:rPr>
    </w:lvl>
    <w:lvl w:ilvl="3">
      <w:start w:val="1"/>
      <w:numFmt w:val="bullet"/>
      <w:lvlText w:val="•"/>
      <w:lvlJc w:val="left"/>
      <w:pPr>
        <w:ind w:left="1283" w:hanging="284"/>
      </w:pPr>
      <w:rPr>
        <w:rFonts w:hint="default"/>
      </w:rPr>
    </w:lvl>
    <w:lvl w:ilvl="4">
      <w:start w:val="1"/>
      <w:numFmt w:val="bullet"/>
      <w:lvlText w:val="•"/>
      <w:lvlJc w:val="left"/>
      <w:pPr>
        <w:ind w:left="1545" w:hanging="284"/>
      </w:pPr>
      <w:rPr>
        <w:rFonts w:hint="default"/>
      </w:rPr>
    </w:lvl>
    <w:lvl w:ilvl="5">
      <w:start w:val="1"/>
      <w:numFmt w:val="bullet"/>
      <w:lvlText w:val="•"/>
      <w:lvlJc w:val="left"/>
      <w:pPr>
        <w:ind w:left="1806" w:hanging="284"/>
      </w:pPr>
      <w:rPr>
        <w:rFonts w:hint="default"/>
      </w:rPr>
    </w:lvl>
    <w:lvl w:ilvl="6">
      <w:start w:val="1"/>
      <w:numFmt w:val="bullet"/>
      <w:lvlText w:val="•"/>
      <w:lvlJc w:val="left"/>
      <w:pPr>
        <w:ind w:left="2067" w:hanging="284"/>
      </w:pPr>
      <w:rPr>
        <w:rFonts w:hint="default"/>
      </w:rPr>
    </w:lvl>
    <w:lvl w:ilvl="7">
      <w:start w:val="1"/>
      <w:numFmt w:val="bullet"/>
      <w:lvlText w:val="•"/>
      <w:lvlJc w:val="left"/>
      <w:pPr>
        <w:ind w:left="2329" w:hanging="284"/>
      </w:pPr>
      <w:rPr>
        <w:rFonts w:hint="default"/>
      </w:rPr>
    </w:lvl>
    <w:lvl w:ilvl="8">
      <w:start w:val="1"/>
      <w:numFmt w:val="bullet"/>
      <w:lvlText w:val="•"/>
      <w:lvlJc w:val="left"/>
      <w:pPr>
        <w:ind w:left="2590" w:hanging="284"/>
      </w:pPr>
      <w:rPr>
        <w:rFonts w:hint="default"/>
      </w:rPr>
    </w:lvl>
  </w:abstractNum>
  <w:abstractNum w:abstractNumId="50">
    <w:multiLevelType w:val="hybridMultilevel"/>
    <w:lvl w:ilvl="0">
      <w:start w:val="1"/>
      <w:numFmt w:val="decimal"/>
      <w:lvlText w:val="%1."/>
      <w:lvlJc w:val="left"/>
      <w:pPr>
        <w:ind w:left="564" w:hanging="284"/>
        <w:jc w:val="left"/>
      </w:pPr>
      <w:rPr>
        <w:rFonts w:hint="default" w:ascii="Arial" w:hAnsi="Arial" w:eastAsia="Arial" w:cs="Arial"/>
        <w:spacing w:val="-6"/>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6"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3" w:hanging="284"/>
      </w:pPr>
      <w:rPr>
        <w:rFonts w:hint="default"/>
      </w:rPr>
    </w:lvl>
  </w:abstractNum>
  <w:abstractNum w:abstractNumId="49">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decimal"/>
      <w:lvlText w:val="%2)"/>
      <w:lvlJc w:val="left"/>
      <w:pPr>
        <w:ind w:left="841" w:hanging="361"/>
        <w:jc w:val="left"/>
      </w:pPr>
      <w:rPr>
        <w:rFonts w:hint="default" w:ascii="Arial" w:hAnsi="Arial" w:eastAsia="Arial" w:cs="Arial"/>
        <w:spacing w:val="-2"/>
        <w:w w:val="99"/>
        <w:sz w:val="24"/>
        <w:szCs w:val="24"/>
      </w:rPr>
    </w:lvl>
    <w:lvl w:ilvl="2">
      <w:start w:val="1"/>
      <w:numFmt w:val="bullet"/>
      <w:lvlText w:val="•"/>
      <w:lvlJc w:val="left"/>
      <w:pPr>
        <w:ind w:left="1751" w:hanging="361"/>
      </w:pPr>
      <w:rPr>
        <w:rFonts w:hint="default"/>
      </w:rPr>
    </w:lvl>
    <w:lvl w:ilvl="3">
      <w:start w:val="1"/>
      <w:numFmt w:val="bullet"/>
      <w:lvlText w:val="•"/>
      <w:lvlJc w:val="left"/>
      <w:pPr>
        <w:ind w:left="2662" w:hanging="361"/>
      </w:pPr>
      <w:rPr>
        <w:rFonts w:hint="default"/>
      </w:rPr>
    </w:lvl>
    <w:lvl w:ilvl="4">
      <w:start w:val="1"/>
      <w:numFmt w:val="bullet"/>
      <w:lvlText w:val="•"/>
      <w:lvlJc w:val="left"/>
      <w:pPr>
        <w:ind w:left="3573" w:hanging="361"/>
      </w:pPr>
      <w:rPr>
        <w:rFonts w:hint="default"/>
      </w:rPr>
    </w:lvl>
    <w:lvl w:ilvl="5">
      <w:start w:val="1"/>
      <w:numFmt w:val="bullet"/>
      <w:lvlText w:val="•"/>
      <w:lvlJc w:val="left"/>
      <w:pPr>
        <w:ind w:left="4484" w:hanging="361"/>
      </w:pPr>
      <w:rPr>
        <w:rFonts w:hint="default"/>
      </w:rPr>
    </w:lvl>
    <w:lvl w:ilvl="6">
      <w:start w:val="1"/>
      <w:numFmt w:val="bullet"/>
      <w:lvlText w:val="•"/>
      <w:lvlJc w:val="left"/>
      <w:pPr>
        <w:ind w:left="5395" w:hanging="361"/>
      </w:pPr>
      <w:rPr>
        <w:rFonts w:hint="default"/>
      </w:rPr>
    </w:lvl>
    <w:lvl w:ilvl="7">
      <w:start w:val="1"/>
      <w:numFmt w:val="bullet"/>
      <w:lvlText w:val="•"/>
      <w:lvlJc w:val="left"/>
      <w:pPr>
        <w:ind w:left="6306" w:hanging="361"/>
      </w:pPr>
      <w:rPr>
        <w:rFonts w:hint="default"/>
      </w:rPr>
    </w:lvl>
    <w:lvl w:ilvl="8">
      <w:start w:val="1"/>
      <w:numFmt w:val="bullet"/>
      <w:lvlText w:val="•"/>
      <w:lvlJc w:val="left"/>
      <w:pPr>
        <w:ind w:left="7217" w:hanging="361"/>
      </w:pPr>
      <w:rPr>
        <w:rFonts w:hint="default"/>
      </w:rPr>
    </w:lvl>
  </w:abstractNum>
  <w:abstractNum w:abstractNumId="47">
    <w:multiLevelType w:val="hybridMultilevel"/>
    <w:lvl w:ilvl="0">
      <w:start w:val="3"/>
      <w:numFmt w:val="decimal"/>
      <w:lvlText w:val="%1"/>
      <w:lvlJc w:val="left"/>
      <w:pPr>
        <w:ind w:left="552" w:hanging="433"/>
        <w:jc w:val="left"/>
      </w:pPr>
      <w:rPr>
        <w:rFonts w:hint="default"/>
      </w:rPr>
    </w:lvl>
    <w:lvl w:ilvl="1">
      <w:start w:val="1"/>
      <w:numFmt w:val="decimal"/>
      <w:lvlText w:val="%1.%2"/>
      <w:lvlJc w:val="left"/>
      <w:pPr>
        <w:ind w:left="552" w:hanging="433"/>
        <w:jc w:val="left"/>
      </w:pPr>
      <w:rPr>
        <w:rFonts w:hint="default" w:ascii="Arial" w:hAnsi="Arial" w:eastAsia="Arial" w:cs="Arial"/>
        <w:b/>
        <w:bCs/>
        <w:spacing w:val="-1"/>
        <w:w w:val="99"/>
        <w:sz w:val="26"/>
        <w:szCs w:val="26"/>
      </w:rPr>
    </w:lvl>
    <w:lvl w:ilvl="2">
      <w:start w:val="1"/>
      <w:numFmt w:val="lowerLetter"/>
      <w:lvlText w:val="%3)"/>
      <w:lvlJc w:val="left"/>
      <w:pPr>
        <w:ind w:left="841" w:hanging="361"/>
        <w:jc w:val="left"/>
      </w:pPr>
      <w:rPr>
        <w:rFonts w:hint="default" w:ascii="Arial" w:hAnsi="Arial" w:eastAsia="Arial" w:cs="Arial"/>
        <w:spacing w:val="-2"/>
        <w:w w:val="99"/>
        <w:sz w:val="24"/>
        <w:szCs w:val="24"/>
      </w:rPr>
    </w:lvl>
    <w:lvl w:ilvl="3">
      <w:start w:val="1"/>
      <w:numFmt w:val="bullet"/>
      <w:lvlText w:val="•"/>
      <w:lvlJc w:val="left"/>
      <w:pPr>
        <w:ind w:left="2666" w:hanging="361"/>
      </w:pPr>
      <w:rPr>
        <w:rFonts w:hint="default"/>
      </w:rPr>
    </w:lvl>
    <w:lvl w:ilvl="4">
      <w:start w:val="1"/>
      <w:numFmt w:val="bullet"/>
      <w:lvlText w:val="•"/>
      <w:lvlJc w:val="left"/>
      <w:pPr>
        <w:ind w:left="3580" w:hanging="361"/>
      </w:pPr>
      <w:rPr>
        <w:rFonts w:hint="default"/>
      </w:rPr>
    </w:lvl>
    <w:lvl w:ilvl="5">
      <w:start w:val="1"/>
      <w:numFmt w:val="bullet"/>
      <w:lvlText w:val="•"/>
      <w:lvlJc w:val="left"/>
      <w:pPr>
        <w:ind w:left="4493" w:hanging="361"/>
      </w:pPr>
      <w:rPr>
        <w:rFonts w:hint="default"/>
      </w:rPr>
    </w:lvl>
    <w:lvl w:ilvl="6">
      <w:start w:val="1"/>
      <w:numFmt w:val="bullet"/>
      <w:lvlText w:val="•"/>
      <w:lvlJc w:val="left"/>
      <w:pPr>
        <w:ind w:left="5406" w:hanging="361"/>
      </w:pPr>
      <w:rPr>
        <w:rFonts w:hint="default"/>
      </w:rPr>
    </w:lvl>
    <w:lvl w:ilvl="7">
      <w:start w:val="1"/>
      <w:numFmt w:val="bullet"/>
      <w:lvlText w:val="•"/>
      <w:lvlJc w:val="left"/>
      <w:pPr>
        <w:ind w:left="6320" w:hanging="361"/>
      </w:pPr>
      <w:rPr>
        <w:rFonts w:hint="default"/>
      </w:rPr>
    </w:lvl>
    <w:lvl w:ilvl="8">
      <w:start w:val="1"/>
      <w:numFmt w:val="bullet"/>
      <w:lvlText w:val="•"/>
      <w:lvlJc w:val="left"/>
      <w:pPr>
        <w:ind w:left="7233" w:hanging="361"/>
      </w:pPr>
      <w:rPr>
        <w:rFonts w:hint="default"/>
      </w:rPr>
    </w:lvl>
  </w:abstractNum>
  <w:abstractNum w:abstractNumId="46">
    <w:multiLevelType w:val="hybridMultilevel"/>
    <w:lvl w:ilvl="0">
      <w:start w:val="1"/>
      <w:numFmt w:val="lowerLetter"/>
      <w:lvlText w:val="%1)"/>
      <w:lvlJc w:val="left"/>
      <w:pPr>
        <w:ind w:left="696" w:hanging="140"/>
        <w:jc w:val="left"/>
      </w:pPr>
      <w:rPr>
        <w:rFonts w:hint="default" w:ascii="Arial" w:hAnsi="Arial" w:eastAsia="Arial" w:cs="Arial"/>
        <w:spacing w:val="-6"/>
        <w:w w:val="99"/>
        <w:sz w:val="14"/>
        <w:szCs w:val="14"/>
      </w:rPr>
    </w:lvl>
    <w:lvl w:ilvl="1">
      <w:start w:val="1"/>
      <w:numFmt w:val="bullet"/>
      <w:lvlText w:val="•"/>
      <w:lvlJc w:val="left"/>
      <w:pPr>
        <w:ind w:left="1437" w:hanging="140"/>
      </w:pPr>
      <w:rPr>
        <w:rFonts w:hint="default"/>
      </w:rPr>
    </w:lvl>
    <w:lvl w:ilvl="2">
      <w:start w:val="1"/>
      <w:numFmt w:val="bullet"/>
      <w:lvlText w:val="•"/>
      <w:lvlJc w:val="left"/>
      <w:pPr>
        <w:ind w:left="2174" w:hanging="140"/>
      </w:pPr>
      <w:rPr>
        <w:rFonts w:hint="default"/>
      </w:rPr>
    </w:lvl>
    <w:lvl w:ilvl="3">
      <w:start w:val="1"/>
      <w:numFmt w:val="bullet"/>
      <w:lvlText w:val="•"/>
      <w:lvlJc w:val="left"/>
      <w:pPr>
        <w:ind w:left="2911" w:hanging="140"/>
      </w:pPr>
      <w:rPr>
        <w:rFonts w:hint="default"/>
      </w:rPr>
    </w:lvl>
    <w:lvl w:ilvl="4">
      <w:start w:val="1"/>
      <w:numFmt w:val="bullet"/>
      <w:lvlText w:val="•"/>
      <w:lvlJc w:val="left"/>
      <w:pPr>
        <w:ind w:left="3648" w:hanging="140"/>
      </w:pPr>
      <w:rPr>
        <w:rFonts w:hint="default"/>
      </w:rPr>
    </w:lvl>
    <w:lvl w:ilvl="5">
      <w:start w:val="1"/>
      <w:numFmt w:val="bullet"/>
      <w:lvlText w:val="•"/>
      <w:lvlJc w:val="left"/>
      <w:pPr>
        <w:ind w:left="4385" w:hanging="140"/>
      </w:pPr>
      <w:rPr>
        <w:rFonts w:hint="default"/>
      </w:rPr>
    </w:lvl>
    <w:lvl w:ilvl="6">
      <w:start w:val="1"/>
      <w:numFmt w:val="bullet"/>
      <w:lvlText w:val="•"/>
      <w:lvlJc w:val="left"/>
      <w:pPr>
        <w:ind w:left="5122" w:hanging="140"/>
      </w:pPr>
      <w:rPr>
        <w:rFonts w:hint="default"/>
      </w:rPr>
    </w:lvl>
    <w:lvl w:ilvl="7">
      <w:start w:val="1"/>
      <w:numFmt w:val="bullet"/>
      <w:lvlText w:val="•"/>
      <w:lvlJc w:val="left"/>
      <w:pPr>
        <w:ind w:left="5859" w:hanging="140"/>
      </w:pPr>
      <w:rPr>
        <w:rFonts w:hint="default"/>
      </w:rPr>
    </w:lvl>
    <w:lvl w:ilvl="8">
      <w:start w:val="1"/>
      <w:numFmt w:val="bullet"/>
      <w:lvlText w:val="•"/>
      <w:lvlJc w:val="left"/>
      <w:pPr>
        <w:ind w:left="6596" w:hanging="140"/>
      </w:pPr>
      <w:rPr>
        <w:rFonts w:hint="default"/>
      </w:rPr>
    </w:lvl>
  </w:abstractNum>
  <w:abstractNum w:abstractNumId="45">
    <w:multiLevelType w:val="hybridMultilevel"/>
    <w:lvl w:ilvl="0">
      <w:start w:val="1"/>
      <w:numFmt w:val="lowerLetter"/>
      <w:lvlText w:val="%1)"/>
      <w:lvlJc w:val="left"/>
      <w:pPr>
        <w:ind w:left="696" w:hanging="164"/>
        <w:jc w:val="left"/>
      </w:pPr>
      <w:rPr>
        <w:rFonts w:hint="default" w:ascii="Arial" w:hAnsi="Arial" w:eastAsia="Arial" w:cs="Arial"/>
        <w:spacing w:val="-6"/>
        <w:w w:val="99"/>
        <w:sz w:val="14"/>
        <w:szCs w:val="14"/>
      </w:rPr>
    </w:lvl>
    <w:lvl w:ilvl="1">
      <w:start w:val="1"/>
      <w:numFmt w:val="bullet"/>
      <w:lvlText w:val="•"/>
      <w:lvlJc w:val="left"/>
      <w:pPr>
        <w:ind w:left="1437" w:hanging="164"/>
      </w:pPr>
      <w:rPr>
        <w:rFonts w:hint="default"/>
      </w:rPr>
    </w:lvl>
    <w:lvl w:ilvl="2">
      <w:start w:val="1"/>
      <w:numFmt w:val="bullet"/>
      <w:lvlText w:val="•"/>
      <w:lvlJc w:val="left"/>
      <w:pPr>
        <w:ind w:left="2174" w:hanging="164"/>
      </w:pPr>
      <w:rPr>
        <w:rFonts w:hint="default"/>
      </w:rPr>
    </w:lvl>
    <w:lvl w:ilvl="3">
      <w:start w:val="1"/>
      <w:numFmt w:val="bullet"/>
      <w:lvlText w:val="•"/>
      <w:lvlJc w:val="left"/>
      <w:pPr>
        <w:ind w:left="2911" w:hanging="164"/>
      </w:pPr>
      <w:rPr>
        <w:rFonts w:hint="default"/>
      </w:rPr>
    </w:lvl>
    <w:lvl w:ilvl="4">
      <w:start w:val="1"/>
      <w:numFmt w:val="bullet"/>
      <w:lvlText w:val="•"/>
      <w:lvlJc w:val="left"/>
      <w:pPr>
        <w:ind w:left="3648" w:hanging="164"/>
      </w:pPr>
      <w:rPr>
        <w:rFonts w:hint="default"/>
      </w:rPr>
    </w:lvl>
    <w:lvl w:ilvl="5">
      <w:start w:val="1"/>
      <w:numFmt w:val="bullet"/>
      <w:lvlText w:val="•"/>
      <w:lvlJc w:val="left"/>
      <w:pPr>
        <w:ind w:left="4385" w:hanging="164"/>
      </w:pPr>
      <w:rPr>
        <w:rFonts w:hint="default"/>
      </w:rPr>
    </w:lvl>
    <w:lvl w:ilvl="6">
      <w:start w:val="1"/>
      <w:numFmt w:val="bullet"/>
      <w:lvlText w:val="•"/>
      <w:lvlJc w:val="left"/>
      <w:pPr>
        <w:ind w:left="5122" w:hanging="164"/>
      </w:pPr>
      <w:rPr>
        <w:rFonts w:hint="default"/>
      </w:rPr>
    </w:lvl>
    <w:lvl w:ilvl="7">
      <w:start w:val="1"/>
      <w:numFmt w:val="bullet"/>
      <w:lvlText w:val="•"/>
      <w:lvlJc w:val="left"/>
      <w:pPr>
        <w:ind w:left="5859" w:hanging="164"/>
      </w:pPr>
      <w:rPr>
        <w:rFonts w:hint="default"/>
      </w:rPr>
    </w:lvl>
    <w:lvl w:ilvl="8">
      <w:start w:val="1"/>
      <w:numFmt w:val="bullet"/>
      <w:lvlText w:val="•"/>
      <w:lvlJc w:val="left"/>
      <w:pPr>
        <w:ind w:left="6596" w:hanging="164"/>
      </w:pPr>
      <w:rPr>
        <w:rFonts w:hint="default"/>
      </w:rPr>
    </w:lvl>
  </w:abstractNum>
  <w:abstractNum w:abstractNumId="44">
    <w:multiLevelType w:val="hybridMultilevel"/>
    <w:lvl w:ilvl="0">
      <w:start w:val="1"/>
      <w:numFmt w:val="decimal"/>
      <w:lvlText w:val="%1)"/>
      <w:lvlJc w:val="left"/>
      <w:pPr>
        <w:ind w:left="548" w:hanging="284"/>
        <w:jc w:val="left"/>
      </w:pPr>
      <w:rPr>
        <w:rFonts w:hint="default" w:ascii="Arial" w:hAnsi="Arial" w:eastAsia="Arial" w:cs="Arial"/>
        <w:spacing w:val="-2"/>
        <w:w w:val="99"/>
        <w:sz w:val="24"/>
        <w:szCs w:val="24"/>
      </w:rPr>
    </w:lvl>
    <w:lvl w:ilvl="1">
      <w:start w:val="1"/>
      <w:numFmt w:val="bullet"/>
      <w:lvlText w:val="•"/>
      <w:lvlJc w:val="left"/>
      <w:pPr>
        <w:ind w:left="1394" w:hanging="284"/>
      </w:pPr>
      <w:rPr>
        <w:rFonts w:hint="default"/>
      </w:rPr>
    </w:lvl>
    <w:lvl w:ilvl="2">
      <w:start w:val="1"/>
      <w:numFmt w:val="bullet"/>
      <w:lvlText w:val="•"/>
      <w:lvlJc w:val="left"/>
      <w:pPr>
        <w:ind w:left="2248" w:hanging="284"/>
      </w:pPr>
      <w:rPr>
        <w:rFonts w:hint="default"/>
      </w:rPr>
    </w:lvl>
    <w:lvl w:ilvl="3">
      <w:start w:val="1"/>
      <w:numFmt w:val="bullet"/>
      <w:lvlText w:val="•"/>
      <w:lvlJc w:val="left"/>
      <w:pPr>
        <w:ind w:left="3102" w:hanging="284"/>
      </w:pPr>
      <w:rPr>
        <w:rFonts w:hint="default"/>
      </w:rPr>
    </w:lvl>
    <w:lvl w:ilvl="4">
      <w:start w:val="1"/>
      <w:numFmt w:val="bullet"/>
      <w:lvlText w:val="•"/>
      <w:lvlJc w:val="left"/>
      <w:pPr>
        <w:ind w:left="3956" w:hanging="284"/>
      </w:pPr>
      <w:rPr>
        <w:rFonts w:hint="default"/>
      </w:rPr>
    </w:lvl>
    <w:lvl w:ilvl="5">
      <w:start w:val="1"/>
      <w:numFmt w:val="bullet"/>
      <w:lvlText w:val="•"/>
      <w:lvlJc w:val="left"/>
      <w:pPr>
        <w:ind w:left="4810" w:hanging="284"/>
      </w:pPr>
      <w:rPr>
        <w:rFonts w:hint="default"/>
      </w:rPr>
    </w:lvl>
    <w:lvl w:ilvl="6">
      <w:start w:val="1"/>
      <w:numFmt w:val="bullet"/>
      <w:lvlText w:val="•"/>
      <w:lvlJc w:val="left"/>
      <w:pPr>
        <w:ind w:left="5664" w:hanging="284"/>
      </w:pPr>
      <w:rPr>
        <w:rFonts w:hint="default"/>
      </w:rPr>
    </w:lvl>
    <w:lvl w:ilvl="7">
      <w:start w:val="1"/>
      <w:numFmt w:val="bullet"/>
      <w:lvlText w:val="•"/>
      <w:lvlJc w:val="left"/>
      <w:pPr>
        <w:ind w:left="6518" w:hanging="284"/>
      </w:pPr>
      <w:rPr>
        <w:rFonts w:hint="default"/>
      </w:rPr>
    </w:lvl>
    <w:lvl w:ilvl="8">
      <w:start w:val="1"/>
      <w:numFmt w:val="bullet"/>
      <w:lvlText w:val="•"/>
      <w:lvlJc w:val="left"/>
      <w:pPr>
        <w:ind w:left="7372" w:hanging="284"/>
      </w:pPr>
      <w:rPr>
        <w:rFonts w:hint="default"/>
      </w:rPr>
    </w:lvl>
  </w:abstractNum>
  <w:abstractNum w:abstractNumId="43">
    <w:multiLevelType w:val="hybridMultilevel"/>
    <w:lvl w:ilvl="0">
      <w:start w:val="1"/>
      <w:numFmt w:val="decimal"/>
      <w:lvlText w:val="%1)"/>
      <w:lvlJc w:val="left"/>
      <w:pPr>
        <w:ind w:left="841" w:hanging="361"/>
        <w:jc w:val="left"/>
      </w:pPr>
      <w:rPr>
        <w:rFonts w:hint="default" w:ascii="Arial" w:hAnsi="Arial" w:eastAsia="Arial" w:cs="Arial"/>
        <w:spacing w:val="-2"/>
        <w:w w:val="99"/>
        <w:sz w:val="24"/>
        <w:szCs w:val="24"/>
      </w:rPr>
    </w:lvl>
    <w:lvl w:ilvl="1">
      <w:start w:val="1"/>
      <w:numFmt w:val="bullet"/>
      <w:lvlText w:val="•"/>
      <w:lvlJc w:val="left"/>
      <w:pPr>
        <w:ind w:left="1672" w:hanging="361"/>
      </w:pPr>
      <w:rPr>
        <w:rFonts w:hint="default"/>
      </w:rPr>
    </w:lvl>
    <w:lvl w:ilvl="2">
      <w:start w:val="1"/>
      <w:numFmt w:val="bullet"/>
      <w:lvlText w:val="•"/>
      <w:lvlJc w:val="left"/>
      <w:pPr>
        <w:ind w:left="2504" w:hanging="361"/>
      </w:pPr>
      <w:rPr>
        <w:rFonts w:hint="default"/>
      </w:rPr>
    </w:lvl>
    <w:lvl w:ilvl="3">
      <w:start w:val="1"/>
      <w:numFmt w:val="bullet"/>
      <w:lvlText w:val="•"/>
      <w:lvlJc w:val="left"/>
      <w:pPr>
        <w:ind w:left="3336" w:hanging="361"/>
      </w:pPr>
      <w:rPr>
        <w:rFonts w:hint="default"/>
      </w:rPr>
    </w:lvl>
    <w:lvl w:ilvl="4">
      <w:start w:val="1"/>
      <w:numFmt w:val="bullet"/>
      <w:lvlText w:val="•"/>
      <w:lvlJc w:val="left"/>
      <w:pPr>
        <w:ind w:left="4168" w:hanging="361"/>
      </w:pPr>
      <w:rPr>
        <w:rFonts w:hint="default"/>
      </w:rPr>
    </w:lvl>
    <w:lvl w:ilvl="5">
      <w:start w:val="1"/>
      <w:numFmt w:val="bullet"/>
      <w:lvlText w:val="•"/>
      <w:lvlJc w:val="left"/>
      <w:pPr>
        <w:ind w:left="5000" w:hanging="361"/>
      </w:pPr>
      <w:rPr>
        <w:rFonts w:hint="default"/>
      </w:rPr>
    </w:lvl>
    <w:lvl w:ilvl="6">
      <w:start w:val="1"/>
      <w:numFmt w:val="bullet"/>
      <w:lvlText w:val="•"/>
      <w:lvlJc w:val="left"/>
      <w:pPr>
        <w:ind w:left="5832" w:hanging="361"/>
      </w:pPr>
      <w:rPr>
        <w:rFonts w:hint="default"/>
      </w:rPr>
    </w:lvl>
    <w:lvl w:ilvl="7">
      <w:start w:val="1"/>
      <w:numFmt w:val="bullet"/>
      <w:lvlText w:val="•"/>
      <w:lvlJc w:val="left"/>
      <w:pPr>
        <w:ind w:left="6664" w:hanging="361"/>
      </w:pPr>
      <w:rPr>
        <w:rFonts w:hint="default"/>
      </w:rPr>
    </w:lvl>
    <w:lvl w:ilvl="8">
      <w:start w:val="1"/>
      <w:numFmt w:val="bullet"/>
      <w:lvlText w:val="•"/>
      <w:lvlJc w:val="left"/>
      <w:pPr>
        <w:ind w:left="7496" w:hanging="361"/>
      </w:pPr>
      <w:rPr>
        <w:rFonts w:hint="default"/>
      </w:rPr>
    </w:lvl>
  </w:abstractNum>
  <w:abstractNum w:abstractNumId="42">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decimal"/>
      <w:lvlText w:val="%2)"/>
      <w:lvlJc w:val="left"/>
      <w:pPr>
        <w:ind w:left="821" w:hanging="361"/>
        <w:jc w:val="left"/>
      </w:pPr>
      <w:rPr>
        <w:rFonts w:hint="default" w:ascii="Arial" w:hAnsi="Arial" w:eastAsia="Arial" w:cs="Arial"/>
        <w:spacing w:val="-2"/>
        <w:w w:val="99"/>
        <w:sz w:val="24"/>
        <w:szCs w:val="24"/>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41">
    <w:multiLevelType w:val="hybridMultilevel"/>
    <w:lvl w:ilvl="0">
      <w:start w:val="16"/>
      <w:numFmt w:val="upperRoman"/>
      <w:lvlText w:val="%1."/>
      <w:lvlJc w:val="left"/>
      <w:pPr>
        <w:ind w:left="464" w:hanging="344"/>
        <w:jc w:val="left"/>
      </w:pPr>
      <w:rPr>
        <w:rFonts w:hint="default" w:ascii="Arial" w:hAnsi="Arial" w:eastAsia="Arial" w:cs="Arial"/>
        <w:spacing w:val="-5"/>
        <w:w w:val="100"/>
        <w:sz w:val="16"/>
        <w:szCs w:val="16"/>
      </w:rPr>
    </w:lvl>
    <w:lvl w:ilvl="1">
      <w:start w:val="1"/>
      <w:numFmt w:val="lowerLetter"/>
      <w:lvlText w:val="%2)"/>
      <w:lvlJc w:val="left"/>
      <w:pPr>
        <w:ind w:left="821" w:hanging="361"/>
        <w:jc w:val="left"/>
      </w:pPr>
      <w:rPr>
        <w:rFonts w:hint="default" w:ascii="Arial" w:hAnsi="Arial" w:eastAsia="Arial" w:cs="Arial"/>
        <w:spacing w:val="-2"/>
        <w:w w:val="99"/>
        <w:sz w:val="24"/>
        <w:szCs w:val="24"/>
      </w:rPr>
    </w:lvl>
    <w:lvl w:ilvl="2">
      <w:start w:val="1"/>
      <w:numFmt w:val="bullet"/>
      <w:lvlText w:val="•"/>
      <w:lvlJc w:val="left"/>
      <w:pPr>
        <w:ind w:left="1744" w:hanging="361"/>
      </w:pPr>
      <w:rPr>
        <w:rFonts w:hint="default"/>
      </w:rPr>
    </w:lvl>
    <w:lvl w:ilvl="3">
      <w:start w:val="1"/>
      <w:numFmt w:val="bullet"/>
      <w:lvlText w:val="•"/>
      <w:lvlJc w:val="left"/>
      <w:pPr>
        <w:ind w:left="2668" w:hanging="361"/>
      </w:pPr>
      <w:rPr>
        <w:rFonts w:hint="default"/>
      </w:rPr>
    </w:lvl>
    <w:lvl w:ilvl="4">
      <w:start w:val="1"/>
      <w:numFmt w:val="bullet"/>
      <w:lvlText w:val="•"/>
      <w:lvlJc w:val="left"/>
      <w:pPr>
        <w:ind w:left="3593" w:hanging="361"/>
      </w:pPr>
      <w:rPr>
        <w:rFonts w:hint="default"/>
      </w:rPr>
    </w:lvl>
    <w:lvl w:ilvl="5">
      <w:start w:val="1"/>
      <w:numFmt w:val="bullet"/>
      <w:lvlText w:val="•"/>
      <w:lvlJc w:val="left"/>
      <w:pPr>
        <w:ind w:left="4517" w:hanging="361"/>
      </w:pPr>
      <w:rPr>
        <w:rFonts w:hint="default"/>
      </w:rPr>
    </w:lvl>
    <w:lvl w:ilvl="6">
      <w:start w:val="1"/>
      <w:numFmt w:val="bullet"/>
      <w:lvlText w:val="•"/>
      <w:lvlJc w:val="left"/>
      <w:pPr>
        <w:ind w:left="5442" w:hanging="361"/>
      </w:pPr>
      <w:rPr>
        <w:rFonts w:hint="default"/>
      </w:rPr>
    </w:lvl>
    <w:lvl w:ilvl="7">
      <w:start w:val="1"/>
      <w:numFmt w:val="bullet"/>
      <w:lvlText w:val="•"/>
      <w:lvlJc w:val="left"/>
      <w:pPr>
        <w:ind w:left="6366" w:hanging="361"/>
      </w:pPr>
      <w:rPr>
        <w:rFonts w:hint="default"/>
      </w:rPr>
    </w:lvl>
    <w:lvl w:ilvl="8">
      <w:start w:val="1"/>
      <w:numFmt w:val="bullet"/>
      <w:lvlText w:val="•"/>
      <w:lvlJc w:val="left"/>
      <w:pPr>
        <w:ind w:left="7291" w:hanging="361"/>
      </w:pPr>
      <w:rPr>
        <w:rFonts w:hint="default"/>
      </w:rPr>
    </w:lvl>
  </w:abstractNum>
  <w:abstractNum w:abstractNumId="40">
    <w:multiLevelType w:val="hybridMultilevel"/>
    <w:lvl w:ilvl="0">
      <w:start w:val="2"/>
      <w:numFmt w:val="decimal"/>
      <w:lvlText w:val="%1"/>
      <w:lvlJc w:val="left"/>
      <w:pPr>
        <w:ind w:left="532" w:hanging="433"/>
        <w:jc w:val="left"/>
      </w:pPr>
      <w:rPr>
        <w:rFonts w:hint="default"/>
      </w:rPr>
    </w:lvl>
    <w:lvl w:ilvl="1">
      <w:start w:val="1"/>
      <w:numFmt w:val="decimal"/>
      <w:lvlText w:val="%1.%2"/>
      <w:lvlJc w:val="left"/>
      <w:pPr>
        <w:ind w:left="532" w:hanging="433"/>
        <w:jc w:val="left"/>
      </w:pPr>
      <w:rPr>
        <w:rFonts w:hint="default" w:ascii="Arial" w:hAnsi="Arial" w:eastAsia="Arial" w:cs="Arial"/>
        <w:b/>
        <w:bCs/>
        <w:spacing w:val="-1"/>
        <w:w w:val="99"/>
        <w:sz w:val="26"/>
        <w:szCs w:val="26"/>
      </w:rPr>
    </w:lvl>
    <w:lvl w:ilvl="2">
      <w:start w:val="1"/>
      <w:numFmt w:val="decimal"/>
      <w:lvlText w:val="%1.%2.%3"/>
      <w:lvlJc w:val="left"/>
      <w:pPr>
        <w:ind w:left="668" w:hanging="600"/>
        <w:jc w:val="left"/>
      </w:pPr>
      <w:rPr>
        <w:rFonts w:hint="default" w:ascii="Arial" w:hAnsi="Arial" w:eastAsia="Arial" w:cs="Arial"/>
        <w:b/>
        <w:bCs/>
        <w:spacing w:val="-2"/>
        <w:w w:val="99"/>
        <w:sz w:val="24"/>
        <w:szCs w:val="24"/>
      </w:rPr>
    </w:lvl>
    <w:lvl w:ilvl="3">
      <w:start w:val="1"/>
      <w:numFmt w:val="lowerLetter"/>
      <w:lvlText w:val="%4)"/>
      <w:lvlJc w:val="left"/>
      <w:pPr>
        <w:ind w:left="841" w:hanging="361"/>
        <w:jc w:val="left"/>
      </w:pPr>
      <w:rPr>
        <w:rFonts w:hint="default" w:ascii="Arial" w:hAnsi="Arial" w:eastAsia="Arial" w:cs="Arial"/>
        <w:spacing w:val="-2"/>
        <w:w w:val="99"/>
        <w:sz w:val="24"/>
        <w:szCs w:val="24"/>
      </w:rPr>
    </w:lvl>
    <w:lvl w:ilvl="4">
      <w:start w:val="1"/>
      <w:numFmt w:val="bullet"/>
      <w:lvlText w:val="•"/>
      <w:lvlJc w:val="left"/>
      <w:pPr>
        <w:ind w:left="840" w:hanging="361"/>
      </w:pPr>
      <w:rPr>
        <w:rFonts w:hint="default"/>
      </w:rPr>
    </w:lvl>
    <w:lvl w:ilvl="5">
      <w:start w:val="1"/>
      <w:numFmt w:val="bullet"/>
      <w:lvlText w:val="•"/>
      <w:lvlJc w:val="left"/>
      <w:pPr>
        <w:ind w:left="2223" w:hanging="361"/>
      </w:pPr>
      <w:rPr>
        <w:rFonts w:hint="default"/>
      </w:rPr>
    </w:lvl>
    <w:lvl w:ilvl="6">
      <w:start w:val="1"/>
      <w:numFmt w:val="bullet"/>
      <w:lvlText w:val="•"/>
      <w:lvlJc w:val="left"/>
      <w:pPr>
        <w:ind w:left="3606" w:hanging="361"/>
      </w:pPr>
      <w:rPr>
        <w:rFonts w:hint="default"/>
      </w:rPr>
    </w:lvl>
    <w:lvl w:ilvl="7">
      <w:start w:val="1"/>
      <w:numFmt w:val="bullet"/>
      <w:lvlText w:val="•"/>
      <w:lvlJc w:val="left"/>
      <w:pPr>
        <w:ind w:left="4990" w:hanging="361"/>
      </w:pPr>
      <w:rPr>
        <w:rFonts w:hint="default"/>
      </w:rPr>
    </w:lvl>
    <w:lvl w:ilvl="8">
      <w:start w:val="1"/>
      <w:numFmt w:val="bullet"/>
      <w:lvlText w:val="•"/>
      <w:lvlJc w:val="left"/>
      <w:pPr>
        <w:ind w:left="6373" w:hanging="361"/>
      </w:pPr>
      <w:rPr>
        <w:rFonts w:hint="default"/>
      </w:rPr>
    </w:lvl>
  </w:abstractNum>
  <w:abstractNum w:abstractNumId="39">
    <w:multiLevelType w:val="hybridMultilevel"/>
    <w:lvl w:ilvl="0">
      <w:start w:val="1"/>
      <w:numFmt w:val="lowerLetter"/>
      <w:lvlText w:val="%1)"/>
      <w:lvlJc w:val="left"/>
      <w:pPr>
        <w:ind w:left="380" w:hanging="280"/>
        <w:jc w:val="left"/>
      </w:pPr>
      <w:rPr>
        <w:rFonts w:hint="default" w:ascii="Arial" w:hAnsi="Arial" w:eastAsia="Arial" w:cs="Arial"/>
        <w:i/>
        <w:spacing w:val="-2"/>
        <w:w w:val="99"/>
        <w:sz w:val="24"/>
        <w:szCs w:val="24"/>
      </w:rPr>
    </w:lvl>
    <w:lvl w:ilvl="1">
      <w:start w:val="1"/>
      <w:numFmt w:val="bullet"/>
      <w:lvlText w:val="•"/>
      <w:lvlJc w:val="left"/>
      <w:pPr>
        <w:ind w:left="1248" w:hanging="280"/>
      </w:pPr>
      <w:rPr>
        <w:rFonts w:hint="default"/>
      </w:rPr>
    </w:lvl>
    <w:lvl w:ilvl="2">
      <w:start w:val="1"/>
      <w:numFmt w:val="bullet"/>
      <w:lvlText w:val="•"/>
      <w:lvlJc w:val="left"/>
      <w:pPr>
        <w:ind w:left="2116" w:hanging="280"/>
      </w:pPr>
      <w:rPr>
        <w:rFonts w:hint="default"/>
      </w:rPr>
    </w:lvl>
    <w:lvl w:ilvl="3">
      <w:start w:val="1"/>
      <w:numFmt w:val="bullet"/>
      <w:lvlText w:val="•"/>
      <w:lvlJc w:val="left"/>
      <w:pPr>
        <w:ind w:left="2984" w:hanging="280"/>
      </w:pPr>
      <w:rPr>
        <w:rFonts w:hint="default"/>
      </w:rPr>
    </w:lvl>
    <w:lvl w:ilvl="4">
      <w:start w:val="1"/>
      <w:numFmt w:val="bullet"/>
      <w:lvlText w:val="•"/>
      <w:lvlJc w:val="left"/>
      <w:pPr>
        <w:ind w:left="3852" w:hanging="280"/>
      </w:pPr>
      <w:rPr>
        <w:rFonts w:hint="default"/>
      </w:rPr>
    </w:lvl>
    <w:lvl w:ilvl="5">
      <w:start w:val="1"/>
      <w:numFmt w:val="bullet"/>
      <w:lvlText w:val="•"/>
      <w:lvlJc w:val="left"/>
      <w:pPr>
        <w:ind w:left="4720" w:hanging="280"/>
      </w:pPr>
      <w:rPr>
        <w:rFonts w:hint="default"/>
      </w:rPr>
    </w:lvl>
    <w:lvl w:ilvl="6">
      <w:start w:val="1"/>
      <w:numFmt w:val="bullet"/>
      <w:lvlText w:val="•"/>
      <w:lvlJc w:val="left"/>
      <w:pPr>
        <w:ind w:left="5588" w:hanging="280"/>
      </w:pPr>
      <w:rPr>
        <w:rFonts w:hint="default"/>
      </w:rPr>
    </w:lvl>
    <w:lvl w:ilvl="7">
      <w:start w:val="1"/>
      <w:numFmt w:val="bullet"/>
      <w:lvlText w:val="•"/>
      <w:lvlJc w:val="left"/>
      <w:pPr>
        <w:ind w:left="6456" w:hanging="280"/>
      </w:pPr>
      <w:rPr>
        <w:rFonts w:hint="default"/>
      </w:rPr>
    </w:lvl>
    <w:lvl w:ilvl="8">
      <w:start w:val="1"/>
      <w:numFmt w:val="bullet"/>
      <w:lvlText w:val="•"/>
      <w:lvlJc w:val="left"/>
      <w:pPr>
        <w:ind w:left="7324" w:hanging="280"/>
      </w:pPr>
      <w:rPr>
        <w:rFonts w:hint="default"/>
      </w:rPr>
    </w:lvl>
  </w:abstractNum>
  <w:abstractNum w:abstractNumId="38">
    <w:multiLevelType w:val="hybridMultilevel"/>
    <w:lvl w:ilvl="0">
      <w:start w:val="1"/>
      <w:numFmt w:val="lowerLetter"/>
      <w:lvlText w:val="%1)"/>
      <w:lvlJc w:val="left"/>
      <w:pPr>
        <w:ind w:left="400" w:hanging="280"/>
        <w:jc w:val="left"/>
      </w:pPr>
      <w:rPr>
        <w:rFonts w:hint="default" w:ascii="Arial" w:hAnsi="Arial" w:eastAsia="Arial" w:cs="Arial"/>
        <w:i/>
        <w:spacing w:val="-2"/>
        <w:w w:val="99"/>
        <w:sz w:val="24"/>
        <w:szCs w:val="24"/>
      </w:rPr>
    </w:lvl>
    <w:lvl w:ilvl="1">
      <w:start w:val="1"/>
      <w:numFmt w:val="bullet"/>
      <w:lvlText w:val="•"/>
      <w:lvlJc w:val="left"/>
      <w:pPr>
        <w:ind w:left="1268" w:hanging="280"/>
      </w:pPr>
      <w:rPr>
        <w:rFonts w:hint="default"/>
      </w:rPr>
    </w:lvl>
    <w:lvl w:ilvl="2">
      <w:start w:val="1"/>
      <w:numFmt w:val="bullet"/>
      <w:lvlText w:val="•"/>
      <w:lvlJc w:val="left"/>
      <w:pPr>
        <w:ind w:left="2136" w:hanging="280"/>
      </w:pPr>
      <w:rPr>
        <w:rFonts w:hint="default"/>
      </w:rPr>
    </w:lvl>
    <w:lvl w:ilvl="3">
      <w:start w:val="1"/>
      <w:numFmt w:val="bullet"/>
      <w:lvlText w:val="•"/>
      <w:lvlJc w:val="left"/>
      <w:pPr>
        <w:ind w:left="3004" w:hanging="280"/>
      </w:pPr>
      <w:rPr>
        <w:rFonts w:hint="default"/>
      </w:rPr>
    </w:lvl>
    <w:lvl w:ilvl="4">
      <w:start w:val="1"/>
      <w:numFmt w:val="bullet"/>
      <w:lvlText w:val="•"/>
      <w:lvlJc w:val="left"/>
      <w:pPr>
        <w:ind w:left="3872" w:hanging="280"/>
      </w:pPr>
      <w:rPr>
        <w:rFonts w:hint="default"/>
      </w:rPr>
    </w:lvl>
    <w:lvl w:ilvl="5">
      <w:start w:val="1"/>
      <w:numFmt w:val="bullet"/>
      <w:lvlText w:val="•"/>
      <w:lvlJc w:val="left"/>
      <w:pPr>
        <w:ind w:left="4740" w:hanging="280"/>
      </w:pPr>
      <w:rPr>
        <w:rFonts w:hint="default"/>
      </w:rPr>
    </w:lvl>
    <w:lvl w:ilvl="6">
      <w:start w:val="1"/>
      <w:numFmt w:val="bullet"/>
      <w:lvlText w:val="•"/>
      <w:lvlJc w:val="left"/>
      <w:pPr>
        <w:ind w:left="5608" w:hanging="280"/>
      </w:pPr>
      <w:rPr>
        <w:rFonts w:hint="default"/>
      </w:rPr>
    </w:lvl>
    <w:lvl w:ilvl="7">
      <w:start w:val="1"/>
      <w:numFmt w:val="bullet"/>
      <w:lvlText w:val="•"/>
      <w:lvlJc w:val="left"/>
      <w:pPr>
        <w:ind w:left="6476" w:hanging="280"/>
      </w:pPr>
      <w:rPr>
        <w:rFonts w:hint="default"/>
      </w:rPr>
    </w:lvl>
    <w:lvl w:ilvl="8">
      <w:start w:val="1"/>
      <w:numFmt w:val="bullet"/>
      <w:lvlText w:val="•"/>
      <w:lvlJc w:val="left"/>
      <w:pPr>
        <w:ind w:left="7344" w:hanging="280"/>
      </w:pPr>
      <w:rPr>
        <w:rFonts w:hint="default"/>
      </w:rPr>
    </w:lvl>
  </w:abstractNum>
  <w:abstractNum w:abstractNumId="37">
    <w:multiLevelType w:val="hybridMultilevel"/>
    <w:lvl w:ilvl="0">
      <w:start w:val="1"/>
      <w:numFmt w:val="lowerLetter"/>
      <w:lvlText w:val="%1)"/>
      <w:lvlJc w:val="left"/>
      <w:pPr>
        <w:ind w:left="380" w:hanging="280"/>
        <w:jc w:val="left"/>
      </w:pPr>
      <w:rPr>
        <w:rFonts w:hint="default" w:ascii="Arial" w:hAnsi="Arial" w:eastAsia="Arial" w:cs="Arial"/>
        <w:i/>
        <w:spacing w:val="-2"/>
        <w:w w:val="99"/>
        <w:sz w:val="24"/>
        <w:szCs w:val="24"/>
      </w:rPr>
    </w:lvl>
    <w:lvl w:ilvl="1">
      <w:start w:val="1"/>
      <w:numFmt w:val="decimal"/>
      <w:lvlText w:val="%2)"/>
      <w:lvlJc w:val="left"/>
      <w:pPr>
        <w:ind w:left="821" w:hanging="361"/>
        <w:jc w:val="left"/>
      </w:pPr>
      <w:rPr>
        <w:rFonts w:hint="default" w:ascii="Arial" w:hAnsi="Arial" w:eastAsia="Arial" w:cs="Arial"/>
        <w:spacing w:val="-2"/>
        <w:w w:val="99"/>
        <w:sz w:val="24"/>
        <w:szCs w:val="24"/>
      </w:rPr>
    </w:lvl>
    <w:lvl w:ilvl="2">
      <w:start w:val="1"/>
      <w:numFmt w:val="bullet"/>
      <w:lvlText w:val="•"/>
      <w:lvlJc w:val="left"/>
      <w:pPr>
        <w:ind w:left="1733" w:hanging="361"/>
      </w:pPr>
      <w:rPr>
        <w:rFonts w:hint="default"/>
      </w:rPr>
    </w:lvl>
    <w:lvl w:ilvl="3">
      <w:start w:val="1"/>
      <w:numFmt w:val="bullet"/>
      <w:lvlText w:val="•"/>
      <w:lvlJc w:val="left"/>
      <w:pPr>
        <w:ind w:left="2646" w:hanging="361"/>
      </w:pPr>
      <w:rPr>
        <w:rFonts w:hint="default"/>
      </w:rPr>
    </w:lvl>
    <w:lvl w:ilvl="4">
      <w:start w:val="1"/>
      <w:numFmt w:val="bullet"/>
      <w:lvlText w:val="•"/>
      <w:lvlJc w:val="left"/>
      <w:pPr>
        <w:ind w:left="3560" w:hanging="361"/>
      </w:pPr>
      <w:rPr>
        <w:rFonts w:hint="default"/>
      </w:rPr>
    </w:lvl>
    <w:lvl w:ilvl="5">
      <w:start w:val="1"/>
      <w:numFmt w:val="bullet"/>
      <w:lvlText w:val="•"/>
      <w:lvlJc w:val="left"/>
      <w:pPr>
        <w:ind w:left="4473" w:hanging="361"/>
      </w:pPr>
      <w:rPr>
        <w:rFonts w:hint="default"/>
      </w:rPr>
    </w:lvl>
    <w:lvl w:ilvl="6">
      <w:start w:val="1"/>
      <w:numFmt w:val="bullet"/>
      <w:lvlText w:val="•"/>
      <w:lvlJc w:val="left"/>
      <w:pPr>
        <w:ind w:left="5386" w:hanging="361"/>
      </w:pPr>
      <w:rPr>
        <w:rFonts w:hint="default"/>
      </w:rPr>
    </w:lvl>
    <w:lvl w:ilvl="7">
      <w:start w:val="1"/>
      <w:numFmt w:val="bullet"/>
      <w:lvlText w:val="•"/>
      <w:lvlJc w:val="left"/>
      <w:pPr>
        <w:ind w:left="6300" w:hanging="361"/>
      </w:pPr>
      <w:rPr>
        <w:rFonts w:hint="default"/>
      </w:rPr>
    </w:lvl>
    <w:lvl w:ilvl="8">
      <w:start w:val="1"/>
      <w:numFmt w:val="bullet"/>
      <w:lvlText w:val="•"/>
      <w:lvlJc w:val="left"/>
      <w:pPr>
        <w:ind w:left="7213" w:hanging="361"/>
      </w:pPr>
      <w:rPr>
        <w:rFonts w:hint="default"/>
      </w:rPr>
    </w:lvl>
  </w:abstractNum>
  <w:abstractNum w:abstractNumId="36">
    <w:multiLevelType w:val="hybridMultilevel"/>
    <w:lvl w:ilvl="0">
      <w:start w:val="1"/>
      <w:numFmt w:val="lowerLetter"/>
      <w:lvlText w:val="%1)"/>
      <w:lvlJc w:val="left"/>
      <w:pPr>
        <w:ind w:left="380" w:hanging="280"/>
        <w:jc w:val="left"/>
      </w:pPr>
      <w:rPr>
        <w:rFonts w:hint="default" w:ascii="Arial" w:hAnsi="Arial" w:eastAsia="Arial" w:cs="Arial"/>
        <w:i/>
        <w:spacing w:val="-2"/>
        <w:w w:val="99"/>
        <w:sz w:val="24"/>
        <w:szCs w:val="24"/>
      </w:rPr>
    </w:lvl>
    <w:lvl w:ilvl="1">
      <w:start w:val="1"/>
      <w:numFmt w:val="bullet"/>
      <w:lvlText w:val="•"/>
      <w:lvlJc w:val="left"/>
      <w:pPr>
        <w:ind w:left="1248" w:hanging="280"/>
      </w:pPr>
      <w:rPr>
        <w:rFonts w:hint="default"/>
      </w:rPr>
    </w:lvl>
    <w:lvl w:ilvl="2">
      <w:start w:val="1"/>
      <w:numFmt w:val="bullet"/>
      <w:lvlText w:val="•"/>
      <w:lvlJc w:val="left"/>
      <w:pPr>
        <w:ind w:left="2116" w:hanging="280"/>
      </w:pPr>
      <w:rPr>
        <w:rFonts w:hint="default"/>
      </w:rPr>
    </w:lvl>
    <w:lvl w:ilvl="3">
      <w:start w:val="1"/>
      <w:numFmt w:val="bullet"/>
      <w:lvlText w:val="•"/>
      <w:lvlJc w:val="left"/>
      <w:pPr>
        <w:ind w:left="2984" w:hanging="280"/>
      </w:pPr>
      <w:rPr>
        <w:rFonts w:hint="default"/>
      </w:rPr>
    </w:lvl>
    <w:lvl w:ilvl="4">
      <w:start w:val="1"/>
      <w:numFmt w:val="bullet"/>
      <w:lvlText w:val="•"/>
      <w:lvlJc w:val="left"/>
      <w:pPr>
        <w:ind w:left="3852" w:hanging="280"/>
      </w:pPr>
      <w:rPr>
        <w:rFonts w:hint="default"/>
      </w:rPr>
    </w:lvl>
    <w:lvl w:ilvl="5">
      <w:start w:val="1"/>
      <w:numFmt w:val="bullet"/>
      <w:lvlText w:val="•"/>
      <w:lvlJc w:val="left"/>
      <w:pPr>
        <w:ind w:left="4720" w:hanging="280"/>
      </w:pPr>
      <w:rPr>
        <w:rFonts w:hint="default"/>
      </w:rPr>
    </w:lvl>
    <w:lvl w:ilvl="6">
      <w:start w:val="1"/>
      <w:numFmt w:val="bullet"/>
      <w:lvlText w:val="•"/>
      <w:lvlJc w:val="left"/>
      <w:pPr>
        <w:ind w:left="5588" w:hanging="280"/>
      </w:pPr>
      <w:rPr>
        <w:rFonts w:hint="default"/>
      </w:rPr>
    </w:lvl>
    <w:lvl w:ilvl="7">
      <w:start w:val="1"/>
      <w:numFmt w:val="bullet"/>
      <w:lvlText w:val="•"/>
      <w:lvlJc w:val="left"/>
      <w:pPr>
        <w:ind w:left="6456" w:hanging="280"/>
      </w:pPr>
      <w:rPr>
        <w:rFonts w:hint="default"/>
      </w:rPr>
    </w:lvl>
    <w:lvl w:ilvl="8">
      <w:start w:val="1"/>
      <w:numFmt w:val="bullet"/>
      <w:lvlText w:val="•"/>
      <w:lvlJc w:val="left"/>
      <w:pPr>
        <w:ind w:left="7324" w:hanging="280"/>
      </w:pPr>
      <w:rPr>
        <w:rFonts w:hint="default"/>
      </w:rPr>
    </w:lvl>
  </w:abstractNum>
  <w:abstractNum w:abstractNumId="35">
    <w:multiLevelType w:val="hybridMultilevel"/>
    <w:lvl w:ilvl="0">
      <w:start w:val="8"/>
      <w:numFmt w:val="decimal"/>
      <w:lvlText w:val="%1."/>
      <w:lvlJc w:val="left"/>
      <w:pPr>
        <w:ind w:left="180" w:hanging="83"/>
        <w:jc w:val="left"/>
      </w:pPr>
      <w:rPr>
        <w:rFonts w:hint="default" w:ascii="Arial" w:hAnsi="Arial" w:eastAsia="Arial" w:cs="Arial"/>
        <w:w w:val="116"/>
        <w:sz w:val="8"/>
        <w:szCs w:val="8"/>
      </w:rPr>
    </w:lvl>
    <w:lvl w:ilvl="1">
      <w:start w:val="1"/>
      <w:numFmt w:val="bullet"/>
      <w:lvlText w:val="•"/>
      <w:lvlJc w:val="left"/>
      <w:pPr>
        <w:ind w:left="424" w:hanging="83"/>
      </w:pPr>
      <w:rPr>
        <w:rFonts w:hint="default"/>
      </w:rPr>
    </w:lvl>
    <w:lvl w:ilvl="2">
      <w:start w:val="1"/>
      <w:numFmt w:val="bullet"/>
      <w:lvlText w:val="•"/>
      <w:lvlJc w:val="left"/>
      <w:pPr>
        <w:ind w:left="669" w:hanging="83"/>
      </w:pPr>
      <w:rPr>
        <w:rFonts w:hint="default"/>
      </w:rPr>
    </w:lvl>
    <w:lvl w:ilvl="3">
      <w:start w:val="1"/>
      <w:numFmt w:val="bullet"/>
      <w:lvlText w:val="•"/>
      <w:lvlJc w:val="left"/>
      <w:pPr>
        <w:ind w:left="914" w:hanging="83"/>
      </w:pPr>
      <w:rPr>
        <w:rFonts w:hint="default"/>
      </w:rPr>
    </w:lvl>
    <w:lvl w:ilvl="4">
      <w:start w:val="1"/>
      <w:numFmt w:val="bullet"/>
      <w:lvlText w:val="•"/>
      <w:lvlJc w:val="left"/>
      <w:pPr>
        <w:ind w:left="1159" w:hanging="83"/>
      </w:pPr>
      <w:rPr>
        <w:rFonts w:hint="default"/>
      </w:rPr>
    </w:lvl>
    <w:lvl w:ilvl="5">
      <w:start w:val="1"/>
      <w:numFmt w:val="bullet"/>
      <w:lvlText w:val="•"/>
      <w:lvlJc w:val="left"/>
      <w:pPr>
        <w:ind w:left="1403" w:hanging="83"/>
      </w:pPr>
      <w:rPr>
        <w:rFonts w:hint="default"/>
      </w:rPr>
    </w:lvl>
    <w:lvl w:ilvl="6">
      <w:start w:val="1"/>
      <w:numFmt w:val="bullet"/>
      <w:lvlText w:val="•"/>
      <w:lvlJc w:val="left"/>
      <w:pPr>
        <w:ind w:left="1648" w:hanging="83"/>
      </w:pPr>
      <w:rPr>
        <w:rFonts w:hint="default"/>
      </w:rPr>
    </w:lvl>
    <w:lvl w:ilvl="7">
      <w:start w:val="1"/>
      <w:numFmt w:val="bullet"/>
      <w:lvlText w:val="•"/>
      <w:lvlJc w:val="left"/>
      <w:pPr>
        <w:ind w:left="1893" w:hanging="83"/>
      </w:pPr>
      <w:rPr>
        <w:rFonts w:hint="default"/>
      </w:rPr>
    </w:lvl>
    <w:lvl w:ilvl="8">
      <w:start w:val="1"/>
      <w:numFmt w:val="bullet"/>
      <w:lvlText w:val="•"/>
      <w:lvlJc w:val="left"/>
      <w:pPr>
        <w:ind w:left="2138" w:hanging="83"/>
      </w:pPr>
      <w:rPr>
        <w:rFonts w:hint="default"/>
      </w:rPr>
    </w:lvl>
  </w:abstractNum>
  <w:abstractNum w:abstractNumId="34">
    <w:multiLevelType w:val="hybridMultilevel"/>
    <w:lvl w:ilvl="0">
      <w:start w:val="15"/>
      <w:numFmt w:val="decimal"/>
      <w:lvlText w:val="%1."/>
      <w:lvlJc w:val="left"/>
      <w:pPr>
        <w:ind w:left="101" w:hanging="135"/>
        <w:jc w:val="left"/>
      </w:pPr>
      <w:rPr>
        <w:rFonts w:hint="default" w:ascii="Arial" w:hAnsi="Arial" w:eastAsia="Arial" w:cs="Arial"/>
        <w:w w:val="116"/>
        <w:sz w:val="8"/>
        <w:szCs w:val="8"/>
      </w:rPr>
    </w:lvl>
    <w:lvl w:ilvl="1">
      <w:start w:val="1"/>
      <w:numFmt w:val="bullet"/>
      <w:lvlText w:val="•"/>
      <w:lvlJc w:val="left"/>
      <w:pPr>
        <w:ind w:left="354" w:hanging="135"/>
      </w:pPr>
      <w:rPr>
        <w:rFonts w:hint="default"/>
      </w:rPr>
    </w:lvl>
    <w:lvl w:ilvl="2">
      <w:start w:val="1"/>
      <w:numFmt w:val="bullet"/>
      <w:lvlText w:val="•"/>
      <w:lvlJc w:val="left"/>
      <w:pPr>
        <w:ind w:left="609" w:hanging="135"/>
      </w:pPr>
      <w:rPr>
        <w:rFonts w:hint="default"/>
      </w:rPr>
    </w:lvl>
    <w:lvl w:ilvl="3">
      <w:start w:val="1"/>
      <w:numFmt w:val="bullet"/>
      <w:lvlText w:val="•"/>
      <w:lvlJc w:val="left"/>
      <w:pPr>
        <w:ind w:left="864" w:hanging="135"/>
      </w:pPr>
      <w:rPr>
        <w:rFonts w:hint="default"/>
      </w:rPr>
    </w:lvl>
    <w:lvl w:ilvl="4">
      <w:start w:val="1"/>
      <w:numFmt w:val="bullet"/>
      <w:lvlText w:val="•"/>
      <w:lvlJc w:val="left"/>
      <w:pPr>
        <w:ind w:left="1119" w:hanging="135"/>
      </w:pPr>
      <w:rPr>
        <w:rFonts w:hint="default"/>
      </w:rPr>
    </w:lvl>
    <w:lvl w:ilvl="5">
      <w:start w:val="1"/>
      <w:numFmt w:val="bullet"/>
      <w:lvlText w:val="•"/>
      <w:lvlJc w:val="left"/>
      <w:pPr>
        <w:ind w:left="1374" w:hanging="135"/>
      </w:pPr>
      <w:rPr>
        <w:rFonts w:hint="default"/>
      </w:rPr>
    </w:lvl>
    <w:lvl w:ilvl="6">
      <w:start w:val="1"/>
      <w:numFmt w:val="bullet"/>
      <w:lvlText w:val="•"/>
      <w:lvlJc w:val="left"/>
      <w:pPr>
        <w:ind w:left="1629" w:hanging="135"/>
      </w:pPr>
      <w:rPr>
        <w:rFonts w:hint="default"/>
      </w:rPr>
    </w:lvl>
    <w:lvl w:ilvl="7">
      <w:start w:val="1"/>
      <w:numFmt w:val="bullet"/>
      <w:lvlText w:val="•"/>
      <w:lvlJc w:val="left"/>
      <w:pPr>
        <w:ind w:left="1884" w:hanging="135"/>
      </w:pPr>
      <w:rPr>
        <w:rFonts w:hint="default"/>
      </w:rPr>
    </w:lvl>
    <w:lvl w:ilvl="8">
      <w:start w:val="1"/>
      <w:numFmt w:val="bullet"/>
      <w:lvlText w:val="•"/>
      <w:lvlJc w:val="left"/>
      <w:pPr>
        <w:ind w:left="2138" w:hanging="135"/>
      </w:pPr>
      <w:rPr>
        <w:rFonts w:hint="default"/>
      </w:rPr>
    </w:lvl>
  </w:abstractNum>
  <w:abstractNum w:abstractNumId="33">
    <w:multiLevelType w:val="hybridMultilevel"/>
    <w:lvl w:ilvl="0">
      <w:start w:val="4"/>
      <w:numFmt w:val="decimal"/>
      <w:lvlText w:val="%1."/>
      <w:lvlJc w:val="left"/>
      <w:pPr>
        <w:ind w:left="101" w:hanging="83"/>
        <w:jc w:val="left"/>
      </w:pPr>
      <w:rPr>
        <w:rFonts w:hint="default" w:ascii="Arial" w:hAnsi="Arial" w:eastAsia="Arial" w:cs="Arial"/>
        <w:w w:val="116"/>
        <w:sz w:val="8"/>
        <w:szCs w:val="8"/>
      </w:rPr>
    </w:lvl>
    <w:lvl w:ilvl="1">
      <w:start w:val="1"/>
      <w:numFmt w:val="bullet"/>
      <w:lvlText w:val="•"/>
      <w:lvlJc w:val="left"/>
      <w:pPr>
        <w:ind w:left="354" w:hanging="83"/>
      </w:pPr>
      <w:rPr>
        <w:rFonts w:hint="default"/>
      </w:rPr>
    </w:lvl>
    <w:lvl w:ilvl="2">
      <w:start w:val="1"/>
      <w:numFmt w:val="bullet"/>
      <w:lvlText w:val="•"/>
      <w:lvlJc w:val="left"/>
      <w:pPr>
        <w:ind w:left="609" w:hanging="83"/>
      </w:pPr>
      <w:rPr>
        <w:rFonts w:hint="default"/>
      </w:rPr>
    </w:lvl>
    <w:lvl w:ilvl="3">
      <w:start w:val="1"/>
      <w:numFmt w:val="bullet"/>
      <w:lvlText w:val="•"/>
      <w:lvlJc w:val="left"/>
      <w:pPr>
        <w:ind w:left="864" w:hanging="83"/>
      </w:pPr>
      <w:rPr>
        <w:rFonts w:hint="default"/>
      </w:rPr>
    </w:lvl>
    <w:lvl w:ilvl="4">
      <w:start w:val="1"/>
      <w:numFmt w:val="bullet"/>
      <w:lvlText w:val="•"/>
      <w:lvlJc w:val="left"/>
      <w:pPr>
        <w:ind w:left="1119" w:hanging="83"/>
      </w:pPr>
      <w:rPr>
        <w:rFonts w:hint="default"/>
      </w:rPr>
    </w:lvl>
    <w:lvl w:ilvl="5">
      <w:start w:val="1"/>
      <w:numFmt w:val="bullet"/>
      <w:lvlText w:val="•"/>
      <w:lvlJc w:val="left"/>
      <w:pPr>
        <w:ind w:left="1374" w:hanging="83"/>
      </w:pPr>
      <w:rPr>
        <w:rFonts w:hint="default"/>
      </w:rPr>
    </w:lvl>
    <w:lvl w:ilvl="6">
      <w:start w:val="1"/>
      <w:numFmt w:val="bullet"/>
      <w:lvlText w:val="•"/>
      <w:lvlJc w:val="left"/>
      <w:pPr>
        <w:ind w:left="1629" w:hanging="83"/>
      </w:pPr>
      <w:rPr>
        <w:rFonts w:hint="default"/>
      </w:rPr>
    </w:lvl>
    <w:lvl w:ilvl="7">
      <w:start w:val="1"/>
      <w:numFmt w:val="bullet"/>
      <w:lvlText w:val="•"/>
      <w:lvlJc w:val="left"/>
      <w:pPr>
        <w:ind w:left="1884" w:hanging="83"/>
      </w:pPr>
      <w:rPr>
        <w:rFonts w:hint="default"/>
      </w:rPr>
    </w:lvl>
    <w:lvl w:ilvl="8">
      <w:start w:val="1"/>
      <w:numFmt w:val="bullet"/>
      <w:lvlText w:val="•"/>
      <w:lvlJc w:val="left"/>
      <w:pPr>
        <w:ind w:left="2138" w:hanging="83"/>
      </w:pPr>
      <w:rPr>
        <w:rFonts w:hint="default"/>
      </w:rPr>
    </w:lvl>
  </w:abstractNum>
  <w:abstractNum w:abstractNumId="32">
    <w:multiLevelType w:val="hybridMultilevel"/>
    <w:lvl w:ilvl="0">
      <w:start w:val="1"/>
      <w:numFmt w:val="decimal"/>
      <w:lvlText w:val="%1."/>
      <w:lvlJc w:val="left"/>
      <w:pPr>
        <w:ind w:left="101" w:hanging="83"/>
        <w:jc w:val="left"/>
      </w:pPr>
      <w:rPr>
        <w:rFonts w:hint="default" w:ascii="Arial" w:hAnsi="Arial" w:eastAsia="Arial" w:cs="Arial"/>
        <w:w w:val="116"/>
        <w:sz w:val="8"/>
        <w:szCs w:val="8"/>
      </w:rPr>
    </w:lvl>
    <w:lvl w:ilvl="1">
      <w:start w:val="1"/>
      <w:numFmt w:val="bullet"/>
      <w:lvlText w:val="•"/>
      <w:lvlJc w:val="left"/>
      <w:pPr>
        <w:ind w:left="354" w:hanging="83"/>
      </w:pPr>
      <w:rPr>
        <w:rFonts w:hint="default"/>
      </w:rPr>
    </w:lvl>
    <w:lvl w:ilvl="2">
      <w:start w:val="1"/>
      <w:numFmt w:val="bullet"/>
      <w:lvlText w:val="•"/>
      <w:lvlJc w:val="left"/>
      <w:pPr>
        <w:ind w:left="609" w:hanging="83"/>
      </w:pPr>
      <w:rPr>
        <w:rFonts w:hint="default"/>
      </w:rPr>
    </w:lvl>
    <w:lvl w:ilvl="3">
      <w:start w:val="1"/>
      <w:numFmt w:val="bullet"/>
      <w:lvlText w:val="•"/>
      <w:lvlJc w:val="left"/>
      <w:pPr>
        <w:ind w:left="864" w:hanging="83"/>
      </w:pPr>
      <w:rPr>
        <w:rFonts w:hint="default"/>
      </w:rPr>
    </w:lvl>
    <w:lvl w:ilvl="4">
      <w:start w:val="1"/>
      <w:numFmt w:val="bullet"/>
      <w:lvlText w:val="•"/>
      <w:lvlJc w:val="left"/>
      <w:pPr>
        <w:ind w:left="1119" w:hanging="83"/>
      </w:pPr>
      <w:rPr>
        <w:rFonts w:hint="default"/>
      </w:rPr>
    </w:lvl>
    <w:lvl w:ilvl="5">
      <w:start w:val="1"/>
      <w:numFmt w:val="bullet"/>
      <w:lvlText w:val="•"/>
      <w:lvlJc w:val="left"/>
      <w:pPr>
        <w:ind w:left="1374" w:hanging="83"/>
      </w:pPr>
      <w:rPr>
        <w:rFonts w:hint="default"/>
      </w:rPr>
    </w:lvl>
    <w:lvl w:ilvl="6">
      <w:start w:val="1"/>
      <w:numFmt w:val="bullet"/>
      <w:lvlText w:val="•"/>
      <w:lvlJc w:val="left"/>
      <w:pPr>
        <w:ind w:left="1629" w:hanging="83"/>
      </w:pPr>
      <w:rPr>
        <w:rFonts w:hint="default"/>
      </w:rPr>
    </w:lvl>
    <w:lvl w:ilvl="7">
      <w:start w:val="1"/>
      <w:numFmt w:val="bullet"/>
      <w:lvlText w:val="•"/>
      <w:lvlJc w:val="left"/>
      <w:pPr>
        <w:ind w:left="1884" w:hanging="83"/>
      </w:pPr>
      <w:rPr>
        <w:rFonts w:hint="default"/>
      </w:rPr>
    </w:lvl>
    <w:lvl w:ilvl="8">
      <w:start w:val="1"/>
      <w:numFmt w:val="bullet"/>
      <w:lvlText w:val="•"/>
      <w:lvlJc w:val="left"/>
      <w:pPr>
        <w:ind w:left="2138" w:hanging="83"/>
      </w:pPr>
      <w:rPr>
        <w:rFonts w:hint="default"/>
      </w:rPr>
    </w:lvl>
  </w:abstractNum>
  <w:abstractNum w:abstractNumId="31">
    <w:multiLevelType w:val="hybridMultilevel"/>
    <w:lvl w:ilvl="0">
      <w:start w:val="4"/>
      <w:numFmt w:val="decimal"/>
      <w:lvlText w:val="(%1)"/>
      <w:lvlJc w:val="left"/>
      <w:pPr>
        <w:ind w:left="232" w:hanging="135"/>
        <w:jc w:val="left"/>
      </w:pPr>
      <w:rPr>
        <w:rFonts w:hint="default" w:ascii="Arial" w:hAnsi="Arial" w:eastAsia="Arial" w:cs="Arial"/>
        <w:b/>
        <w:bCs/>
        <w:w w:val="116"/>
        <w:sz w:val="8"/>
        <w:szCs w:val="8"/>
      </w:rPr>
    </w:lvl>
    <w:lvl w:ilvl="1">
      <w:start w:val="1"/>
      <w:numFmt w:val="bullet"/>
      <w:lvlText w:val="•"/>
      <w:lvlJc w:val="left"/>
      <w:pPr>
        <w:ind w:left="478" w:hanging="135"/>
      </w:pPr>
      <w:rPr>
        <w:rFonts w:hint="default"/>
      </w:rPr>
    </w:lvl>
    <w:lvl w:ilvl="2">
      <w:start w:val="1"/>
      <w:numFmt w:val="bullet"/>
      <w:lvlText w:val="•"/>
      <w:lvlJc w:val="left"/>
      <w:pPr>
        <w:ind w:left="717" w:hanging="135"/>
      </w:pPr>
      <w:rPr>
        <w:rFonts w:hint="default"/>
      </w:rPr>
    </w:lvl>
    <w:lvl w:ilvl="3">
      <w:start w:val="1"/>
      <w:numFmt w:val="bullet"/>
      <w:lvlText w:val="•"/>
      <w:lvlJc w:val="left"/>
      <w:pPr>
        <w:ind w:left="956" w:hanging="135"/>
      </w:pPr>
      <w:rPr>
        <w:rFonts w:hint="default"/>
      </w:rPr>
    </w:lvl>
    <w:lvl w:ilvl="4">
      <w:start w:val="1"/>
      <w:numFmt w:val="bullet"/>
      <w:lvlText w:val="•"/>
      <w:lvlJc w:val="left"/>
      <w:pPr>
        <w:ind w:left="1195" w:hanging="135"/>
      </w:pPr>
      <w:rPr>
        <w:rFonts w:hint="default"/>
      </w:rPr>
    </w:lvl>
    <w:lvl w:ilvl="5">
      <w:start w:val="1"/>
      <w:numFmt w:val="bullet"/>
      <w:lvlText w:val="•"/>
      <w:lvlJc w:val="left"/>
      <w:pPr>
        <w:ind w:left="1433" w:hanging="135"/>
      </w:pPr>
      <w:rPr>
        <w:rFonts w:hint="default"/>
      </w:rPr>
    </w:lvl>
    <w:lvl w:ilvl="6">
      <w:start w:val="1"/>
      <w:numFmt w:val="bullet"/>
      <w:lvlText w:val="•"/>
      <w:lvlJc w:val="left"/>
      <w:pPr>
        <w:ind w:left="1672" w:hanging="135"/>
      </w:pPr>
      <w:rPr>
        <w:rFonts w:hint="default"/>
      </w:rPr>
    </w:lvl>
    <w:lvl w:ilvl="7">
      <w:start w:val="1"/>
      <w:numFmt w:val="bullet"/>
      <w:lvlText w:val="•"/>
      <w:lvlJc w:val="left"/>
      <w:pPr>
        <w:ind w:left="1911" w:hanging="135"/>
      </w:pPr>
      <w:rPr>
        <w:rFonts w:hint="default"/>
      </w:rPr>
    </w:lvl>
    <w:lvl w:ilvl="8">
      <w:start w:val="1"/>
      <w:numFmt w:val="bullet"/>
      <w:lvlText w:val="•"/>
      <w:lvlJc w:val="left"/>
      <w:pPr>
        <w:ind w:left="2150" w:hanging="135"/>
      </w:pPr>
      <w:rPr>
        <w:rFonts w:hint="default"/>
      </w:rPr>
    </w:lvl>
  </w:abstractNum>
  <w:abstractNum w:abstractNumId="30">
    <w:multiLevelType w:val="hybridMultilevel"/>
    <w:lvl w:ilvl="0">
      <w:start w:val="8"/>
      <w:numFmt w:val="decimal"/>
      <w:lvlText w:val="%1"/>
      <w:lvlJc w:val="left"/>
      <w:pPr>
        <w:ind w:left="191" w:hanging="73"/>
        <w:jc w:val="left"/>
      </w:pPr>
      <w:rPr>
        <w:rFonts w:hint="default" w:ascii="Arial" w:hAnsi="Arial" w:eastAsia="Arial" w:cs="Arial"/>
        <w:w w:val="116"/>
        <w:sz w:val="8"/>
        <w:szCs w:val="8"/>
      </w:rPr>
    </w:lvl>
    <w:lvl w:ilvl="1">
      <w:start w:val="1"/>
      <w:numFmt w:val="bullet"/>
      <w:lvlText w:val="•"/>
      <w:lvlJc w:val="left"/>
      <w:pPr>
        <w:ind w:left="442" w:hanging="73"/>
      </w:pPr>
      <w:rPr>
        <w:rFonts w:hint="default"/>
      </w:rPr>
    </w:lvl>
    <w:lvl w:ilvl="2">
      <w:start w:val="1"/>
      <w:numFmt w:val="bullet"/>
      <w:lvlText w:val="•"/>
      <w:lvlJc w:val="left"/>
      <w:pPr>
        <w:ind w:left="685" w:hanging="73"/>
      </w:pPr>
      <w:rPr>
        <w:rFonts w:hint="default"/>
      </w:rPr>
    </w:lvl>
    <w:lvl w:ilvl="3">
      <w:start w:val="1"/>
      <w:numFmt w:val="bullet"/>
      <w:lvlText w:val="•"/>
      <w:lvlJc w:val="left"/>
      <w:pPr>
        <w:ind w:left="928" w:hanging="73"/>
      </w:pPr>
      <w:rPr>
        <w:rFonts w:hint="default"/>
      </w:rPr>
    </w:lvl>
    <w:lvl w:ilvl="4">
      <w:start w:val="1"/>
      <w:numFmt w:val="bullet"/>
      <w:lvlText w:val="•"/>
      <w:lvlJc w:val="left"/>
      <w:pPr>
        <w:ind w:left="1171" w:hanging="73"/>
      </w:pPr>
      <w:rPr>
        <w:rFonts w:hint="default"/>
      </w:rPr>
    </w:lvl>
    <w:lvl w:ilvl="5">
      <w:start w:val="1"/>
      <w:numFmt w:val="bullet"/>
      <w:lvlText w:val="•"/>
      <w:lvlJc w:val="left"/>
      <w:pPr>
        <w:ind w:left="1413" w:hanging="73"/>
      </w:pPr>
      <w:rPr>
        <w:rFonts w:hint="default"/>
      </w:rPr>
    </w:lvl>
    <w:lvl w:ilvl="6">
      <w:start w:val="1"/>
      <w:numFmt w:val="bullet"/>
      <w:lvlText w:val="•"/>
      <w:lvlJc w:val="left"/>
      <w:pPr>
        <w:ind w:left="1656" w:hanging="73"/>
      </w:pPr>
      <w:rPr>
        <w:rFonts w:hint="default"/>
      </w:rPr>
    </w:lvl>
    <w:lvl w:ilvl="7">
      <w:start w:val="1"/>
      <w:numFmt w:val="bullet"/>
      <w:lvlText w:val="•"/>
      <w:lvlJc w:val="left"/>
      <w:pPr>
        <w:ind w:left="1899" w:hanging="73"/>
      </w:pPr>
      <w:rPr>
        <w:rFonts w:hint="default"/>
      </w:rPr>
    </w:lvl>
    <w:lvl w:ilvl="8">
      <w:start w:val="1"/>
      <w:numFmt w:val="bullet"/>
      <w:lvlText w:val="•"/>
      <w:lvlJc w:val="left"/>
      <w:pPr>
        <w:ind w:left="2142" w:hanging="73"/>
      </w:pPr>
      <w:rPr>
        <w:rFonts w:hint="default"/>
      </w:rPr>
    </w:lvl>
  </w:abstractNum>
  <w:abstractNum w:abstractNumId="29">
    <w:multiLevelType w:val="hybridMultilevel"/>
    <w:lvl w:ilvl="0">
      <w:start w:val="1"/>
      <w:numFmt w:val="decimal"/>
      <w:lvlText w:val="%1."/>
      <w:lvlJc w:val="left"/>
      <w:pPr>
        <w:ind w:left="222" w:hanging="104"/>
        <w:jc w:val="left"/>
      </w:pPr>
      <w:rPr>
        <w:rFonts w:hint="default" w:ascii="Arial" w:hAnsi="Arial" w:eastAsia="Arial" w:cs="Arial"/>
        <w:w w:val="116"/>
        <w:sz w:val="8"/>
        <w:szCs w:val="8"/>
      </w:rPr>
    </w:lvl>
    <w:lvl w:ilvl="1">
      <w:start w:val="1"/>
      <w:numFmt w:val="bullet"/>
      <w:lvlText w:val="•"/>
      <w:lvlJc w:val="left"/>
      <w:pPr>
        <w:ind w:left="460" w:hanging="104"/>
      </w:pPr>
      <w:rPr>
        <w:rFonts w:hint="default"/>
      </w:rPr>
    </w:lvl>
    <w:lvl w:ilvl="2">
      <w:start w:val="1"/>
      <w:numFmt w:val="bullet"/>
      <w:lvlText w:val="•"/>
      <w:lvlJc w:val="left"/>
      <w:pPr>
        <w:ind w:left="701" w:hanging="104"/>
      </w:pPr>
      <w:rPr>
        <w:rFonts w:hint="default"/>
      </w:rPr>
    </w:lvl>
    <w:lvl w:ilvl="3">
      <w:start w:val="1"/>
      <w:numFmt w:val="bullet"/>
      <w:lvlText w:val="•"/>
      <w:lvlJc w:val="left"/>
      <w:pPr>
        <w:ind w:left="942" w:hanging="104"/>
      </w:pPr>
      <w:rPr>
        <w:rFonts w:hint="default"/>
      </w:rPr>
    </w:lvl>
    <w:lvl w:ilvl="4">
      <w:start w:val="1"/>
      <w:numFmt w:val="bullet"/>
      <w:lvlText w:val="•"/>
      <w:lvlJc w:val="left"/>
      <w:pPr>
        <w:ind w:left="1183" w:hanging="104"/>
      </w:pPr>
      <w:rPr>
        <w:rFonts w:hint="default"/>
      </w:rPr>
    </w:lvl>
    <w:lvl w:ilvl="5">
      <w:start w:val="1"/>
      <w:numFmt w:val="bullet"/>
      <w:lvlText w:val="•"/>
      <w:lvlJc w:val="left"/>
      <w:pPr>
        <w:ind w:left="1423" w:hanging="104"/>
      </w:pPr>
      <w:rPr>
        <w:rFonts w:hint="default"/>
      </w:rPr>
    </w:lvl>
    <w:lvl w:ilvl="6">
      <w:start w:val="1"/>
      <w:numFmt w:val="bullet"/>
      <w:lvlText w:val="•"/>
      <w:lvlJc w:val="left"/>
      <w:pPr>
        <w:ind w:left="1664" w:hanging="104"/>
      </w:pPr>
      <w:rPr>
        <w:rFonts w:hint="default"/>
      </w:rPr>
    </w:lvl>
    <w:lvl w:ilvl="7">
      <w:start w:val="1"/>
      <w:numFmt w:val="bullet"/>
      <w:lvlText w:val="•"/>
      <w:lvlJc w:val="left"/>
      <w:pPr>
        <w:ind w:left="1905" w:hanging="104"/>
      </w:pPr>
      <w:rPr>
        <w:rFonts w:hint="default"/>
      </w:rPr>
    </w:lvl>
    <w:lvl w:ilvl="8">
      <w:start w:val="1"/>
      <w:numFmt w:val="bullet"/>
      <w:lvlText w:val="•"/>
      <w:lvlJc w:val="left"/>
      <w:pPr>
        <w:ind w:left="2146" w:hanging="104"/>
      </w:pPr>
      <w:rPr>
        <w:rFonts w:hint="default"/>
      </w:rPr>
    </w:lvl>
  </w:abstractNum>
  <w:abstractNum w:abstractNumId="28">
    <w:multiLevelType w:val="hybridMultilevel"/>
    <w:lvl w:ilvl="0">
      <w:start w:val="1"/>
      <w:numFmt w:val="decimal"/>
      <w:lvlText w:val="%1)"/>
      <w:lvlJc w:val="left"/>
      <w:pPr>
        <w:ind w:left="58" w:hanging="104"/>
        <w:jc w:val="left"/>
      </w:pPr>
      <w:rPr>
        <w:rFonts w:hint="default" w:ascii="Arial" w:hAnsi="Arial" w:eastAsia="Arial" w:cs="Arial"/>
        <w:w w:val="116"/>
        <w:sz w:val="8"/>
        <w:szCs w:val="8"/>
      </w:rPr>
    </w:lvl>
    <w:lvl w:ilvl="1">
      <w:start w:val="1"/>
      <w:numFmt w:val="bullet"/>
      <w:lvlText w:val="•"/>
      <w:lvlJc w:val="left"/>
      <w:pPr>
        <w:ind w:left="377" w:hanging="104"/>
      </w:pPr>
      <w:rPr>
        <w:rFonts w:hint="default"/>
      </w:rPr>
    </w:lvl>
    <w:lvl w:ilvl="2">
      <w:start w:val="1"/>
      <w:numFmt w:val="bullet"/>
      <w:lvlText w:val="•"/>
      <w:lvlJc w:val="left"/>
      <w:pPr>
        <w:ind w:left="695" w:hanging="104"/>
      </w:pPr>
      <w:rPr>
        <w:rFonts w:hint="default"/>
      </w:rPr>
    </w:lvl>
    <w:lvl w:ilvl="3">
      <w:start w:val="1"/>
      <w:numFmt w:val="bullet"/>
      <w:lvlText w:val="•"/>
      <w:lvlJc w:val="left"/>
      <w:pPr>
        <w:ind w:left="1013" w:hanging="104"/>
      </w:pPr>
      <w:rPr>
        <w:rFonts w:hint="default"/>
      </w:rPr>
    </w:lvl>
    <w:lvl w:ilvl="4">
      <w:start w:val="1"/>
      <w:numFmt w:val="bullet"/>
      <w:lvlText w:val="•"/>
      <w:lvlJc w:val="left"/>
      <w:pPr>
        <w:ind w:left="1331" w:hanging="104"/>
      </w:pPr>
      <w:rPr>
        <w:rFonts w:hint="default"/>
      </w:rPr>
    </w:lvl>
    <w:lvl w:ilvl="5">
      <w:start w:val="1"/>
      <w:numFmt w:val="bullet"/>
      <w:lvlText w:val="•"/>
      <w:lvlJc w:val="left"/>
      <w:pPr>
        <w:ind w:left="1649" w:hanging="104"/>
      </w:pPr>
      <w:rPr>
        <w:rFonts w:hint="default"/>
      </w:rPr>
    </w:lvl>
    <w:lvl w:ilvl="6">
      <w:start w:val="1"/>
      <w:numFmt w:val="bullet"/>
      <w:lvlText w:val="•"/>
      <w:lvlJc w:val="left"/>
      <w:pPr>
        <w:ind w:left="1966" w:hanging="104"/>
      </w:pPr>
      <w:rPr>
        <w:rFonts w:hint="default"/>
      </w:rPr>
    </w:lvl>
    <w:lvl w:ilvl="7">
      <w:start w:val="1"/>
      <w:numFmt w:val="bullet"/>
      <w:lvlText w:val="•"/>
      <w:lvlJc w:val="left"/>
      <w:pPr>
        <w:ind w:left="2284" w:hanging="104"/>
      </w:pPr>
      <w:rPr>
        <w:rFonts w:hint="default"/>
      </w:rPr>
    </w:lvl>
    <w:lvl w:ilvl="8">
      <w:start w:val="1"/>
      <w:numFmt w:val="bullet"/>
      <w:lvlText w:val="•"/>
      <w:lvlJc w:val="left"/>
      <w:pPr>
        <w:ind w:left="2602" w:hanging="104"/>
      </w:pPr>
      <w:rPr>
        <w:rFonts w:hint="default"/>
      </w:rPr>
    </w:lvl>
  </w:abstractNum>
  <w:abstractNum w:abstractNumId="27">
    <w:multiLevelType w:val="hybridMultilevel"/>
    <w:lvl w:ilvl="0">
      <w:start w:val="4"/>
      <w:numFmt w:val="decimal"/>
      <w:lvlText w:val="%1)"/>
      <w:lvlJc w:val="left"/>
      <w:pPr>
        <w:ind w:left="58" w:hanging="104"/>
        <w:jc w:val="left"/>
      </w:pPr>
      <w:rPr>
        <w:rFonts w:hint="default" w:ascii="Arial" w:hAnsi="Arial" w:eastAsia="Arial" w:cs="Arial"/>
        <w:w w:val="116"/>
        <w:sz w:val="8"/>
        <w:szCs w:val="8"/>
      </w:rPr>
    </w:lvl>
    <w:lvl w:ilvl="1">
      <w:start w:val="1"/>
      <w:numFmt w:val="bullet"/>
      <w:lvlText w:val="•"/>
      <w:lvlJc w:val="left"/>
      <w:pPr>
        <w:ind w:left="780" w:hanging="104"/>
      </w:pPr>
      <w:rPr>
        <w:rFonts w:hint="default"/>
      </w:rPr>
    </w:lvl>
    <w:lvl w:ilvl="2">
      <w:start w:val="1"/>
      <w:numFmt w:val="bullet"/>
      <w:lvlText w:val="•"/>
      <w:lvlJc w:val="left"/>
      <w:pPr>
        <w:ind w:left="1053" w:hanging="104"/>
      </w:pPr>
      <w:rPr>
        <w:rFonts w:hint="default"/>
      </w:rPr>
    </w:lvl>
    <w:lvl w:ilvl="3">
      <w:start w:val="1"/>
      <w:numFmt w:val="bullet"/>
      <w:lvlText w:val="•"/>
      <w:lvlJc w:val="left"/>
      <w:pPr>
        <w:ind w:left="1326" w:hanging="104"/>
      </w:pPr>
      <w:rPr>
        <w:rFonts w:hint="default"/>
      </w:rPr>
    </w:lvl>
    <w:lvl w:ilvl="4">
      <w:start w:val="1"/>
      <w:numFmt w:val="bullet"/>
      <w:lvlText w:val="•"/>
      <w:lvlJc w:val="left"/>
      <w:pPr>
        <w:ind w:left="1599" w:hanging="104"/>
      </w:pPr>
      <w:rPr>
        <w:rFonts w:hint="default"/>
      </w:rPr>
    </w:lvl>
    <w:lvl w:ilvl="5">
      <w:start w:val="1"/>
      <w:numFmt w:val="bullet"/>
      <w:lvlText w:val="•"/>
      <w:lvlJc w:val="left"/>
      <w:pPr>
        <w:ind w:left="1872" w:hanging="104"/>
      </w:pPr>
      <w:rPr>
        <w:rFonts w:hint="default"/>
      </w:rPr>
    </w:lvl>
    <w:lvl w:ilvl="6">
      <w:start w:val="1"/>
      <w:numFmt w:val="bullet"/>
      <w:lvlText w:val="•"/>
      <w:lvlJc w:val="left"/>
      <w:pPr>
        <w:ind w:left="2145" w:hanging="104"/>
      </w:pPr>
      <w:rPr>
        <w:rFonts w:hint="default"/>
      </w:rPr>
    </w:lvl>
    <w:lvl w:ilvl="7">
      <w:start w:val="1"/>
      <w:numFmt w:val="bullet"/>
      <w:lvlText w:val="•"/>
      <w:lvlJc w:val="left"/>
      <w:pPr>
        <w:ind w:left="2418" w:hanging="104"/>
      </w:pPr>
      <w:rPr>
        <w:rFonts w:hint="default"/>
      </w:rPr>
    </w:lvl>
    <w:lvl w:ilvl="8">
      <w:start w:val="1"/>
      <w:numFmt w:val="bullet"/>
      <w:lvlText w:val="•"/>
      <w:lvlJc w:val="left"/>
      <w:pPr>
        <w:ind w:left="2691" w:hanging="104"/>
      </w:pPr>
      <w:rPr>
        <w:rFonts w:hint="default"/>
      </w:rPr>
    </w:lvl>
  </w:abstractNum>
  <w:abstractNum w:abstractNumId="26">
    <w:multiLevelType w:val="hybridMultilevel"/>
    <w:lvl w:ilvl="0">
      <w:start w:val="1"/>
      <w:numFmt w:val="decimal"/>
      <w:lvlText w:val="%1)"/>
      <w:lvlJc w:val="left"/>
      <w:pPr>
        <w:ind w:left="58" w:hanging="85"/>
        <w:jc w:val="left"/>
      </w:pPr>
      <w:rPr>
        <w:rFonts w:hint="default" w:ascii="Arial" w:hAnsi="Arial" w:eastAsia="Arial" w:cs="Arial"/>
        <w:spacing w:val="-1"/>
        <w:w w:val="116"/>
        <w:sz w:val="8"/>
        <w:szCs w:val="8"/>
      </w:rPr>
    </w:lvl>
    <w:lvl w:ilvl="1">
      <w:start w:val="1"/>
      <w:numFmt w:val="bullet"/>
      <w:lvlText w:val="•"/>
      <w:lvlJc w:val="left"/>
      <w:pPr>
        <w:ind w:left="377" w:hanging="85"/>
      </w:pPr>
      <w:rPr>
        <w:rFonts w:hint="default"/>
      </w:rPr>
    </w:lvl>
    <w:lvl w:ilvl="2">
      <w:start w:val="1"/>
      <w:numFmt w:val="bullet"/>
      <w:lvlText w:val="•"/>
      <w:lvlJc w:val="left"/>
      <w:pPr>
        <w:ind w:left="695" w:hanging="85"/>
      </w:pPr>
      <w:rPr>
        <w:rFonts w:hint="default"/>
      </w:rPr>
    </w:lvl>
    <w:lvl w:ilvl="3">
      <w:start w:val="1"/>
      <w:numFmt w:val="bullet"/>
      <w:lvlText w:val="•"/>
      <w:lvlJc w:val="left"/>
      <w:pPr>
        <w:ind w:left="1013" w:hanging="85"/>
      </w:pPr>
      <w:rPr>
        <w:rFonts w:hint="default"/>
      </w:rPr>
    </w:lvl>
    <w:lvl w:ilvl="4">
      <w:start w:val="1"/>
      <w:numFmt w:val="bullet"/>
      <w:lvlText w:val="•"/>
      <w:lvlJc w:val="left"/>
      <w:pPr>
        <w:ind w:left="1331" w:hanging="85"/>
      </w:pPr>
      <w:rPr>
        <w:rFonts w:hint="default"/>
      </w:rPr>
    </w:lvl>
    <w:lvl w:ilvl="5">
      <w:start w:val="1"/>
      <w:numFmt w:val="bullet"/>
      <w:lvlText w:val="•"/>
      <w:lvlJc w:val="left"/>
      <w:pPr>
        <w:ind w:left="1649" w:hanging="85"/>
      </w:pPr>
      <w:rPr>
        <w:rFonts w:hint="default"/>
      </w:rPr>
    </w:lvl>
    <w:lvl w:ilvl="6">
      <w:start w:val="1"/>
      <w:numFmt w:val="bullet"/>
      <w:lvlText w:val="•"/>
      <w:lvlJc w:val="left"/>
      <w:pPr>
        <w:ind w:left="1966" w:hanging="85"/>
      </w:pPr>
      <w:rPr>
        <w:rFonts w:hint="default"/>
      </w:rPr>
    </w:lvl>
    <w:lvl w:ilvl="7">
      <w:start w:val="1"/>
      <w:numFmt w:val="bullet"/>
      <w:lvlText w:val="•"/>
      <w:lvlJc w:val="left"/>
      <w:pPr>
        <w:ind w:left="2284" w:hanging="85"/>
      </w:pPr>
      <w:rPr>
        <w:rFonts w:hint="default"/>
      </w:rPr>
    </w:lvl>
    <w:lvl w:ilvl="8">
      <w:start w:val="1"/>
      <w:numFmt w:val="bullet"/>
      <w:lvlText w:val="•"/>
      <w:lvlJc w:val="left"/>
      <w:pPr>
        <w:ind w:left="2602" w:hanging="85"/>
      </w:pPr>
      <w:rPr>
        <w:rFonts w:hint="default"/>
      </w:rPr>
    </w:lvl>
  </w:abstractNum>
  <w:abstractNum w:abstractNumId="25">
    <w:multiLevelType w:val="hybridMultilevel"/>
    <w:lvl w:ilvl="0">
      <w:start w:val="10"/>
      <w:numFmt w:val="decimal"/>
      <w:lvlText w:val="%1."/>
      <w:lvlJc w:val="left"/>
      <w:pPr>
        <w:ind w:left="3879" w:hanging="135"/>
        <w:jc w:val="left"/>
      </w:pPr>
      <w:rPr>
        <w:rFonts w:hint="default" w:ascii="Arial" w:hAnsi="Arial" w:eastAsia="Arial" w:cs="Arial"/>
        <w:spacing w:val="-1"/>
        <w:w w:val="116"/>
        <w:sz w:val="8"/>
        <w:szCs w:val="8"/>
      </w:rPr>
    </w:lvl>
    <w:lvl w:ilvl="1">
      <w:start w:val="1"/>
      <w:numFmt w:val="bullet"/>
      <w:lvlText w:val="•"/>
      <w:lvlJc w:val="left"/>
      <w:pPr>
        <w:ind w:left="4416" w:hanging="135"/>
      </w:pPr>
      <w:rPr>
        <w:rFonts w:hint="default"/>
      </w:rPr>
    </w:lvl>
    <w:lvl w:ilvl="2">
      <w:start w:val="1"/>
      <w:numFmt w:val="bullet"/>
      <w:lvlText w:val="•"/>
      <w:lvlJc w:val="left"/>
      <w:pPr>
        <w:ind w:left="4953" w:hanging="135"/>
      </w:pPr>
      <w:rPr>
        <w:rFonts w:hint="default"/>
      </w:rPr>
    </w:lvl>
    <w:lvl w:ilvl="3">
      <w:start w:val="1"/>
      <w:numFmt w:val="bullet"/>
      <w:lvlText w:val="•"/>
      <w:lvlJc w:val="left"/>
      <w:pPr>
        <w:ind w:left="5490" w:hanging="135"/>
      </w:pPr>
      <w:rPr>
        <w:rFonts w:hint="default"/>
      </w:rPr>
    </w:lvl>
    <w:lvl w:ilvl="4">
      <w:start w:val="1"/>
      <w:numFmt w:val="bullet"/>
      <w:lvlText w:val="•"/>
      <w:lvlJc w:val="left"/>
      <w:pPr>
        <w:ind w:left="6027" w:hanging="135"/>
      </w:pPr>
      <w:rPr>
        <w:rFonts w:hint="default"/>
      </w:rPr>
    </w:lvl>
    <w:lvl w:ilvl="5">
      <w:start w:val="1"/>
      <w:numFmt w:val="bullet"/>
      <w:lvlText w:val="•"/>
      <w:lvlJc w:val="left"/>
      <w:pPr>
        <w:ind w:left="6564" w:hanging="135"/>
      </w:pPr>
      <w:rPr>
        <w:rFonts w:hint="default"/>
      </w:rPr>
    </w:lvl>
    <w:lvl w:ilvl="6">
      <w:start w:val="1"/>
      <w:numFmt w:val="bullet"/>
      <w:lvlText w:val="•"/>
      <w:lvlJc w:val="left"/>
      <w:pPr>
        <w:ind w:left="7101" w:hanging="135"/>
      </w:pPr>
      <w:rPr>
        <w:rFonts w:hint="default"/>
      </w:rPr>
    </w:lvl>
    <w:lvl w:ilvl="7">
      <w:start w:val="1"/>
      <w:numFmt w:val="bullet"/>
      <w:lvlText w:val="•"/>
      <w:lvlJc w:val="left"/>
      <w:pPr>
        <w:ind w:left="7638" w:hanging="135"/>
      </w:pPr>
      <w:rPr>
        <w:rFonts w:hint="default"/>
      </w:rPr>
    </w:lvl>
    <w:lvl w:ilvl="8">
      <w:start w:val="1"/>
      <w:numFmt w:val="bullet"/>
      <w:lvlText w:val="•"/>
      <w:lvlJc w:val="left"/>
      <w:pPr>
        <w:ind w:left="8175" w:hanging="135"/>
      </w:pPr>
      <w:rPr>
        <w:rFonts w:hint="default"/>
      </w:rPr>
    </w:lvl>
  </w:abstractNum>
  <w:abstractNum w:abstractNumId="24">
    <w:multiLevelType w:val="hybridMultilevel"/>
    <w:lvl w:ilvl="0">
      <w:start w:val="6"/>
      <w:numFmt w:val="decimal"/>
      <w:lvlText w:val="%1."/>
      <w:lvlJc w:val="left"/>
      <w:pPr>
        <w:ind w:left="3745" w:hanging="83"/>
        <w:jc w:val="left"/>
      </w:pPr>
      <w:rPr>
        <w:rFonts w:hint="default" w:ascii="Arial" w:hAnsi="Arial" w:eastAsia="Arial" w:cs="Arial"/>
        <w:spacing w:val="-1"/>
        <w:w w:val="116"/>
        <w:sz w:val="8"/>
        <w:szCs w:val="8"/>
      </w:rPr>
    </w:lvl>
    <w:lvl w:ilvl="1">
      <w:start w:val="1"/>
      <w:numFmt w:val="bullet"/>
      <w:lvlText w:val="•"/>
      <w:lvlJc w:val="left"/>
      <w:pPr>
        <w:ind w:left="4290" w:hanging="83"/>
      </w:pPr>
      <w:rPr>
        <w:rFonts w:hint="default"/>
      </w:rPr>
    </w:lvl>
    <w:lvl w:ilvl="2">
      <w:start w:val="1"/>
      <w:numFmt w:val="bullet"/>
      <w:lvlText w:val="•"/>
      <w:lvlJc w:val="left"/>
      <w:pPr>
        <w:ind w:left="4841" w:hanging="83"/>
      </w:pPr>
      <w:rPr>
        <w:rFonts w:hint="default"/>
      </w:rPr>
    </w:lvl>
    <w:lvl w:ilvl="3">
      <w:start w:val="1"/>
      <w:numFmt w:val="bullet"/>
      <w:lvlText w:val="•"/>
      <w:lvlJc w:val="left"/>
      <w:pPr>
        <w:ind w:left="5392" w:hanging="83"/>
      </w:pPr>
      <w:rPr>
        <w:rFonts w:hint="default"/>
      </w:rPr>
    </w:lvl>
    <w:lvl w:ilvl="4">
      <w:start w:val="1"/>
      <w:numFmt w:val="bullet"/>
      <w:lvlText w:val="•"/>
      <w:lvlJc w:val="left"/>
      <w:pPr>
        <w:ind w:left="5943" w:hanging="83"/>
      </w:pPr>
      <w:rPr>
        <w:rFonts w:hint="default"/>
      </w:rPr>
    </w:lvl>
    <w:lvl w:ilvl="5">
      <w:start w:val="1"/>
      <w:numFmt w:val="bullet"/>
      <w:lvlText w:val="•"/>
      <w:lvlJc w:val="left"/>
      <w:pPr>
        <w:ind w:left="6494" w:hanging="83"/>
      </w:pPr>
      <w:rPr>
        <w:rFonts w:hint="default"/>
      </w:rPr>
    </w:lvl>
    <w:lvl w:ilvl="6">
      <w:start w:val="1"/>
      <w:numFmt w:val="bullet"/>
      <w:lvlText w:val="•"/>
      <w:lvlJc w:val="left"/>
      <w:pPr>
        <w:ind w:left="7045" w:hanging="83"/>
      </w:pPr>
      <w:rPr>
        <w:rFonts w:hint="default"/>
      </w:rPr>
    </w:lvl>
    <w:lvl w:ilvl="7">
      <w:start w:val="1"/>
      <w:numFmt w:val="bullet"/>
      <w:lvlText w:val="•"/>
      <w:lvlJc w:val="left"/>
      <w:pPr>
        <w:ind w:left="7596" w:hanging="83"/>
      </w:pPr>
      <w:rPr>
        <w:rFonts w:hint="default"/>
      </w:rPr>
    </w:lvl>
    <w:lvl w:ilvl="8">
      <w:start w:val="1"/>
      <w:numFmt w:val="bullet"/>
      <w:lvlText w:val="•"/>
      <w:lvlJc w:val="left"/>
      <w:pPr>
        <w:ind w:left="8147" w:hanging="83"/>
      </w:pPr>
      <w:rPr>
        <w:rFonts w:hint="default"/>
      </w:rPr>
    </w:lvl>
  </w:abstractNum>
  <w:abstractNum w:abstractNumId="23">
    <w:multiLevelType w:val="hybridMultilevel"/>
    <w:lvl w:ilvl="0">
      <w:start w:val="7"/>
      <w:numFmt w:val="decimal"/>
      <w:lvlText w:val="(%1)"/>
      <w:lvlJc w:val="left"/>
      <w:pPr>
        <w:ind w:left="3879" w:hanging="135"/>
        <w:jc w:val="left"/>
      </w:pPr>
      <w:rPr>
        <w:rFonts w:hint="default" w:ascii="Arial" w:hAnsi="Arial" w:eastAsia="Arial" w:cs="Arial"/>
        <w:b/>
        <w:bCs/>
        <w:spacing w:val="-1"/>
        <w:w w:val="116"/>
        <w:sz w:val="8"/>
        <w:szCs w:val="8"/>
      </w:rPr>
    </w:lvl>
    <w:lvl w:ilvl="1">
      <w:start w:val="1"/>
      <w:numFmt w:val="bullet"/>
      <w:lvlText w:val="•"/>
      <w:lvlJc w:val="left"/>
      <w:pPr>
        <w:ind w:left="4416" w:hanging="135"/>
      </w:pPr>
      <w:rPr>
        <w:rFonts w:hint="default"/>
      </w:rPr>
    </w:lvl>
    <w:lvl w:ilvl="2">
      <w:start w:val="1"/>
      <w:numFmt w:val="bullet"/>
      <w:lvlText w:val="•"/>
      <w:lvlJc w:val="left"/>
      <w:pPr>
        <w:ind w:left="4953" w:hanging="135"/>
      </w:pPr>
      <w:rPr>
        <w:rFonts w:hint="default"/>
      </w:rPr>
    </w:lvl>
    <w:lvl w:ilvl="3">
      <w:start w:val="1"/>
      <w:numFmt w:val="bullet"/>
      <w:lvlText w:val="•"/>
      <w:lvlJc w:val="left"/>
      <w:pPr>
        <w:ind w:left="5490" w:hanging="135"/>
      </w:pPr>
      <w:rPr>
        <w:rFonts w:hint="default"/>
      </w:rPr>
    </w:lvl>
    <w:lvl w:ilvl="4">
      <w:start w:val="1"/>
      <w:numFmt w:val="bullet"/>
      <w:lvlText w:val="•"/>
      <w:lvlJc w:val="left"/>
      <w:pPr>
        <w:ind w:left="6027" w:hanging="135"/>
      </w:pPr>
      <w:rPr>
        <w:rFonts w:hint="default"/>
      </w:rPr>
    </w:lvl>
    <w:lvl w:ilvl="5">
      <w:start w:val="1"/>
      <w:numFmt w:val="bullet"/>
      <w:lvlText w:val="•"/>
      <w:lvlJc w:val="left"/>
      <w:pPr>
        <w:ind w:left="6564" w:hanging="135"/>
      </w:pPr>
      <w:rPr>
        <w:rFonts w:hint="default"/>
      </w:rPr>
    </w:lvl>
    <w:lvl w:ilvl="6">
      <w:start w:val="1"/>
      <w:numFmt w:val="bullet"/>
      <w:lvlText w:val="•"/>
      <w:lvlJc w:val="left"/>
      <w:pPr>
        <w:ind w:left="7101" w:hanging="135"/>
      </w:pPr>
      <w:rPr>
        <w:rFonts w:hint="default"/>
      </w:rPr>
    </w:lvl>
    <w:lvl w:ilvl="7">
      <w:start w:val="1"/>
      <w:numFmt w:val="bullet"/>
      <w:lvlText w:val="•"/>
      <w:lvlJc w:val="left"/>
      <w:pPr>
        <w:ind w:left="7638" w:hanging="135"/>
      </w:pPr>
      <w:rPr>
        <w:rFonts w:hint="default"/>
      </w:rPr>
    </w:lvl>
    <w:lvl w:ilvl="8">
      <w:start w:val="1"/>
      <w:numFmt w:val="bullet"/>
      <w:lvlText w:val="•"/>
      <w:lvlJc w:val="left"/>
      <w:pPr>
        <w:ind w:left="8175" w:hanging="135"/>
      </w:pPr>
      <w:rPr>
        <w:rFonts w:hint="default"/>
      </w:rPr>
    </w:lvl>
  </w:abstractNum>
  <w:abstractNum w:abstractNumId="21">
    <w:multiLevelType w:val="hybridMultilevel"/>
    <w:lvl w:ilvl="0">
      <w:start w:val="1"/>
      <w:numFmt w:val="decimal"/>
      <w:lvlText w:val="%1"/>
      <w:lvlJc w:val="left"/>
      <w:pPr>
        <w:ind w:left="552" w:hanging="433"/>
        <w:jc w:val="left"/>
      </w:pPr>
      <w:rPr>
        <w:rFonts w:hint="default"/>
      </w:rPr>
    </w:lvl>
    <w:lvl w:ilvl="1">
      <w:start w:val="4"/>
      <w:numFmt w:val="decimal"/>
      <w:lvlText w:val="%1.%2"/>
      <w:lvlJc w:val="left"/>
      <w:pPr>
        <w:ind w:left="552" w:hanging="433"/>
        <w:jc w:val="left"/>
      </w:pPr>
      <w:rPr>
        <w:rFonts w:hint="default" w:ascii="Arial" w:hAnsi="Arial" w:eastAsia="Arial" w:cs="Arial"/>
        <w:b/>
        <w:bCs/>
        <w:spacing w:val="-1"/>
        <w:w w:val="99"/>
        <w:sz w:val="26"/>
        <w:szCs w:val="26"/>
      </w:rPr>
    </w:lvl>
    <w:lvl w:ilvl="2">
      <w:start w:val="1"/>
      <w:numFmt w:val="lowerLetter"/>
      <w:lvlText w:val="%3)"/>
      <w:lvlJc w:val="left"/>
      <w:pPr>
        <w:ind w:left="841" w:hanging="361"/>
        <w:jc w:val="left"/>
      </w:pPr>
      <w:rPr>
        <w:rFonts w:hint="default" w:ascii="Arial" w:hAnsi="Arial" w:eastAsia="Arial" w:cs="Arial"/>
        <w:spacing w:val="-2"/>
        <w:w w:val="99"/>
        <w:sz w:val="24"/>
        <w:szCs w:val="24"/>
      </w:rPr>
    </w:lvl>
    <w:lvl w:ilvl="3">
      <w:start w:val="1"/>
      <w:numFmt w:val="bullet"/>
      <w:lvlText w:val="•"/>
      <w:lvlJc w:val="left"/>
      <w:pPr>
        <w:ind w:left="2666" w:hanging="361"/>
      </w:pPr>
      <w:rPr>
        <w:rFonts w:hint="default"/>
      </w:rPr>
    </w:lvl>
    <w:lvl w:ilvl="4">
      <w:start w:val="1"/>
      <w:numFmt w:val="bullet"/>
      <w:lvlText w:val="•"/>
      <w:lvlJc w:val="left"/>
      <w:pPr>
        <w:ind w:left="3580" w:hanging="361"/>
      </w:pPr>
      <w:rPr>
        <w:rFonts w:hint="default"/>
      </w:rPr>
    </w:lvl>
    <w:lvl w:ilvl="5">
      <w:start w:val="1"/>
      <w:numFmt w:val="bullet"/>
      <w:lvlText w:val="•"/>
      <w:lvlJc w:val="left"/>
      <w:pPr>
        <w:ind w:left="4493" w:hanging="361"/>
      </w:pPr>
      <w:rPr>
        <w:rFonts w:hint="default"/>
      </w:rPr>
    </w:lvl>
    <w:lvl w:ilvl="6">
      <w:start w:val="1"/>
      <w:numFmt w:val="bullet"/>
      <w:lvlText w:val="•"/>
      <w:lvlJc w:val="left"/>
      <w:pPr>
        <w:ind w:left="5406" w:hanging="361"/>
      </w:pPr>
      <w:rPr>
        <w:rFonts w:hint="default"/>
      </w:rPr>
    </w:lvl>
    <w:lvl w:ilvl="7">
      <w:start w:val="1"/>
      <w:numFmt w:val="bullet"/>
      <w:lvlText w:val="•"/>
      <w:lvlJc w:val="left"/>
      <w:pPr>
        <w:ind w:left="6320" w:hanging="361"/>
      </w:pPr>
      <w:rPr>
        <w:rFonts w:hint="default"/>
      </w:rPr>
    </w:lvl>
    <w:lvl w:ilvl="8">
      <w:start w:val="1"/>
      <w:numFmt w:val="bullet"/>
      <w:lvlText w:val="•"/>
      <w:lvlJc w:val="left"/>
      <w:pPr>
        <w:ind w:left="7233" w:hanging="361"/>
      </w:pPr>
      <w:rPr>
        <w:rFonts w:hint="default"/>
      </w:rPr>
    </w:lvl>
  </w:abstractNum>
  <w:abstractNum w:abstractNumId="20">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44" w:hanging="361"/>
      </w:pPr>
      <w:rPr>
        <w:rFonts w:hint="default"/>
      </w:rPr>
    </w:lvl>
    <w:lvl w:ilvl="2">
      <w:start w:val="1"/>
      <w:numFmt w:val="bullet"/>
      <w:lvlText w:val="•"/>
      <w:lvlJc w:val="left"/>
      <w:pPr>
        <w:ind w:left="2468" w:hanging="361"/>
      </w:pPr>
      <w:rPr>
        <w:rFonts w:hint="default"/>
      </w:rPr>
    </w:lvl>
    <w:lvl w:ilvl="3">
      <w:start w:val="1"/>
      <w:numFmt w:val="bullet"/>
      <w:lvlText w:val="•"/>
      <w:lvlJc w:val="left"/>
      <w:pPr>
        <w:ind w:left="3292" w:hanging="361"/>
      </w:pPr>
      <w:rPr>
        <w:rFonts w:hint="default"/>
      </w:rPr>
    </w:lvl>
    <w:lvl w:ilvl="4">
      <w:start w:val="1"/>
      <w:numFmt w:val="bullet"/>
      <w:lvlText w:val="•"/>
      <w:lvlJc w:val="left"/>
      <w:pPr>
        <w:ind w:left="4116" w:hanging="361"/>
      </w:pPr>
      <w:rPr>
        <w:rFonts w:hint="default"/>
      </w:rPr>
    </w:lvl>
    <w:lvl w:ilvl="5">
      <w:start w:val="1"/>
      <w:numFmt w:val="bullet"/>
      <w:lvlText w:val="•"/>
      <w:lvlJc w:val="left"/>
      <w:pPr>
        <w:ind w:left="4940" w:hanging="361"/>
      </w:pPr>
      <w:rPr>
        <w:rFonts w:hint="default"/>
      </w:rPr>
    </w:lvl>
    <w:lvl w:ilvl="6">
      <w:start w:val="1"/>
      <w:numFmt w:val="bullet"/>
      <w:lvlText w:val="•"/>
      <w:lvlJc w:val="left"/>
      <w:pPr>
        <w:ind w:left="5764" w:hanging="361"/>
      </w:pPr>
      <w:rPr>
        <w:rFonts w:hint="default"/>
      </w:rPr>
    </w:lvl>
    <w:lvl w:ilvl="7">
      <w:start w:val="1"/>
      <w:numFmt w:val="bullet"/>
      <w:lvlText w:val="•"/>
      <w:lvlJc w:val="left"/>
      <w:pPr>
        <w:ind w:left="6588" w:hanging="361"/>
      </w:pPr>
      <w:rPr>
        <w:rFonts w:hint="default"/>
      </w:rPr>
    </w:lvl>
    <w:lvl w:ilvl="8">
      <w:start w:val="1"/>
      <w:numFmt w:val="bullet"/>
      <w:lvlText w:val="•"/>
      <w:lvlJc w:val="left"/>
      <w:pPr>
        <w:ind w:left="7412" w:hanging="361"/>
      </w:pPr>
      <w:rPr>
        <w:rFonts w:hint="default"/>
      </w:rPr>
    </w:lvl>
  </w:abstractNum>
  <w:abstractNum w:abstractNumId="18">
    <w:multiLevelType w:val="hybridMultilevel"/>
    <w:lvl w:ilvl="0">
      <w:start w:val="1"/>
      <w:numFmt w:val="decimal"/>
      <w:lvlText w:val="%1"/>
      <w:lvlJc w:val="left"/>
      <w:pPr>
        <w:ind w:left="552" w:hanging="433"/>
        <w:jc w:val="left"/>
      </w:pPr>
      <w:rPr>
        <w:rFonts w:hint="default"/>
      </w:rPr>
    </w:lvl>
    <w:lvl w:ilvl="1">
      <w:start w:val="3"/>
      <w:numFmt w:val="decimal"/>
      <w:lvlText w:val="%1.%2"/>
      <w:lvlJc w:val="left"/>
      <w:pPr>
        <w:ind w:left="552" w:hanging="433"/>
        <w:jc w:val="left"/>
      </w:pPr>
      <w:rPr>
        <w:rFonts w:hint="default" w:ascii="Arial" w:hAnsi="Arial" w:eastAsia="Arial" w:cs="Arial"/>
        <w:b/>
        <w:bCs/>
        <w:spacing w:val="-1"/>
        <w:w w:val="99"/>
        <w:sz w:val="26"/>
        <w:szCs w:val="26"/>
      </w:rPr>
    </w:lvl>
    <w:lvl w:ilvl="2">
      <w:start w:val="1"/>
      <w:numFmt w:val="decimal"/>
      <w:lvlText w:val="%1.%2.%3"/>
      <w:lvlJc w:val="left"/>
      <w:pPr>
        <w:ind w:left="120" w:hanging="600"/>
        <w:jc w:val="left"/>
      </w:pPr>
      <w:rPr>
        <w:rFonts w:hint="default" w:ascii="Arial" w:hAnsi="Arial" w:eastAsia="Arial" w:cs="Arial"/>
        <w:b/>
        <w:bCs/>
        <w:spacing w:val="-2"/>
        <w:w w:val="99"/>
        <w:sz w:val="24"/>
        <w:szCs w:val="24"/>
      </w:rPr>
    </w:lvl>
    <w:lvl w:ilvl="3">
      <w:start w:val="1"/>
      <w:numFmt w:val="decimal"/>
      <w:lvlText w:val="%4)"/>
      <w:lvlJc w:val="left"/>
      <w:pPr>
        <w:ind w:left="841" w:hanging="361"/>
        <w:jc w:val="left"/>
      </w:pPr>
      <w:rPr>
        <w:rFonts w:hint="default" w:ascii="Arial" w:hAnsi="Arial" w:eastAsia="Arial" w:cs="Arial"/>
        <w:spacing w:val="-2"/>
        <w:w w:val="99"/>
        <w:sz w:val="24"/>
        <w:szCs w:val="24"/>
      </w:rPr>
    </w:lvl>
    <w:lvl w:ilvl="4">
      <w:start w:val="1"/>
      <w:numFmt w:val="lowerLetter"/>
      <w:lvlText w:val="%5)"/>
      <w:lvlJc w:val="left"/>
      <w:pPr>
        <w:ind w:left="841" w:hanging="361"/>
        <w:jc w:val="left"/>
      </w:pPr>
      <w:rPr>
        <w:rFonts w:hint="default" w:ascii="Arial" w:hAnsi="Arial" w:eastAsia="Arial" w:cs="Arial"/>
        <w:spacing w:val="-2"/>
        <w:w w:val="99"/>
        <w:sz w:val="24"/>
        <w:szCs w:val="24"/>
      </w:rPr>
    </w:lvl>
    <w:lvl w:ilvl="5">
      <w:start w:val="1"/>
      <w:numFmt w:val="bullet"/>
      <w:lvlText w:val="•"/>
      <w:lvlJc w:val="left"/>
      <w:pPr>
        <w:ind w:left="3922" w:hanging="361"/>
      </w:pPr>
      <w:rPr>
        <w:rFonts w:hint="default"/>
      </w:rPr>
    </w:lvl>
    <w:lvl w:ilvl="6">
      <w:start w:val="1"/>
      <w:numFmt w:val="bullet"/>
      <w:lvlText w:val="•"/>
      <w:lvlJc w:val="left"/>
      <w:pPr>
        <w:ind w:left="4950" w:hanging="361"/>
      </w:pPr>
      <w:rPr>
        <w:rFonts w:hint="default"/>
      </w:rPr>
    </w:lvl>
    <w:lvl w:ilvl="7">
      <w:start w:val="1"/>
      <w:numFmt w:val="bullet"/>
      <w:lvlText w:val="•"/>
      <w:lvlJc w:val="left"/>
      <w:pPr>
        <w:ind w:left="5977" w:hanging="361"/>
      </w:pPr>
      <w:rPr>
        <w:rFonts w:hint="default"/>
      </w:rPr>
    </w:lvl>
    <w:lvl w:ilvl="8">
      <w:start w:val="1"/>
      <w:numFmt w:val="bullet"/>
      <w:lvlText w:val="•"/>
      <w:lvlJc w:val="left"/>
      <w:pPr>
        <w:ind w:left="7005" w:hanging="361"/>
      </w:pPr>
      <w:rPr>
        <w:rFonts w:hint="default"/>
      </w:rPr>
    </w:lvl>
  </w:abstractNum>
  <w:abstractNum w:abstractNumId="16">
    <w:multiLevelType w:val="hybridMultilevel"/>
    <w:lvl w:ilvl="0">
      <w:start w:val="1"/>
      <w:numFmt w:val="decimal"/>
      <w:lvlText w:val="%1)"/>
      <w:lvlJc w:val="left"/>
      <w:pPr>
        <w:ind w:left="688" w:hanging="316"/>
        <w:jc w:val="left"/>
      </w:pPr>
      <w:rPr>
        <w:rFonts w:hint="default" w:ascii="Arial" w:hAnsi="Arial" w:eastAsia="Arial" w:cs="Arial"/>
        <w:spacing w:val="-32"/>
        <w:w w:val="99"/>
        <w:sz w:val="24"/>
        <w:szCs w:val="24"/>
      </w:rPr>
    </w:lvl>
    <w:lvl w:ilvl="1">
      <w:start w:val="1"/>
      <w:numFmt w:val="bullet"/>
      <w:lvlText w:val="•"/>
      <w:lvlJc w:val="left"/>
      <w:pPr>
        <w:ind w:left="1520" w:hanging="316"/>
      </w:pPr>
      <w:rPr>
        <w:rFonts w:hint="default"/>
      </w:rPr>
    </w:lvl>
    <w:lvl w:ilvl="2">
      <w:start w:val="1"/>
      <w:numFmt w:val="bullet"/>
      <w:lvlText w:val="•"/>
      <w:lvlJc w:val="left"/>
      <w:pPr>
        <w:ind w:left="2360" w:hanging="316"/>
      </w:pPr>
      <w:rPr>
        <w:rFonts w:hint="default"/>
      </w:rPr>
    </w:lvl>
    <w:lvl w:ilvl="3">
      <w:start w:val="1"/>
      <w:numFmt w:val="bullet"/>
      <w:lvlText w:val="•"/>
      <w:lvlJc w:val="left"/>
      <w:pPr>
        <w:ind w:left="3200" w:hanging="316"/>
      </w:pPr>
      <w:rPr>
        <w:rFonts w:hint="default"/>
      </w:rPr>
    </w:lvl>
    <w:lvl w:ilvl="4">
      <w:start w:val="1"/>
      <w:numFmt w:val="bullet"/>
      <w:lvlText w:val="•"/>
      <w:lvlJc w:val="left"/>
      <w:pPr>
        <w:ind w:left="4040" w:hanging="316"/>
      </w:pPr>
      <w:rPr>
        <w:rFonts w:hint="default"/>
      </w:rPr>
    </w:lvl>
    <w:lvl w:ilvl="5">
      <w:start w:val="1"/>
      <w:numFmt w:val="bullet"/>
      <w:lvlText w:val="•"/>
      <w:lvlJc w:val="left"/>
      <w:pPr>
        <w:ind w:left="4880" w:hanging="316"/>
      </w:pPr>
      <w:rPr>
        <w:rFonts w:hint="default"/>
      </w:rPr>
    </w:lvl>
    <w:lvl w:ilvl="6">
      <w:start w:val="1"/>
      <w:numFmt w:val="bullet"/>
      <w:lvlText w:val="•"/>
      <w:lvlJc w:val="left"/>
      <w:pPr>
        <w:ind w:left="5720" w:hanging="316"/>
      </w:pPr>
      <w:rPr>
        <w:rFonts w:hint="default"/>
      </w:rPr>
    </w:lvl>
    <w:lvl w:ilvl="7">
      <w:start w:val="1"/>
      <w:numFmt w:val="bullet"/>
      <w:lvlText w:val="•"/>
      <w:lvlJc w:val="left"/>
      <w:pPr>
        <w:ind w:left="6560" w:hanging="316"/>
      </w:pPr>
      <w:rPr>
        <w:rFonts w:hint="default"/>
      </w:rPr>
    </w:lvl>
    <w:lvl w:ilvl="8">
      <w:start w:val="1"/>
      <w:numFmt w:val="bullet"/>
      <w:lvlText w:val="•"/>
      <w:lvlJc w:val="left"/>
      <w:pPr>
        <w:ind w:left="7400" w:hanging="316"/>
      </w:pPr>
      <w:rPr>
        <w:rFonts w:hint="default"/>
      </w:rPr>
    </w:lvl>
  </w:abstractNum>
  <w:abstractNum w:abstractNumId="15">
    <w:multiLevelType w:val="hybridMultilevel"/>
    <w:lvl w:ilvl="0">
      <w:start w:val="10"/>
      <w:numFmt w:val="decimal"/>
      <w:lvlText w:val="%1)"/>
      <w:lvlJc w:val="left"/>
      <w:pPr>
        <w:ind w:left="500" w:hanging="425"/>
        <w:jc w:val="left"/>
      </w:pPr>
      <w:rPr>
        <w:rFonts w:hint="default" w:ascii="Arial" w:hAnsi="Arial" w:eastAsia="Arial" w:cs="Arial"/>
        <w:spacing w:val="-2"/>
        <w:w w:val="99"/>
        <w:sz w:val="14"/>
        <w:szCs w:val="14"/>
      </w:rPr>
    </w:lvl>
    <w:lvl w:ilvl="1">
      <w:start w:val="1"/>
      <w:numFmt w:val="bullet"/>
      <w:lvlText w:val="•"/>
      <w:lvlJc w:val="left"/>
      <w:pPr>
        <w:ind w:left="725" w:hanging="425"/>
      </w:pPr>
      <w:rPr>
        <w:rFonts w:hint="default"/>
      </w:rPr>
    </w:lvl>
    <w:lvl w:ilvl="2">
      <w:start w:val="1"/>
      <w:numFmt w:val="bullet"/>
      <w:lvlText w:val="•"/>
      <w:lvlJc w:val="left"/>
      <w:pPr>
        <w:ind w:left="950" w:hanging="425"/>
      </w:pPr>
      <w:rPr>
        <w:rFonts w:hint="default"/>
      </w:rPr>
    </w:lvl>
    <w:lvl w:ilvl="3">
      <w:start w:val="1"/>
      <w:numFmt w:val="bullet"/>
      <w:lvlText w:val="•"/>
      <w:lvlJc w:val="left"/>
      <w:pPr>
        <w:ind w:left="1175" w:hanging="425"/>
      </w:pPr>
      <w:rPr>
        <w:rFonts w:hint="default"/>
      </w:rPr>
    </w:lvl>
    <w:lvl w:ilvl="4">
      <w:start w:val="1"/>
      <w:numFmt w:val="bullet"/>
      <w:lvlText w:val="•"/>
      <w:lvlJc w:val="left"/>
      <w:pPr>
        <w:ind w:left="1401" w:hanging="425"/>
      </w:pPr>
      <w:rPr>
        <w:rFonts w:hint="default"/>
      </w:rPr>
    </w:lvl>
    <w:lvl w:ilvl="5">
      <w:start w:val="1"/>
      <w:numFmt w:val="bullet"/>
      <w:lvlText w:val="•"/>
      <w:lvlJc w:val="left"/>
      <w:pPr>
        <w:ind w:left="1626" w:hanging="425"/>
      </w:pPr>
      <w:rPr>
        <w:rFonts w:hint="default"/>
      </w:rPr>
    </w:lvl>
    <w:lvl w:ilvl="6">
      <w:start w:val="1"/>
      <w:numFmt w:val="bullet"/>
      <w:lvlText w:val="•"/>
      <w:lvlJc w:val="left"/>
      <w:pPr>
        <w:ind w:left="1851" w:hanging="425"/>
      </w:pPr>
      <w:rPr>
        <w:rFonts w:hint="default"/>
      </w:rPr>
    </w:lvl>
    <w:lvl w:ilvl="7">
      <w:start w:val="1"/>
      <w:numFmt w:val="bullet"/>
      <w:lvlText w:val="•"/>
      <w:lvlJc w:val="left"/>
      <w:pPr>
        <w:ind w:left="2076" w:hanging="425"/>
      </w:pPr>
      <w:rPr>
        <w:rFonts w:hint="default"/>
      </w:rPr>
    </w:lvl>
    <w:lvl w:ilvl="8">
      <w:start w:val="1"/>
      <w:numFmt w:val="bullet"/>
      <w:lvlText w:val="•"/>
      <w:lvlJc w:val="left"/>
      <w:pPr>
        <w:ind w:left="2302" w:hanging="425"/>
      </w:pPr>
      <w:rPr>
        <w:rFonts w:hint="default"/>
      </w:rPr>
    </w:lvl>
  </w:abstractNum>
  <w:abstractNum w:abstractNumId="14">
    <w:multiLevelType w:val="hybridMultilevel"/>
    <w:lvl w:ilvl="0">
      <w:start w:val="13"/>
      <w:numFmt w:val="decimal"/>
      <w:lvlText w:val="%1)"/>
      <w:lvlJc w:val="left"/>
      <w:pPr>
        <w:ind w:left="420" w:hanging="316"/>
        <w:jc w:val="left"/>
      </w:pPr>
      <w:rPr>
        <w:rFonts w:hint="default" w:ascii="Arial" w:hAnsi="Arial" w:eastAsia="Arial" w:cs="Arial"/>
        <w:spacing w:val="-2"/>
        <w:w w:val="99"/>
        <w:sz w:val="14"/>
        <w:szCs w:val="14"/>
      </w:rPr>
    </w:lvl>
    <w:lvl w:ilvl="1">
      <w:start w:val="1"/>
      <w:numFmt w:val="bullet"/>
      <w:lvlText w:val="•"/>
      <w:lvlJc w:val="left"/>
      <w:pPr>
        <w:ind w:left="642" w:hanging="316"/>
      </w:pPr>
      <w:rPr>
        <w:rFonts w:hint="default"/>
      </w:rPr>
    </w:lvl>
    <w:lvl w:ilvl="2">
      <w:start w:val="1"/>
      <w:numFmt w:val="bullet"/>
      <w:lvlText w:val="•"/>
      <w:lvlJc w:val="left"/>
      <w:pPr>
        <w:ind w:left="865" w:hanging="316"/>
      </w:pPr>
      <w:rPr>
        <w:rFonts w:hint="default"/>
      </w:rPr>
    </w:lvl>
    <w:lvl w:ilvl="3">
      <w:start w:val="1"/>
      <w:numFmt w:val="bullet"/>
      <w:lvlText w:val="•"/>
      <w:lvlJc w:val="left"/>
      <w:pPr>
        <w:ind w:left="1088" w:hanging="316"/>
      </w:pPr>
      <w:rPr>
        <w:rFonts w:hint="default"/>
      </w:rPr>
    </w:lvl>
    <w:lvl w:ilvl="4">
      <w:start w:val="1"/>
      <w:numFmt w:val="bullet"/>
      <w:lvlText w:val="•"/>
      <w:lvlJc w:val="left"/>
      <w:pPr>
        <w:ind w:left="1311" w:hanging="316"/>
      </w:pPr>
      <w:rPr>
        <w:rFonts w:hint="default"/>
      </w:rPr>
    </w:lvl>
    <w:lvl w:ilvl="5">
      <w:start w:val="1"/>
      <w:numFmt w:val="bullet"/>
      <w:lvlText w:val="•"/>
      <w:lvlJc w:val="left"/>
      <w:pPr>
        <w:ind w:left="1534" w:hanging="316"/>
      </w:pPr>
      <w:rPr>
        <w:rFonts w:hint="default"/>
      </w:rPr>
    </w:lvl>
    <w:lvl w:ilvl="6">
      <w:start w:val="1"/>
      <w:numFmt w:val="bullet"/>
      <w:lvlText w:val="•"/>
      <w:lvlJc w:val="left"/>
      <w:pPr>
        <w:ind w:left="1757" w:hanging="316"/>
      </w:pPr>
      <w:rPr>
        <w:rFonts w:hint="default"/>
      </w:rPr>
    </w:lvl>
    <w:lvl w:ilvl="7">
      <w:start w:val="1"/>
      <w:numFmt w:val="bullet"/>
      <w:lvlText w:val="•"/>
      <w:lvlJc w:val="left"/>
      <w:pPr>
        <w:ind w:left="1980" w:hanging="316"/>
      </w:pPr>
      <w:rPr>
        <w:rFonts w:hint="default"/>
      </w:rPr>
    </w:lvl>
    <w:lvl w:ilvl="8">
      <w:start w:val="1"/>
      <w:numFmt w:val="bullet"/>
      <w:lvlText w:val="•"/>
      <w:lvlJc w:val="left"/>
      <w:pPr>
        <w:ind w:left="2202" w:hanging="316"/>
      </w:pPr>
      <w:rPr>
        <w:rFonts w:hint="default"/>
      </w:rPr>
    </w:lvl>
  </w:abstractNum>
  <w:abstractNum w:abstractNumId="13">
    <w:multiLevelType w:val="hybridMultilevel"/>
    <w:lvl w:ilvl="0">
      <w:start w:val="4"/>
      <w:numFmt w:val="decimal"/>
      <w:lvlText w:val="%1)"/>
      <w:lvlJc w:val="left"/>
      <w:pPr>
        <w:ind w:left="352" w:hanging="248"/>
        <w:jc w:val="left"/>
      </w:pPr>
      <w:rPr>
        <w:rFonts w:hint="default" w:ascii="Arial" w:hAnsi="Arial" w:eastAsia="Arial" w:cs="Arial"/>
        <w:spacing w:val="-2"/>
        <w:w w:val="99"/>
        <w:sz w:val="14"/>
        <w:szCs w:val="14"/>
      </w:rPr>
    </w:lvl>
    <w:lvl w:ilvl="1">
      <w:start w:val="1"/>
      <w:numFmt w:val="bullet"/>
      <w:lvlText w:val="•"/>
      <w:lvlJc w:val="left"/>
      <w:pPr>
        <w:ind w:left="542" w:hanging="248"/>
      </w:pPr>
      <w:rPr>
        <w:rFonts w:hint="default"/>
      </w:rPr>
    </w:lvl>
    <w:lvl w:ilvl="2">
      <w:start w:val="1"/>
      <w:numFmt w:val="bullet"/>
      <w:lvlText w:val="•"/>
      <w:lvlJc w:val="left"/>
      <w:pPr>
        <w:ind w:left="725" w:hanging="248"/>
      </w:pPr>
      <w:rPr>
        <w:rFonts w:hint="default"/>
      </w:rPr>
    </w:lvl>
    <w:lvl w:ilvl="3">
      <w:start w:val="1"/>
      <w:numFmt w:val="bullet"/>
      <w:lvlText w:val="•"/>
      <w:lvlJc w:val="left"/>
      <w:pPr>
        <w:ind w:left="908" w:hanging="248"/>
      </w:pPr>
      <w:rPr>
        <w:rFonts w:hint="default"/>
      </w:rPr>
    </w:lvl>
    <w:lvl w:ilvl="4">
      <w:start w:val="1"/>
      <w:numFmt w:val="bullet"/>
      <w:lvlText w:val="•"/>
      <w:lvlJc w:val="left"/>
      <w:pPr>
        <w:ind w:left="1091" w:hanging="248"/>
      </w:pPr>
      <w:rPr>
        <w:rFonts w:hint="default"/>
      </w:rPr>
    </w:lvl>
    <w:lvl w:ilvl="5">
      <w:start w:val="1"/>
      <w:numFmt w:val="bullet"/>
      <w:lvlText w:val="•"/>
      <w:lvlJc w:val="left"/>
      <w:pPr>
        <w:ind w:left="1274" w:hanging="248"/>
      </w:pPr>
      <w:rPr>
        <w:rFonts w:hint="default"/>
      </w:rPr>
    </w:lvl>
    <w:lvl w:ilvl="6">
      <w:start w:val="1"/>
      <w:numFmt w:val="bullet"/>
      <w:lvlText w:val="•"/>
      <w:lvlJc w:val="left"/>
      <w:pPr>
        <w:ind w:left="1457" w:hanging="248"/>
      </w:pPr>
      <w:rPr>
        <w:rFonts w:hint="default"/>
      </w:rPr>
    </w:lvl>
    <w:lvl w:ilvl="7">
      <w:start w:val="1"/>
      <w:numFmt w:val="bullet"/>
      <w:lvlText w:val="•"/>
      <w:lvlJc w:val="left"/>
      <w:pPr>
        <w:ind w:left="1640" w:hanging="248"/>
      </w:pPr>
      <w:rPr>
        <w:rFonts w:hint="default"/>
      </w:rPr>
    </w:lvl>
    <w:lvl w:ilvl="8">
      <w:start w:val="1"/>
      <w:numFmt w:val="bullet"/>
      <w:lvlText w:val="•"/>
      <w:lvlJc w:val="left"/>
      <w:pPr>
        <w:ind w:left="1822" w:hanging="248"/>
      </w:pPr>
      <w:rPr>
        <w:rFonts w:hint="default"/>
      </w:rPr>
    </w:lvl>
  </w:abstractNum>
  <w:abstractNum w:abstractNumId="12">
    <w:multiLevelType w:val="hybridMultilevel"/>
    <w:lvl w:ilvl="0">
      <w:start w:val="5"/>
      <w:numFmt w:val="decimal"/>
      <w:lvlText w:val="%1)"/>
      <w:lvlJc w:val="left"/>
      <w:pPr>
        <w:ind w:left="396" w:hanging="285"/>
        <w:jc w:val="left"/>
      </w:pPr>
      <w:rPr>
        <w:rFonts w:hint="default" w:ascii="Arial" w:hAnsi="Arial" w:eastAsia="Arial" w:cs="Arial"/>
        <w:spacing w:val="-2"/>
        <w:w w:val="99"/>
        <w:sz w:val="14"/>
        <w:szCs w:val="14"/>
      </w:rPr>
    </w:lvl>
    <w:lvl w:ilvl="1">
      <w:start w:val="1"/>
      <w:numFmt w:val="bullet"/>
      <w:lvlText w:val="•"/>
      <w:lvlJc w:val="left"/>
      <w:pPr>
        <w:ind w:left="635" w:hanging="285"/>
      </w:pPr>
      <w:rPr>
        <w:rFonts w:hint="default"/>
      </w:rPr>
    </w:lvl>
    <w:lvl w:ilvl="2">
      <w:start w:val="1"/>
      <w:numFmt w:val="bullet"/>
      <w:lvlText w:val="•"/>
      <w:lvlJc w:val="left"/>
      <w:pPr>
        <w:ind w:left="870" w:hanging="285"/>
      </w:pPr>
      <w:rPr>
        <w:rFonts w:hint="default"/>
      </w:rPr>
    </w:lvl>
    <w:lvl w:ilvl="3">
      <w:start w:val="1"/>
      <w:numFmt w:val="bullet"/>
      <w:lvlText w:val="•"/>
      <w:lvlJc w:val="left"/>
      <w:pPr>
        <w:ind w:left="1105" w:hanging="285"/>
      </w:pPr>
      <w:rPr>
        <w:rFonts w:hint="default"/>
      </w:rPr>
    </w:lvl>
    <w:lvl w:ilvl="4">
      <w:start w:val="1"/>
      <w:numFmt w:val="bullet"/>
      <w:lvlText w:val="•"/>
      <w:lvlJc w:val="left"/>
      <w:pPr>
        <w:ind w:left="1341" w:hanging="285"/>
      </w:pPr>
      <w:rPr>
        <w:rFonts w:hint="default"/>
      </w:rPr>
    </w:lvl>
    <w:lvl w:ilvl="5">
      <w:start w:val="1"/>
      <w:numFmt w:val="bullet"/>
      <w:lvlText w:val="•"/>
      <w:lvlJc w:val="left"/>
      <w:pPr>
        <w:ind w:left="1576" w:hanging="285"/>
      </w:pPr>
      <w:rPr>
        <w:rFonts w:hint="default"/>
      </w:rPr>
    </w:lvl>
    <w:lvl w:ilvl="6">
      <w:start w:val="1"/>
      <w:numFmt w:val="bullet"/>
      <w:lvlText w:val="•"/>
      <w:lvlJc w:val="left"/>
      <w:pPr>
        <w:ind w:left="1811" w:hanging="285"/>
      </w:pPr>
      <w:rPr>
        <w:rFonts w:hint="default"/>
      </w:rPr>
    </w:lvl>
    <w:lvl w:ilvl="7">
      <w:start w:val="1"/>
      <w:numFmt w:val="bullet"/>
      <w:lvlText w:val="•"/>
      <w:lvlJc w:val="left"/>
      <w:pPr>
        <w:ind w:left="2046" w:hanging="285"/>
      </w:pPr>
      <w:rPr>
        <w:rFonts w:hint="default"/>
      </w:rPr>
    </w:lvl>
    <w:lvl w:ilvl="8">
      <w:start w:val="1"/>
      <w:numFmt w:val="bullet"/>
      <w:lvlText w:val="•"/>
      <w:lvlJc w:val="left"/>
      <w:pPr>
        <w:ind w:left="2282" w:hanging="285"/>
      </w:pPr>
      <w:rPr>
        <w:rFonts w:hint="default"/>
      </w:rPr>
    </w:lvl>
  </w:abstractNum>
  <w:abstractNum w:abstractNumId="11">
    <w:multiLevelType w:val="hybridMultilevel"/>
    <w:lvl w:ilvl="0">
      <w:start w:val="4"/>
      <w:numFmt w:val="decimal"/>
      <w:lvlText w:val="%1)"/>
      <w:lvlJc w:val="left"/>
      <w:pPr>
        <w:ind w:left="420" w:hanging="316"/>
        <w:jc w:val="left"/>
      </w:pPr>
      <w:rPr>
        <w:rFonts w:hint="default" w:ascii="Arial" w:hAnsi="Arial" w:eastAsia="Arial" w:cs="Arial"/>
        <w:spacing w:val="-2"/>
        <w:w w:val="99"/>
        <w:sz w:val="14"/>
        <w:szCs w:val="14"/>
      </w:rPr>
    </w:lvl>
    <w:lvl w:ilvl="1">
      <w:start w:val="1"/>
      <w:numFmt w:val="bullet"/>
      <w:lvlText w:val="•"/>
      <w:lvlJc w:val="left"/>
      <w:pPr>
        <w:ind w:left="642" w:hanging="316"/>
      </w:pPr>
      <w:rPr>
        <w:rFonts w:hint="default"/>
      </w:rPr>
    </w:lvl>
    <w:lvl w:ilvl="2">
      <w:start w:val="1"/>
      <w:numFmt w:val="bullet"/>
      <w:lvlText w:val="•"/>
      <w:lvlJc w:val="left"/>
      <w:pPr>
        <w:ind w:left="865" w:hanging="316"/>
      </w:pPr>
      <w:rPr>
        <w:rFonts w:hint="default"/>
      </w:rPr>
    </w:lvl>
    <w:lvl w:ilvl="3">
      <w:start w:val="1"/>
      <w:numFmt w:val="bullet"/>
      <w:lvlText w:val="•"/>
      <w:lvlJc w:val="left"/>
      <w:pPr>
        <w:ind w:left="1088" w:hanging="316"/>
      </w:pPr>
      <w:rPr>
        <w:rFonts w:hint="default"/>
      </w:rPr>
    </w:lvl>
    <w:lvl w:ilvl="4">
      <w:start w:val="1"/>
      <w:numFmt w:val="bullet"/>
      <w:lvlText w:val="•"/>
      <w:lvlJc w:val="left"/>
      <w:pPr>
        <w:ind w:left="1311" w:hanging="316"/>
      </w:pPr>
      <w:rPr>
        <w:rFonts w:hint="default"/>
      </w:rPr>
    </w:lvl>
    <w:lvl w:ilvl="5">
      <w:start w:val="1"/>
      <w:numFmt w:val="bullet"/>
      <w:lvlText w:val="•"/>
      <w:lvlJc w:val="left"/>
      <w:pPr>
        <w:ind w:left="1534" w:hanging="316"/>
      </w:pPr>
      <w:rPr>
        <w:rFonts w:hint="default"/>
      </w:rPr>
    </w:lvl>
    <w:lvl w:ilvl="6">
      <w:start w:val="1"/>
      <w:numFmt w:val="bullet"/>
      <w:lvlText w:val="•"/>
      <w:lvlJc w:val="left"/>
      <w:pPr>
        <w:ind w:left="1757" w:hanging="316"/>
      </w:pPr>
      <w:rPr>
        <w:rFonts w:hint="default"/>
      </w:rPr>
    </w:lvl>
    <w:lvl w:ilvl="7">
      <w:start w:val="1"/>
      <w:numFmt w:val="bullet"/>
      <w:lvlText w:val="•"/>
      <w:lvlJc w:val="left"/>
      <w:pPr>
        <w:ind w:left="1980" w:hanging="316"/>
      </w:pPr>
      <w:rPr>
        <w:rFonts w:hint="default"/>
      </w:rPr>
    </w:lvl>
    <w:lvl w:ilvl="8">
      <w:start w:val="1"/>
      <w:numFmt w:val="bullet"/>
      <w:lvlText w:val="•"/>
      <w:lvlJc w:val="left"/>
      <w:pPr>
        <w:ind w:left="2202" w:hanging="316"/>
      </w:pPr>
      <w:rPr>
        <w:rFonts w:hint="default"/>
      </w:rPr>
    </w:lvl>
  </w:abstractNum>
  <w:abstractNum w:abstractNumId="10">
    <w:multiLevelType w:val="hybridMultilevel"/>
    <w:lvl w:ilvl="0">
      <w:start w:val="1"/>
      <w:numFmt w:val="decimal"/>
      <w:lvlText w:val="%1)"/>
      <w:lvlJc w:val="left"/>
      <w:pPr>
        <w:ind w:left="352" w:hanging="280"/>
        <w:jc w:val="left"/>
      </w:pPr>
      <w:rPr>
        <w:rFonts w:hint="default" w:ascii="Arial" w:hAnsi="Arial" w:eastAsia="Arial" w:cs="Arial"/>
        <w:spacing w:val="-2"/>
        <w:w w:val="99"/>
        <w:sz w:val="14"/>
        <w:szCs w:val="14"/>
      </w:rPr>
    </w:lvl>
    <w:lvl w:ilvl="1">
      <w:start w:val="1"/>
      <w:numFmt w:val="bullet"/>
      <w:lvlText w:val="•"/>
      <w:lvlJc w:val="left"/>
      <w:pPr>
        <w:ind w:left="542" w:hanging="280"/>
      </w:pPr>
      <w:rPr>
        <w:rFonts w:hint="default"/>
      </w:rPr>
    </w:lvl>
    <w:lvl w:ilvl="2">
      <w:start w:val="1"/>
      <w:numFmt w:val="bullet"/>
      <w:lvlText w:val="•"/>
      <w:lvlJc w:val="left"/>
      <w:pPr>
        <w:ind w:left="725" w:hanging="280"/>
      </w:pPr>
      <w:rPr>
        <w:rFonts w:hint="default"/>
      </w:rPr>
    </w:lvl>
    <w:lvl w:ilvl="3">
      <w:start w:val="1"/>
      <w:numFmt w:val="bullet"/>
      <w:lvlText w:val="•"/>
      <w:lvlJc w:val="left"/>
      <w:pPr>
        <w:ind w:left="908" w:hanging="280"/>
      </w:pPr>
      <w:rPr>
        <w:rFonts w:hint="default"/>
      </w:rPr>
    </w:lvl>
    <w:lvl w:ilvl="4">
      <w:start w:val="1"/>
      <w:numFmt w:val="bullet"/>
      <w:lvlText w:val="•"/>
      <w:lvlJc w:val="left"/>
      <w:pPr>
        <w:ind w:left="1091" w:hanging="280"/>
      </w:pPr>
      <w:rPr>
        <w:rFonts w:hint="default"/>
      </w:rPr>
    </w:lvl>
    <w:lvl w:ilvl="5">
      <w:start w:val="1"/>
      <w:numFmt w:val="bullet"/>
      <w:lvlText w:val="•"/>
      <w:lvlJc w:val="left"/>
      <w:pPr>
        <w:ind w:left="1274" w:hanging="280"/>
      </w:pPr>
      <w:rPr>
        <w:rFonts w:hint="default"/>
      </w:rPr>
    </w:lvl>
    <w:lvl w:ilvl="6">
      <w:start w:val="1"/>
      <w:numFmt w:val="bullet"/>
      <w:lvlText w:val="•"/>
      <w:lvlJc w:val="left"/>
      <w:pPr>
        <w:ind w:left="1457" w:hanging="280"/>
      </w:pPr>
      <w:rPr>
        <w:rFonts w:hint="default"/>
      </w:rPr>
    </w:lvl>
    <w:lvl w:ilvl="7">
      <w:start w:val="1"/>
      <w:numFmt w:val="bullet"/>
      <w:lvlText w:val="•"/>
      <w:lvlJc w:val="left"/>
      <w:pPr>
        <w:ind w:left="1640" w:hanging="280"/>
      </w:pPr>
      <w:rPr>
        <w:rFonts w:hint="default"/>
      </w:rPr>
    </w:lvl>
    <w:lvl w:ilvl="8">
      <w:start w:val="1"/>
      <w:numFmt w:val="bullet"/>
      <w:lvlText w:val="•"/>
      <w:lvlJc w:val="left"/>
      <w:pPr>
        <w:ind w:left="1822" w:hanging="280"/>
      </w:pPr>
      <w:rPr>
        <w:rFonts w:hint="default"/>
      </w:rPr>
    </w:lvl>
  </w:abstractNum>
  <w:abstractNum w:abstractNumId="9">
    <w:multiLevelType w:val="hybridMultilevel"/>
    <w:lvl w:ilvl="0">
      <w:start w:val="1"/>
      <w:numFmt w:val="decimal"/>
      <w:lvlText w:val="%1)"/>
      <w:lvlJc w:val="left"/>
      <w:pPr>
        <w:ind w:left="396" w:hanging="293"/>
        <w:jc w:val="left"/>
      </w:pPr>
      <w:rPr>
        <w:rFonts w:hint="default" w:ascii="Arial" w:hAnsi="Arial" w:eastAsia="Arial" w:cs="Arial"/>
        <w:spacing w:val="-2"/>
        <w:w w:val="99"/>
        <w:sz w:val="14"/>
        <w:szCs w:val="14"/>
      </w:rPr>
    </w:lvl>
    <w:lvl w:ilvl="1">
      <w:start w:val="1"/>
      <w:numFmt w:val="bullet"/>
      <w:lvlText w:val="•"/>
      <w:lvlJc w:val="left"/>
      <w:pPr>
        <w:ind w:left="635" w:hanging="293"/>
      </w:pPr>
      <w:rPr>
        <w:rFonts w:hint="default"/>
      </w:rPr>
    </w:lvl>
    <w:lvl w:ilvl="2">
      <w:start w:val="1"/>
      <w:numFmt w:val="bullet"/>
      <w:lvlText w:val="•"/>
      <w:lvlJc w:val="left"/>
      <w:pPr>
        <w:ind w:left="870" w:hanging="293"/>
      </w:pPr>
      <w:rPr>
        <w:rFonts w:hint="default"/>
      </w:rPr>
    </w:lvl>
    <w:lvl w:ilvl="3">
      <w:start w:val="1"/>
      <w:numFmt w:val="bullet"/>
      <w:lvlText w:val="•"/>
      <w:lvlJc w:val="left"/>
      <w:pPr>
        <w:ind w:left="1105" w:hanging="293"/>
      </w:pPr>
      <w:rPr>
        <w:rFonts w:hint="default"/>
      </w:rPr>
    </w:lvl>
    <w:lvl w:ilvl="4">
      <w:start w:val="1"/>
      <w:numFmt w:val="bullet"/>
      <w:lvlText w:val="•"/>
      <w:lvlJc w:val="left"/>
      <w:pPr>
        <w:ind w:left="1341" w:hanging="293"/>
      </w:pPr>
      <w:rPr>
        <w:rFonts w:hint="default"/>
      </w:rPr>
    </w:lvl>
    <w:lvl w:ilvl="5">
      <w:start w:val="1"/>
      <w:numFmt w:val="bullet"/>
      <w:lvlText w:val="•"/>
      <w:lvlJc w:val="left"/>
      <w:pPr>
        <w:ind w:left="1576" w:hanging="293"/>
      </w:pPr>
      <w:rPr>
        <w:rFonts w:hint="default"/>
      </w:rPr>
    </w:lvl>
    <w:lvl w:ilvl="6">
      <w:start w:val="1"/>
      <w:numFmt w:val="bullet"/>
      <w:lvlText w:val="•"/>
      <w:lvlJc w:val="left"/>
      <w:pPr>
        <w:ind w:left="1811" w:hanging="293"/>
      </w:pPr>
      <w:rPr>
        <w:rFonts w:hint="default"/>
      </w:rPr>
    </w:lvl>
    <w:lvl w:ilvl="7">
      <w:start w:val="1"/>
      <w:numFmt w:val="bullet"/>
      <w:lvlText w:val="•"/>
      <w:lvlJc w:val="left"/>
      <w:pPr>
        <w:ind w:left="2046" w:hanging="293"/>
      </w:pPr>
      <w:rPr>
        <w:rFonts w:hint="default"/>
      </w:rPr>
    </w:lvl>
    <w:lvl w:ilvl="8">
      <w:start w:val="1"/>
      <w:numFmt w:val="bullet"/>
      <w:lvlText w:val="•"/>
      <w:lvlJc w:val="left"/>
      <w:pPr>
        <w:ind w:left="2282" w:hanging="293"/>
      </w:pPr>
      <w:rPr>
        <w:rFonts w:hint="default"/>
      </w:rPr>
    </w:lvl>
  </w:abstractNum>
  <w:abstractNum w:abstractNumId="8">
    <w:multiLevelType w:val="hybridMultilevel"/>
    <w:lvl w:ilvl="0">
      <w:start w:val="1"/>
      <w:numFmt w:val="decimal"/>
      <w:lvlText w:val="%1)"/>
      <w:lvlJc w:val="left"/>
      <w:pPr>
        <w:ind w:left="420" w:hanging="316"/>
        <w:jc w:val="left"/>
      </w:pPr>
      <w:rPr>
        <w:rFonts w:hint="default" w:ascii="Arial" w:hAnsi="Arial" w:eastAsia="Arial" w:cs="Arial"/>
        <w:spacing w:val="-2"/>
        <w:w w:val="99"/>
        <w:sz w:val="14"/>
        <w:szCs w:val="14"/>
      </w:rPr>
    </w:lvl>
    <w:lvl w:ilvl="1">
      <w:start w:val="1"/>
      <w:numFmt w:val="bullet"/>
      <w:lvlText w:val="•"/>
      <w:lvlJc w:val="left"/>
      <w:pPr>
        <w:ind w:left="642" w:hanging="316"/>
      </w:pPr>
      <w:rPr>
        <w:rFonts w:hint="default"/>
      </w:rPr>
    </w:lvl>
    <w:lvl w:ilvl="2">
      <w:start w:val="1"/>
      <w:numFmt w:val="bullet"/>
      <w:lvlText w:val="•"/>
      <w:lvlJc w:val="left"/>
      <w:pPr>
        <w:ind w:left="865" w:hanging="316"/>
      </w:pPr>
      <w:rPr>
        <w:rFonts w:hint="default"/>
      </w:rPr>
    </w:lvl>
    <w:lvl w:ilvl="3">
      <w:start w:val="1"/>
      <w:numFmt w:val="bullet"/>
      <w:lvlText w:val="•"/>
      <w:lvlJc w:val="left"/>
      <w:pPr>
        <w:ind w:left="1088" w:hanging="316"/>
      </w:pPr>
      <w:rPr>
        <w:rFonts w:hint="default"/>
      </w:rPr>
    </w:lvl>
    <w:lvl w:ilvl="4">
      <w:start w:val="1"/>
      <w:numFmt w:val="bullet"/>
      <w:lvlText w:val="•"/>
      <w:lvlJc w:val="left"/>
      <w:pPr>
        <w:ind w:left="1311" w:hanging="316"/>
      </w:pPr>
      <w:rPr>
        <w:rFonts w:hint="default"/>
      </w:rPr>
    </w:lvl>
    <w:lvl w:ilvl="5">
      <w:start w:val="1"/>
      <w:numFmt w:val="bullet"/>
      <w:lvlText w:val="•"/>
      <w:lvlJc w:val="left"/>
      <w:pPr>
        <w:ind w:left="1534" w:hanging="316"/>
      </w:pPr>
      <w:rPr>
        <w:rFonts w:hint="default"/>
      </w:rPr>
    </w:lvl>
    <w:lvl w:ilvl="6">
      <w:start w:val="1"/>
      <w:numFmt w:val="bullet"/>
      <w:lvlText w:val="•"/>
      <w:lvlJc w:val="left"/>
      <w:pPr>
        <w:ind w:left="1757" w:hanging="316"/>
      </w:pPr>
      <w:rPr>
        <w:rFonts w:hint="default"/>
      </w:rPr>
    </w:lvl>
    <w:lvl w:ilvl="7">
      <w:start w:val="1"/>
      <w:numFmt w:val="bullet"/>
      <w:lvlText w:val="•"/>
      <w:lvlJc w:val="left"/>
      <w:pPr>
        <w:ind w:left="1980" w:hanging="316"/>
      </w:pPr>
      <w:rPr>
        <w:rFonts w:hint="default"/>
      </w:rPr>
    </w:lvl>
    <w:lvl w:ilvl="8">
      <w:start w:val="1"/>
      <w:numFmt w:val="bullet"/>
      <w:lvlText w:val="•"/>
      <w:lvlJc w:val="left"/>
      <w:pPr>
        <w:ind w:left="2202" w:hanging="316"/>
      </w:pPr>
      <w:rPr>
        <w:rFonts w:hint="default"/>
      </w:rPr>
    </w:lvl>
  </w:abstractNum>
  <w:abstractNum w:abstractNumId="6">
    <w:multiLevelType w:val="hybridMultilevel"/>
    <w:lvl w:ilvl="0">
      <w:start w:val="1"/>
      <w:numFmt w:val="decimal"/>
      <w:lvlText w:val="%1"/>
      <w:lvlJc w:val="left"/>
      <w:pPr>
        <w:ind w:left="584" w:hanging="464"/>
        <w:jc w:val="left"/>
      </w:pPr>
      <w:rPr>
        <w:rFonts w:hint="default"/>
      </w:rPr>
    </w:lvl>
    <w:lvl w:ilvl="1">
      <w:start w:val="1"/>
      <w:numFmt w:val="decimal"/>
      <w:lvlText w:val="%1.%2"/>
      <w:lvlJc w:val="left"/>
      <w:pPr>
        <w:ind w:left="584" w:hanging="464"/>
        <w:jc w:val="left"/>
      </w:pPr>
      <w:rPr>
        <w:rFonts w:hint="default"/>
        <w:b/>
        <w:bCs/>
        <w:spacing w:val="-2"/>
        <w:w w:val="99"/>
      </w:rPr>
    </w:lvl>
    <w:lvl w:ilvl="2">
      <w:start w:val="1"/>
      <w:numFmt w:val="decimal"/>
      <w:lvlText w:val="%1.%2.%3"/>
      <w:lvlJc w:val="left"/>
      <w:pPr>
        <w:ind w:left="699" w:hanging="600"/>
        <w:jc w:val="left"/>
      </w:pPr>
      <w:rPr>
        <w:rFonts w:hint="default" w:ascii="Arial" w:hAnsi="Arial" w:eastAsia="Arial" w:cs="Arial"/>
        <w:b/>
        <w:bCs/>
        <w:spacing w:val="-2"/>
        <w:w w:val="99"/>
        <w:sz w:val="24"/>
        <w:szCs w:val="24"/>
      </w:rPr>
    </w:lvl>
    <w:lvl w:ilvl="3">
      <w:start w:val="1"/>
      <w:numFmt w:val="bullet"/>
      <w:lvlText w:val="•"/>
      <w:lvlJc w:val="left"/>
      <w:pPr>
        <w:ind w:left="1745" w:hanging="600"/>
      </w:pPr>
      <w:rPr>
        <w:rFonts w:hint="default"/>
      </w:rPr>
    </w:lvl>
    <w:lvl w:ilvl="4">
      <w:start w:val="1"/>
      <w:numFmt w:val="bullet"/>
      <w:lvlText w:val="•"/>
      <w:lvlJc w:val="left"/>
      <w:pPr>
        <w:ind w:left="2790" w:hanging="600"/>
      </w:pPr>
      <w:rPr>
        <w:rFonts w:hint="default"/>
      </w:rPr>
    </w:lvl>
    <w:lvl w:ilvl="5">
      <w:start w:val="1"/>
      <w:numFmt w:val="bullet"/>
      <w:lvlText w:val="•"/>
      <w:lvlJc w:val="left"/>
      <w:pPr>
        <w:ind w:left="3835" w:hanging="600"/>
      </w:pPr>
      <w:rPr>
        <w:rFonts w:hint="default"/>
      </w:rPr>
    </w:lvl>
    <w:lvl w:ilvl="6">
      <w:start w:val="1"/>
      <w:numFmt w:val="bullet"/>
      <w:lvlText w:val="•"/>
      <w:lvlJc w:val="left"/>
      <w:pPr>
        <w:ind w:left="4880" w:hanging="600"/>
      </w:pPr>
      <w:rPr>
        <w:rFonts w:hint="default"/>
      </w:rPr>
    </w:lvl>
    <w:lvl w:ilvl="7">
      <w:start w:val="1"/>
      <w:numFmt w:val="bullet"/>
      <w:lvlText w:val="•"/>
      <w:lvlJc w:val="left"/>
      <w:pPr>
        <w:ind w:left="5925" w:hanging="600"/>
      </w:pPr>
      <w:rPr>
        <w:rFonts w:hint="default"/>
      </w:rPr>
    </w:lvl>
    <w:lvl w:ilvl="8">
      <w:start w:val="1"/>
      <w:numFmt w:val="bullet"/>
      <w:lvlText w:val="•"/>
      <w:lvlJc w:val="left"/>
      <w:pPr>
        <w:ind w:left="6970" w:hanging="600"/>
      </w:pPr>
      <w:rPr>
        <w:rFonts w:hint="default"/>
      </w:rPr>
    </w:lvl>
  </w:abstractNum>
  <w:abstractNum w:abstractNumId="5">
    <w:multiLevelType w:val="hybridMultilevel"/>
    <w:lvl w:ilvl="0">
      <w:start w:val="4"/>
      <w:numFmt w:val="decimal"/>
      <w:lvlText w:val="%1"/>
      <w:lvlJc w:val="left"/>
      <w:pPr>
        <w:ind w:left="499" w:hanging="400"/>
        <w:jc w:val="left"/>
      </w:pPr>
      <w:rPr>
        <w:rFonts w:hint="default"/>
      </w:rPr>
    </w:lvl>
    <w:lvl w:ilvl="1">
      <w:start w:val="3"/>
      <w:numFmt w:val="decimal"/>
      <w:lvlText w:val="%1.%2"/>
      <w:lvlJc w:val="left"/>
      <w:pPr>
        <w:ind w:left="499" w:hanging="400"/>
        <w:jc w:val="left"/>
      </w:pPr>
      <w:rPr>
        <w:rFonts w:hint="default" w:ascii="Arial" w:hAnsi="Arial" w:eastAsia="Arial" w:cs="Arial"/>
        <w:spacing w:val="-2"/>
        <w:w w:val="99"/>
        <w:sz w:val="24"/>
        <w:szCs w:val="24"/>
      </w:rPr>
    </w:lvl>
    <w:lvl w:ilvl="2">
      <w:start w:val="1"/>
      <w:numFmt w:val="bullet"/>
      <w:lvlText w:val="•"/>
      <w:lvlJc w:val="left"/>
      <w:pPr>
        <w:ind w:left="2212" w:hanging="400"/>
      </w:pPr>
      <w:rPr>
        <w:rFonts w:hint="default"/>
      </w:rPr>
    </w:lvl>
    <w:lvl w:ilvl="3">
      <w:start w:val="1"/>
      <w:numFmt w:val="bullet"/>
      <w:lvlText w:val="•"/>
      <w:lvlJc w:val="left"/>
      <w:pPr>
        <w:ind w:left="3068" w:hanging="400"/>
      </w:pPr>
      <w:rPr>
        <w:rFonts w:hint="default"/>
      </w:rPr>
    </w:lvl>
    <w:lvl w:ilvl="4">
      <w:start w:val="1"/>
      <w:numFmt w:val="bullet"/>
      <w:lvlText w:val="•"/>
      <w:lvlJc w:val="left"/>
      <w:pPr>
        <w:ind w:left="3924" w:hanging="400"/>
      </w:pPr>
      <w:rPr>
        <w:rFonts w:hint="default"/>
      </w:rPr>
    </w:lvl>
    <w:lvl w:ilvl="5">
      <w:start w:val="1"/>
      <w:numFmt w:val="bullet"/>
      <w:lvlText w:val="•"/>
      <w:lvlJc w:val="left"/>
      <w:pPr>
        <w:ind w:left="4780" w:hanging="400"/>
      </w:pPr>
      <w:rPr>
        <w:rFonts w:hint="default"/>
      </w:rPr>
    </w:lvl>
    <w:lvl w:ilvl="6">
      <w:start w:val="1"/>
      <w:numFmt w:val="bullet"/>
      <w:lvlText w:val="•"/>
      <w:lvlJc w:val="left"/>
      <w:pPr>
        <w:ind w:left="5636" w:hanging="400"/>
      </w:pPr>
      <w:rPr>
        <w:rFonts w:hint="default"/>
      </w:rPr>
    </w:lvl>
    <w:lvl w:ilvl="7">
      <w:start w:val="1"/>
      <w:numFmt w:val="bullet"/>
      <w:lvlText w:val="•"/>
      <w:lvlJc w:val="left"/>
      <w:pPr>
        <w:ind w:left="6492" w:hanging="400"/>
      </w:pPr>
      <w:rPr>
        <w:rFonts w:hint="default"/>
      </w:rPr>
    </w:lvl>
    <w:lvl w:ilvl="8">
      <w:start w:val="1"/>
      <w:numFmt w:val="bullet"/>
      <w:lvlText w:val="•"/>
      <w:lvlJc w:val="left"/>
      <w:pPr>
        <w:ind w:left="7348" w:hanging="400"/>
      </w:pPr>
      <w:rPr>
        <w:rFonts w:hint="default"/>
      </w:rPr>
    </w:lvl>
  </w:abstractNum>
  <w:abstractNum w:abstractNumId="4">
    <w:multiLevelType w:val="hybridMultilevel"/>
    <w:lvl w:ilvl="0">
      <w:start w:val="4"/>
      <w:numFmt w:val="decimal"/>
      <w:lvlText w:val="%1"/>
      <w:lvlJc w:val="left"/>
      <w:pPr>
        <w:ind w:left="499" w:hanging="400"/>
        <w:jc w:val="left"/>
      </w:pPr>
      <w:rPr>
        <w:rFonts w:hint="default"/>
      </w:rPr>
    </w:lvl>
    <w:lvl w:ilvl="1">
      <w:start w:val="1"/>
      <w:numFmt w:val="decimal"/>
      <w:lvlText w:val="%1.%2"/>
      <w:lvlJc w:val="left"/>
      <w:pPr>
        <w:ind w:left="499" w:hanging="400"/>
        <w:jc w:val="left"/>
      </w:pPr>
      <w:rPr>
        <w:rFonts w:hint="default" w:ascii="Arial" w:hAnsi="Arial" w:eastAsia="Arial" w:cs="Arial"/>
        <w:spacing w:val="-2"/>
        <w:w w:val="99"/>
        <w:sz w:val="24"/>
        <w:szCs w:val="24"/>
      </w:rPr>
    </w:lvl>
    <w:lvl w:ilvl="2">
      <w:start w:val="1"/>
      <w:numFmt w:val="bullet"/>
      <w:lvlText w:val="•"/>
      <w:lvlJc w:val="left"/>
      <w:pPr>
        <w:ind w:left="1628" w:hanging="400"/>
      </w:pPr>
      <w:rPr>
        <w:rFonts w:hint="default"/>
      </w:rPr>
    </w:lvl>
    <w:lvl w:ilvl="3">
      <w:start w:val="1"/>
      <w:numFmt w:val="bullet"/>
      <w:lvlText w:val="•"/>
      <w:lvlJc w:val="left"/>
      <w:pPr>
        <w:ind w:left="2557" w:hanging="400"/>
      </w:pPr>
      <w:rPr>
        <w:rFonts w:hint="default"/>
      </w:rPr>
    </w:lvl>
    <w:lvl w:ilvl="4">
      <w:start w:val="1"/>
      <w:numFmt w:val="bullet"/>
      <w:lvlText w:val="•"/>
      <w:lvlJc w:val="left"/>
      <w:pPr>
        <w:ind w:left="3486" w:hanging="400"/>
      </w:pPr>
      <w:rPr>
        <w:rFonts w:hint="default"/>
      </w:rPr>
    </w:lvl>
    <w:lvl w:ilvl="5">
      <w:start w:val="1"/>
      <w:numFmt w:val="bullet"/>
      <w:lvlText w:val="•"/>
      <w:lvlJc w:val="left"/>
      <w:pPr>
        <w:ind w:left="4415" w:hanging="400"/>
      </w:pPr>
      <w:rPr>
        <w:rFonts w:hint="default"/>
      </w:rPr>
    </w:lvl>
    <w:lvl w:ilvl="6">
      <w:start w:val="1"/>
      <w:numFmt w:val="bullet"/>
      <w:lvlText w:val="•"/>
      <w:lvlJc w:val="left"/>
      <w:pPr>
        <w:ind w:left="5344" w:hanging="400"/>
      </w:pPr>
      <w:rPr>
        <w:rFonts w:hint="default"/>
      </w:rPr>
    </w:lvl>
    <w:lvl w:ilvl="7">
      <w:start w:val="1"/>
      <w:numFmt w:val="bullet"/>
      <w:lvlText w:val="•"/>
      <w:lvlJc w:val="left"/>
      <w:pPr>
        <w:ind w:left="6273" w:hanging="400"/>
      </w:pPr>
      <w:rPr>
        <w:rFonts w:hint="default"/>
      </w:rPr>
    </w:lvl>
    <w:lvl w:ilvl="8">
      <w:start w:val="1"/>
      <w:numFmt w:val="bullet"/>
      <w:lvlText w:val="•"/>
      <w:lvlJc w:val="left"/>
      <w:pPr>
        <w:ind w:left="7202" w:hanging="400"/>
      </w:pPr>
      <w:rPr>
        <w:rFonts w:hint="default"/>
      </w:rPr>
    </w:lvl>
  </w:abstractNum>
  <w:abstractNum w:abstractNumId="3">
    <w:multiLevelType w:val="hybridMultilevel"/>
    <w:lvl w:ilvl="0">
      <w:start w:val="3"/>
      <w:numFmt w:val="decimal"/>
      <w:lvlText w:val="%1"/>
      <w:lvlJc w:val="left"/>
      <w:pPr>
        <w:ind w:left="499" w:hanging="400"/>
        <w:jc w:val="left"/>
      </w:pPr>
      <w:rPr>
        <w:rFonts w:hint="default"/>
      </w:rPr>
    </w:lvl>
    <w:lvl w:ilvl="1">
      <w:start w:val="1"/>
      <w:numFmt w:val="decimal"/>
      <w:lvlText w:val="%1.%2"/>
      <w:lvlJc w:val="left"/>
      <w:pPr>
        <w:ind w:left="499" w:hanging="400"/>
        <w:jc w:val="left"/>
      </w:pPr>
      <w:rPr>
        <w:rFonts w:hint="default" w:ascii="Arial" w:hAnsi="Arial" w:eastAsia="Arial" w:cs="Arial"/>
        <w:spacing w:val="-2"/>
        <w:w w:val="99"/>
        <w:sz w:val="24"/>
        <w:szCs w:val="24"/>
      </w:rPr>
    </w:lvl>
    <w:lvl w:ilvl="2">
      <w:start w:val="1"/>
      <w:numFmt w:val="decimal"/>
      <w:lvlText w:val="%1.%2.%3"/>
      <w:lvlJc w:val="left"/>
      <w:pPr>
        <w:ind w:left="953" w:hanging="600"/>
        <w:jc w:val="left"/>
      </w:pPr>
      <w:rPr>
        <w:rFonts w:hint="default" w:ascii="Arial" w:hAnsi="Arial" w:eastAsia="Arial" w:cs="Arial"/>
        <w:spacing w:val="-2"/>
        <w:w w:val="99"/>
        <w:sz w:val="24"/>
        <w:szCs w:val="24"/>
      </w:rPr>
    </w:lvl>
    <w:lvl w:ilvl="3">
      <w:start w:val="1"/>
      <w:numFmt w:val="bullet"/>
      <w:lvlText w:val="•"/>
      <w:lvlJc w:val="left"/>
      <w:pPr>
        <w:ind w:left="2760" w:hanging="600"/>
      </w:pPr>
      <w:rPr>
        <w:rFonts w:hint="default"/>
      </w:rPr>
    </w:lvl>
    <w:lvl w:ilvl="4">
      <w:start w:val="1"/>
      <w:numFmt w:val="bullet"/>
      <w:lvlText w:val="•"/>
      <w:lvlJc w:val="left"/>
      <w:pPr>
        <w:ind w:left="3660" w:hanging="600"/>
      </w:pPr>
      <w:rPr>
        <w:rFonts w:hint="default"/>
      </w:rPr>
    </w:lvl>
    <w:lvl w:ilvl="5">
      <w:start w:val="1"/>
      <w:numFmt w:val="bullet"/>
      <w:lvlText w:val="•"/>
      <w:lvlJc w:val="left"/>
      <w:pPr>
        <w:ind w:left="4560" w:hanging="600"/>
      </w:pPr>
      <w:rPr>
        <w:rFonts w:hint="default"/>
      </w:rPr>
    </w:lvl>
    <w:lvl w:ilvl="6">
      <w:start w:val="1"/>
      <w:numFmt w:val="bullet"/>
      <w:lvlText w:val="•"/>
      <w:lvlJc w:val="left"/>
      <w:pPr>
        <w:ind w:left="5460" w:hanging="600"/>
      </w:pPr>
      <w:rPr>
        <w:rFonts w:hint="default"/>
      </w:rPr>
    </w:lvl>
    <w:lvl w:ilvl="7">
      <w:start w:val="1"/>
      <w:numFmt w:val="bullet"/>
      <w:lvlText w:val="•"/>
      <w:lvlJc w:val="left"/>
      <w:pPr>
        <w:ind w:left="6360" w:hanging="600"/>
      </w:pPr>
      <w:rPr>
        <w:rFonts w:hint="default"/>
      </w:rPr>
    </w:lvl>
    <w:lvl w:ilvl="8">
      <w:start w:val="1"/>
      <w:numFmt w:val="bullet"/>
      <w:lvlText w:val="•"/>
      <w:lvlJc w:val="left"/>
      <w:pPr>
        <w:ind w:left="7260" w:hanging="600"/>
      </w:pPr>
      <w:rPr>
        <w:rFonts w:hint="default"/>
      </w:rPr>
    </w:lvl>
  </w:abstractNum>
  <w:abstractNum w:abstractNumId="2">
    <w:multiLevelType w:val="hybridMultilevel"/>
    <w:lvl w:ilvl="0">
      <w:start w:val="2"/>
      <w:numFmt w:val="decimal"/>
      <w:lvlText w:val="%1"/>
      <w:lvlJc w:val="left"/>
      <w:pPr>
        <w:ind w:left="953" w:hanging="600"/>
        <w:jc w:val="left"/>
      </w:pPr>
      <w:rPr>
        <w:rFonts w:hint="default"/>
      </w:rPr>
    </w:lvl>
    <w:lvl w:ilvl="1">
      <w:start w:val="1"/>
      <w:numFmt w:val="decimal"/>
      <w:lvlText w:val="%1.%2"/>
      <w:lvlJc w:val="left"/>
      <w:pPr>
        <w:ind w:left="953" w:hanging="600"/>
        <w:jc w:val="left"/>
      </w:pPr>
      <w:rPr>
        <w:rFonts w:hint="default"/>
      </w:rPr>
    </w:lvl>
    <w:lvl w:ilvl="2">
      <w:start w:val="1"/>
      <w:numFmt w:val="decimal"/>
      <w:lvlText w:val="%1.%2.%3"/>
      <w:lvlJc w:val="left"/>
      <w:pPr>
        <w:ind w:left="953" w:hanging="600"/>
        <w:jc w:val="left"/>
      </w:pPr>
      <w:rPr>
        <w:rFonts w:hint="default" w:ascii="Arial" w:hAnsi="Arial" w:eastAsia="Arial" w:cs="Arial"/>
        <w:spacing w:val="-2"/>
        <w:w w:val="99"/>
        <w:sz w:val="24"/>
        <w:szCs w:val="24"/>
      </w:rPr>
    </w:lvl>
    <w:lvl w:ilvl="3">
      <w:start w:val="1"/>
      <w:numFmt w:val="bullet"/>
      <w:lvlText w:val="•"/>
      <w:lvlJc w:val="left"/>
      <w:pPr>
        <w:ind w:left="2760" w:hanging="600"/>
      </w:pPr>
      <w:rPr>
        <w:rFonts w:hint="default"/>
      </w:rPr>
    </w:lvl>
    <w:lvl w:ilvl="4">
      <w:start w:val="1"/>
      <w:numFmt w:val="bullet"/>
      <w:lvlText w:val="•"/>
      <w:lvlJc w:val="left"/>
      <w:pPr>
        <w:ind w:left="3660" w:hanging="600"/>
      </w:pPr>
      <w:rPr>
        <w:rFonts w:hint="default"/>
      </w:rPr>
    </w:lvl>
    <w:lvl w:ilvl="5">
      <w:start w:val="1"/>
      <w:numFmt w:val="bullet"/>
      <w:lvlText w:val="•"/>
      <w:lvlJc w:val="left"/>
      <w:pPr>
        <w:ind w:left="4560" w:hanging="600"/>
      </w:pPr>
      <w:rPr>
        <w:rFonts w:hint="default"/>
      </w:rPr>
    </w:lvl>
    <w:lvl w:ilvl="6">
      <w:start w:val="1"/>
      <w:numFmt w:val="bullet"/>
      <w:lvlText w:val="•"/>
      <w:lvlJc w:val="left"/>
      <w:pPr>
        <w:ind w:left="5460" w:hanging="600"/>
      </w:pPr>
      <w:rPr>
        <w:rFonts w:hint="default"/>
      </w:rPr>
    </w:lvl>
    <w:lvl w:ilvl="7">
      <w:start w:val="1"/>
      <w:numFmt w:val="bullet"/>
      <w:lvlText w:val="•"/>
      <w:lvlJc w:val="left"/>
      <w:pPr>
        <w:ind w:left="6360" w:hanging="600"/>
      </w:pPr>
      <w:rPr>
        <w:rFonts w:hint="default"/>
      </w:rPr>
    </w:lvl>
    <w:lvl w:ilvl="8">
      <w:start w:val="1"/>
      <w:numFmt w:val="bullet"/>
      <w:lvlText w:val="•"/>
      <w:lvlJc w:val="left"/>
      <w:pPr>
        <w:ind w:left="7260" w:hanging="600"/>
      </w:pPr>
      <w:rPr>
        <w:rFonts w:hint="default"/>
      </w:rPr>
    </w:lvl>
  </w:abstractNum>
  <w:abstractNum w:abstractNumId="1">
    <w:multiLevelType w:val="hybridMultilevel"/>
    <w:lvl w:ilvl="0">
      <w:start w:val="1"/>
      <w:numFmt w:val="decimal"/>
      <w:lvlText w:val="%1"/>
      <w:lvlJc w:val="left"/>
      <w:pPr>
        <w:ind w:left="499" w:hanging="400"/>
        <w:jc w:val="left"/>
      </w:pPr>
      <w:rPr>
        <w:rFonts w:hint="default"/>
      </w:rPr>
    </w:lvl>
    <w:lvl w:ilvl="1">
      <w:start w:val="3"/>
      <w:numFmt w:val="decimal"/>
      <w:lvlText w:val="%1.%2"/>
      <w:lvlJc w:val="left"/>
      <w:pPr>
        <w:ind w:left="499" w:hanging="400"/>
        <w:jc w:val="left"/>
      </w:pPr>
      <w:rPr>
        <w:rFonts w:hint="default" w:ascii="Arial" w:hAnsi="Arial" w:eastAsia="Arial" w:cs="Arial"/>
        <w:spacing w:val="-2"/>
        <w:w w:val="99"/>
        <w:sz w:val="24"/>
        <w:szCs w:val="24"/>
      </w:rPr>
    </w:lvl>
    <w:lvl w:ilvl="2">
      <w:start w:val="1"/>
      <w:numFmt w:val="decimal"/>
      <w:lvlText w:val="%1.%2.%3"/>
      <w:lvlJc w:val="left"/>
      <w:pPr>
        <w:ind w:left="953" w:hanging="600"/>
        <w:jc w:val="left"/>
      </w:pPr>
      <w:rPr>
        <w:rFonts w:hint="default" w:ascii="Arial" w:hAnsi="Arial" w:eastAsia="Arial" w:cs="Arial"/>
        <w:spacing w:val="-2"/>
        <w:w w:val="99"/>
        <w:sz w:val="24"/>
        <w:szCs w:val="24"/>
      </w:rPr>
    </w:lvl>
    <w:lvl w:ilvl="3">
      <w:start w:val="1"/>
      <w:numFmt w:val="bullet"/>
      <w:lvlText w:val="•"/>
      <w:lvlJc w:val="left"/>
      <w:pPr>
        <w:ind w:left="2755" w:hanging="600"/>
      </w:pPr>
      <w:rPr>
        <w:rFonts w:hint="default"/>
      </w:rPr>
    </w:lvl>
    <w:lvl w:ilvl="4">
      <w:start w:val="1"/>
      <w:numFmt w:val="bullet"/>
      <w:lvlText w:val="•"/>
      <w:lvlJc w:val="left"/>
      <w:pPr>
        <w:ind w:left="3653" w:hanging="600"/>
      </w:pPr>
      <w:rPr>
        <w:rFonts w:hint="default"/>
      </w:rPr>
    </w:lvl>
    <w:lvl w:ilvl="5">
      <w:start w:val="1"/>
      <w:numFmt w:val="bullet"/>
      <w:lvlText w:val="•"/>
      <w:lvlJc w:val="left"/>
      <w:pPr>
        <w:ind w:left="4551" w:hanging="600"/>
      </w:pPr>
      <w:rPr>
        <w:rFonts w:hint="default"/>
      </w:rPr>
    </w:lvl>
    <w:lvl w:ilvl="6">
      <w:start w:val="1"/>
      <w:numFmt w:val="bullet"/>
      <w:lvlText w:val="•"/>
      <w:lvlJc w:val="left"/>
      <w:pPr>
        <w:ind w:left="5448" w:hanging="600"/>
      </w:pPr>
      <w:rPr>
        <w:rFonts w:hint="default"/>
      </w:rPr>
    </w:lvl>
    <w:lvl w:ilvl="7">
      <w:start w:val="1"/>
      <w:numFmt w:val="bullet"/>
      <w:lvlText w:val="•"/>
      <w:lvlJc w:val="left"/>
      <w:pPr>
        <w:ind w:left="6346" w:hanging="600"/>
      </w:pPr>
      <w:rPr>
        <w:rFonts w:hint="default"/>
      </w:rPr>
    </w:lvl>
    <w:lvl w:ilvl="8">
      <w:start w:val="1"/>
      <w:numFmt w:val="bullet"/>
      <w:lvlText w:val="•"/>
      <w:lvlJc w:val="left"/>
      <w:pPr>
        <w:ind w:left="7244" w:hanging="600"/>
      </w:pPr>
      <w:rPr>
        <w:rFonts w:hint="default"/>
      </w:rPr>
    </w:lvl>
  </w:abstractNum>
  <w:abstractNum w:abstractNumId="0">
    <w:multiLevelType w:val="hybridMultilevel"/>
    <w:lvl w:ilvl="0">
      <w:start w:val="1"/>
      <w:numFmt w:val="decimal"/>
      <w:lvlText w:val="%1"/>
      <w:lvlJc w:val="left"/>
      <w:pPr>
        <w:ind w:left="499" w:hanging="400"/>
        <w:jc w:val="left"/>
      </w:pPr>
      <w:rPr>
        <w:rFonts w:hint="default"/>
      </w:rPr>
    </w:lvl>
    <w:lvl w:ilvl="1">
      <w:start w:val="1"/>
      <w:numFmt w:val="decimal"/>
      <w:lvlText w:val="%1.%2"/>
      <w:lvlJc w:val="left"/>
      <w:pPr>
        <w:ind w:left="499" w:hanging="400"/>
        <w:jc w:val="left"/>
      </w:pPr>
      <w:rPr>
        <w:rFonts w:hint="default" w:ascii="Arial" w:hAnsi="Arial" w:eastAsia="Arial" w:cs="Arial"/>
        <w:spacing w:val="-2"/>
        <w:w w:val="99"/>
        <w:sz w:val="24"/>
        <w:szCs w:val="24"/>
      </w:rPr>
    </w:lvl>
    <w:lvl w:ilvl="2">
      <w:start w:val="1"/>
      <w:numFmt w:val="decimal"/>
      <w:lvlText w:val="%1.%2.%3"/>
      <w:lvlJc w:val="left"/>
      <w:pPr>
        <w:ind w:left="699" w:hanging="600"/>
        <w:jc w:val="left"/>
      </w:pPr>
      <w:rPr>
        <w:rFonts w:hint="default" w:ascii="Arial" w:hAnsi="Arial" w:eastAsia="Arial" w:cs="Arial"/>
        <w:spacing w:val="-2"/>
        <w:w w:val="99"/>
        <w:sz w:val="24"/>
        <w:szCs w:val="24"/>
      </w:rPr>
    </w:lvl>
    <w:lvl w:ilvl="3">
      <w:start w:val="1"/>
      <w:numFmt w:val="bullet"/>
      <w:lvlText w:val="•"/>
      <w:lvlJc w:val="left"/>
      <w:pPr>
        <w:ind w:left="2553" w:hanging="600"/>
      </w:pPr>
      <w:rPr>
        <w:rFonts w:hint="default"/>
      </w:rPr>
    </w:lvl>
    <w:lvl w:ilvl="4">
      <w:start w:val="1"/>
      <w:numFmt w:val="bullet"/>
      <w:lvlText w:val="•"/>
      <w:lvlJc w:val="left"/>
      <w:pPr>
        <w:ind w:left="3480" w:hanging="600"/>
      </w:pPr>
      <w:rPr>
        <w:rFonts w:hint="default"/>
      </w:rPr>
    </w:lvl>
    <w:lvl w:ilvl="5">
      <w:start w:val="1"/>
      <w:numFmt w:val="bullet"/>
      <w:lvlText w:val="•"/>
      <w:lvlJc w:val="left"/>
      <w:pPr>
        <w:ind w:left="4406" w:hanging="600"/>
      </w:pPr>
      <w:rPr>
        <w:rFonts w:hint="default"/>
      </w:rPr>
    </w:lvl>
    <w:lvl w:ilvl="6">
      <w:start w:val="1"/>
      <w:numFmt w:val="bullet"/>
      <w:lvlText w:val="•"/>
      <w:lvlJc w:val="left"/>
      <w:pPr>
        <w:ind w:left="5333" w:hanging="600"/>
      </w:pPr>
      <w:rPr>
        <w:rFonts w:hint="default"/>
      </w:rPr>
    </w:lvl>
    <w:lvl w:ilvl="7">
      <w:start w:val="1"/>
      <w:numFmt w:val="bullet"/>
      <w:lvlText w:val="•"/>
      <w:lvlJc w:val="left"/>
      <w:pPr>
        <w:ind w:left="6260" w:hanging="600"/>
      </w:pPr>
      <w:rPr>
        <w:rFonts w:hint="default"/>
      </w:rPr>
    </w:lvl>
    <w:lvl w:ilvl="8">
      <w:start w:val="1"/>
      <w:numFmt w:val="bullet"/>
      <w:lvlText w:val="•"/>
      <w:lvlJc w:val="left"/>
      <w:pPr>
        <w:ind w:left="7186" w:hanging="600"/>
      </w:pPr>
      <w:rPr>
        <w:rFonts w:hint="default"/>
      </w:rPr>
    </w:lvl>
  </w:abstractNum>
  <w:num w:numId="74">
    <w:abstractNumId w:val="73"/>
  </w:num>
  <w:num w:numId="70">
    <w:abstractNumId w:val="69"/>
  </w:num>
  <w:num w:numId="49">
    <w:abstractNumId w:val="48"/>
  </w:num>
  <w:num w:numId="23">
    <w:abstractNumId w:val="22"/>
  </w:num>
  <w:num w:numId="20">
    <w:abstractNumId w:val="19"/>
  </w:num>
  <w:num w:numId="18">
    <w:abstractNumId w:val="17"/>
  </w:num>
  <w:num w:numId="8">
    <w:abstractNumId w:val="7"/>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3">
    <w:abstractNumId w:val="72"/>
  </w:num>
  <w:num w:numId="72">
    <w:abstractNumId w:val="71"/>
  </w:num>
  <w:num w:numId="71">
    <w:abstractNumId w:val="70"/>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2">
    <w:abstractNumId w:val="21"/>
  </w:num>
  <w:num w:numId="21">
    <w:abstractNumId w:val="20"/>
  </w:num>
  <w:num w:numId="19">
    <w:abstractNumId w:val="18"/>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76"/>
      <w:ind w:left="699" w:hanging="599"/>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9"/>
      <w:ind w:left="3410"/>
      <w:jc w:val="center"/>
      <w:outlineLvl w:val="1"/>
    </w:pPr>
    <w:rPr>
      <w:rFonts w:ascii="Arial" w:hAnsi="Arial" w:eastAsia="Arial" w:cs="Arial"/>
      <w:b/>
      <w:bCs/>
      <w:sz w:val="28"/>
      <w:szCs w:val="28"/>
    </w:rPr>
  </w:style>
  <w:style w:styleId="Heading2" w:type="paragraph">
    <w:name w:val="Heading 2"/>
    <w:basedOn w:val="Normal"/>
    <w:uiPriority w:val="1"/>
    <w:qFormat/>
    <w:pPr>
      <w:ind w:left="552" w:hanging="432"/>
      <w:jc w:val="both"/>
      <w:outlineLvl w:val="2"/>
    </w:pPr>
    <w:rPr>
      <w:rFonts w:ascii="Arial" w:hAnsi="Arial" w:eastAsia="Arial" w:cs="Arial"/>
      <w:b/>
      <w:bCs/>
      <w:sz w:val="26"/>
      <w:szCs w:val="26"/>
    </w:rPr>
  </w:style>
  <w:style w:styleId="Heading3" w:type="paragraph">
    <w:name w:val="Heading 3"/>
    <w:basedOn w:val="Normal"/>
    <w:uiPriority w:val="1"/>
    <w:qFormat/>
    <w:pPr>
      <w:ind w:left="719"/>
      <w:jc w:val="both"/>
      <w:outlineLvl w:val="3"/>
    </w:pPr>
    <w:rPr>
      <w:rFonts w:ascii="Arial" w:hAnsi="Arial" w:eastAsia="Arial" w:cs="Arial"/>
      <w:b/>
      <w:bCs/>
      <w:sz w:val="24"/>
      <w:szCs w:val="24"/>
    </w:rPr>
  </w:style>
  <w:style w:styleId="ListParagraph" w:type="paragraph">
    <w:name w:val="List Paragraph"/>
    <w:basedOn w:val="Normal"/>
    <w:uiPriority w:val="1"/>
    <w:qFormat/>
    <w:pPr>
      <w:ind w:left="841" w:hanging="361"/>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footer" Target="footer1.xml"/><Relationship Id="rId13" Type="http://schemas.openxmlformats.org/officeDocument/2006/relationships/image" Target="media/image8.jpeg"/><Relationship Id="rId14" Type="http://schemas.openxmlformats.org/officeDocument/2006/relationships/footer" Target="footer2.xml"/><Relationship Id="rId15" Type="http://schemas.openxmlformats.org/officeDocument/2006/relationships/footer" Target="footer3.xml"/><Relationship Id="rId16" Type="http://schemas.openxmlformats.org/officeDocument/2006/relationships/hyperlink" Target="http://www.oecd.org/" TargetMode="External"/><Relationship Id="rId17" Type="http://schemas.openxmlformats.org/officeDocument/2006/relationships/hyperlink" Target="http://www.unesco.org/" TargetMode="External"/><Relationship Id="rId18" Type="http://schemas.openxmlformats.org/officeDocument/2006/relationships/footer" Target="footer4.xml"/><Relationship Id="rId19" Type="http://schemas.openxmlformats.org/officeDocument/2006/relationships/hyperlink" Target="http://www.monografias.com/trabajos20/pensadores-politicos/pensadores-politicos.shtml" TargetMode="External"/><Relationship Id="rId20" Type="http://schemas.openxmlformats.org/officeDocument/2006/relationships/hyperlink" Target="http://www.robertexto.com/archivo17/gobernab_democrac.htm" TargetMode="External"/><Relationship Id="rId21" Type="http://schemas.openxmlformats.org/officeDocument/2006/relationships/footer" Target="footer5.xml"/><Relationship Id="rId22" Type="http://schemas.openxmlformats.org/officeDocument/2006/relationships/hyperlink" Target="http://biblio.juridicas.unam.mx/libros/1/348/27.pdf" TargetMode="External"/><Relationship Id="rId23" Type="http://schemas.openxmlformats.org/officeDocument/2006/relationships/footer" Target="footer6.xml"/><Relationship Id="rId24" Type="http://schemas.openxmlformats.org/officeDocument/2006/relationships/image" Target="media/image9.png"/><Relationship Id="rId25" Type="http://schemas.openxmlformats.org/officeDocument/2006/relationships/hyperlink" Target="http://es.wikipedia.org/wiki/Sistema_pol%C3%ADtico" TargetMode="External"/><Relationship Id="rId26" Type="http://schemas.openxmlformats.org/officeDocument/2006/relationships/hyperlink" Target="http://es.wikipedia.org/wiki/Estado" TargetMode="External"/><Relationship Id="rId27" Type="http://schemas.openxmlformats.org/officeDocument/2006/relationships/hyperlink" Target="http://es.wikipedia.org/wiki/Sufragio_activo" TargetMode="External"/><Relationship Id="rId28" Type="http://schemas.openxmlformats.org/officeDocument/2006/relationships/hyperlink" Target="http://es.wikipedia.org/wiki/Informaci%C3%B3n" TargetMode="External"/><Relationship Id="rId29" Type="http://schemas.openxmlformats.org/officeDocument/2006/relationships/hyperlink" Target="http://www.cgt.es/descargas/SalaLectura/chomsky-medios-comunicacion.html" TargetMode="External"/><Relationship Id="rId30" Type="http://schemas.openxmlformats.org/officeDocument/2006/relationships/hyperlink" Target="http://diccionario.inep.org/index.html" TargetMode="External"/><Relationship Id="rId31" Type="http://schemas.openxmlformats.org/officeDocument/2006/relationships/footer" Target="footer7.xml"/><Relationship Id="rId32" Type="http://schemas.openxmlformats.org/officeDocument/2006/relationships/footer" Target="footer8.xml"/><Relationship Id="rId33" Type="http://schemas.openxmlformats.org/officeDocument/2006/relationships/hyperlink" Target="http://www.bibliojuridica.org/libros/6/2739/11.pdf" TargetMode="External"/><Relationship Id="rId34" Type="http://schemas.openxmlformats.org/officeDocument/2006/relationships/hyperlink" Target="http://www.world-governance.org/IMG/pdf_862_AB_GM_Communs_et_gouvernance_mondiale_ES-3.pdf" TargetMode="External"/><Relationship Id="rId35" Type="http://schemas.openxmlformats.org/officeDocument/2006/relationships/hyperlink" Target="http://www.world-governance.org/IMG/pdf_La_ONU_y_la_Gobernanza_Mundial.pdf" TargetMode="External"/><Relationship Id="rId36" Type="http://schemas.openxmlformats.org/officeDocument/2006/relationships/footer" Target="footer9.xml"/><Relationship Id="rId37" Type="http://schemas.openxmlformats.org/officeDocument/2006/relationships/footer" Target="footer10.xml"/><Relationship Id="rId38" Type="http://schemas.openxmlformats.org/officeDocument/2006/relationships/hyperlink" Target="http://www1.worldbank.org/prem/PREMNotes/premnote59.pdf" TargetMode="External"/><Relationship Id="rId39" Type="http://schemas.openxmlformats.org/officeDocument/2006/relationships/footer" Target="footer11.xml"/><Relationship Id="rId40" Type="http://schemas.openxmlformats.org/officeDocument/2006/relationships/footer" Target="footer12.xml"/><Relationship Id="rId41" Type="http://schemas.openxmlformats.org/officeDocument/2006/relationships/hyperlink" Target="http://www.oecd.org/document/14/0%2C3746%2Cen_39406396_39407430_39407310_1_1_1_1%2C00.html#1" TargetMode="External"/><Relationship Id="rId42" Type="http://schemas.openxmlformats.org/officeDocument/2006/relationships/hyperlink" Target="http://www.oecd.org/dataoecd/54/19/41665400.pdf" TargetMode="External"/><Relationship Id="rId43" Type="http://schemas.openxmlformats.org/officeDocument/2006/relationships/hyperlink" Target="http://www.comminit.com/es/node/209185" TargetMode="External"/><Relationship Id="rId44" Type="http://schemas.openxmlformats.org/officeDocument/2006/relationships/hyperlink" Target="http://www.happyplanetindex.org/assets/happy-planet-index-report.pdf" TargetMode="External"/><Relationship Id="rId45" Type="http://schemas.openxmlformats.org/officeDocument/2006/relationships/footer" Target="footer13.xml"/><Relationship Id="rId46" Type="http://schemas.openxmlformats.org/officeDocument/2006/relationships/footer" Target="footer14.xml"/><Relationship Id="rId47" Type="http://schemas.openxmlformats.org/officeDocument/2006/relationships/image" Target="media/image10.png"/><Relationship Id="rId48" Type="http://schemas.openxmlformats.org/officeDocument/2006/relationships/image" Target="media/image11.png"/><Relationship Id="rId49" Type="http://schemas.openxmlformats.org/officeDocument/2006/relationships/image" Target="media/image12.png"/><Relationship Id="rId50" Type="http://schemas.openxmlformats.org/officeDocument/2006/relationships/hyperlink" Target="http://www.world-governance.org/IMG/pdf_WGI_short_version_EN_web-2.pdf" TargetMode="External"/><Relationship Id="rId51" Type="http://schemas.openxmlformats.org/officeDocument/2006/relationships/hyperlink" Target="http://info.worldbank.org/governance/wgi/sc_country.asp" TargetMode="External"/><Relationship Id="rId52" Type="http://schemas.openxmlformats.org/officeDocument/2006/relationships/hyperlink" Target="http://www.fundforpeace.org/global/?q=fsi-about" TargetMode="External"/><Relationship Id="rId53" Type="http://schemas.openxmlformats.org/officeDocument/2006/relationships/hyperlink" Target="http://www.kurtzmangroup.com/pdf/InstituteOpacityIndex_Apr8.pdf" TargetMode="External"/><Relationship Id="rId54" Type="http://schemas.openxmlformats.org/officeDocument/2006/relationships/hyperlink" Target="http://www.transparency.org/cpi2012/results#myAnchor1" TargetMode="External"/><Relationship Id="rId55" Type="http://schemas.openxmlformats.org/officeDocument/2006/relationships/hyperlink" Target="http://transparency.ge/sites/default/files/post_attachments/TI%20Global%20Corruption%20Barometer%202010.pdf" TargetMode="External"/><Relationship Id="rId56" Type="http://schemas.openxmlformats.org/officeDocument/2006/relationships/hyperlink" Target="http://www.transparency.org/policy_research/surveys_indices/gcb" TargetMode="External"/><Relationship Id="rId57" Type="http://schemas.openxmlformats.org/officeDocument/2006/relationships/footer" Target="footer15.xml"/><Relationship Id="rId58" Type="http://schemas.openxmlformats.org/officeDocument/2006/relationships/image" Target="media/image13.png"/><Relationship Id="rId59" Type="http://schemas.openxmlformats.org/officeDocument/2006/relationships/footer" Target="footer16.xml"/><Relationship Id="rId60" Type="http://schemas.openxmlformats.org/officeDocument/2006/relationships/image" Target="media/image14.png"/><Relationship Id="rId61" Type="http://schemas.openxmlformats.org/officeDocument/2006/relationships/image" Target="media/image15.png"/><Relationship Id="rId62" Type="http://schemas.openxmlformats.org/officeDocument/2006/relationships/hyperlink" Target="http://dx.doi.org/10.1787/888932389873" TargetMode="External"/><Relationship Id="rId63" Type="http://schemas.openxmlformats.org/officeDocument/2006/relationships/image" Target="media/image16.png"/><Relationship Id="rId64" Type="http://schemas.openxmlformats.org/officeDocument/2006/relationships/image" Target="media/image17.png"/><Relationship Id="rId65" Type="http://schemas.openxmlformats.org/officeDocument/2006/relationships/image" Target="media/image18.png"/><Relationship Id="rId66" Type="http://schemas.openxmlformats.org/officeDocument/2006/relationships/image" Target="media/image19.png"/><Relationship Id="rId67" Type="http://schemas.openxmlformats.org/officeDocument/2006/relationships/image" Target="media/image20.png"/><Relationship Id="rId68" Type="http://schemas.openxmlformats.org/officeDocument/2006/relationships/image" Target="media/image21.png"/><Relationship Id="rId69" Type="http://schemas.openxmlformats.org/officeDocument/2006/relationships/image" Target="media/image22.png"/><Relationship Id="rId70" Type="http://schemas.openxmlformats.org/officeDocument/2006/relationships/image" Target="media/image23.png"/><Relationship Id="rId71" Type="http://schemas.openxmlformats.org/officeDocument/2006/relationships/hyperlink" Target="http://dx.doi.org/10.1787/888932390937" TargetMode="External"/><Relationship Id="rId72" Type="http://schemas.openxmlformats.org/officeDocument/2006/relationships/image" Target="media/image24.png"/><Relationship Id="rId73" Type="http://schemas.openxmlformats.org/officeDocument/2006/relationships/hyperlink" Target="http://internationalbudget.org/wp-content/uploads/OBI2012-Report-English.pdf" TargetMode="External"/><Relationship Id="rId74" Type="http://schemas.openxmlformats.org/officeDocument/2006/relationships/hyperlink" Target="http://www.libertadyprogresonline.org/wp-content/uploads/2012/07/ICI-2012.pdf" TargetMode="External"/><Relationship Id="rId75" Type="http://schemas.openxmlformats.org/officeDocument/2006/relationships/hyperlink" Target="http://imco.org.mx/images/pdf/Indice-de-Competitividad-Internacional-2011.pdf" TargetMode="External"/><Relationship Id="rId76" Type="http://schemas.openxmlformats.org/officeDocument/2006/relationships/hyperlink" Target="http://www.oecd.org/document/45/0%2C3746%2Cen_2649_37419_2671576_1_1_1_37419%2C00.html" TargetMode="External"/><Relationship Id="rId77" Type="http://schemas.openxmlformats.org/officeDocument/2006/relationships/footer" Target="footer17.xml"/><Relationship Id="rId78" Type="http://schemas.openxmlformats.org/officeDocument/2006/relationships/footer" Target="footer18.xml"/><Relationship Id="rId79" Type="http://schemas.openxmlformats.org/officeDocument/2006/relationships/hyperlink" Target="http://oecdbetterlifeindex.org/about/better-life-initiative/" TargetMode="External"/><Relationship Id="rId80" Type="http://schemas.openxmlformats.org/officeDocument/2006/relationships/hyperlink" Target="http://www.globalintegrity.org/files/GIR2011.pdf" TargetMode="External"/><Relationship Id="rId81" Type="http://schemas.openxmlformats.org/officeDocument/2006/relationships/image" Target="media/image25.png"/><Relationship Id="rId82" Type="http://schemas.openxmlformats.org/officeDocument/2006/relationships/image" Target="media/image26.png"/><Relationship Id="rId83" Type="http://schemas.openxmlformats.org/officeDocument/2006/relationships/image" Target="media/image27.png"/><Relationship Id="rId84" Type="http://schemas.openxmlformats.org/officeDocument/2006/relationships/image" Target="media/image28.png"/><Relationship Id="rId85" Type="http://schemas.openxmlformats.org/officeDocument/2006/relationships/image" Target="media/image29.png"/><Relationship Id="rId86" Type="http://schemas.openxmlformats.org/officeDocument/2006/relationships/image" Target="media/image30.png"/><Relationship Id="rId87" Type="http://schemas.openxmlformats.org/officeDocument/2006/relationships/image" Target="media/image31.png"/><Relationship Id="rId88" Type="http://schemas.openxmlformats.org/officeDocument/2006/relationships/image" Target="media/image32.png"/><Relationship Id="rId89" Type="http://schemas.openxmlformats.org/officeDocument/2006/relationships/image" Target="media/image33.png"/><Relationship Id="rId90" Type="http://schemas.openxmlformats.org/officeDocument/2006/relationships/image" Target="media/image34.png"/><Relationship Id="rId91" Type="http://schemas.openxmlformats.org/officeDocument/2006/relationships/image" Target="media/image35.png"/><Relationship Id="rId92" Type="http://schemas.openxmlformats.org/officeDocument/2006/relationships/image" Target="media/image36.png"/><Relationship Id="rId93" Type="http://schemas.openxmlformats.org/officeDocument/2006/relationships/footer" Target="footer19.xml"/><Relationship Id="rId94" Type="http://schemas.openxmlformats.org/officeDocument/2006/relationships/footer" Target="footer20.xml"/><Relationship Id="rId95" Type="http://schemas.openxmlformats.org/officeDocument/2006/relationships/hyperlink" Target="http://biblioteca.itam.mx/estudios/estudio/estudio02/sec_29.html" TargetMode="External"/><Relationship Id="rId96" Type="http://schemas.openxmlformats.org/officeDocument/2006/relationships/hyperlink" Target="http://www.ejournal.unam.mx/ehn/ehn10/EHN01002.pdf" TargetMode="External"/><Relationship Id="rId97" Type="http://schemas.openxmlformats.org/officeDocument/2006/relationships/image" Target="media/image37.png"/><Relationship Id="rId98" Type="http://schemas.openxmlformats.org/officeDocument/2006/relationships/hyperlink" Target="http://www.bibliojuridica.org/libros/1/348/5.pdf" TargetMode="External"/><Relationship Id="rId99" Type="http://schemas.openxmlformats.org/officeDocument/2006/relationships/hyperlink" Target="http://www.memoriapoliticademexico.org/Efemerides/11/13111874.html" TargetMode="External"/><Relationship Id="rId100" Type="http://schemas.openxmlformats.org/officeDocument/2006/relationships/hyperlink" Target="http://nuevamayoria.com/analisis/serbolov/serbolov3011.htm" TargetMode="External"/><Relationship Id="rId101" Type="http://schemas.openxmlformats.org/officeDocument/2006/relationships/footer" Target="footer21.xml"/><Relationship Id="rId102" Type="http://schemas.openxmlformats.org/officeDocument/2006/relationships/hyperlink" Target="http://dialnet.unirioja.es/servlet/articulo?codigo=2670330" TargetMode="External"/><Relationship Id="rId103" Type="http://schemas.openxmlformats.org/officeDocument/2006/relationships/footer" Target="footer22.xml"/><Relationship Id="rId104" Type="http://schemas.openxmlformats.org/officeDocument/2006/relationships/hyperlink" Target="http://siteresources.worldbank.org/INTMEXICO/Resources/4-3DocumentoPbRSalvadorVegajun08VF.pdf" TargetMode="External"/><Relationship Id="rId105" Type="http://schemas.openxmlformats.org/officeDocument/2006/relationships/hyperlink" Target="http://www.oocities.org/hectorh83/Historia1.html" TargetMode="External"/><Relationship Id="rId106" Type="http://schemas.openxmlformats.org/officeDocument/2006/relationships/image" Target="media/image38.png"/><Relationship Id="rId107" Type="http://schemas.openxmlformats.org/officeDocument/2006/relationships/image" Target="media/image39.png"/><Relationship Id="rId108" Type="http://schemas.openxmlformats.org/officeDocument/2006/relationships/image" Target="media/image40.png"/><Relationship Id="rId109" Type="http://schemas.openxmlformats.org/officeDocument/2006/relationships/image" Target="media/image41.png"/><Relationship Id="rId110" Type="http://schemas.openxmlformats.org/officeDocument/2006/relationships/image" Target="media/image42.png"/><Relationship Id="rId111" Type="http://schemas.openxmlformats.org/officeDocument/2006/relationships/image" Target="media/image43.png"/><Relationship Id="rId112" Type="http://schemas.openxmlformats.org/officeDocument/2006/relationships/footer" Target="footer23.xml"/><Relationship Id="rId113" Type="http://schemas.openxmlformats.org/officeDocument/2006/relationships/footer" Target="footer24.xml"/><Relationship Id="rId114" Type="http://schemas.openxmlformats.org/officeDocument/2006/relationships/hyperlink" Target="http://www.asf.gob.mx/Publication/38_Normas_que_dan_Origen_a_la_ASF" TargetMode="External"/><Relationship Id="rId115" Type="http://schemas.openxmlformats.org/officeDocument/2006/relationships/image" Target="media/image44.png"/><Relationship Id="rId116" Type="http://schemas.openxmlformats.org/officeDocument/2006/relationships/image" Target="media/image45.jpeg"/><Relationship Id="rId117" Type="http://schemas.openxmlformats.org/officeDocument/2006/relationships/image" Target="media/image46.png"/><Relationship Id="rId118" Type="http://schemas.openxmlformats.org/officeDocument/2006/relationships/hyperlink" Target="http://www.laeditorialvirtual.com.ar/Pages/Hobbes/ElEstado_01.htm" TargetMode="External"/><Relationship Id="rId119" Type="http://schemas.openxmlformats.org/officeDocument/2006/relationships/footer" Target="footer25.xml"/><Relationship Id="rId120" Type="http://schemas.openxmlformats.org/officeDocument/2006/relationships/hyperlink" Target="http://es.wikipedia.org/wiki/Federaci%C3%B3n" TargetMode="External"/><Relationship Id="rId121" Type="http://schemas.openxmlformats.org/officeDocument/2006/relationships/hyperlink" Target="http://es.wikipedia.org/wiki/Democracia_representativa" TargetMode="External"/><Relationship Id="rId122" Type="http://schemas.openxmlformats.org/officeDocument/2006/relationships/hyperlink" Target="http://es.wikipedia.org/wiki/Parlamentarismo" TargetMode="External"/><Relationship Id="rId123" Type="http://schemas.openxmlformats.org/officeDocument/2006/relationships/hyperlink" Target="http://es.wikipedia.org/wiki/Grundgesetz" TargetMode="External"/><Relationship Id="rId124" Type="http://schemas.openxmlformats.org/officeDocument/2006/relationships/hyperlink" Target="http://es.wikipedia.org/wiki/1949" TargetMode="External"/><Relationship Id="rId125" Type="http://schemas.openxmlformats.org/officeDocument/2006/relationships/hyperlink" Target="http://es.wikipedia.org/wiki/Jefe_de_Estado" TargetMode="External"/><Relationship Id="rId126" Type="http://schemas.openxmlformats.org/officeDocument/2006/relationships/hyperlink" Target="http://es.wikipedia.org/wiki/Bundespr%C3%A4sident" TargetMode="External"/><Relationship Id="rId127" Type="http://schemas.openxmlformats.org/officeDocument/2006/relationships/hyperlink" Target="http://es.wikipedia.org/wiki/Presidente" TargetMode="External"/><Relationship Id="rId128" Type="http://schemas.openxmlformats.org/officeDocument/2006/relationships/hyperlink" Target="http://es.wikipedia.org/wiki/Bundesversammlung" TargetMode="External"/><Relationship Id="rId129" Type="http://schemas.openxmlformats.org/officeDocument/2006/relationships/hyperlink" Target="http://es.wikipedia.org/wiki/Funcionario" TargetMode="External"/><Relationship Id="rId130" Type="http://schemas.openxmlformats.org/officeDocument/2006/relationships/hyperlink" Target="http://es.wikipedia.org/w/index.php?title=Bundestagspr%C3%A4sident&amp;amp;action=edit&amp;amp;redlink=1" TargetMode="External"/><Relationship Id="rId131" Type="http://schemas.openxmlformats.org/officeDocument/2006/relationships/hyperlink" Target="http://es.wikipedia.org/wiki/Canciller_Federal" TargetMode="External"/><Relationship Id="rId132" Type="http://schemas.openxmlformats.org/officeDocument/2006/relationships/hyperlink" Target="http://es.wikipedia.org/wiki/Bundeskanzler" TargetMode="External"/><Relationship Id="rId133" Type="http://schemas.openxmlformats.org/officeDocument/2006/relationships/hyperlink" Target="http://es.wikipedia.org/wiki/Canciller" TargetMode="External"/><Relationship Id="rId134" Type="http://schemas.openxmlformats.org/officeDocument/2006/relationships/hyperlink" Target="http://es.wikipedia.org/wiki/Tribunal_Constitucional_de_Alemania" TargetMode="External"/><Relationship Id="rId135" Type="http://schemas.openxmlformats.org/officeDocument/2006/relationships/hyperlink" Target="http://es.wikipedia.org/wiki/1215" TargetMode="External"/><Relationship Id="rId136" Type="http://schemas.openxmlformats.org/officeDocument/2006/relationships/hyperlink" Target="http://es.wikipedia.org/wiki/1679" TargetMode="External"/><Relationship Id="rId137" Type="http://schemas.openxmlformats.org/officeDocument/2006/relationships/hyperlink" Target="http://es.wikipedia.org/wiki/1689" TargetMode="External"/><Relationship Id="rId138" Type="http://schemas.openxmlformats.org/officeDocument/2006/relationships/hyperlink" Target="http://es.wikipedia.org/wiki/1701" TargetMode="External"/><Relationship Id="rId139" Type="http://schemas.openxmlformats.org/officeDocument/2006/relationships/hyperlink" Target="http://es.wikipedia.org/wiki/1832" TargetMode="External"/><Relationship Id="rId140" Type="http://schemas.openxmlformats.org/officeDocument/2006/relationships/hyperlink" Target="http://es.wikipedia.org/wiki/1931" TargetMode="External"/><Relationship Id="rId141" Type="http://schemas.openxmlformats.org/officeDocument/2006/relationships/hyperlink" Target="http://es.wikipedia.org/wiki/1911" TargetMode="External"/><Relationship Id="rId142" Type="http://schemas.openxmlformats.org/officeDocument/2006/relationships/footer" Target="footer26.xml"/><Relationship Id="rId143" Type="http://schemas.openxmlformats.org/officeDocument/2006/relationships/hyperlink" Target="http://www.eumed.net/tesis/2008/mash/RENDICION%20DE%20CUENTAS%20Y%20DEMOCRACIA.htm" TargetMode="External"/><Relationship Id="rId144" Type="http://schemas.openxmlformats.org/officeDocument/2006/relationships/footer" Target="footer27.xml"/><Relationship Id="rId145" Type="http://schemas.openxmlformats.org/officeDocument/2006/relationships/hyperlink" Target="http://www.nao.org.uk/publications/1012/wga_2009-10.aspx%3B" TargetMode="External"/><Relationship Id="rId146" Type="http://schemas.openxmlformats.org/officeDocument/2006/relationships/hyperlink" Target="http://www.ife.org.mx/documentos/DECEYEC/eua.htm#sistpol%3B" TargetMode="External"/><Relationship Id="rId147" Type="http://schemas.openxmlformats.org/officeDocument/2006/relationships/hyperlink" Target="http://mexicity.blogspot.mx/2008/08/sistema-electoral-de-mexico.html" TargetMode="External"/><Relationship Id="rId148" Type="http://schemas.openxmlformats.org/officeDocument/2006/relationships/hyperlink" Target="http://www.juridicas.unam.mx/navjus/gob/de.htm" TargetMode="External"/><Relationship Id="rId149" Type="http://schemas.openxmlformats.org/officeDocument/2006/relationships/hyperlink" Target="http://www.ife.org.mx/documentos/DECEYEC/espana.htm#sistpol%3B" TargetMode="External"/><Relationship Id="rId150" Type="http://schemas.openxmlformats.org/officeDocument/2006/relationships/hyperlink" Target="http://www.asturiasliberal.org/colaboraciones/piensa_en_liberal/espanna_alemania_poder_judicial_poder_ejecutivo_y_referen_2.php" TargetMode="External"/><Relationship Id="rId151" Type="http://schemas.openxmlformats.org/officeDocument/2006/relationships/footer" Target="footer28.xml"/><Relationship Id="rId152" Type="http://schemas.openxmlformats.org/officeDocument/2006/relationships/hyperlink" Target="http://cordis.europa.eu/documents/documentlibrary/100123971EN6.pdf" TargetMode="External"/><Relationship Id="rId153" Type="http://schemas.openxmlformats.org/officeDocument/2006/relationships/hyperlink" Target="http://biblio.juridicas.unam.mx/libros/4/1611/15.pdf" TargetMode="External"/><Relationship Id="rId154" Type="http://schemas.openxmlformats.org/officeDocument/2006/relationships/footer" Target="footer29.xml"/><Relationship Id="rId155" Type="http://schemas.openxmlformats.org/officeDocument/2006/relationships/hyperlink" Target="http://intosai.org/" TargetMode="External"/><Relationship Id="rId156" Type="http://schemas.openxmlformats.org/officeDocument/2006/relationships/hyperlink" Target="http://www.asf.gob.mx/" TargetMode="External"/><Relationship Id="rId157" Type="http://schemas.openxmlformats.org/officeDocument/2006/relationships/hyperlink" Target="http://www.intosai.org/es/grupos-regionales-de-trabajo.html" TargetMode="External"/><Relationship Id="rId158" Type="http://schemas.openxmlformats.org/officeDocument/2006/relationships/image" Target="media/image47.png"/><Relationship Id="rId159" Type="http://schemas.openxmlformats.org/officeDocument/2006/relationships/image" Target="media/image48.png"/><Relationship Id="rId160" Type="http://schemas.openxmlformats.org/officeDocument/2006/relationships/image" Target="media/image49.png"/><Relationship Id="rId161" Type="http://schemas.openxmlformats.org/officeDocument/2006/relationships/hyperlink" Target="http://www.incosai2007.org.mx/infogral.html" TargetMode="External"/><Relationship Id="rId162" Type="http://schemas.openxmlformats.org/officeDocument/2006/relationships/hyperlink" Target="http://www.intosai.org/es/documentos/intosai/documentos-basicos/declaraciones-de-lima-y-mexico/declaracion-de-mexico-sobre-independencia-de-la-efs.html" TargetMode="External"/><Relationship Id="rId163" Type="http://schemas.openxmlformats.org/officeDocument/2006/relationships/hyperlink" Target="http://www.unodc.org/pdf/corruption/publications_unodc_convention-s.pdf" TargetMode="External"/><Relationship Id="rId164" Type="http://schemas.openxmlformats.org/officeDocument/2006/relationships/hyperlink" Target="http://www.asf.gob.mx/uploads/61_Publicaciones_tecnicas/Autonomia_web.pdf" TargetMode="External"/><Relationship Id="rId165" Type="http://schemas.openxmlformats.org/officeDocument/2006/relationships/footer" Target="footer30.xml"/><Relationship Id="rId166" Type="http://schemas.openxmlformats.org/officeDocument/2006/relationships/hyperlink" Target="http://www.asf.gob.mx/uploads/55_Informes_de_auditoria/Mensaje_IRCP_2011.pdf" TargetMode="External"/><Relationship Id="rId167" Type="http://schemas.openxmlformats.org/officeDocument/2006/relationships/footer" Target="footer31.xml"/><Relationship Id="rId168" Type="http://schemas.openxmlformats.org/officeDocument/2006/relationships/image" Target="media/image50.png"/><Relationship Id="rId169" Type="http://schemas.openxmlformats.org/officeDocument/2006/relationships/image" Target="media/image51.png"/><Relationship Id="rId170" Type="http://schemas.openxmlformats.org/officeDocument/2006/relationships/image" Target="media/image52.png"/><Relationship Id="rId171" Type="http://schemas.openxmlformats.org/officeDocument/2006/relationships/image" Target="media/image53.png"/><Relationship Id="rId172" Type="http://schemas.openxmlformats.org/officeDocument/2006/relationships/image" Target="media/image54.png"/><Relationship Id="rId173" Type="http://schemas.openxmlformats.org/officeDocument/2006/relationships/image" Target="media/image55.png"/><Relationship Id="rId174" Type="http://schemas.openxmlformats.org/officeDocument/2006/relationships/image" Target="media/image56.png"/><Relationship Id="rId175" Type="http://schemas.openxmlformats.org/officeDocument/2006/relationships/image" Target="media/image57.png"/><Relationship Id="rId176" Type="http://schemas.openxmlformats.org/officeDocument/2006/relationships/image" Target="media/image58.png"/><Relationship Id="rId177" Type="http://schemas.openxmlformats.org/officeDocument/2006/relationships/image" Target="media/image59.png"/><Relationship Id="rId178" Type="http://schemas.openxmlformats.org/officeDocument/2006/relationships/image" Target="media/image60.png"/><Relationship Id="rId179" Type="http://schemas.openxmlformats.org/officeDocument/2006/relationships/image" Target="media/image61.png"/><Relationship Id="rId180" Type="http://schemas.openxmlformats.org/officeDocument/2006/relationships/hyperlink" Target="http://www.uia.mx/web/html/actividades/sexenio/LaPoliticaExterior" TargetMode="External"/><Relationship Id="rId181" Type="http://schemas.openxmlformats.org/officeDocument/2006/relationships/hyperlink" Target="http://www.informador.com.mx/mexico/2009/162966/6/las-diez-propuestas-de-reforma-politica-de-felipe-calderon.htm" TargetMode="External"/><Relationship Id="rId182" Type="http://schemas.openxmlformats.org/officeDocument/2006/relationships/image" Target="media/image62.png"/><Relationship Id="rId183" Type="http://schemas.openxmlformats.org/officeDocument/2006/relationships/image" Target="media/image63.png"/><Relationship Id="rId184" Type="http://schemas.openxmlformats.org/officeDocument/2006/relationships/image" Target="media/image64.jpeg"/><Relationship Id="rId185" Type="http://schemas.openxmlformats.org/officeDocument/2006/relationships/hyperlink" Target="http://www.un.org/es/documents/udhr/" TargetMode="External"/><Relationship Id="rId186" Type="http://schemas.openxmlformats.org/officeDocument/2006/relationships/hyperlink" Target="http://www.indetec.gob.mx/Publicaciones/Productos/Trimestre99.pdf" TargetMode="External"/><Relationship Id="rId187" Type="http://schemas.openxmlformats.org/officeDocument/2006/relationships/hyperlink" Target="http://www.undp.org/content/dam/undp/library/corporate/HDR/2013GlobalHDR/Spanish/HDR2013%20Report%20Spani" TargetMode="External"/><Relationship Id="rId188" Type="http://schemas.openxmlformats.org/officeDocument/2006/relationships/hyperlink" Target="http://www.asf.gob.mx/Publication/75_Programa_de_TV" TargetMode="External"/><Relationship Id="rId189" Type="http://schemas.openxmlformats.org/officeDocument/2006/relationships/footer" Target="footer32.xml"/><Relationship Id="rId190" Type="http://schemas.openxmlformats.org/officeDocument/2006/relationships/footer" Target="footer33.xml"/><Relationship Id="rId191" Type="http://schemas.openxmlformats.org/officeDocument/2006/relationships/hyperlink" Target="http://dof.gob.mx/index.php?year=2003&amp;amp;month=04&amp;amp;day=10" TargetMode="External"/><Relationship Id="rId192" Type="http://schemas.openxmlformats.org/officeDocument/2006/relationships/footer" Target="footer34.xml"/><Relationship Id="rId193" Type="http://schemas.openxmlformats.org/officeDocument/2006/relationships/footer" Target="footer35.xml"/><Relationship Id="rId194" Type="http://schemas.openxmlformats.org/officeDocument/2006/relationships/hyperlink" Target="http://www.funcionpublica.gob.mx/index.php/conoce-la-sfp/mision-y-vision.html" TargetMode="External"/><Relationship Id="rId195" Type="http://schemas.openxmlformats.org/officeDocument/2006/relationships/hyperlink" Target="http://www.asf.gob.mx/Publication/22_Mision_y_Vision" TargetMode="External"/><Relationship Id="rId196" Type="http://schemas.openxmlformats.org/officeDocument/2006/relationships/hyperlink" Target="http://www.asf.gob.mx/trans/Obliga/vision.pdf" TargetMode="External"/><Relationship Id="rId197" Type="http://schemas.openxmlformats.org/officeDocument/2006/relationships/hyperlink" Target="http://www.scjn.gob.mx/conocelacorte/ministra/LA%20CONTROVERSIA%20CONSTITUCIONAL.pdf" TargetMode="External"/><Relationship Id="rId198" Type="http://schemas.openxmlformats.org/officeDocument/2006/relationships/hyperlink" Target="http://www.asf.gob.mx/Trans/Informes/IR2003i/Indice/Ejecutivo.htm" TargetMode="External"/><Relationship Id="rId199" Type="http://schemas.openxmlformats.org/officeDocument/2006/relationships/hyperlink" Target="http://www.asf.gob.mx/Trans/Informes/ir2006i/Indice/Ejecutivo.htm" TargetMode="External"/><Relationship Id="rId200" Type="http://schemas.openxmlformats.org/officeDocument/2006/relationships/hyperlink" Target="http://www.proceso.com.mx/?p=196737" TargetMode="External"/><Relationship Id="rId201" Type="http://schemas.openxmlformats.org/officeDocument/2006/relationships/hyperlink" Target="http://www.elmanana.com.mx/notas.asp?id=40393" TargetMode="External"/><Relationship Id="rId202" Type="http://schemas.openxmlformats.org/officeDocument/2006/relationships/hyperlink" Target="http://www.elporvenir.com.mx/notas.asp?nota_id=193873" TargetMode="External"/><Relationship Id="rId203" Type="http://schemas.openxmlformats.org/officeDocument/2006/relationships/image" Target="media/image65.png"/><Relationship Id="rId204" Type="http://schemas.openxmlformats.org/officeDocument/2006/relationships/image" Target="media/image66.png"/><Relationship Id="rId205" Type="http://schemas.openxmlformats.org/officeDocument/2006/relationships/image" Target="media/image67.png"/><Relationship Id="rId206" Type="http://schemas.openxmlformats.org/officeDocument/2006/relationships/image" Target="media/image68.png"/><Relationship Id="rId207" Type="http://schemas.openxmlformats.org/officeDocument/2006/relationships/image" Target="media/image69.png"/><Relationship Id="rId208" Type="http://schemas.openxmlformats.org/officeDocument/2006/relationships/footer" Target="footer36.xml"/><Relationship Id="rId209" Type="http://schemas.openxmlformats.org/officeDocument/2006/relationships/hyperlink" Target="http://www.asf.gob.mx/Trans/Informes/IR2011i/Grupos/Gobierno/2011_0059_a.pdf" TargetMode="External"/><Relationship Id="rId210" Type="http://schemas.openxmlformats.org/officeDocument/2006/relationships/footer" Target="footer37.xml"/><Relationship Id="rId211" Type="http://schemas.openxmlformats.org/officeDocument/2006/relationships/footer" Target="footer38.xml"/><Relationship Id="rId212" Type="http://schemas.openxmlformats.org/officeDocument/2006/relationships/footer" Target="footer39.xml"/><Relationship Id="rId213" Type="http://schemas.openxmlformats.org/officeDocument/2006/relationships/hyperlink" Target="http://www.bibliojuridica.org/libros/6/2800/4.pdf" TargetMode="External"/><Relationship Id="rId214" Type="http://schemas.openxmlformats.org/officeDocument/2006/relationships/hyperlink" Target="http://www.rendiciondecuentas.cide.edu/" TargetMode="External"/><Relationship Id="rId215" Type="http://schemas.openxmlformats.org/officeDocument/2006/relationships/hyperlink" Target="http://www.transparenciamexicana.org.mx/documentos/INCBG/2010/2_INCBG_2010_Ranking_por_Entidad_Federativa.pdf" TargetMode="External"/><Relationship Id="rId216" Type="http://schemas.openxmlformats.org/officeDocument/2006/relationships/hyperlink" Target="http://iltpweb.org/" TargetMode="External"/><Relationship Id="rId217" Type="http://schemas.openxmlformats.org/officeDocument/2006/relationships/hyperlink" Target="http://www.asf.gob.mx/uploads/55_Informes_de_auditoria/IR2010PRES.pdf" TargetMode="External"/><Relationship Id="rId218" Type="http://schemas.openxmlformats.org/officeDocument/2006/relationships/footer" Target="footer40.xml"/><Relationship Id="rId219" Type="http://schemas.openxmlformats.org/officeDocument/2006/relationships/footer" Target="footer41.xml"/><Relationship Id="rId220" Type="http://schemas.openxmlformats.org/officeDocument/2006/relationships/image" Target="media/image70.jpeg"/><Relationship Id="rId221" Type="http://schemas.openxmlformats.org/officeDocument/2006/relationships/hyperlink" Target="http://www.asf.gob.mx/pags/OTROS/CPMEX/Eval2009_abril09.pdf" TargetMode="External"/><Relationship Id="rId222" Type="http://schemas.openxmlformats.org/officeDocument/2006/relationships/hyperlink" Target="http://e-lecciones.net/archivos/loultimo/INFORME_LB2011.pd" TargetMode="External"/><Relationship Id="rId223" Type="http://schemas.openxmlformats.org/officeDocument/2006/relationships/hyperlink" Target="http://www.consulta.mx/Estudios.aspx?Categoria=1" TargetMode="External"/><Relationship Id="rId224" Type="http://schemas.openxmlformats.org/officeDocument/2006/relationships/footer" Target="footer42.xml"/><Relationship Id="rId225" Type="http://schemas.openxmlformats.org/officeDocument/2006/relationships/footer" Target="footer43.xml"/><Relationship Id="rId226" Type="http://schemas.openxmlformats.org/officeDocument/2006/relationships/hyperlink" Target="http://au.linkedin.com/in/metcalfe" TargetMode="External"/><Relationship Id="rId227" Type="http://schemas.openxmlformats.org/officeDocument/2006/relationships/hyperlink" Target="http://unesdoc.unesco.org/images/0015/001502/150259f.pdf" TargetMode="External"/><Relationship Id="rId228" Type="http://schemas.openxmlformats.org/officeDocument/2006/relationships/hyperlink" Target="http://www.facebook.com/note.php?note_id=385499133141" TargetMode="External"/><Relationship Id="rId229" Type="http://schemas.openxmlformats.org/officeDocument/2006/relationships/hyperlink" Target="http://mexicomagico.org/Voto/4A/fox4a.htm" TargetMode="External"/><Relationship Id="rId230" Type="http://schemas.openxmlformats.org/officeDocument/2006/relationships/hyperlink" Target="http://www.shcp.gob.mx/LASHCP/Documents/antecedentes.pdf" TargetMode="External"/><Relationship Id="rId231" Type="http://schemas.openxmlformats.org/officeDocument/2006/relationships/hyperlink" Target="http://www.filosofia.org/ave/001/a240.htm" TargetMode="External"/><Relationship Id="rId232" Type="http://schemas.openxmlformats.org/officeDocument/2006/relationships/hyperlink" Target="http://www.inap.org.mx/portal/images/RAP/la%20gobernanza%20hoy.pdf" TargetMode="External"/><Relationship Id="rId233" Type="http://schemas.openxmlformats.org/officeDocument/2006/relationships/hyperlink" Target="http://www.ejournal.unam.mx/moe/no119/MOE11903.pdf" TargetMode="External"/><Relationship Id="rId234" Type="http://schemas.openxmlformats.org/officeDocument/2006/relationships/footer" Target="footer44.xml"/><Relationship Id="rId235" Type="http://schemas.openxmlformats.org/officeDocument/2006/relationships/hyperlink" Target="http://www.asf.gob.mx/Trans/Informes/IR2000i/indice.htm" TargetMode="External"/><Relationship Id="rId236" Type="http://schemas.openxmlformats.org/officeDocument/2006/relationships/hyperlink" Target="http://www.asf.gob.mx/Trans/Informes/IR2001i/indice/Ejecutivo.htm" TargetMode="External"/><Relationship Id="rId237" Type="http://schemas.openxmlformats.org/officeDocument/2006/relationships/hyperlink" Target="http://www.asf.gob.mx/Trans/Informes/IR2002i/indice.htm" TargetMode="External"/><Relationship Id="rId238" Type="http://schemas.openxmlformats.org/officeDocument/2006/relationships/footer" Target="footer45.xml"/><Relationship Id="rId239" Type="http://schemas.openxmlformats.org/officeDocument/2006/relationships/hyperlink" Target="http://www.asf.gob.mx/Trans/Informes/ir2004i/Indice/Ejecutivo.htm" TargetMode="External"/><Relationship Id="rId240" Type="http://schemas.openxmlformats.org/officeDocument/2006/relationships/hyperlink" Target="http://www.asf.gob.mx/Trans/Informes/ir2005i/Indice/Ejecutivo.htm" TargetMode="External"/><Relationship Id="rId241" Type="http://schemas.openxmlformats.org/officeDocument/2006/relationships/hyperlink" Target="http://www.asf.gob.mx/uploads/74_Mensajes_del_Titular/02_Mensaje_Auditor_Superior.pdf" TargetMode="External"/><Relationship Id="rId242" Type="http://schemas.openxmlformats.org/officeDocument/2006/relationships/hyperlink" Target="http://www.asf.gob.mx/Trans/Informes/IR2010i/Indice/Ejecutivo.htm" TargetMode="External"/><Relationship Id="rId243" Type="http://schemas.openxmlformats.org/officeDocument/2006/relationships/hyperlink" Target="http://www.asf.gob.mx/Trans/Informes/IR2011i/Indice/iGeneral.htm" TargetMode="External"/><Relationship Id="rId244" Type="http://schemas.openxmlformats.org/officeDocument/2006/relationships/hyperlink" Target="http://www.aecpa.es/uploads/files/congresos/congreso_07/area05/GT20/CANCELA-OUTEDA-Celso(UVI).pdf" TargetMode="External"/><Relationship Id="rId245" Type="http://schemas.openxmlformats.org/officeDocument/2006/relationships/hyperlink" Target="http://www.funcionpublica.gob.mx/images/doctos/transparencia/focalizada/indices/metrica_de_la_transparencia/metrica_de_la_transparencia_2010_cide.pdf" TargetMode="External"/><Relationship Id="rId246" Type="http://schemas.openxmlformats.org/officeDocument/2006/relationships/hyperlink" Target="http://bresserpereira.org.br/Documents%5CMARE%5CCLAD%5Cngpesp.pdf" TargetMode="External"/><Relationship Id="rId247" Type="http://schemas.openxmlformats.org/officeDocument/2006/relationships/hyperlink" Target="http://www.google.com/search?q=ClosaMontero%2CCarlos%2CEllibro" TargetMode="External"/><Relationship Id="rId248" Type="http://schemas.openxmlformats.org/officeDocument/2006/relationships/hyperlink" Target="http://www.diputados.gob.mx/LeyesBiblio/compila/controv.htm" TargetMode="External"/><Relationship Id="rId249" Type="http://schemas.openxmlformats.org/officeDocument/2006/relationships/hyperlink" Target="http://www.ucm.es/info/cpuno/asoc/profesores/lecturas/dahl2.pdf" TargetMode="External"/><Relationship Id="rId250" Type="http://schemas.openxmlformats.org/officeDocument/2006/relationships/hyperlink" Target="http://www.bibliojuridica.org/libros/1/93/10.pdf" TargetMode="External"/><Relationship Id="rId251" Type="http://schemas.openxmlformats.org/officeDocument/2006/relationships/hyperlink" Target="http://www.ife.org.mx/documentos/DECEYEC/sistemas_parlamentario.htm" TargetMode="External"/><Relationship Id="rId252" Type="http://schemas.openxmlformats.org/officeDocument/2006/relationships/hyperlink" Target="http://www.asf.gob.mx/uploads/47_Estudios_especializados/Aimee_doctocomp.pdf" TargetMode="External"/><Relationship Id="rId253" Type="http://schemas.openxmlformats.org/officeDocument/2006/relationships/hyperlink" Target="http://www.imf.org/external/pubs/ft/weo/2011/02/weodata/index.aspx" TargetMode="External"/><Relationship Id="rId254" Type="http://schemas.openxmlformats.org/officeDocument/2006/relationships/hyperlink" Target="http://www.intosai.org/es/documentos/intosai/documentos-" TargetMode="External"/><Relationship Id="rId255" Type="http://schemas.openxmlformats.org/officeDocument/2006/relationships/hyperlink" Target="http://www.ife.org.mx/documentos/DECEYEC/sistemas_politicos.htm" TargetMode="External"/><Relationship Id="rId256" Type="http://schemas.openxmlformats.org/officeDocument/2006/relationships/hyperlink" Target="http://www.hegoa.ehu.es/dossierra/gobernanza/3-Prats2001.pdf" TargetMode="External"/><Relationship Id="rId257" Type="http://schemas.openxmlformats.org/officeDocument/2006/relationships/hyperlink" Target="http://www.grupochorlavi.org/php/doc/documentos/Elconceptoyel.pdf" TargetMode="External"/><Relationship Id="rId258" Type="http://schemas.openxmlformats.org/officeDocument/2006/relationships/hyperlink" Target="http://siteresources.worldbank.org/INTWBIGOVANTCOR/Resources/fandd_spanish.pdf" TargetMode="External"/><Relationship Id="rId259" Type="http://schemas.openxmlformats.org/officeDocument/2006/relationships/hyperlink" Target="http://www.iapqroo.org.mx/website/biblioteca/LA%20CONTRALORIA%20Y%20" TargetMode="External"/><Relationship Id="rId260" Type="http://schemas.openxmlformats.org/officeDocument/2006/relationships/hyperlink" Target="http://www.sat.gob.mx/civismo_fiscal/contenidos/pdfs/cap2_sistemas_fm_xix.pdf" TargetMode="External"/><Relationship Id="rId261" Type="http://schemas.openxmlformats.org/officeDocument/2006/relationships/hyperlink" Target="http://www.diputados.gob.mx/LeyesBiblio/regla/n280.pdf" TargetMode="External"/><Relationship Id="rId262" Type="http://schemas.openxmlformats.org/officeDocument/2006/relationships/hyperlink" Target="http://ferronato.com.ar/wp-content/uploads/2009/06/discursos_tito_livio1.pdf" TargetMode="External"/><Relationship Id="rId263" Type="http://schemas.openxmlformats.org/officeDocument/2006/relationships/hyperlink" Target="http://archivosociologico.files.wordpress.com/2010/04/charles-louis-montesquieu-el-espiritu-de-las-leyes.pdf" TargetMode="External"/><Relationship Id="rId264" Type="http://schemas.openxmlformats.org/officeDocument/2006/relationships/hyperlink" Target="http://unpan1.un.org/intradoc/groups/public/documents/CLAD/clad0044413.pdf" TargetMode="External"/><Relationship Id="rId265" Type="http://schemas.openxmlformats.org/officeDocument/2006/relationships/hyperlink" Target="http://americo.usal.es/iberoame/sites/default/files/Laclasepolitica.pdf" TargetMode="External"/><Relationship Id="rId266" Type="http://schemas.openxmlformats.org/officeDocument/2006/relationships/hyperlink" Target="http://www.amocvies.org.mx/htm_asambleas/a15_qroo/inf/fiscaliz.pdf" TargetMode="External"/><Relationship Id="rId267" Type="http://schemas.openxmlformats.org/officeDocument/2006/relationships/hyperlink" Target="http://unpan1.un.org/intradoc/groups/public/documents/CLAD/clad0043411.pdf" TargetMode="External"/><Relationship Id="rId268" Type="http://schemas.openxmlformats.org/officeDocument/2006/relationships/hyperlink" Target="http://www.programaanticorrupcion.gob.mx/PNRCTCC/prctcc_2008-2012.pdf" TargetMode="External"/><Relationship Id="rId269" Type="http://schemas.openxmlformats.org/officeDocument/2006/relationships/hyperlink" Target="http://www.hacienda.gob.mx/EGRESOS/pbr/docs_consultta/directricessed.pdf" TargetMode="External"/><Relationship Id="rId270" Type="http://schemas.openxmlformats.org/officeDocument/2006/relationships/hyperlink" Target="http://works.bepress.com/cgi/viewcontent.cgi?article=1005&amp;amp;context=andreas_s" TargetMode="External"/><Relationship Id="rId271" Type="http://schemas.openxmlformats.org/officeDocument/2006/relationships/hyperlink" Target="http://biblio.juridicas.unam.mx/libros/3/1327/1.pdf" TargetMode="External"/><Relationship Id="rId272" Type="http://schemas.openxmlformats.org/officeDocument/2006/relationships/hyperlink" Target="http://fama2.us.es/fde/ocr/2006/gobiernoRepresentativo.pdf" TargetMode="External"/><Relationship Id="rId273" Type="http://schemas.openxmlformats.org/officeDocument/2006/relationships/hyperlink" Target="http://www.bibliojuridica.org/libros/6/2818/5.pdf" TargetMode="External"/><Relationship Id="rId274" Type="http://schemas.openxmlformats.org/officeDocument/2006/relationships/hyperlink" Target="http://web.worldbank.org/WBSITE/EXTERNAL/TOPICS/TRADE/0%2C%2CcontentMDK" TargetMode="External"/><Relationship Id="rId275" Type="http://schemas.openxmlformats.org/officeDocument/2006/relationships/hyperlink" Target="http://www.asamblea.gob.pa/debate/Ediciones_anteriores/JULIO2008/%C3%9Altima_Edici%C3%B3n/09-Tribunal_Cuentas.pdf" TargetMode="External"/><Relationship Id="rId276" Type="http://schemas.openxmlformats.org/officeDocument/2006/relationships/hyperlink" Target="http://www.diputados.gob.mx/LeyesBiblio/pdf/1.pdf" TargetMode="External"/><Relationship Id="rId277" Type="http://schemas.openxmlformats.org/officeDocument/2006/relationships/footer" Target="footer46.xml"/><Relationship Id="rId278" Type="http://schemas.openxmlformats.org/officeDocument/2006/relationships/hyperlink" Target="http://www.diputados.gob.mx/LeyesBiblio/pdf/LFRCF.pdf" TargetMode="External"/><Relationship Id="rId279" Type="http://schemas.openxmlformats.org/officeDocument/2006/relationships/hyperlink" Target="http://www.citimpuestos.com/download/normatividad/diversas/LFTAI.pdf" TargetMode="External"/><Relationship Id="rId280" Type="http://schemas.openxmlformats.org/officeDocument/2006/relationships/hyperlink" Target="http://www.juridicas.unam.mx/publica/librev/rev/rap/cont/55/doc/doc8.pdf" TargetMode="External"/><Relationship Id="rId281" Type="http://schemas.openxmlformats.org/officeDocument/2006/relationships/hyperlink" Target="http://dx.doi.org/10.1787/9789264116252-es" TargetMode="External"/><Relationship Id="rId282" Type="http://schemas.openxmlformats.org/officeDocument/2006/relationships/hyperlink" Target="http://www.oecd.org/centrodemexico/Mexico%202012%20FINALES%20SEP%25" TargetMode="External"/><Relationship Id="rId283" Type="http://schemas.openxmlformats.org/officeDocument/2006/relationships/footer" Target="footer47.xml"/><Relationship Id="rId284" Type="http://schemas.openxmlformats.org/officeDocument/2006/relationships/hyperlink" Target="http://bases.bireme.br/cgi-" TargetMode="External"/><Relationship Id="rId285" Type="http://schemas.openxmlformats.org/officeDocument/2006/relationships/hyperlink" Target="http://www.dgpp.sep.gob.mx/planeacion/pdf%20inf/PND.pdf" TargetMode="External"/><Relationship Id="rId286" Type="http://schemas.openxmlformats.org/officeDocument/2006/relationships/hyperlink" Target="http://www.ceplan.gob.pe/documents/10157/199b80b0-04c8-4f99-8300-a58d49460432" TargetMode="External"/><Relationship Id="rId287" Type="http://schemas.openxmlformats.org/officeDocument/2006/relationships/hyperlink" Target="http://www.oic.sep.gob.mx/portal3/doc/Participacion%20ciudadana.pdf" TargetMode="External"/><Relationship Id="rId288" Type="http://schemas.openxmlformats.org/officeDocument/2006/relationships/hyperlink" Target="http://www.latinobarometro.org/latino/LATContenidos.jsp" TargetMode="External"/><Relationship Id="rId289" Type="http://schemas.openxmlformats.org/officeDocument/2006/relationships/hyperlink" Target="http://www.ieo-imf.org/ieo/files/completedevaluations/05212008CG_SPA.pdf" TargetMode="External"/><Relationship Id="rId290" Type="http://schemas.openxmlformats.org/officeDocument/2006/relationships/hyperlink" Target="http://www.world-governance.org/spip.php?article521&amp;amp;lang=es" TargetMode="External"/><Relationship Id="rId291" Type="http://schemas.openxmlformats.org/officeDocument/2006/relationships/hyperlink" Target="http://www.world-governance.org/IMG/pdf_WGI_short_version_EN_web-4.pdf" TargetMode="External"/><Relationship Id="rId292" Type="http://schemas.openxmlformats.org/officeDocument/2006/relationships/hyperlink" Target="http://www.world-governance.org/" TargetMode="External"/><Relationship Id="rId293" Type="http://schemas.openxmlformats.org/officeDocument/2006/relationships/hyperlink" Target="http://www.world-governance.org/IMG/pdf_798_Propuestas_para_una_arquitectura_del_poder_justa_y_democratica_2012.03.pdf" TargetMode="External"/><Relationship Id="rId294" Type="http://schemas.openxmlformats.org/officeDocument/2006/relationships/hyperlink" Target="http://back.globalintegrity.org/reports/2004/docs/2004/SPANISH2004Mexico.pdf" TargetMode="External"/><Relationship Id="rId295" Type="http://schemas.openxmlformats.org/officeDocument/2006/relationships/hyperlink" Target="http://www.globalintegrity.org/report/Mexico/2011/notebook" TargetMode="External"/><Relationship Id="rId296" Type="http://schemas.openxmlformats.org/officeDocument/2006/relationships/hyperlink" Target="http://thedatahub.org/dataset/global-integrity-report/resource/5f8e7f41-1093-" TargetMode="External"/><Relationship Id="rId297" Type="http://schemas.openxmlformats.org/officeDocument/2006/relationships/hyperlink" Target="http://www.happyplanetindex.org/assets/happy-planet-index-" TargetMode="External"/><Relationship Id="rId298" Type="http://schemas.openxmlformats.org/officeDocument/2006/relationships/hyperlink" Target="http://internationalbudget.org/wp-content/uploads/OBI2012-" TargetMode="External"/><Relationship Id="rId299" Type="http://schemas.openxmlformats.org/officeDocument/2006/relationships/hyperlink" Target="http://www.oecd.org/dataoecd/60/17/48632643.pdf" TargetMode="External"/><Relationship Id="rId300" Type="http://schemas.openxmlformats.org/officeDocument/2006/relationships/hyperlink" Target="http://www.oecd.org/document/45/0%2C3746%2Cen_2649_37419_2671576_1_1_1_37" TargetMode="External"/><Relationship Id="rId301" Type="http://schemas.openxmlformats.org/officeDocument/2006/relationships/hyperlink" Target="http://www.oecd.org/dataoecd/24/14/46119235.pdf" TargetMode="External"/><Relationship Id="rId302" Type="http://schemas.openxmlformats.org/officeDocument/2006/relationships/hyperlink" Target="http://www.oecd.org/dataoecd/32/18/31557724.pdf" TargetMode="External"/><Relationship Id="rId303" Type="http://schemas.openxmlformats.org/officeDocument/2006/relationships/hyperlink" Target="http://www.oecd.org/dataoecd/56/61/45875056.pdf" TargetMode="External"/><Relationship Id="rId304" Type="http://schemas.openxmlformats.org/officeDocument/2006/relationships/hyperlink" Target="http://www.oecd.org/dataoecd/20/60/40823806.pdf" TargetMode="External"/><Relationship Id="rId305" Type="http://schemas.openxmlformats.org/officeDocument/2006/relationships/hyperlink" Target="http://www.ife.org.mx/documentos/DECEYEC/eua.htm#sistpol" TargetMode="External"/><Relationship Id="rId306" Type="http://schemas.openxmlformats.org/officeDocument/2006/relationships/hyperlink" Target="http://www.ife.org.mx/documentos/DECEYEC/espana.htm#sistpol" TargetMode="External"/><Relationship Id="rId307" Type="http://schemas.openxmlformats.org/officeDocument/2006/relationships/hyperlink" Target="http://www.gao.gov/browse/topic/Tax_Policy_and_Administration" TargetMode="External"/><Relationship Id="rId308" Type="http://schemas.openxmlformats.org/officeDocument/2006/relationships/hyperlink" Target="http://asf.gob.mx/" TargetMode="External"/><Relationship Id="rId309" Type="http://schemas.openxmlformats.org/officeDocument/2006/relationships/hyperlink" Target="http://biblio.juridicas.unam.mx/libros/2/530/4.pdf" TargetMode="External"/><Relationship Id="rId310" Type="http://schemas.openxmlformats.org/officeDocument/2006/relationships/hyperlink" Target="http://www.nao.org.uk/publications/1012/wga_2009-10.aspx" TargetMode="External"/><Relationship Id="rId311" Type="http://schemas.openxmlformats.org/officeDocument/2006/relationships/numbering" Target="numbering.xml"/></Relationships>

</file>

<file path=word/_rels/footer11.xml.rels><?xml version="1.0" encoding="UTF-8" standalone="yes"?>
<Relationships xmlns="http://schemas.openxmlformats.org/package/2006/relationships"><Relationship Id="rId1" Type="http://schemas.openxmlformats.org/officeDocument/2006/relationships/hyperlink" Target="http://www.oecd.org/dataoecd/32/18/3155772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Fermin</dc:creator>
  <dcterms:created xsi:type="dcterms:W3CDTF">2017-05-26T19:26:04Z</dcterms:created>
  <dcterms:modified xsi:type="dcterms:W3CDTF">2017-05-26T19:26:04Z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2017-02-21T00:00:00Z</vt:filetime>
  </property>
  <property fmtid="{D5CDD505-2E9C-101B-9397-08002B2CF9AE}" pid="3" name="Creator">
    <vt:lpwstr>Microsoft® Word 2013</vt:lpwstr>
  </property>
  <property fmtid="{D5CDD505-2E9C-101B-9397-08002B2CF9AE}" pid="4" name="LastSaved">
    <vt:filetime>2017-05-26T00:00:00Z</vt:filetime>
  </property>
</Properties>
</file>